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17.xml" ContentType="application/vnd.openxmlformats-officedocument.themeOverride+xml"/>
  <Override PartName="/word/charts/chart22.xml" ContentType="application/vnd.openxmlformats-officedocument.drawingml.chart+xml"/>
  <Override PartName="/word/theme/themeOverride18.xml" ContentType="application/vnd.openxmlformats-officedocument.themeOverride+xml"/>
  <Override PartName="/word/charts/chart23.xml" ContentType="application/vnd.openxmlformats-officedocument.drawingml.chart+xml"/>
  <Override PartName="/word/theme/themeOverride19.xml" ContentType="application/vnd.openxmlformats-officedocument.themeOverride+xml"/>
  <Override PartName="/word/charts/chart24.xml" ContentType="application/vnd.openxmlformats-officedocument.drawingml.chart+xml"/>
  <Override PartName="/word/theme/themeOverride20.xml" ContentType="application/vnd.openxmlformats-officedocument.themeOverride+xml"/>
  <Override PartName="/word/charts/chart25.xml" ContentType="application/vnd.openxmlformats-officedocument.drawingml.chart+xml"/>
  <Override PartName="/word/theme/themeOverride21.xml" ContentType="application/vnd.openxmlformats-officedocument.themeOverride+xml"/>
  <Override PartName="/word/charts/chart26.xml" ContentType="application/vnd.openxmlformats-officedocument.drawingml.chart+xml"/>
  <Override PartName="/word/theme/themeOverride2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FCA42E" w14:textId="55BE7713" w:rsidR="00003B4D" w:rsidRDefault="00230DE7" w:rsidP="00003B4D">
      <w:pPr>
        <w:spacing w:before="120" w:after="0" w:line="264" w:lineRule="auto"/>
        <w:jc w:val="both"/>
        <w:rPr>
          <w:rFonts w:eastAsia="Arial" w:cs="Arial"/>
          <w:sz w:val="16"/>
          <w:szCs w:val="16"/>
          <w:lang w:eastAsia="en-GB"/>
        </w:rPr>
      </w:pPr>
      <w:r>
        <w:rPr>
          <w:rFonts w:eastAsia="Arial" w:cs="Arial"/>
          <w:noProof/>
          <w:sz w:val="16"/>
          <w:szCs w:val="16"/>
          <w:lang w:eastAsia="sl-SI"/>
        </w:rPr>
        <w:drawing>
          <wp:anchor distT="0" distB="0" distL="114300" distR="114300" simplePos="0" relativeHeight="251663360" behindDoc="1" locked="0" layoutInCell="1" allowOverlap="1" wp14:anchorId="06EAE9C6" wp14:editId="1FA850FE">
            <wp:simplePos x="0" y="0"/>
            <wp:positionH relativeFrom="page">
              <wp:posOffset>4413250</wp:posOffset>
            </wp:positionH>
            <wp:positionV relativeFrom="page">
              <wp:posOffset>146050</wp:posOffset>
            </wp:positionV>
            <wp:extent cx="3340100" cy="1162050"/>
            <wp:effectExtent l="0" t="0" r="0" b="0"/>
            <wp:wrapNone/>
            <wp:docPr id="1631865554" name="Slika 1631865554"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1938" cy="116268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1312" behindDoc="1" locked="0" layoutInCell="1" allowOverlap="1" wp14:anchorId="1CB6023F" wp14:editId="0B26061C">
            <wp:simplePos x="0" y="0"/>
            <wp:positionH relativeFrom="margin">
              <wp:posOffset>-615950</wp:posOffset>
            </wp:positionH>
            <wp:positionV relativeFrom="paragraph">
              <wp:posOffset>-615950</wp:posOffset>
            </wp:positionV>
            <wp:extent cx="2725200" cy="1036800"/>
            <wp:effectExtent l="0" t="0" r="0" b="0"/>
            <wp:wrapNone/>
            <wp:docPr id="100002" name="Slika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a:stretch>
                      <a:fillRect/>
                    </a:stretch>
                  </pic:blipFill>
                  <pic:spPr>
                    <a:xfrm>
                      <a:off x="0" y="0"/>
                      <a:ext cx="2725200" cy="1036800"/>
                    </a:xfrm>
                    <a:prstGeom prst="rect">
                      <a:avLst/>
                    </a:prstGeom>
                  </pic:spPr>
                </pic:pic>
              </a:graphicData>
            </a:graphic>
            <wp14:sizeRelH relativeFrom="margin">
              <wp14:pctWidth>0</wp14:pctWidth>
            </wp14:sizeRelH>
            <wp14:sizeRelV relativeFrom="margin">
              <wp14:pctHeight>0</wp14:pctHeight>
            </wp14:sizeRelV>
          </wp:anchor>
        </w:drawing>
      </w:r>
    </w:p>
    <w:p w14:paraId="7733254A" w14:textId="77777777" w:rsidR="00003B4D" w:rsidRDefault="00003B4D" w:rsidP="00003B4D">
      <w:pPr>
        <w:spacing w:before="120" w:after="0" w:line="264" w:lineRule="auto"/>
        <w:jc w:val="both"/>
        <w:rPr>
          <w:rFonts w:eastAsia="Arial" w:cs="Arial"/>
          <w:sz w:val="16"/>
          <w:szCs w:val="16"/>
          <w:lang w:eastAsia="en-GB"/>
        </w:rPr>
      </w:pPr>
    </w:p>
    <w:p w14:paraId="002A8B03" w14:textId="77777777" w:rsidR="00003B4D" w:rsidRDefault="00003B4D" w:rsidP="00003B4D">
      <w:pPr>
        <w:spacing w:before="120" w:after="0" w:line="264" w:lineRule="auto"/>
        <w:jc w:val="both"/>
        <w:rPr>
          <w:rFonts w:eastAsia="Arial" w:cs="Arial"/>
          <w:sz w:val="16"/>
          <w:szCs w:val="16"/>
          <w:lang w:eastAsia="en-GB"/>
        </w:rPr>
      </w:pPr>
    </w:p>
    <w:p w14:paraId="7B23AC28" w14:textId="77777777" w:rsidR="00003B4D" w:rsidRDefault="00003B4D" w:rsidP="00003B4D">
      <w:pPr>
        <w:spacing w:before="120" w:after="0" w:line="264" w:lineRule="auto"/>
        <w:jc w:val="both"/>
        <w:rPr>
          <w:rFonts w:eastAsia="Arial" w:cs="Arial"/>
          <w:sz w:val="16"/>
          <w:szCs w:val="16"/>
          <w:lang w:eastAsia="en-GB"/>
        </w:rPr>
      </w:pPr>
    </w:p>
    <w:p w14:paraId="229071F8" w14:textId="77777777" w:rsidR="00003B4D" w:rsidRDefault="00003B4D" w:rsidP="00003B4D">
      <w:pPr>
        <w:spacing w:before="120" w:after="0" w:line="264" w:lineRule="auto"/>
        <w:jc w:val="both"/>
        <w:rPr>
          <w:rFonts w:eastAsia="Arial" w:cs="Arial"/>
          <w:sz w:val="16"/>
          <w:szCs w:val="16"/>
          <w:lang w:eastAsia="en-GB"/>
        </w:rPr>
      </w:pPr>
    </w:p>
    <w:p w14:paraId="1A710D7D" w14:textId="77777777" w:rsidR="00003B4D" w:rsidRDefault="00003B4D" w:rsidP="00003B4D">
      <w:pPr>
        <w:spacing w:before="120" w:after="0" w:line="264" w:lineRule="auto"/>
        <w:jc w:val="both"/>
        <w:rPr>
          <w:rFonts w:eastAsia="Arial" w:cs="Arial"/>
          <w:sz w:val="16"/>
          <w:szCs w:val="16"/>
          <w:lang w:eastAsia="en-GB"/>
        </w:rPr>
      </w:pPr>
    </w:p>
    <w:p w14:paraId="7E1F3871" w14:textId="77777777" w:rsidR="00003B4D" w:rsidRDefault="00003B4D" w:rsidP="00003B4D">
      <w:pPr>
        <w:spacing w:before="120" w:after="0" w:line="264" w:lineRule="auto"/>
        <w:jc w:val="both"/>
        <w:rPr>
          <w:rFonts w:eastAsia="Arial" w:cs="Arial"/>
          <w:sz w:val="16"/>
          <w:szCs w:val="16"/>
          <w:lang w:eastAsia="en-GB"/>
        </w:rPr>
      </w:pPr>
    </w:p>
    <w:p w14:paraId="0EC5448F" w14:textId="28CB64A5" w:rsidR="00003B4D" w:rsidRDefault="00003B4D" w:rsidP="00003B4D">
      <w:pPr>
        <w:spacing w:before="120" w:after="0" w:line="264" w:lineRule="auto"/>
        <w:jc w:val="both"/>
        <w:rPr>
          <w:rFonts w:eastAsia="Arial" w:cs="Arial"/>
          <w:b/>
          <w:sz w:val="16"/>
          <w:szCs w:val="16"/>
          <w:lang w:eastAsia="en-GB"/>
        </w:rPr>
      </w:pPr>
    </w:p>
    <w:p w14:paraId="1DE0DC78" w14:textId="187AB3E4" w:rsidR="00DE12FE" w:rsidRDefault="00DE12FE" w:rsidP="00003B4D">
      <w:pPr>
        <w:spacing w:before="120" w:after="0" w:line="264" w:lineRule="auto"/>
        <w:jc w:val="both"/>
        <w:rPr>
          <w:rFonts w:eastAsia="Arial" w:cs="Arial"/>
          <w:b/>
          <w:sz w:val="16"/>
          <w:szCs w:val="16"/>
          <w:lang w:eastAsia="en-GB"/>
        </w:rPr>
      </w:pPr>
    </w:p>
    <w:p w14:paraId="552FD98B" w14:textId="7C94E697" w:rsidR="00DE12FE" w:rsidRDefault="00DE12FE" w:rsidP="00003B4D">
      <w:pPr>
        <w:spacing w:before="120" w:after="0" w:line="264" w:lineRule="auto"/>
        <w:jc w:val="both"/>
        <w:rPr>
          <w:rFonts w:eastAsia="Arial" w:cs="Arial"/>
          <w:b/>
          <w:sz w:val="16"/>
          <w:szCs w:val="16"/>
          <w:lang w:eastAsia="en-GB"/>
        </w:rPr>
      </w:pPr>
    </w:p>
    <w:p w14:paraId="775F1D26" w14:textId="70EDDE4D" w:rsidR="00DE12FE" w:rsidRDefault="00DE12FE" w:rsidP="00003B4D">
      <w:pPr>
        <w:spacing w:before="120" w:after="0" w:line="264" w:lineRule="auto"/>
        <w:jc w:val="both"/>
        <w:rPr>
          <w:rFonts w:eastAsia="Arial" w:cs="Arial"/>
          <w:b/>
          <w:sz w:val="16"/>
          <w:szCs w:val="16"/>
          <w:lang w:eastAsia="en-GB"/>
        </w:rPr>
      </w:pPr>
    </w:p>
    <w:p w14:paraId="70761BA4" w14:textId="15D1C6C3" w:rsidR="00DE12FE" w:rsidRDefault="00DE12FE" w:rsidP="00003B4D">
      <w:pPr>
        <w:spacing w:before="120" w:after="0" w:line="264" w:lineRule="auto"/>
        <w:jc w:val="both"/>
        <w:rPr>
          <w:rFonts w:eastAsia="Arial" w:cs="Arial"/>
          <w:b/>
          <w:sz w:val="16"/>
          <w:szCs w:val="16"/>
          <w:lang w:eastAsia="en-GB"/>
        </w:rPr>
      </w:pPr>
    </w:p>
    <w:p w14:paraId="2BC2D54C" w14:textId="77777777" w:rsidR="00DE12FE" w:rsidRPr="00003B4D" w:rsidRDefault="00DE12FE" w:rsidP="00003B4D">
      <w:pPr>
        <w:spacing w:before="120" w:after="0" w:line="264" w:lineRule="auto"/>
        <w:jc w:val="both"/>
        <w:rPr>
          <w:rFonts w:eastAsia="Arial" w:cs="Arial"/>
          <w:b/>
          <w:sz w:val="16"/>
          <w:szCs w:val="16"/>
          <w:lang w:eastAsia="en-GB"/>
        </w:rPr>
      </w:pPr>
    </w:p>
    <w:p w14:paraId="40E3DF04" w14:textId="77777777" w:rsidR="00003B4D" w:rsidRPr="00003B4D" w:rsidRDefault="00003B4D" w:rsidP="00003B4D">
      <w:pPr>
        <w:spacing w:after="0" w:line="240" w:lineRule="auto"/>
        <w:jc w:val="center"/>
        <w:rPr>
          <w:rFonts w:eastAsia="Malgun Gothic" w:cs="Arial"/>
          <w:b/>
          <w:color w:val="92D050"/>
          <w:sz w:val="72"/>
          <w:szCs w:val="72"/>
          <w:lang w:val="de-DE" w:eastAsia="en-GB"/>
        </w:rPr>
      </w:pPr>
      <w:r w:rsidRPr="00003B4D">
        <w:rPr>
          <w:rFonts w:eastAsia="Malgun Gothic" w:cs="Arial"/>
          <w:b/>
          <w:color w:val="92D050"/>
          <w:sz w:val="72"/>
          <w:szCs w:val="72"/>
          <w:lang w:val="de-DE" w:eastAsia="en-GB"/>
        </w:rPr>
        <w:t>STRATEŠKI NAČRT SKUPNE KMETIJSKE POLITIKE 2021–2027</w:t>
      </w:r>
    </w:p>
    <w:p w14:paraId="00EF77B8" w14:textId="77777777" w:rsidR="00003B4D" w:rsidRDefault="00003B4D" w:rsidP="00003B4D">
      <w:pPr>
        <w:spacing w:before="120" w:after="0" w:line="264" w:lineRule="auto"/>
        <w:jc w:val="both"/>
        <w:rPr>
          <w:rFonts w:eastAsia="Arial" w:cs="Arial"/>
          <w:sz w:val="16"/>
          <w:szCs w:val="16"/>
          <w:lang w:eastAsia="en-GB"/>
        </w:rPr>
      </w:pPr>
    </w:p>
    <w:p w14:paraId="7DD08A75" w14:textId="77777777" w:rsidR="00003B4D" w:rsidRDefault="00003B4D" w:rsidP="00003B4D">
      <w:pPr>
        <w:spacing w:before="120" w:after="0" w:line="264" w:lineRule="auto"/>
        <w:jc w:val="both"/>
        <w:rPr>
          <w:rFonts w:eastAsia="Arial" w:cs="Arial"/>
          <w:sz w:val="16"/>
          <w:szCs w:val="16"/>
          <w:lang w:eastAsia="en-GB"/>
        </w:rPr>
      </w:pPr>
    </w:p>
    <w:p w14:paraId="521D7A77" w14:textId="77777777" w:rsidR="00273904" w:rsidRPr="00273904" w:rsidRDefault="00273904" w:rsidP="00273904">
      <w:pPr>
        <w:spacing w:before="120" w:after="0" w:line="264" w:lineRule="auto"/>
        <w:jc w:val="center"/>
        <w:rPr>
          <w:rFonts w:eastAsia="Malgun Gothic" w:cs="Arial"/>
          <w:sz w:val="52"/>
          <w:szCs w:val="52"/>
          <w:lang w:eastAsia="en-GB"/>
        </w:rPr>
      </w:pPr>
      <w:r w:rsidRPr="00273904">
        <w:rPr>
          <w:rFonts w:eastAsia="Times New Roman" w:cs="Arial"/>
          <w:b/>
          <w:color w:val="92D050"/>
          <w:sz w:val="52"/>
          <w:szCs w:val="52"/>
          <w:lang w:eastAsia="en-GB"/>
        </w:rPr>
        <w:t>SPLOŠNE ZNAČILNOSTI SLOVENIJE IN SLOVENSKEGA KMETIJSTVA</w:t>
      </w:r>
    </w:p>
    <w:p w14:paraId="445CA8AF" w14:textId="77777777" w:rsidR="00003B4D" w:rsidRDefault="00003B4D" w:rsidP="00003B4D">
      <w:pPr>
        <w:spacing w:before="120" w:after="0" w:line="264" w:lineRule="auto"/>
        <w:jc w:val="both"/>
        <w:rPr>
          <w:rFonts w:eastAsia="Arial" w:cs="Arial"/>
          <w:sz w:val="16"/>
          <w:szCs w:val="16"/>
          <w:lang w:eastAsia="en-GB"/>
        </w:rPr>
      </w:pPr>
    </w:p>
    <w:p w14:paraId="31C02275" w14:textId="77777777" w:rsidR="00003B4D" w:rsidRDefault="00003B4D" w:rsidP="00003B4D">
      <w:pPr>
        <w:spacing w:before="120" w:after="0" w:line="264" w:lineRule="auto"/>
        <w:jc w:val="both"/>
        <w:rPr>
          <w:rFonts w:eastAsia="Arial" w:cs="Arial"/>
          <w:sz w:val="16"/>
          <w:szCs w:val="16"/>
          <w:lang w:eastAsia="en-GB"/>
        </w:rPr>
      </w:pPr>
    </w:p>
    <w:p w14:paraId="32F6B706" w14:textId="77777777" w:rsidR="00003B4D" w:rsidRPr="00003B4D" w:rsidRDefault="00003B4D" w:rsidP="00003B4D">
      <w:pPr>
        <w:spacing w:before="120" w:after="0" w:line="360" w:lineRule="auto"/>
        <w:jc w:val="center"/>
        <w:rPr>
          <w:rFonts w:eastAsia="Times New Roman" w:cs="Arial"/>
          <w:b/>
          <w:color w:val="92D050"/>
          <w:sz w:val="28"/>
          <w:szCs w:val="28"/>
          <w:lang w:eastAsia="en-GB"/>
        </w:rPr>
      </w:pPr>
      <w:r w:rsidRPr="00003B4D">
        <w:rPr>
          <w:rFonts w:eastAsia="Times New Roman" w:cs="Arial"/>
          <w:b/>
          <w:color w:val="92D050"/>
          <w:sz w:val="28"/>
          <w:szCs w:val="28"/>
          <w:lang w:eastAsia="en-GB"/>
        </w:rPr>
        <w:t>ANALIZA STANJA</w:t>
      </w:r>
    </w:p>
    <w:p w14:paraId="21EFBF58" w14:textId="77777777" w:rsidR="00003B4D" w:rsidRPr="00003B4D" w:rsidRDefault="00003B4D" w:rsidP="00003B4D">
      <w:pPr>
        <w:spacing w:after="0" w:line="240" w:lineRule="auto"/>
        <w:jc w:val="center"/>
        <w:rPr>
          <w:rFonts w:eastAsia="Times New Roman" w:cs="Arial"/>
          <w:b/>
          <w:sz w:val="24"/>
          <w:szCs w:val="24"/>
          <w:lang w:eastAsia="en-GB"/>
        </w:rPr>
      </w:pPr>
    </w:p>
    <w:p w14:paraId="058C641F" w14:textId="77777777" w:rsidR="00003B4D" w:rsidRPr="00003B4D" w:rsidRDefault="00003B4D" w:rsidP="00003B4D">
      <w:pPr>
        <w:spacing w:after="0" w:line="240" w:lineRule="auto"/>
        <w:jc w:val="center"/>
        <w:rPr>
          <w:rFonts w:eastAsia="Times New Roman" w:cs="Arial"/>
          <w:b/>
          <w:sz w:val="24"/>
          <w:szCs w:val="24"/>
          <w:lang w:eastAsia="en-GB"/>
        </w:rPr>
      </w:pPr>
    </w:p>
    <w:p w14:paraId="75E9A1DF" w14:textId="77777777" w:rsidR="00003B4D" w:rsidRPr="00003B4D" w:rsidRDefault="00003B4D" w:rsidP="00003B4D">
      <w:pPr>
        <w:spacing w:after="0" w:line="240" w:lineRule="auto"/>
        <w:jc w:val="center"/>
        <w:rPr>
          <w:rFonts w:eastAsia="Times New Roman" w:cs="Arial"/>
          <w:b/>
          <w:sz w:val="24"/>
          <w:szCs w:val="24"/>
          <w:lang w:eastAsia="en-GB"/>
        </w:rPr>
      </w:pPr>
    </w:p>
    <w:p w14:paraId="0AF5BC33" w14:textId="72BF512F" w:rsidR="00003B4D" w:rsidRPr="00003B4D" w:rsidRDefault="00003B4D" w:rsidP="00273904">
      <w:pPr>
        <w:spacing w:before="120" w:after="0" w:line="264" w:lineRule="auto"/>
        <w:rPr>
          <w:rFonts w:eastAsia="Arial" w:cs="Arial"/>
          <w:b/>
          <w:sz w:val="40"/>
          <w:szCs w:val="40"/>
          <w:lang w:eastAsia="en-GB"/>
        </w:rPr>
      </w:pPr>
    </w:p>
    <w:p w14:paraId="0A6EFCF8" w14:textId="5BA86592" w:rsidR="00003B4D" w:rsidRPr="00DE12FE" w:rsidRDefault="00003B4D" w:rsidP="00DE12FE">
      <w:pPr>
        <w:spacing w:before="120" w:after="0" w:line="264" w:lineRule="auto"/>
        <w:jc w:val="center"/>
        <w:rPr>
          <w:rFonts w:eastAsia="Malgun Gothic" w:cs="Arial"/>
          <w:szCs w:val="24"/>
          <w:lang w:eastAsia="en-GB"/>
        </w:rPr>
      </w:pPr>
      <w:r w:rsidRPr="00003B4D">
        <w:rPr>
          <w:rFonts w:eastAsia="Malgun Gothic" w:cs="Arial"/>
          <w:szCs w:val="24"/>
          <w:lang w:eastAsia="en-GB"/>
        </w:rPr>
        <w:t xml:space="preserve">Ljubljana, </w:t>
      </w:r>
      <w:r w:rsidR="00537236">
        <w:rPr>
          <w:rFonts w:eastAsia="Malgun Gothic" w:cs="Arial"/>
          <w:szCs w:val="24"/>
          <w:lang w:eastAsia="en-GB"/>
        </w:rPr>
        <w:t>november</w:t>
      </w:r>
      <w:r w:rsidR="00DE12FE">
        <w:rPr>
          <w:rFonts w:eastAsia="Malgun Gothic" w:cs="Arial"/>
          <w:szCs w:val="24"/>
          <w:lang w:eastAsia="en-GB"/>
        </w:rPr>
        <w:t xml:space="preserve"> 2020</w:t>
      </w:r>
    </w:p>
    <w:p w14:paraId="5EEB76C1" w14:textId="77777777" w:rsidR="00003B4D" w:rsidRDefault="00003B4D" w:rsidP="00003B4D">
      <w:pPr>
        <w:spacing w:before="120" w:after="0" w:line="264" w:lineRule="auto"/>
        <w:jc w:val="both"/>
        <w:rPr>
          <w:rFonts w:eastAsia="Arial" w:cs="Arial"/>
          <w:sz w:val="16"/>
          <w:szCs w:val="16"/>
          <w:lang w:eastAsia="en-GB"/>
        </w:rPr>
      </w:pPr>
    </w:p>
    <w:p w14:paraId="0A37C0F4" w14:textId="77777777" w:rsidR="00003B4D" w:rsidRDefault="00003B4D" w:rsidP="00003B4D">
      <w:pPr>
        <w:spacing w:before="120" w:after="0" w:line="264" w:lineRule="auto"/>
        <w:jc w:val="both"/>
        <w:rPr>
          <w:rFonts w:eastAsia="Arial" w:cs="Arial"/>
          <w:sz w:val="16"/>
          <w:szCs w:val="16"/>
          <w:lang w:eastAsia="en-GB"/>
        </w:rPr>
      </w:pPr>
    </w:p>
    <w:p w14:paraId="17F20744" w14:textId="77777777" w:rsidR="00003B4D" w:rsidRPr="00003B4D" w:rsidRDefault="00003B4D" w:rsidP="004C642A">
      <w:pPr>
        <w:pBdr>
          <w:top w:val="single" w:sz="4" w:space="1" w:color="auto"/>
          <w:left w:val="single" w:sz="4" w:space="4" w:color="auto"/>
          <w:bottom w:val="single" w:sz="4" w:space="1" w:color="auto"/>
          <w:right w:val="single" w:sz="4" w:space="4" w:color="auto"/>
        </w:pBdr>
        <w:spacing w:before="120" w:after="0" w:line="264" w:lineRule="auto"/>
        <w:jc w:val="both"/>
        <w:rPr>
          <w:rFonts w:eastAsia="Times New Roman" w:cs="Arial"/>
          <w:sz w:val="16"/>
          <w:szCs w:val="16"/>
          <w:lang w:eastAsia="en-GB"/>
        </w:rPr>
      </w:pPr>
      <w:r w:rsidRPr="00003B4D">
        <w:rPr>
          <w:rFonts w:eastAsia="Arial" w:cs="Arial"/>
          <w:sz w:val="16"/>
          <w:szCs w:val="16"/>
          <w:lang w:eastAsia="en-GB"/>
        </w:rPr>
        <w:lastRenderedPageBreak/>
        <w:t xml:space="preserve">Ta dokument predstavlja osnutek analize stanja, </w:t>
      </w:r>
      <w:r w:rsidR="003D18C9" w:rsidRPr="00003B4D">
        <w:rPr>
          <w:rFonts w:eastAsia="Arial" w:cs="Arial"/>
          <w:sz w:val="16"/>
          <w:szCs w:val="16"/>
          <w:lang w:eastAsia="en-GB"/>
        </w:rPr>
        <w:t xml:space="preserve">analize </w:t>
      </w:r>
      <w:r w:rsidRPr="00003B4D">
        <w:rPr>
          <w:rFonts w:eastAsia="Arial" w:cs="Arial"/>
          <w:sz w:val="16"/>
          <w:szCs w:val="16"/>
          <w:lang w:eastAsia="en-GB"/>
        </w:rPr>
        <w:t xml:space="preserve">SWOT ter </w:t>
      </w:r>
      <w:r w:rsidR="003D18C9">
        <w:rPr>
          <w:rFonts w:eastAsia="Arial" w:cs="Arial"/>
          <w:sz w:val="16"/>
          <w:szCs w:val="16"/>
          <w:lang w:eastAsia="en-GB"/>
        </w:rPr>
        <w:t>opredelitev</w:t>
      </w:r>
      <w:r w:rsidRPr="00003B4D">
        <w:rPr>
          <w:rFonts w:eastAsia="Arial" w:cs="Arial"/>
          <w:sz w:val="16"/>
          <w:szCs w:val="16"/>
          <w:lang w:eastAsia="en-GB"/>
        </w:rPr>
        <w:t xml:space="preserve"> potreb za Strateški načrt SKP 2021</w:t>
      </w:r>
      <w:r w:rsidR="003D18C9" w:rsidRPr="003D18C9">
        <w:rPr>
          <w:rFonts w:eastAsia="Arial" w:cs="Arial"/>
          <w:sz w:val="16"/>
          <w:szCs w:val="16"/>
          <w:lang w:eastAsia="en-GB"/>
        </w:rPr>
        <w:t>−</w:t>
      </w:r>
      <w:r w:rsidRPr="00003B4D">
        <w:rPr>
          <w:rFonts w:eastAsia="Arial" w:cs="Arial"/>
          <w:sz w:val="16"/>
          <w:szCs w:val="16"/>
          <w:lang w:eastAsia="en-GB"/>
        </w:rPr>
        <w:t>2027. Gre za delovni dokument, ki je podlaga za razpravo in nadaljnje delo pri pripravi Strateškega načrta SKP 2021</w:t>
      </w:r>
      <w:r w:rsidR="003D18C9" w:rsidRPr="003D18C9">
        <w:rPr>
          <w:rFonts w:eastAsia="Arial" w:cs="Arial"/>
          <w:sz w:val="16"/>
          <w:szCs w:val="16"/>
          <w:lang w:eastAsia="en-GB"/>
        </w:rPr>
        <w:t>−</w:t>
      </w:r>
      <w:r w:rsidRPr="00003B4D">
        <w:rPr>
          <w:rFonts w:eastAsia="Arial" w:cs="Arial"/>
          <w:sz w:val="16"/>
          <w:szCs w:val="16"/>
          <w:lang w:eastAsia="en-GB"/>
        </w:rPr>
        <w:t>2027. Vsebine, predstavljene v tem delovnem dokumentu, se lahko spremenijo in med nadaljnjo razpravo ustrezno prilagodijo.</w:t>
      </w:r>
    </w:p>
    <w:sdt>
      <w:sdtPr>
        <w:rPr>
          <w:rFonts w:asciiTheme="minorHAnsi" w:eastAsiaTheme="minorHAnsi" w:hAnsiTheme="minorHAnsi" w:cstheme="minorBidi"/>
          <w:b w:val="0"/>
          <w:bCs w:val="0"/>
          <w:color w:val="auto"/>
          <w:sz w:val="22"/>
          <w:szCs w:val="22"/>
          <w:lang w:eastAsia="en-US"/>
        </w:rPr>
        <w:id w:val="1232891550"/>
        <w:docPartObj>
          <w:docPartGallery w:val="Table of Contents"/>
          <w:docPartUnique/>
        </w:docPartObj>
      </w:sdtPr>
      <w:sdtEndPr>
        <w:rPr>
          <w:rFonts w:ascii="Arial" w:hAnsi="Arial"/>
          <w:sz w:val="20"/>
        </w:rPr>
      </w:sdtEndPr>
      <w:sdtContent>
        <w:p w14:paraId="3B0D7F24" w14:textId="77777777" w:rsidR="00BC2FAB" w:rsidRPr="0035086C" w:rsidRDefault="00BC2FAB">
          <w:pPr>
            <w:pStyle w:val="NaslovTOC"/>
            <w:rPr>
              <w:rFonts w:ascii="Arial" w:hAnsi="Arial"/>
              <w:bCs w:val="0"/>
              <w:color w:val="92D050"/>
              <w:sz w:val="24"/>
              <w:szCs w:val="24"/>
              <w:lang w:eastAsia="en-US"/>
            </w:rPr>
          </w:pPr>
          <w:r w:rsidRPr="0035086C">
            <w:rPr>
              <w:rFonts w:ascii="Arial" w:hAnsi="Arial"/>
              <w:bCs w:val="0"/>
              <w:color w:val="92D050"/>
              <w:sz w:val="24"/>
              <w:szCs w:val="24"/>
              <w:lang w:eastAsia="en-US"/>
            </w:rPr>
            <w:t>Vsebina</w:t>
          </w:r>
        </w:p>
        <w:p w14:paraId="07256E65" w14:textId="2B96FAAD" w:rsidR="0035086C" w:rsidRDefault="00BC2FAB">
          <w:pPr>
            <w:pStyle w:val="Kazalovsebine1"/>
            <w:rPr>
              <w:rFonts w:asciiTheme="minorHAnsi" w:eastAsiaTheme="minorEastAsia" w:hAnsiTheme="minorHAnsi" w:cstheme="minorBidi"/>
              <w:noProof/>
              <w:sz w:val="22"/>
              <w:szCs w:val="22"/>
              <w:lang w:eastAsia="sl-SI"/>
            </w:rPr>
          </w:pPr>
          <w:r>
            <w:rPr>
              <w:b/>
              <w:bCs/>
            </w:rPr>
            <w:fldChar w:fldCharType="begin"/>
          </w:r>
          <w:r>
            <w:rPr>
              <w:b/>
              <w:bCs/>
            </w:rPr>
            <w:instrText xml:space="preserve"> TOC \o "1-3" \h \z \u </w:instrText>
          </w:r>
          <w:r>
            <w:rPr>
              <w:b/>
              <w:bCs/>
            </w:rPr>
            <w:fldChar w:fldCharType="separate"/>
          </w:r>
          <w:hyperlink w:anchor="_Toc55912169" w:history="1">
            <w:r w:rsidR="0035086C" w:rsidRPr="00FD5728">
              <w:rPr>
                <w:rStyle w:val="Hiperpovezava"/>
                <w:noProof/>
              </w:rPr>
              <w:t>Seznam kratic</w:t>
            </w:r>
            <w:r w:rsidR="0035086C">
              <w:rPr>
                <w:noProof/>
                <w:webHidden/>
              </w:rPr>
              <w:tab/>
            </w:r>
            <w:r w:rsidR="0035086C">
              <w:rPr>
                <w:noProof/>
                <w:webHidden/>
              </w:rPr>
              <w:fldChar w:fldCharType="begin"/>
            </w:r>
            <w:r w:rsidR="0035086C">
              <w:rPr>
                <w:noProof/>
                <w:webHidden/>
              </w:rPr>
              <w:instrText xml:space="preserve"> PAGEREF _Toc55912169 \h </w:instrText>
            </w:r>
            <w:r w:rsidR="0035086C">
              <w:rPr>
                <w:noProof/>
                <w:webHidden/>
              </w:rPr>
            </w:r>
            <w:r w:rsidR="0035086C">
              <w:rPr>
                <w:noProof/>
                <w:webHidden/>
              </w:rPr>
              <w:fldChar w:fldCharType="separate"/>
            </w:r>
            <w:r w:rsidR="00ED2796">
              <w:rPr>
                <w:noProof/>
                <w:webHidden/>
              </w:rPr>
              <w:t>5</w:t>
            </w:r>
            <w:r w:rsidR="0035086C">
              <w:rPr>
                <w:noProof/>
                <w:webHidden/>
              </w:rPr>
              <w:fldChar w:fldCharType="end"/>
            </w:r>
          </w:hyperlink>
        </w:p>
        <w:p w14:paraId="4208D47C" w14:textId="6EA3B648" w:rsidR="0035086C" w:rsidRDefault="0035086C">
          <w:pPr>
            <w:pStyle w:val="Kazalovsebine1"/>
            <w:rPr>
              <w:rFonts w:asciiTheme="minorHAnsi" w:eastAsiaTheme="minorEastAsia" w:hAnsiTheme="minorHAnsi" w:cstheme="minorBidi"/>
              <w:noProof/>
              <w:sz w:val="22"/>
              <w:szCs w:val="22"/>
              <w:lang w:eastAsia="sl-SI"/>
            </w:rPr>
          </w:pPr>
          <w:hyperlink w:anchor="_Toc55912170" w:history="1">
            <w:r w:rsidRPr="00FD5728">
              <w:rPr>
                <w:rStyle w:val="Hiperpovezava"/>
                <w:noProof/>
              </w:rPr>
              <w:t>Kazalo slik</w:t>
            </w:r>
            <w:r>
              <w:rPr>
                <w:noProof/>
                <w:webHidden/>
              </w:rPr>
              <w:tab/>
            </w:r>
            <w:r>
              <w:rPr>
                <w:noProof/>
                <w:webHidden/>
              </w:rPr>
              <w:fldChar w:fldCharType="begin"/>
            </w:r>
            <w:r>
              <w:rPr>
                <w:noProof/>
                <w:webHidden/>
              </w:rPr>
              <w:instrText xml:space="preserve"> PAGEREF _Toc55912170 \h </w:instrText>
            </w:r>
            <w:r>
              <w:rPr>
                <w:noProof/>
                <w:webHidden/>
              </w:rPr>
            </w:r>
            <w:r>
              <w:rPr>
                <w:noProof/>
                <w:webHidden/>
              </w:rPr>
              <w:fldChar w:fldCharType="separate"/>
            </w:r>
            <w:r w:rsidR="00ED2796">
              <w:rPr>
                <w:noProof/>
                <w:webHidden/>
              </w:rPr>
              <w:t>7</w:t>
            </w:r>
            <w:r>
              <w:rPr>
                <w:noProof/>
                <w:webHidden/>
              </w:rPr>
              <w:fldChar w:fldCharType="end"/>
            </w:r>
          </w:hyperlink>
        </w:p>
        <w:p w14:paraId="67CC70F0" w14:textId="7DDA033D" w:rsidR="0035086C" w:rsidRDefault="0035086C">
          <w:pPr>
            <w:pStyle w:val="Kazalovsebine1"/>
            <w:rPr>
              <w:rFonts w:asciiTheme="minorHAnsi" w:eastAsiaTheme="minorEastAsia" w:hAnsiTheme="minorHAnsi" w:cstheme="minorBidi"/>
              <w:noProof/>
              <w:sz w:val="22"/>
              <w:szCs w:val="22"/>
              <w:lang w:eastAsia="sl-SI"/>
            </w:rPr>
          </w:pPr>
          <w:hyperlink w:anchor="_Toc55912171" w:history="1">
            <w:r w:rsidRPr="00FD5728">
              <w:rPr>
                <w:rStyle w:val="Hiperpovezava"/>
                <w:noProof/>
              </w:rPr>
              <w:t>Kazalo preglednic</w:t>
            </w:r>
            <w:r>
              <w:rPr>
                <w:noProof/>
                <w:webHidden/>
              </w:rPr>
              <w:tab/>
            </w:r>
            <w:r>
              <w:rPr>
                <w:noProof/>
                <w:webHidden/>
              </w:rPr>
              <w:fldChar w:fldCharType="begin"/>
            </w:r>
            <w:r>
              <w:rPr>
                <w:noProof/>
                <w:webHidden/>
              </w:rPr>
              <w:instrText xml:space="preserve"> PAGEREF _Toc55912171 \h </w:instrText>
            </w:r>
            <w:r>
              <w:rPr>
                <w:noProof/>
                <w:webHidden/>
              </w:rPr>
            </w:r>
            <w:r>
              <w:rPr>
                <w:noProof/>
                <w:webHidden/>
              </w:rPr>
              <w:fldChar w:fldCharType="separate"/>
            </w:r>
            <w:r w:rsidR="00ED2796">
              <w:rPr>
                <w:noProof/>
                <w:webHidden/>
              </w:rPr>
              <w:t>9</w:t>
            </w:r>
            <w:r>
              <w:rPr>
                <w:noProof/>
                <w:webHidden/>
              </w:rPr>
              <w:fldChar w:fldCharType="end"/>
            </w:r>
          </w:hyperlink>
        </w:p>
        <w:p w14:paraId="29158380" w14:textId="3BCA5D27" w:rsidR="0035086C" w:rsidRDefault="0035086C">
          <w:pPr>
            <w:pStyle w:val="Kazalovsebine1"/>
            <w:rPr>
              <w:rFonts w:asciiTheme="minorHAnsi" w:eastAsiaTheme="minorEastAsia" w:hAnsiTheme="minorHAnsi" w:cstheme="minorBidi"/>
              <w:noProof/>
              <w:sz w:val="22"/>
              <w:szCs w:val="22"/>
              <w:lang w:eastAsia="sl-SI"/>
            </w:rPr>
          </w:pPr>
          <w:hyperlink w:anchor="_Toc55912172" w:history="1">
            <w:r w:rsidRPr="00FD5728">
              <w:rPr>
                <w:rStyle w:val="Hiperpovezava"/>
                <w:noProof/>
              </w:rPr>
              <w:t>UVOD</w:t>
            </w:r>
            <w:r>
              <w:rPr>
                <w:noProof/>
                <w:webHidden/>
              </w:rPr>
              <w:tab/>
            </w:r>
            <w:r>
              <w:rPr>
                <w:noProof/>
                <w:webHidden/>
              </w:rPr>
              <w:fldChar w:fldCharType="begin"/>
            </w:r>
            <w:r>
              <w:rPr>
                <w:noProof/>
                <w:webHidden/>
              </w:rPr>
              <w:instrText xml:space="preserve"> PAGEREF _Toc55912172 \h </w:instrText>
            </w:r>
            <w:r>
              <w:rPr>
                <w:noProof/>
                <w:webHidden/>
              </w:rPr>
            </w:r>
            <w:r>
              <w:rPr>
                <w:noProof/>
                <w:webHidden/>
              </w:rPr>
              <w:fldChar w:fldCharType="separate"/>
            </w:r>
            <w:r w:rsidR="00ED2796">
              <w:rPr>
                <w:noProof/>
                <w:webHidden/>
              </w:rPr>
              <w:t>10</w:t>
            </w:r>
            <w:r>
              <w:rPr>
                <w:noProof/>
                <w:webHidden/>
              </w:rPr>
              <w:fldChar w:fldCharType="end"/>
            </w:r>
          </w:hyperlink>
        </w:p>
        <w:p w14:paraId="396296F3" w14:textId="717F7C87" w:rsidR="0035086C" w:rsidRDefault="0035086C">
          <w:pPr>
            <w:pStyle w:val="Kazalovsebine1"/>
            <w:rPr>
              <w:rFonts w:asciiTheme="minorHAnsi" w:eastAsiaTheme="minorEastAsia" w:hAnsiTheme="minorHAnsi" w:cstheme="minorBidi"/>
              <w:noProof/>
              <w:sz w:val="22"/>
              <w:szCs w:val="22"/>
              <w:lang w:eastAsia="sl-SI"/>
            </w:rPr>
          </w:pPr>
          <w:hyperlink w:anchor="_Toc55912173" w:history="1">
            <w:r w:rsidRPr="00FD5728">
              <w:rPr>
                <w:rStyle w:val="Hiperpovezava"/>
                <w:noProof/>
              </w:rPr>
              <w:t>1</w:t>
            </w:r>
            <w:r>
              <w:rPr>
                <w:rFonts w:asciiTheme="minorHAnsi" w:eastAsiaTheme="minorEastAsia" w:hAnsiTheme="minorHAnsi" w:cstheme="minorBidi"/>
                <w:noProof/>
                <w:sz w:val="22"/>
                <w:szCs w:val="22"/>
                <w:lang w:eastAsia="sl-SI"/>
              </w:rPr>
              <w:tab/>
            </w:r>
            <w:r w:rsidRPr="00FD5728">
              <w:rPr>
                <w:rStyle w:val="Hiperpovezava"/>
                <w:noProof/>
              </w:rPr>
              <w:t>SPLOŠNE ZNAČILNOSTI SLOVENIJE IN SLOVENSKEGA KMETIJSTVA</w:t>
            </w:r>
            <w:r>
              <w:rPr>
                <w:noProof/>
                <w:webHidden/>
              </w:rPr>
              <w:tab/>
            </w:r>
            <w:r>
              <w:rPr>
                <w:noProof/>
                <w:webHidden/>
              </w:rPr>
              <w:fldChar w:fldCharType="begin"/>
            </w:r>
            <w:r>
              <w:rPr>
                <w:noProof/>
                <w:webHidden/>
              </w:rPr>
              <w:instrText xml:space="preserve"> PAGEREF _Toc55912173 \h </w:instrText>
            </w:r>
            <w:r>
              <w:rPr>
                <w:noProof/>
                <w:webHidden/>
              </w:rPr>
            </w:r>
            <w:r>
              <w:rPr>
                <w:noProof/>
                <w:webHidden/>
              </w:rPr>
              <w:fldChar w:fldCharType="separate"/>
            </w:r>
            <w:r w:rsidR="00ED2796">
              <w:rPr>
                <w:noProof/>
                <w:webHidden/>
              </w:rPr>
              <w:t>13</w:t>
            </w:r>
            <w:r>
              <w:rPr>
                <w:noProof/>
                <w:webHidden/>
              </w:rPr>
              <w:fldChar w:fldCharType="end"/>
            </w:r>
          </w:hyperlink>
        </w:p>
        <w:p w14:paraId="1645ACC4" w14:textId="22028AEB" w:rsidR="0035086C" w:rsidRDefault="0035086C">
          <w:pPr>
            <w:pStyle w:val="Kazalovsebine2"/>
            <w:rPr>
              <w:rFonts w:asciiTheme="minorHAnsi" w:eastAsiaTheme="minorEastAsia" w:hAnsiTheme="minorHAnsi" w:cstheme="minorBidi"/>
              <w:noProof/>
              <w:sz w:val="22"/>
              <w:szCs w:val="22"/>
              <w:lang w:eastAsia="sl-SI"/>
            </w:rPr>
          </w:pPr>
          <w:hyperlink w:anchor="_Toc55912174" w:history="1">
            <w:r w:rsidRPr="00FD5728">
              <w:rPr>
                <w:rStyle w:val="Hiperpovezava"/>
                <w:rFonts w:eastAsia="Calibri"/>
                <w:noProof/>
              </w:rPr>
              <w:t>1.1</w:t>
            </w:r>
            <w:r>
              <w:rPr>
                <w:rFonts w:asciiTheme="minorHAnsi" w:eastAsiaTheme="minorEastAsia" w:hAnsiTheme="minorHAnsi" w:cstheme="minorBidi"/>
                <w:noProof/>
                <w:sz w:val="22"/>
                <w:szCs w:val="22"/>
                <w:lang w:eastAsia="sl-SI"/>
              </w:rPr>
              <w:tab/>
            </w:r>
            <w:r w:rsidRPr="00FD5728">
              <w:rPr>
                <w:rStyle w:val="Hiperpovezava"/>
                <w:rFonts w:eastAsia="Calibri"/>
                <w:noProof/>
              </w:rPr>
              <w:t>Povzetek</w:t>
            </w:r>
            <w:r>
              <w:rPr>
                <w:noProof/>
                <w:webHidden/>
              </w:rPr>
              <w:tab/>
            </w:r>
            <w:r>
              <w:rPr>
                <w:noProof/>
                <w:webHidden/>
              </w:rPr>
              <w:fldChar w:fldCharType="begin"/>
            </w:r>
            <w:r>
              <w:rPr>
                <w:noProof/>
                <w:webHidden/>
              </w:rPr>
              <w:instrText xml:space="preserve"> PAGEREF _Toc55912174 \h </w:instrText>
            </w:r>
            <w:r>
              <w:rPr>
                <w:noProof/>
                <w:webHidden/>
              </w:rPr>
            </w:r>
            <w:r>
              <w:rPr>
                <w:noProof/>
                <w:webHidden/>
              </w:rPr>
              <w:fldChar w:fldCharType="separate"/>
            </w:r>
            <w:r w:rsidR="00ED2796">
              <w:rPr>
                <w:noProof/>
                <w:webHidden/>
              </w:rPr>
              <w:t>13</w:t>
            </w:r>
            <w:r>
              <w:rPr>
                <w:noProof/>
                <w:webHidden/>
              </w:rPr>
              <w:fldChar w:fldCharType="end"/>
            </w:r>
          </w:hyperlink>
        </w:p>
        <w:p w14:paraId="0A018F6F" w14:textId="2456B9CE" w:rsidR="0035086C" w:rsidRDefault="0035086C">
          <w:pPr>
            <w:pStyle w:val="Kazalovsebine2"/>
            <w:rPr>
              <w:rFonts w:asciiTheme="minorHAnsi" w:eastAsiaTheme="minorEastAsia" w:hAnsiTheme="minorHAnsi" w:cstheme="minorBidi"/>
              <w:noProof/>
              <w:sz w:val="22"/>
              <w:szCs w:val="22"/>
              <w:lang w:eastAsia="sl-SI"/>
            </w:rPr>
          </w:pPr>
          <w:hyperlink w:anchor="_Toc55912175" w:history="1">
            <w:r w:rsidRPr="00FD5728">
              <w:rPr>
                <w:rStyle w:val="Hiperpovezava"/>
                <w:noProof/>
              </w:rPr>
              <w:t>1.2</w:t>
            </w:r>
            <w:r>
              <w:rPr>
                <w:rFonts w:asciiTheme="minorHAnsi" w:eastAsiaTheme="minorEastAsia" w:hAnsiTheme="minorHAnsi" w:cstheme="minorBidi"/>
                <w:noProof/>
                <w:sz w:val="22"/>
                <w:szCs w:val="22"/>
                <w:lang w:eastAsia="sl-SI"/>
              </w:rPr>
              <w:tab/>
            </w:r>
            <w:r w:rsidRPr="00FD5728">
              <w:rPr>
                <w:rStyle w:val="Hiperpovezava"/>
                <w:noProof/>
              </w:rPr>
              <w:t>Površina Slovenije</w:t>
            </w:r>
            <w:r>
              <w:rPr>
                <w:noProof/>
                <w:webHidden/>
              </w:rPr>
              <w:tab/>
            </w:r>
            <w:r>
              <w:rPr>
                <w:noProof/>
                <w:webHidden/>
              </w:rPr>
              <w:fldChar w:fldCharType="begin"/>
            </w:r>
            <w:r>
              <w:rPr>
                <w:noProof/>
                <w:webHidden/>
              </w:rPr>
              <w:instrText xml:space="preserve"> PAGEREF _Toc55912175 \h </w:instrText>
            </w:r>
            <w:r>
              <w:rPr>
                <w:noProof/>
                <w:webHidden/>
              </w:rPr>
            </w:r>
            <w:r>
              <w:rPr>
                <w:noProof/>
                <w:webHidden/>
              </w:rPr>
              <w:fldChar w:fldCharType="separate"/>
            </w:r>
            <w:r w:rsidR="00ED2796">
              <w:rPr>
                <w:noProof/>
                <w:webHidden/>
              </w:rPr>
              <w:t>14</w:t>
            </w:r>
            <w:r>
              <w:rPr>
                <w:noProof/>
                <w:webHidden/>
              </w:rPr>
              <w:fldChar w:fldCharType="end"/>
            </w:r>
          </w:hyperlink>
        </w:p>
        <w:p w14:paraId="78E83996" w14:textId="09F9DA92" w:rsidR="0035086C" w:rsidRDefault="0035086C">
          <w:pPr>
            <w:pStyle w:val="Kazalovsebine2"/>
            <w:rPr>
              <w:rFonts w:asciiTheme="minorHAnsi" w:eastAsiaTheme="minorEastAsia" w:hAnsiTheme="minorHAnsi" w:cstheme="minorBidi"/>
              <w:noProof/>
              <w:sz w:val="22"/>
              <w:szCs w:val="22"/>
              <w:lang w:eastAsia="sl-SI"/>
            </w:rPr>
          </w:pPr>
          <w:hyperlink w:anchor="_Toc55912176" w:history="1">
            <w:r w:rsidRPr="00FD5728">
              <w:rPr>
                <w:rStyle w:val="Hiperpovezava"/>
                <w:noProof/>
              </w:rPr>
              <w:t>1.3</w:t>
            </w:r>
            <w:r>
              <w:rPr>
                <w:rFonts w:asciiTheme="minorHAnsi" w:eastAsiaTheme="minorEastAsia" w:hAnsiTheme="minorHAnsi" w:cstheme="minorBidi"/>
                <w:noProof/>
                <w:sz w:val="22"/>
                <w:szCs w:val="22"/>
                <w:lang w:eastAsia="sl-SI"/>
              </w:rPr>
              <w:tab/>
            </w:r>
            <w:r w:rsidRPr="00FD5728">
              <w:rPr>
                <w:rStyle w:val="Hiperpovezava"/>
                <w:noProof/>
              </w:rPr>
              <w:t>Prebivalstvo</w:t>
            </w:r>
            <w:r>
              <w:rPr>
                <w:noProof/>
                <w:webHidden/>
              </w:rPr>
              <w:tab/>
            </w:r>
            <w:r>
              <w:rPr>
                <w:noProof/>
                <w:webHidden/>
              </w:rPr>
              <w:fldChar w:fldCharType="begin"/>
            </w:r>
            <w:r>
              <w:rPr>
                <w:noProof/>
                <w:webHidden/>
              </w:rPr>
              <w:instrText xml:space="preserve"> PAGEREF _Toc55912176 \h </w:instrText>
            </w:r>
            <w:r>
              <w:rPr>
                <w:noProof/>
                <w:webHidden/>
              </w:rPr>
            </w:r>
            <w:r>
              <w:rPr>
                <w:noProof/>
                <w:webHidden/>
              </w:rPr>
              <w:fldChar w:fldCharType="separate"/>
            </w:r>
            <w:r w:rsidR="00ED2796">
              <w:rPr>
                <w:noProof/>
                <w:webHidden/>
              </w:rPr>
              <w:t>18</w:t>
            </w:r>
            <w:r>
              <w:rPr>
                <w:noProof/>
                <w:webHidden/>
              </w:rPr>
              <w:fldChar w:fldCharType="end"/>
            </w:r>
          </w:hyperlink>
        </w:p>
        <w:p w14:paraId="7FF62C65" w14:textId="0A592108" w:rsidR="0035086C" w:rsidRDefault="0035086C">
          <w:pPr>
            <w:pStyle w:val="Kazalovsebine2"/>
            <w:rPr>
              <w:rFonts w:asciiTheme="minorHAnsi" w:eastAsiaTheme="minorEastAsia" w:hAnsiTheme="minorHAnsi" w:cstheme="minorBidi"/>
              <w:noProof/>
              <w:sz w:val="22"/>
              <w:szCs w:val="22"/>
              <w:lang w:eastAsia="sl-SI"/>
            </w:rPr>
          </w:pPr>
          <w:hyperlink w:anchor="_Toc55912177" w:history="1">
            <w:r w:rsidRPr="00FD5728">
              <w:rPr>
                <w:rStyle w:val="Hiperpovezava"/>
                <w:noProof/>
              </w:rPr>
              <w:t>1.4</w:t>
            </w:r>
            <w:r>
              <w:rPr>
                <w:rFonts w:asciiTheme="minorHAnsi" w:eastAsiaTheme="minorEastAsia" w:hAnsiTheme="minorHAnsi" w:cstheme="minorBidi"/>
                <w:noProof/>
                <w:sz w:val="22"/>
                <w:szCs w:val="22"/>
                <w:lang w:eastAsia="sl-SI"/>
              </w:rPr>
              <w:tab/>
            </w:r>
            <w:r w:rsidRPr="00FD5728">
              <w:rPr>
                <w:rStyle w:val="Hiperpovezava"/>
                <w:noProof/>
              </w:rPr>
              <w:t>Gospodarstvo</w:t>
            </w:r>
            <w:r>
              <w:rPr>
                <w:noProof/>
                <w:webHidden/>
              </w:rPr>
              <w:tab/>
            </w:r>
            <w:r>
              <w:rPr>
                <w:noProof/>
                <w:webHidden/>
              </w:rPr>
              <w:fldChar w:fldCharType="begin"/>
            </w:r>
            <w:r>
              <w:rPr>
                <w:noProof/>
                <w:webHidden/>
              </w:rPr>
              <w:instrText xml:space="preserve"> PAGEREF _Toc55912177 \h </w:instrText>
            </w:r>
            <w:r>
              <w:rPr>
                <w:noProof/>
                <w:webHidden/>
              </w:rPr>
            </w:r>
            <w:r>
              <w:rPr>
                <w:noProof/>
                <w:webHidden/>
              </w:rPr>
              <w:fldChar w:fldCharType="separate"/>
            </w:r>
            <w:r w:rsidR="00ED2796">
              <w:rPr>
                <w:noProof/>
                <w:webHidden/>
              </w:rPr>
              <w:t>20</w:t>
            </w:r>
            <w:r>
              <w:rPr>
                <w:noProof/>
                <w:webHidden/>
              </w:rPr>
              <w:fldChar w:fldCharType="end"/>
            </w:r>
          </w:hyperlink>
        </w:p>
        <w:p w14:paraId="2212171A" w14:textId="0E923686" w:rsidR="0035086C" w:rsidRDefault="0035086C">
          <w:pPr>
            <w:pStyle w:val="Kazalovsebine2"/>
            <w:rPr>
              <w:rFonts w:asciiTheme="minorHAnsi" w:eastAsiaTheme="minorEastAsia" w:hAnsiTheme="minorHAnsi" w:cstheme="minorBidi"/>
              <w:noProof/>
              <w:sz w:val="22"/>
              <w:szCs w:val="22"/>
              <w:lang w:eastAsia="sl-SI"/>
            </w:rPr>
          </w:pPr>
          <w:hyperlink w:anchor="_Toc55912178" w:history="1">
            <w:r w:rsidRPr="00FD5728">
              <w:rPr>
                <w:rStyle w:val="Hiperpovezava"/>
                <w:noProof/>
              </w:rPr>
              <w:t>1.5</w:t>
            </w:r>
            <w:r>
              <w:rPr>
                <w:rFonts w:asciiTheme="minorHAnsi" w:eastAsiaTheme="minorEastAsia" w:hAnsiTheme="minorHAnsi" w:cstheme="minorBidi"/>
                <w:noProof/>
                <w:sz w:val="22"/>
                <w:szCs w:val="22"/>
                <w:lang w:eastAsia="sl-SI"/>
              </w:rPr>
              <w:tab/>
            </w:r>
            <w:r w:rsidRPr="00FD5728">
              <w:rPr>
                <w:rStyle w:val="Hiperpovezava"/>
                <w:noProof/>
              </w:rPr>
              <w:t>Trg dela in brezposelnost</w:t>
            </w:r>
            <w:r>
              <w:rPr>
                <w:noProof/>
                <w:webHidden/>
              </w:rPr>
              <w:tab/>
            </w:r>
            <w:r>
              <w:rPr>
                <w:noProof/>
                <w:webHidden/>
              </w:rPr>
              <w:fldChar w:fldCharType="begin"/>
            </w:r>
            <w:r>
              <w:rPr>
                <w:noProof/>
                <w:webHidden/>
              </w:rPr>
              <w:instrText xml:space="preserve"> PAGEREF _Toc55912178 \h </w:instrText>
            </w:r>
            <w:r>
              <w:rPr>
                <w:noProof/>
                <w:webHidden/>
              </w:rPr>
            </w:r>
            <w:r>
              <w:rPr>
                <w:noProof/>
                <w:webHidden/>
              </w:rPr>
              <w:fldChar w:fldCharType="separate"/>
            </w:r>
            <w:r w:rsidR="00ED2796">
              <w:rPr>
                <w:noProof/>
                <w:webHidden/>
              </w:rPr>
              <w:t>24</w:t>
            </w:r>
            <w:r>
              <w:rPr>
                <w:noProof/>
                <w:webHidden/>
              </w:rPr>
              <w:fldChar w:fldCharType="end"/>
            </w:r>
          </w:hyperlink>
        </w:p>
        <w:p w14:paraId="2B0D1664" w14:textId="000E0171" w:rsidR="0035086C" w:rsidRDefault="0035086C">
          <w:pPr>
            <w:pStyle w:val="Kazalovsebine2"/>
            <w:rPr>
              <w:rFonts w:asciiTheme="minorHAnsi" w:eastAsiaTheme="minorEastAsia" w:hAnsiTheme="minorHAnsi" w:cstheme="minorBidi"/>
              <w:noProof/>
              <w:sz w:val="22"/>
              <w:szCs w:val="22"/>
              <w:lang w:eastAsia="sl-SI"/>
            </w:rPr>
          </w:pPr>
          <w:hyperlink w:anchor="_Toc55912179" w:history="1">
            <w:r w:rsidRPr="00FD5728">
              <w:rPr>
                <w:rStyle w:val="Hiperpovezava"/>
                <w:noProof/>
              </w:rPr>
              <w:t>1.6</w:t>
            </w:r>
            <w:r>
              <w:rPr>
                <w:rFonts w:asciiTheme="minorHAnsi" w:eastAsiaTheme="minorEastAsia" w:hAnsiTheme="minorHAnsi" w:cstheme="minorBidi"/>
                <w:noProof/>
                <w:sz w:val="22"/>
                <w:szCs w:val="22"/>
                <w:lang w:eastAsia="sl-SI"/>
              </w:rPr>
              <w:tab/>
            </w:r>
            <w:r w:rsidRPr="00FD5728">
              <w:rPr>
                <w:rStyle w:val="Hiperpovezava"/>
                <w:noProof/>
              </w:rPr>
              <w:t>Izobraževanje</w:t>
            </w:r>
            <w:r>
              <w:rPr>
                <w:noProof/>
                <w:webHidden/>
              </w:rPr>
              <w:tab/>
            </w:r>
            <w:r>
              <w:rPr>
                <w:noProof/>
                <w:webHidden/>
              </w:rPr>
              <w:fldChar w:fldCharType="begin"/>
            </w:r>
            <w:r>
              <w:rPr>
                <w:noProof/>
                <w:webHidden/>
              </w:rPr>
              <w:instrText xml:space="preserve"> PAGEREF _Toc55912179 \h </w:instrText>
            </w:r>
            <w:r>
              <w:rPr>
                <w:noProof/>
                <w:webHidden/>
              </w:rPr>
            </w:r>
            <w:r>
              <w:rPr>
                <w:noProof/>
                <w:webHidden/>
              </w:rPr>
              <w:fldChar w:fldCharType="separate"/>
            </w:r>
            <w:r w:rsidR="00ED2796">
              <w:rPr>
                <w:noProof/>
                <w:webHidden/>
              </w:rPr>
              <w:t>30</w:t>
            </w:r>
            <w:r>
              <w:rPr>
                <w:noProof/>
                <w:webHidden/>
              </w:rPr>
              <w:fldChar w:fldCharType="end"/>
            </w:r>
          </w:hyperlink>
        </w:p>
        <w:p w14:paraId="3020BAEB" w14:textId="79CCA54F" w:rsidR="0035086C" w:rsidRDefault="0035086C">
          <w:pPr>
            <w:pStyle w:val="Kazalovsebine2"/>
            <w:rPr>
              <w:rFonts w:asciiTheme="minorHAnsi" w:eastAsiaTheme="minorEastAsia" w:hAnsiTheme="minorHAnsi" w:cstheme="minorBidi"/>
              <w:noProof/>
              <w:sz w:val="22"/>
              <w:szCs w:val="22"/>
              <w:lang w:eastAsia="sl-SI"/>
            </w:rPr>
          </w:pPr>
          <w:hyperlink w:anchor="_Toc55912180" w:history="1">
            <w:r w:rsidRPr="00FD5728">
              <w:rPr>
                <w:rStyle w:val="Hiperpovezava"/>
                <w:noProof/>
              </w:rPr>
              <w:t>1.7</w:t>
            </w:r>
            <w:r>
              <w:rPr>
                <w:rFonts w:asciiTheme="minorHAnsi" w:eastAsiaTheme="minorEastAsia" w:hAnsiTheme="minorHAnsi" w:cstheme="minorBidi"/>
                <w:noProof/>
                <w:sz w:val="22"/>
                <w:szCs w:val="22"/>
                <w:lang w:eastAsia="sl-SI"/>
              </w:rPr>
              <w:tab/>
            </w:r>
            <w:r w:rsidRPr="00FD5728">
              <w:rPr>
                <w:rStyle w:val="Hiperpovezava"/>
                <w:noProof/>
              </w:rPr>
              <w:t>Pomen kmetijstva v BDP</w:t>
            </w:r>
            <w:r>
              <w:rPr>
                <w:noProof/>
                <w:webHidden/>
              </w:rPr>
              <w:tab/>
            </w:r>
            <w:r>
              <w:rPr>
                <w:noProof/>
                <w:webHidden/>
              </w:rPr>
              <w:fldChar w:fldCharType="begin"/>
            </w:r>
            <w:r>
              <w:rPr>
                <w:noProof/>
                <w:webHidden/>
              </w:rPr>
              <w:instrText xml:space="preserve"> PAGEREF _Toc55912180 \h </w:instrText>
            </w:r>
            <w:r>
              <w:rPr>
                <w:noProof/>
                <w:webHidden/>
              </w:rPr>
            </w:r>
            <w:r>
              <w:rPr>
                <w:noProof/>
                <w:webHidden/>
              </w:rPr>
              <w:fldChar w:fldCharType="separate"/>
            </w:r>
            <w:r w:rsidR="00ED2796">
              <w:rPr>
                <w:noProof/>
                <w:webHidden/>
              </w:rPr>
              <w:t>32</w:t>
            </w:r>
            <w:r>
              <w:rPr>
                <w:noProof/>
                <w:webHidden/>
              </w:rPr>
              <w:fldChar w:fldCharType="end"/>
            </w:r>
          </w:hyperlink>
        </w:p>
        <w:p w14:paraId="72AF92DF" w14:textId="771887D6" w:rsidR="0035086C" w:rsidRDefault="0035086C">
          <w:pPr>
            <w:pStyle w:val="Kazalovsebine2"/>
            <w:rPr>
              <w:rFonts w:asciiTheme="minorHAnsi" w:eastAsiaTheme="minorEastAsia" w:hAnsiTheme="minorHAnsi" w:cstheme="minorBidi"/>
              <w:noProof/>
              <w:sz w:val="22"/>
              <w:szCs w:val="22"/>
              <w:lang w:eastAsia="sl-SI"/>
            </w:rPr>
          </w:pPr>
          <w:hyperlink w:anchor="_Toc55912181" w:history="1">
            <w:r w:rsidRPr="00FD5728">
              <w:rPr>
                <w:rStyle w:val="Hiperpovezava"/>
                <w:noProof/>
              </w:rPr>
              <w:t>1.8</w:t>
            </w:r>
            <w:r>
              <w:rPr>
                <w:rFonts w:asciiTheme="minorHAnsi" w:eastAsiaTheme="minorEastAsia" w:hAnsiTheme="minorHAnsi" w:cstheme="minorBidi"/>
                <w:noProof/>
                <w:sz w:val="22"/>
                <w:szCs w:val="22"/>
                <w:lang w:eastAsia="sl-SI"/>
              </w:rPr>
              <w:tab/>
            </w:r>
            <w:r w:rsidRPr="00FD5728">
              <w:rPr>
                <w:rStyle w:val="Hiperpovezava"/>
                <w:noProof/>
              </w:rPr>
              <w:t>Kmetijske površine</w:t>
            </w:r>
            <w:r>
              <w:rPr>
                <w:noProof/>
                <w:webHidden/>
              </w:rPr>
              <w:tab/>
            </w:r>
            <w:r>
              <w:rPr>
                <w:noProof/>
                <w:webHidden/>
              </w:rPr>
              <w:fldChar w:fldCharType="begin"/>
            </w:r>
            <w:r>
              <w:rPr>
                <w:noProof/>
                <w:webHidden/>
              </w:rPr>
              <w:instrText xml:space="preserve"> PAGEREF _Toc55912181 \h </w:instrText>
            </w:r>
            <w:r>
              <w:rPr>
                <w:noProof/>
                <w:webHidden/>
              </w:rPr>
            </w:r>
            <w:r>
              <w:rPr>
                <w:noProof/>
                <w:webHidden/>
              </w:rPr>
              <w:fldChar w:fldCharType="separate"/>
            </w:r>
            <w:r w:rsidR="00ED2796">
              <w:rPr>
                <w:noProof/>
                <w:webHidden/>
              </w:rPr>
              <w:t>35</w:t>
            </w:r>
            <w:r>
              <w:rPr>
                <w:noProof/>
                <w:webHidden/>
              </w:rPr>
              <w:fldChar w:fldCharType="end"/>
            </w:r>
          </w:hyperlink>
        </w:p>
        <w:p w14:paraId="54A27C7B" w14:textId="7EA208A9" w:rsidR="0035086C" w:rsidRDefault="0035086C">
          <w:pPr>
            <w:pStyle w:val="Kazalovsebine2"/>
            <w:rPr>
              <w:rFonts w:asciiTheme="minorHAnsi" w:eastAsiaTheme="minorEastAsia" w:hAnsiTheme="minorHAnsi" w:cstheme="minorBidi"/>
              <w:noProof/>
              <w:sz w:val="22"/>
              <w:szCs w:val="22"/>
              <w:lang w:eastAsia="sl-SI"/>
            </w:rPr>
          </w:pPr>
          <w:hyperlink w:anchor="_Toc55912182" w:history="1">
            <w:r w:rsidRPr="00FD5728">
              <w:rPr>
                <w:rStyle w:val="Hiperpovezava"/>
                <w:noProof/>
              </w:rPr>
              <w:t>1.9</w:t>
            </w:r>
            <w:r>
              <w:rPr>
                <w:rFonts w:asciiTheme="minorHAnsi" w:eastAsiaTheme="minorEastAsia" w:hAnsiTheme="minorHAnsi" w:cstheme="minorBidi"/>
                <w:noProof/>
                <w:sz w:val="22"/>
                <w:szCs w:val="22"/>
                <w:lang w:eastAsia="sl-SI"/>
              </w:rPr>
              <w:tab/>
            </w:r>
            <w:r w:rsidRPr="00FD5728">
              <w:rPr>
                <w:rStyle w:val="Hiperpovezava"/>
                <w:noProof/>
              </w:rPr>
              <w:t>Gorska območja</w:t>
            </w:r>
            <w:r>
              <w:rPr>
                <w:noProof/>
                <w:webHidden/>
              </w:rPr>
              <w:tab/>
            </w:r>
            <w:r>
              <w:rPr>
                <w:noProof/>
                <w:webHidden/>
              </w:rPr>
              <w:fldChar w:fldCharType="begin"/>
            </w:r>
            <w:r>
              <w:rPr>
                <w:noProof/>
                <w:webHidden/>
              </w:rPr>
              <w:instrText xml:space="preserve"> PAGEREF _Toc55912182 \h </w:instrText>
            </w:r>
            <w:r>
              <w:rPr>
                <w:noProof/>
                <w:webHidden/>
              </w:rPr>
            </w:r>
            <w:r>
              <w:rPr>
                <w:noProof/>
                <w:webHidden/>
              </w:rPr>
              <w:fldChar w:fldCharType="separate"/>
            </w:r>
            <w:r w:rsidR="00ED2796">
              <w:rPr>
                <w:noProof/>
                <w:webHidden/>
              </w:rPr>
              <w:t>40</w:t>
            </w:r>
            <w:r>
              <w:rPr>
                <w:noProof/>
                <w:webHidden/>
              </w:rPr>
              <w:fldChar w:fldCharType="end"/>
            </w:r>
          </w:hyperlink>
        </w:p>
        <w:p w14:paraId="788E641B" w14:textId="2BB37A28" w:rsidR="0035086C" w:rsidRDefault="0035086C">
          <w:pPr>
            <w:pStyle w:val="Kazalovsebine2"/>
            <w:rPr>
              <w:rFonts w:asciiTheme="minorHAnsi" w:eastAsiaTheme="minorEastAsia" w:hAnsiTheme="minorHAnsi" w:cstheme="minorBidi"/>
              <w:noProof/>
              <w:sz w:val="22"/>
              <w:szCs w:val="22"/>
              <w:lang w:eastAsia="sl-SI"/>
            </w:rPr>
          </w:pPr>
          <w:hyperlink w:anchor="_Toc55912183" w:history="1">
            <w:r w:rsidRPr="00FD5728">
              <w:rPr>
                <w:rStyle w:val="Hiperpovezava"/>
                <w:noProof/>
              </w:rPr>
              <w:t>1.10</w:t>
            </w:r>
            <w:r>
              <w:rPr>
                <w:rFonts w:asciiTheme="minorHAnsi" w:eastAsiaTheme="minorEastAsia" w:hAnsiTheme="minorHAnsi" w:cstheme="minorBidi"/>
                <w:noProof/>
                <w:sz w:val="22"/>
                <w:szCs w:val="22"/>
                <w:lang w:eastAsia="sl-SI"/>
              </w:rPr>
              <w:tab/>
            </w:r>
            <w:r w:rsidRPr="00FD5728">
              <w:rPr>
                <w:rStyle w:val="Hiperpovezava"/>
                <w:noProof/>
              </w:rPr>
              <w:t>Območja z naravnimi omejitvami</w:t>
            </w:r>
            <w:r>
              <w:rPr>
                <w:noProof/>
                <w:webHidden/>
              </w:rPr>
              <w:tab/>
            </w:r>
            <w:r>
              <w:rPr>
                <w:noProof/>
                <w:webHidden/>
              </w:rPr>
              <w:fldChar w:fldCharType="begin"/>
            </w:r>
            <w:r>
              <w:rPr>
                <w:noProof/>
                <w:webHidden/>
              </w:rPr>
              <w:instrText xml:space="preserve"> PAGEREF _Toc55912183 \h </w:instrText>
            </w:r>
            <w:r>
              <w:rPr>
                <w:noProof/>
                <w:webHidden/>
              </w:rPr>
            </w:r>
            <w:r>
              <w:rPr>
                <w:noProof/>
                <w:webHidden/>
              </w:rPr>
              <w:fldChar w:fldCharType="separate"/>
            </w:r>
            <w:r w:rsidR="00ED2796">
              <w:rPr>
                <w:noProof/>
                <w:webHidden/>
              </w:rPr>
              <w:t>41</w:t>
            </w:r>
            <w:r>
              <w:rPr>
                <w:noProof/>
                <w:webHidden/>
              </w:rPr>
              <w:fldChar w:fldCharType="end"/>
            </w:r>
          </w:hyperlink>
        </w:p>
        <w:p w14:paraId="09A34F75" w14:textId="0F90E345" w:rsidR="0035086C" w:rsidRDefault="0035086C">
          <w:pPr>
            <w:pStyle w:val="Kazalovsebine2"/>
            <w:rPr>
              <w:rFonts w:asciiTheme="minorHAnsi" w:eastAsiaTheme="minorEastAsia" w:hAnsiTheme="minorHAnsi" w:cstheme="minorBidi"/>
              <w:noProof/>
              <w:sz w:val="22"/>
              <w:szCs w:val="22"/>
              <w:lang w:eastAsia="sl-SI"/>
            </w:rPr>
          </w:pPr>
          <w:hyperlink w:anchor="_Toc55912184" w:history="1">
            <w:r w:rsidRPr="00FD5728">
              <w:rPr>
                <w:rStyle w:val="Hiperpovezava"/>
                <w:noProof/>
              </w:rPr>
              <w:t>1.11</w:t>
            </w:r>
            <w:r>
              <w:rPr>
                <w:rFonts w:asciiTheme="minorHAnsi" w:eastAsiaTheme="minorEastAsia" w:hAnsiTheme="minorHAnsi" w:cstheme="minorBidi"/>
                <w:noProof/>
                <w:sz w:val="22"/>
                <w:szCs w:val="22"/>
                <w:lang w:eastAsia="sl-SI"/>
              </w:rPr>
              <w:tab/>
            </w:r>
            <w:r w:rsidRPr="00FD5728">
              <w:rPr>
                <w:rStyle w:val="Hiperpovezava"/>
                <w:noProof/>
              </w:rPr>
              <w:t>Območja s posebnimi omejitvami</w:t>
            </w:r>
            <w:r>
              <w:rPr>
                <w:noProof/>
                <w:webHidden/>
              </w:rPr>
              <w:tab/>
            </w:r>
            <w:r>
              <w:rPr>
                <w:noProof/>
                <w:webHidden/>
              </w:rPr>
              <w:fldChar w:fldCharType="begin"/>
            </w:r>
            <w:r>
              <w:rPr>
                <w:noProof/>
                <w:webHidden/>
              </w:rPr>
              <w:instrText xml:space="preserve"> PAGEREF _Toc55912184 \h </w:instrText>
            </w:r>
            <w:r>
              <w:rPr>
                <w:noProof/>
                <w:webHidden/>
              </w:rPr>
            </w:r>
            <w:r>
              <w:rPr>
                <w:noProof/>
                <w:webHidden/>
              </w:rPr>
              <w:fldChar w:fldCharType="separate"/>
            </w:r>
            <w:r w:rsidR="00ED2796">
              <w:rPr>
                <w:noProof/>
                <w:webHidden/>
              </w:rPr>
              <w:t>42</w:t>
            </w:r>
            <w:r>
              <w:rPr>
                <w:noProof/>
                <w:webHidden/>
              </w:rPr>
              <w:fldChar w:fldCharType="end"/>
            </w:r>
          </w:hyperlink>
        </w:p>
        <w:p w14:paraId="592BE17E" w14:textId="6DBF875C" w:rsidR="0035086C" w:rsidRDefault="0035086C">
          <w:pPr>
            <w:pStyle w:val="Kazalovsebine2"/>
            <w:rPr>
              <w:rFonts w:asciiTheme="minorHAnsi" w:eastAsiaTheme="minorEastAsia" w:hAnsiTheme="minorHAnsi" w:cstheme="minorBidi"/>
              <w:noProof/>
              <w:sz w:val="22"/>
              <w:szCs w:val="22"/>
              <w:lang w:eastAsia="sl-SI"/>
            </w:rPr>
          </w:pPr>
          <w:hyperlink w:anchor="_Toc55912185" w:history="1">
            <w:r w:rsidRPr="00FD5728">
              <w:rPr>
                <w:rStyle w:val="Hiperpovezava"/>
                <w:noProof/>
              </w:rPr>
              <w:t>1.12</w:t>
            </w:r>
            <w:r>
              <w:rPr>
                <w:rFonts w:asciiTheme="minorHAnsi" w:eastAsiaTheme="minorEastAsia" w:hAnsiTheme="minorHAnsi" w:cstheme="minorBidi"/>
                <w:noProof/>
                <w:sz w:val="22"/>
                <w:szCs w:val="22"/>
                <w:lang w:eastAsia="sl-SI"/>
              </w:rPr>
              <w:tab/>
            </w:r>
            <w:r w:rsidRPr="00FD5728">
              <w:rPr>
                <w:rStyle w:val="Hiperpovezava"/>
                <w:noProof/>
              </w:rPr>
              <w:t>Struktura kmetijskih gospodarstev</w:t>
            </w:r>
            <w:r>
              <w:rPr>
                <w:noProof/>
                <w:webHidden/>
              </w:rPr>
              <w:tab/>
            </w:r>
            <w:r>
              <w:rPr>
                <w:noProof/>
                <w:webHidden/>
              </w:rPr>
              <w:fldChar w:fldCharType="begin"/>
            </w:r>
            <w:r>
              <w:rPr>
                <w:noProof/>
                <w:webHidden/>
              </w:rPr>
              <w:instrText xml:space="preserve"> PAGEREF _Toc55912185 \h </w:instrText>
            </w:r>
            <w:r>
              <w:rPr>
                <w:noProof/>
                <w:webHidden/>
              </w:rPr>
            </w:r>
            <w:r>
              <w:rPr>
                <w:noProof/>
                <w:webHidden/>
              </w:rPr>
              <w:fldChar w:fldCharType="separate"/>
            </w:r>
            <w:r w:rsidR="00ED2796">
              <w:rPr>
                <w:noProof/>
                <w:webHidden/>
              </w:rPr>
              <w:t>43</w:t>
            </w:r>
            <w:r>
              <w:rPr>
                <w:noProof/>
                <w:webHidden/>
              </w:rPr>
              <w:fldChar w:fldCharType="end"/>
            </w:r>
          </w:hyperlink>
        </w:p>
        <w:p w14:paraId="03767C23" w14:textId="3823B6E9" w:rsidR="0035086C" w:rsidRDefault="0035086C">
          <w:pPr>
            <w:pStyle w:val="Kazalovsebine2"/>
            <w:rPr>
              <w:rFonts w:asciiTheme="minorHAnsi" w:eastAsiaTheme="minorEastAsia" w:hAnsiTheme="minorHAnsi" w:cstheme="minorBidi"/>
              <w:noProof/>
              <w:sz w:val="22"/>
              <w:szCs w:val="22"/>
              <w:lang w:eastAsia="sl-SI"/>
            </w:rPr>
          </w:pPr>
          <w:hyperlink w:anchor="_Toc55912186" w:history="1">
            <w:r w:rsidRPr="00FD5728">
              <w:rPr>
                <w:rStyle w:val="Hiperpovezava"/>
                <w:noProof/>
              </w:rPr>
              <w:t>1.13</w:t>
            </w:r>
            <w:r>
              <w:rPr>
                <w:rFonts w:asciiTheme="minorHAnsi" w:eastAsiaTheme="minorEastAsia" w:hAnsiTheme="minorHAnsi" w:cstheme="minorBidi"/>
                <w:noProof/>
                <w:sz w:val="22"/>
                <w:szCs w:val="22"/>
                <w:lang w:eastAsia="sl-SI"/>
              </w:rPr>
              <w:tab/>
            </w:r>
            <w:r w:rsidRPr="00FD5728">
              <w:rPr>
                <w:rStyle w:val="Hiperpovezava"/>
                <w:noProof/>
              </w:rPr>
              <w:t>Povprečno kmetijsko gospodarstvo v Sloveniji</w:t>
            </w:r>
            <w:r>
              <w:rPr>
                <w:noProof/>
                <w:webHidden/>
              </w:rPr>
              <w:tab/>
            </w:r>
            <w:r>
              <w:rPr>
                <w:noProof/>
                <w:webHidden/>
              </w:rPr>
              <w:fldChar w:fldCharType="begin"/>
            </w:r>
            <w:r>
              <w:rPr>
                <w:noProof/>
                <w:webHidden/>
              </w:rPr>
              <w:instrText xml:space="preserve"> PAGEREF _Toc55912186 \h </w:instrText>
            </w:r>
            <w:r>
              <w:rPr>
                <w:noProof/>
                <w:webHidden/>
              </w:rPr>
            </w:r>
            <w:r>
              <w:rPr>
                <w:noProof/>
                <w:webHidden/>
              </w:rPr>
              <w:fldChar w:fldCharType="separate"/>
            </w:r>
            <w:r w:rsidR="00ED2796">
              <w:rPr>
                <w:noProof/>
                <w:webHidden/>
              </w:rPr>
              <w:t>43</w:t>
            </w:r>
            <w:r>
              <w:rPr>
                <w:noProof/>
                <w:webHidden/>
              </w:rPr>
              <w:fldChar w:fldCharType="end"/>
            </w:r>
          </w:hyperlink>
        </w:p>
        <w:p w14:paraId="73850AA0" w14:textId="4D612793" w:rsidR="0035086C" w:rsidRDefault="0035086C">
          <w:pPr>
            <w:pStyle w:val="Kazalovsebine2"/>
            <w:rPr>
              <w:rFonts w:asciiTheme="minorHAnsi" w:eastAsiaTheme="minorEastAsia" w:hAnsiTheme="minorHAnsi" w:cstheme="minorBidi"/>
              <w:noProof/>
              <w:sz w:val="22"/>
              <w:szCs w:val="22"/>
              <w:lang w:eastAsia="sl-SI"/>
            </w:rPr>
          </w:pPr>
          <w:hyperlink w:anchor="_Toc55912187" w:history="1">
            <w:r w:rsidRPr="00FD5728">
              <w:rPr>
                <w:rStyle w:val="Hiperpovezava"/>
                <w:noProof/>
              </w:rPr>
              <w:t>1.14</w:t>
            </w:r>
            <w:r>
              <w:rPr>
                <w:rFonts w:asciiTheme="minorHAnsi" w:eastAsiaTheme="minorEastAsia" w:hAnsiTheme="minorHAnsi" w:cstheme="minorBidi"/>
                <w:noProof/>
                <w:sz w:val="22"/>
                <w:szCs w:val="22"/>
                <w:lang w:eastAsia="sl-SI"/>
              </w:rPr>
              <w:tab/>
            </w:r>
            <w:r w:rsidRPr="00FD5728">
              <w:rPr>
                <w:rStyle w:val="Hiperpovezava"/>
                <w:noProof/>
              </w:rPr>
              <w:t>Število kmetijskih gospodarstev</w:t>
            </w:r>
            <w:r>
              <w:rPr>
                <w:noProof/>
                <w:webHidden/>
              </w:rPr>
              <w:tab/>
            </w:r>
            <w:r>
              <w:rPr>
                <w:noProof/>
                <w:webHidden/>
              </w:rPr>
              <w:fldChar w:fldCharType="begin"/>
            </w:r>
            <w:r>
              <w:rPr>
                <w:noProof/>
                <w:webHidden/>
              </w:rPr>
              <w:instrText xml:space="preserve"> PAGEREF _Toc55912187 \h </w:instrText>
            </w:r>
            <w:r>
              <w:rPr>
                <w:noProof/>
                <w:webHidden/>
              </w:rPr>
            </w:r>
            <w:r>
              <w:rPr>
                <w:noProof/>
                <w:webHidden/>
              </w:rPr>
              <w:fldChar w:fldCharType="separate"/>
            </w:r>
            <w:r w:rsidR="00ED2796">
              <w:rPr>
                <w:noProof/>
                <w:webHidden/>
              </w:rPr>
              <w:t>43</w:t>
            </w:r>
            <w:r>
              <w:rPr>
                <w:noProof/>
                <w:webHidden/>
              </w:rPr>
              <w:fldChar w:fldCharType="end"/>
            </w:r>
          </w:hyperlink>
        </w:p>
        <w:p w14:paraId="51F59A01" w14:textId="3665ED47" w:rsidR="0035086C" w:rsidRDefault="0035086C">
          <w:pPr>
            <w:pStyle w:val="Kazalovsebine2"/>
            <w:rPr>
              <w:rFonts w:asciiTheme="minorHAnsi" w:eastAsiaTheme="minorEastAsia" w:hAnsiTheme="minorHAnsi" w:cstheme="minorBidi"/>
              <w:noProof/>
              <w:sz w:val="22"/>
              <w:szCs w:val="22"/>
              <w:lang w:eastAsia="sl-SI"/>
            </w:rPr>
          </w:pPr>
          <w:hyperlink w:anchor="_Toc55912188" w:history="1">
            <w:r w:rsidRPr="00FD5728">
              <w:rPr>
                <w:rStyle w:val="Hiperpovezava"/>
                <w:noProof/>
              </w:rPr>
              <w:t>1.15</w:t>
            </w:r>
            <w:r>
              <w:rPr>
                <w:rFonts w:asciiTheme="minorHAnsi" w:eastAsiaTheme="minorEastAsia" w:hAnsiTheme="minorHAnsi" w:cstheme="minorBidi"/>
                <w:noProof/>
                <w:sz w:val="22"/>
                <w:szCs w:val="22"/>
                <w:lang w:eastAsia="sl-SI"/>
              </w:rPr>
              <w:tab/>
            </w:r>
            <w:r w:rsidRPr="00FD5728">
              <w:rPr>
                <w:rStyle w:val="Hiperpovezava"/>
                <w:noProof/>
              </w:rPr>
              <w:t>Fizična velikost kmetijskih gospodarstev glede na KZU</w:t>
            </w:r>
            <w:r>
              <w:rPr>
                <w:noProof/>
                <w:webHidden/>
              </w:rPr>
              <w:tab/>
            </w:r>
            <w:r>
              <w:rPr>
                <w:noProof/>
                <w:webHidden/>
              </w:rPr>
              <w:fldChar w:fldCharType="begin"/>
            </w:r>
            <w:r>
              <w:rPr>
                <w:noProof/>
                <w:webHidden/>
              </w:rPr>
              <w:instrText xml:space="preserve"> PAGEREF _Toc55912188 \h </w:instrText>
            </w:r>
            <w:r>
              <w:rPr>
                <w:noProof/>
                <w:webHidden/>
              </w:rPr>
            </w:r>
            <w:r>
              <w:rPr>
                <w:noProof/>
                <w:webHidden/>
              </w:rPr>
              <w:fldChar w:fldCharType="separate"/>
            </w:r>
            <w:r w:rsidR="00ED2796">
              <w:rPr>
                <w:noProof/>
                <w:webHidden/>
              </w:rPr>
              <w:t>44</w:t>
            </w:r>
            <w:r>
              <w:rPr>
                <w:noProof/>
                <w:webHidden/>
              </w:rPr>
              <w:fldChar w:fldCharType="end"/>
            </w:r>
          </w:hyperlink>
        </w:p>
        <w:p w14:paraId="5621F832" w14:textId="3558D7C3" w:rsidR="0035086C" w:rsidRDefault="0035086C">
          <w:pPr>
            <w:pStyle w:val="Kazalovsebine2"/>
            <w:rPr>
              <w:rFonts w:asciiTheme="minorHAnsi" w:eastAsiaTheme="minorEastAsia" w:hAnsiTheme="minorHAnsi" w:cstheme="minorBidi"/>
              <w:noProof/>
              <w:sz w:val="22"/>
              <w:szCs w:val="22"/>
              <w:lang w:eastAsia="sl-SI"/>
            </w:rPr>
          </w:pPr>
          <w:hyperlink w:anchor="_Toc55912189" w:history="1">
            <w:r w:rsidRPr="00FD5728">
              <w:rPr>
                <w:rStyle w:val="Hiperpovezava"/>
                <w:noProof/>
              </w:rPr>
              <w:t>1.16</w:t>
            </w:r>
            <w:r>
              <w:rPr>
                <w:rFonts w:asciiTheme="minorHAnsi" w:eastAsiaTheme="minorEastAsia" w:hAnsiTheme="minorHAnsi" w:cstheme="minorBidi"/>
                <w:noProof/>
                <w:sz w:val="22"/>
                <w:szCs w:val="22"/>
                <w:lang w:eastAsia="sl-SI"/>
              </w:rPr>
              <w:tab/>
            </w:r>
            <w:r w:rsidRPr="00FD5728">
              <w:rPr>
                <w:rStyle w:val="Hiperpovezava"/>
                <w:noProof/>
              </w:rPr>
              <w:t>Ekonomska velikost KMG</w:t>
            </w:r>
            <w:r>
              <w:rPr>
                <w:noProof/>
                <w:webHidden/>
              </w:rPr>
              <w:tab/>
            </w:r>
            <w:r>
              <w:rPr>
                <w:noProof/>
                <w:webHidden/>
              </w:rPr>
              <w:fldChar w:fldCharType="begin"/>
            </w:r>
            <w:r>
              <w:rPr>
                <w:noProof/>
                <w:webHidden/>
              </w:rPr>
              <w:instrText xml:space="preserve"> PAGEREF _Toc55912189 \h </w:instrText>
            </w:r>
            <w:r>
              <w:rPr>
                <w:noProof/>
                <w:webHidden/>
              </w:rPr>
            </w:r>
            <w:r>
              <w:rPr>
                <w:noProof/>
                <w:webHidden/>
              </w:rPr>
              <w:fldChar w:fldCharType="separate"/>
            </w:r>
            <w:r w:rsidR="00ED2796">
              <w:rPr>
                <w:noProof/>
                <w:webHidden/>
              </w:rPr>
              <w:t>46</w:t>
            </w:r>
            <w:r>
              <w:rPr>
                <w:noProof/>
                <w:webHidden/>
              </w:rPr>
              <w:fldChar w:fldCharType="end"/>
            </w:r>
          </w:hyperlink>
        </w:p>
        <w:p w14:paraId="703B7C37" w14:textId="18471887" w:rsidR="0035086C" w:rsidRDefault="0035086C">
          <w:pPr>
            <w:pStyle w:val="Kazalovsebine2"/>
            <w:rPr>
              <w:rFonts w:asciiTheme="minorHAnsi" w:eastAsiaTheme="minorEastAsia" w:hAnsiTheme="minorHAnsi" w:cstheme="minorBidi"/>
              <w:noProof/>
              <w:sz w:val="22"/>
              <w:szCs w:val="22"/>
              <w:lang w:eastAsia="sl-SI"/>
            </w:rPr>
          </w:pPr>
          <w:hyperlink w:anchor="_Toc55912190" w:history="1">
            <w:r w:rsidRPr="00FD5728">
              <w:rPr>
                <w:rStyle w:val="Hiperpovezava"/>
                <w:noProof/>
              </w:rPr>
              <w:t>1.17</w:t>
            </w:r>
            <w:r>
              <w:rPr>
                <w:rFonts w:asciiTheme="minorHAnsi" w:eastAsiaTheme="minorEastAsia" w:hAnsiTheme="minorHAnsi" w:cstheme="minorBidi"/>
                <w:noProof/>
                <w:sz w:val="22"/>
                <w:szCs w:val="22"/>
                <w:lang w:eastAsia="sl-SI"/>
              </w:rPr>
              <w:tab/>
            </w:r>
            <w:r w:rsidRPr="00FD5728">
              <w:rPr>
                <w:rStyle w:val="Hiperpovezava"/>
                <w:noProof/>
              </w:rPr>
              <w:t>Tipologija kmetijskih gospodarstev</w:t>
            </w:r>
            <w:r>
              <w:rPr>
                <w:noProof/>
                <w:webHidden/>
              </w:rPr>
              <w:tab/>
            </w:r>
            <w:r>
              <w:rPr>
                <w:noProof/>
                <w:webHidden/>
              </w:rPr>
              <w:fldChar w:fldCharType="begin"/>
            </w:r>
            <w:r>
              <w:rPr>
                <w:noProof/>
                <w:webHidden/>
              </w:rPr>
              <w:instrText xml:space="preserve"> PAGEREF _Toc55912190 \h </w:instrText>
            </w:r>
            <w:r>
              <w:rPr>
                <w:noProof/>
                <w:webHidden/>
              </w:rPr>
            </w:r>
            <w:r>
              <w:rPr>
                <w:noProof/>
                <w:webHidden/>
              </w:rPr>
              <w:fldChar w:fldCharType="separate"/>
            </w:r>
            <w:r w:rsidR="00ED2796">
              <w:rPr>
                <w:noProof/>
                <w:webHidden/>
              </w:rPr>
              <w:t>47</w:t>
            </w:r>
            <w:r>
              <w:rPr>
                <w:noProof/>
                <w:webHidden/>
              </w:rPr>
              <w:fldChar w:fldCharType="end"/>
            </w:r>
          </w:hyperlink>
        </w:p>
        <w:p w14:paraId="351932F5" w14:textId="4EA1863A" w:rsidR="0035086C" w:rsidRDefault="0035086C">
          <w:pPr>
            <w:pStyle w:val="Kazalovsebine2"/>
            <w:rPr>
              <w:rFonts w:asciiTheme="minorHAnsi" w:eastAsiaTheme="minorEastAsia" w:hAnsiTheme="minorHAnsi" w:cstheme="minorBidi"/>
              <w:noProof/>
              <w:sz w:val="22"/>
              <w:szCs w:val="22"/>
              <w:lang w:eastAsia="sl-SI"/>
            </w:rPr>
          </w:pPr>
          <w:hyperlink w:anchor="_Toc55912191" w:history="1">
            <w:r w:rsidRPr="00FD5728">
              <w:rPr>
                <w:rStyle w:val="Hiperpovezava"/>
                <w:noProof/>
              </w:rPr>
              <w:t>1.18</w:t>
            </w:r>
            <w:r>
              <w:rPr>
                <w:rFonts w:asciiTheme="minorHAnsi" w:eastAsiaTheme="minorEastAsia" w:hAnsiTheme="minorHAnsi" w:cstheme="minorBidi"/>
                <w:noProof/>
                <w:sz w:val="22"/>
                <w:szCs w:val="22"/>
                <w:lang w:eastAsia="sl-SI"/>
              </w:rPr>
              <w:tab/>
            </w:r>
            <w:r w:rsidRPr="00FD5728">
              <w:rPr>
                <w:rStyle w:val="Hiperpovezava"/>
                <w:noProof/>
              </w:rPr>
              <w:t>Živinoreja</w:t>
            </w:r>
            <w:r>
              <w:rPr>
                <w:noProof/>
                <w:webHidden/>
              </w:rPr>
              <w:tab/>
            </w:r>
            <w:r>
              <w:rPr>
                <w:noProof/>
                <w:webHidden/>
              </w:rPr>
              <w:fldChar w:fldCharType="begin"/>
            </w:r>
            <w:r>
              <w:rPr>
                <w:noProof/>
                <w:webHidden/>
              </w:rPr>
              <w:instrText xml:space="preserve"> PAGEREF _Toc55912191 \h </w:instrText>
            </w:r>
            <w:r>
              <w:rPr>
                <w:noProof/>
                <w:webHidden/>
              </w:rPr>
            </w:r>
            <w:r>
              <w:rPr>
                <w:noProof/>
                <w:webHidden/>
              </w:rPr>
              <w:fldChar w:fldCharType="separate"/>
            </w:r>
            <w:r w:rsidR="00ED2796">
              <w:rPr>
                <w:noProof/>
                <w:webHidden/>
              </w:rPr>
              <w:t>50</w:t>
            </w:r>
            <w:r>
              <w:rPr>
                <w:noProof/>
                <w:webHidden/>
              </w:rPr>
              <w:fldChar w:fldCharType="end"/>
            </w:r>
          </w:hyperlink>
        </w:p>
        <w:p w14:paraId="22C4A6EA" w14:textId="1E63F01C" w:rsidR="0035086C" w:rsidRDefault="0035086C">
          <w:pPr>
            <w:pStyle w:val="Kazalovsebine2"/>
            <w:rPr>
              <w:rFonts w:asciiTheme="minorHAnsi" w:eastAsiaTheme="minorEastAsia" w:hAnsiTheme="minorHAnsi" w:cstheme="minorBidi"/>
              <w:noProof/>
              <w:sz w:val="22"/>
              <w:szCs w:val="22"/>
              <w:lang w:eastAsia="sl-SI"/>
            </w:rPr>
          </w:pPr>
          <w:hyperlink w:anchor="_Toc55912192" w:history="1">
            <w:r w:rsidRPr="00FD5728">
              <w:rPr>
                <w:rStyle w:val="Hiperpovezava"/>
                <w:noProof/>
              </w:rPr>
              <w:t>1.19</w:t>
            </w:r>
            <w:r>
              <w:rPr>
                <w:rFonts w:asciiTheme="minorHAnsi" w:eastAsiaTheme="minorEastAsia" w:hAnsiTheme="minorHAnsi" w:cstheme="minorBidi"/>
                <w:noProof/>
                <w:sz w:val="22"/>
                <w:szCs w:val="22"/>
                <w:lang w:eastAsia="sl-SI"/>
              </w:rPr>
              <w:tab/>
            </w:r>
            <w:r w:rsidRPr="00FD5728">
              <w:rPr>
                <w:rStyle w:val="Hiperpovezava"/>
                <w:noProof/>
              </w:rPr>
              <w:t>Rastlinska proizvodnja</w:t>
            </w:r>
            <w:r>
              <w:rPr>
                <w:noProof/>
                <w:webHidden/>
              </w:rPr>
              <w:tab/>
            </w:r>
            <w:r>
              <w:rPr>
                <w:noProof/>
                <w:webHidden/>
              </w:rPr>
              <w:fldChar w:fldCharType="begin"/>
            </w:r>
            <w:r>
              <w:rPr>
                <w:noProof/>
                <w:webHidden/>
              </w:rPr>
              <w:instrText xml:space="preserve"> PAGEREF _Toc55912192 \h </w:instrText>
            </w:r>
            <w:r>
              <w:rPr>
                <w:noProof/>
                <w:webHidden/>
              </w:rPr>
            </w:r>
            <w:r>
              <w:rPr>
                <w:noProof/>
                <w:webHidden/>
              </w:rPr>
              <w:fldChar w:fldCharType="separate"/>
            </w:r>
            <w:r w:rsidR="00ED2796">
              <w:rPr>
                <w:noProof/>
                <w:webHidden/>
              </w:rPr>
              <w:t>52</w:t>
            </w:r>
            <w:r>
              <w:rPr>
                <w:noProof/>
                <w:webHidden/>
              </w:rPr>
              <w:fldChar w:fldCharType="end"/>
            </w:r>
          </w:hyperlink>
        </w:p>
        <w:p w14:paraId="6D44248A" w14:textId="266A18ED" w:rsidR="0035086C" w:rsidRDefault="0035086C">
          <w:pPr>
            <w:pStyle w:val="Kazalovsebine2"/>
            <w:rPr>
              <w:rFonts w:asciiTheme="minorHAnsi" w:eastAsiaTheme="minorEastAsia" w:hAnsiTheme="minorHAnsi" w:cstheme="minorBidi"/>
              <w:noProof/>
              <w:sz w:val="22"/>
              <w:szCs w:val="22"/>
              <w:lang w:eastAsia="sl-SI"/>
            </w:rPr>
          </w:pPr>
          <w:hyperlink w:anchor="_Toc55912193" w:history="1">
            <w:r w:rsidRPr="00FD5728">
              <w:rPr>
                <w:rStyle w:val="Hiperpovezava"/>
                <w:noProof/>
              </w:rPr>
              <w:t>1.20</w:t>
            </w:r>
            <w:r>
              <w:rPr>
                <w:rFonts w:asciiTheme="minorHAnsi" w:eastAsiaTheme="minorEastAsia" w:hAnsiTheme="minorHAnsi" w:cstheme="minorBidi"/>
                <w:noProof/>
                <w:sz w:val="22"/>
                <w:szCs w:val="22"/>
                <w:lang w:eastAsia="sl-SI"/>
              </w:rPr>
              <w:tab/>
            </w:r>
            <w:r w:rsidRPr="00FD5728">
              <w:rPr>
                <w:rStyle w:val="Hiperpovezava"/>
                <w:noProof/>
              </w:rPr>
              <w:t>Delovna sila na kmetijskih gospodarstvih</w:t>
            </w:r>
            <w:r>
              <w:rPr>
                <w:noProof/>
                <w:webHidden/>
              </w:rPr>
              <w:tab/>
            </w:r>
            <w:r>
              <w:rPr>
                <w:noProof/>
                <w:webHidden/>
              </w:rPr>
              <w:fldChar w:fldCharType="begin"/>
            </w:r>
            <w:r>
              <w:rPr>
                <w:noProof/>
                <w:webHidden/>
              </w:rPr>
              <w:instrText xml:space="preserve"> PAGEREF _Toc55912193 \h </w:instrText>
            </w:r>
            <w:r>
              <w:rPr>
                <w:noProof/>
                <w:webHidden/>
              </w:rPr>
            </w:r>
            <w:r>
              <w:rPr>
                <w:noProof/>
                <w:webHidden/>
              </w:rPr>
              <w:fldChar w:fldCharType="separate"/>
            </w:r>
            <w:r w:rsidR="00ED2796">
              <w:rPr>
                <w:noProof/>
                <w:webHidden/>
              </w:rPr>
              <w:t>53</w:t>
            </w:r>
            <w:r>
              <w:rPr>
                <w:noProof/>
                <w:webHidden/>
              </w:rPr>
              <w:fldChar w:fldCharType="end"/>
            </w:r>
          </w:hyperlink>
        </w:p>
        <w:p w14:paraId="6A3AB18D" w14:textId="0E2DEE85" w:rsidR="0035086C" w:rsidRDefault="0035086C">
          <w:pPr>
            <w:pStyle w:val="Kazalovsebine2"/>
            <w:rPr>
              <w:rFonts w:asciiTheme="minorHAnsi" w:eastAsiaTheme="minorEastAsia" w:hAnsiTheme="minorHAnsi" w:cstheme="minorBidi"/>
              <w:noProof/>
              <w:sz w:val="22"/>
              <w:szCs w:val="22"/>
              <w:lang w:eastAsia="sl-SI"/>
            </w:rPr>
          </w:pPr>
          <w:hyperlink w:anchor="_Toc55912194" w:history="1">
            <w:r w:rsidRPr="00FD5728">
              <w:rPr>
                <w:rStyle w:val="Hiperpovezava"/>
                <w:noProof/>
              </w:rPr>
              <w:t>1.21</w:t>
            </w:r>
            <w:r>
              <w:rPr>
                <w:rFonts w:asciiTheme="minorHAnsi" w:eastAsiaTheme="minorEastAsia" w:hAnsiTheme="minorHAnsi" w:cstheme="minorBidi"/>
                <w:noProof/>
                <w:sz w:val="22"/>
                <w:szCs w:val="22"/>
                <w:lang w:eastAsia="sl-SI"/>
              </w:rPr>
              <w:tab/>
            </w:r>
            <w:r w:rsidRPr="00FD5728">
              <w:rPr>
                <w:rStyle w:val="Hiperpovezava"/>
                <w:noProof/>
              </w:rPr>
              <w:t>Starostna in izobrazbena struktura v kmetijstvu</w:t>
            </w:r>
            <w:r>
              <w:rPr>
                <w:noProof/>
                <w:webHidden/>
              </w:rPr>
              <w:tab/>
            </w:r>
            <w:r>
              <w:rPr>
                <w:noProof/>
                <w:webHidden/>
              </w:rPr>
              <w:fldChar w:fldCharType="begin"/>
            </w:r>
            <w:r>
              <w:rPr>
                <w:noProof/>
                <w:webHidden/>
              </w:rPr>
              <w:instrText xml:space="preserve"> PAGEREF _Toc55912194 \h </w:instrText>
            </w:r>
            <w:r>
              <w:rPr>
                <w:noProof/>
                <w:webHidden/>
              </w:rPr>
            </w:r>
            <w:r>
              <w:rPr>
                <w:noProof/>
                <w:webHidden/>
              </w:rPr>
              <w:fldChar w:fldCharType="separate"/>
            </w:r>
            <w:r w:rsidR="00ED2796">
              <w:rPr>
                <w:noProof/>
                <w:webHidden/>
              </w:rPr>
              <w:t>56</w:t>
            </w:r>
            <w:r>
              <w:rPr>
                <w:noProof/>
                <w:webHidden/>
              </w:rPr>
              <w:fldChar w:fldCharType="end"/>
            </w:r>
          </w:hyperlink>
        </w:p>
        <w:p w14:paraId="68BA4BF5" w14:textId="69DCE1FC" w:rsidR="0035086C" w:rsidRDefault="0035086C">
          <w:pPr>
            <w:pStyle w:val="Kazalovsebine2"/>
            <w:rPr>
              <w:rFonts w:asciiTheme="minorHAnsi" w:eastAsiaTheme="minorEastAsia" w:hAnsiTheme="minorHAnsi" w:cstheme="minorBidi"/>
              <w:noProof/>
              <w:sz w:val="22"/>
              <w:szCs w:val="22"/>
              <w:lang w:eastAsia="sl-SI"/>
            </w:rPr>
          </w:pPr>
          <w:hyperlink w:anchor="_Toc55912195" w:history="1">
            <w:r w:rsidRPr="00FD5728">
              <w:rPr>
                <w:rStyle w:val="Hiperpovezava"/>
                <w:noProof/>
              </w:rPr>
              <w:t>1.22</w:t>
            </w:r>
            <w:r>
              <w:rPr>
                <w:rFonts w:asciiTheme="minorHAnsi" w:eastAsiaTheme="minorEastAsia" w:hAnsiTheme="minorHAnsi" w:cstheme="minorBidi"/>
                <w:noProof/>
                <w:sz w:val="22"/>
                <w:szCs w:val="22"/>
                <w:lang w:eastAsia="sl-SI"/>
              </w:rPr>
              <w:tab/>
            </w:r>
            <w:r w:rsidRPr="00FD5728">
              <w:rPr>
                <w:rStyle w:val="Hiperpovezava"/>
                <w:noProof/>
              </w:rPr>
              <w:t>Izobrazbena struktura nosilcev kmetijskih gospodarstev</w:t>
            </w:r>
            <w:r>
              <w:rPr>
                <w:noProof/>
                <w:webHidden/>
              </w:rPr>
              <w:tab/>
            </w:r>
            <w:r>
              <w:rPr>
                <w:noProof/>
                <w:webHidden/>
              </w:rPr>
              <w:fldChar w:fldCharType="begin"/>
            </w:r>
            <w:r>
              <w:rPr>
                <w:noProof/>
                <w:webHidden/>
              </w:rPr>
              <w:instrText xml:space="preserve"> PAGEREF _Toc55912195 \h </w:instrText>
            </w:r>
            <w:r>
              <w:rPr>
                <w:noProof/>
                <w:webHidden/>
              </w:rPr>
            </w:r>
            <w:r>
              <w:rPr>
                <w:noProof/>
                <w:webHidden/>
              </w:rPr>
              <w:fldChar w:fldCharType="separate"/>
            </w:r>
            <w:r w:rsidR="00ED2796">
              <w:rPr>
                <w:noProof/>
                <w:webHidden/>
              </w:rPr>
              <w:t>56</w:t>
            </w:r>
            <w:r>
              <w:rPr>
                <w:noProof/>
                <w:webHidden/>
              </w:rPr>
              <w:fldChar w:fldCharType="end"/>
            </w:r>
          </w:hyperlink>
        </w:p>
        <w:p w14:paraId="4E00D8C2" w14:textId="14BA1B90" w:rsidR="0035086C" w:rsidRDefault="0035086C">
          <w:pPr>
            <w:pStyle w:val="Kazalovsebine2"/>
            <w:rPr>
              <w:rFonts w:asciiTheme="minorHAnsi" w:eastAsiaTheme="minorEastAsia" w:hAnsiTheme="minorHAnsi" w:cstheme="minorBidi"/>
              <w:noProof/>
              <w:sz w:val="22"/>
              <w:szCs w:val="22"/>
              <w:lang w:eastAsia="sl-SI"/>
            </w:rPr>
          </w:pPr>
          <w:hyperlink w:anchor="_Toc55912196" w:history="1">
            <w:r w:rsidRPr="00FD5728">
              <w:rPr>
                <w:rStyle w:val="Hiperpovezava"/>
                <w:noProof/>
              </w:rPr>
              <w:t>1.23</w:t>
            </w:r>
            <w:r>
              <w:rPr>
                <w:rFonts w:asciiTheme="minorHAnsi" w:eastAsiaTheme="minorEastAsia" w:hAnsiTheme="minorHAnsi" w:cstheme="minorBidi"/>
                <w:noProof/>
                <w:sz w:val="22"/>
                <w:szCs w:val="22"/>
                <w:lang w:eastAsia="sl-SI"/>
              </w:rPr>
              <w:tab/>
            </w:r>
            <w:r w:rsidRPr="00FD5728">
              <w:rPr>
                <w:rStyle w:val="Hiperpovezava"/>
                <w:noProof/>
              </w:rPr>
              <w:t>Starostna struktura nosilcev kmetijskih gospodarstev</w:t>
            </w:r>
            <w:r>
              <w:rPr>
                <w:noProof/>
                <w:webHidden/>
              </w:rPr>
              <w:tab/>
            </w:r>
            <w:r>
              <w:rPr>
                <w:noProof/>
                <w:webHidden/>
              </w:rPr>
              <w:fldChar w:fldCharType="begin"/>
            </w:r>
            <w:r>
              <w:rPr>
                <w:noProof/>
                <w:webHidden/>
              </w:rPr>
              <w:instrText xml:space="preserve"> PAGEREF _Toc55912196 \h </w:instrText>
            </w:r>
            <w:r>
              <w:rPr>
                <w:noProof/>
                <w:webHidden/>
              </w:rPr>
            </w:r>
            <w:r>
              <w:rPr>
                <w:noProof/>
                <w:webHidden/>
              </w:rPr>
              <w:fldChar w:fldCharType="separate"/>
            </w:r>
            <w:r w:rsidR="00ED2796">
              <w:rPr>
                <w:noProof/>
                <w:webHidden/>
              </w:rPr>
              <w:t>58</w:t>
            </w:r>
            <w:r>
              <w:rPr>
                <w:noProof/>
                <w:webHidden/>
              </w:rPr>
              <w:fldChar w:fldCharType="end"/>
            </w:r>
          </w:hyperlink>
        </w:p>
        <w:p w14:paraId="118873C1" w14:textId="60A9B8DC" w:rsidR="0035086C" w:rsidRDefault="0035086C">
          <w:pPr>
            <w:pStyle w:val="Kazalovsebine2"/>
            <w:rPr>
              <w:rFonts w:asciiTheme="minorHAnsi" w:eastAsiaTheme="minorEastAsia" w:hAnsiTheme="minorHAnsi" w:cstheme="minorBidi"/>
              <w:noProof/>
              <w:sz w:val="22"/>
              <w:szCs w:val="22"/>
              <w:lang w:eastAsia="sl-SI"/>
            </w:rPr>
          </w:pPr>
          <w:hyperlink w:anchor="_Toc55912197" w:history="1">
            <w:r w:rsidRPr="00FD5728">
              <w:rPr>
                <w:rStyle w:val="Hiperpovezava"/>
                <w:noProof/>
              </w:rPr>
              <w:t>1.24</w:t>
            </w:r>
            <w:r>
              <w:rPr>
                <w:rFonts w:asciiTheme="minorHAnsi" w:eastAsiaTheme="minorEastAsia" w:hAnsiTheme="minorHAnsi" w:cstheme="minorBidi"/>
                <w:noProof/>
                <w:sz w:val="22"/>
                <w:szCs w:val="22"/>
                <w:lang w:eastAsia="sl-SI"/>
              </w:rPr>
              <w:tab/>
            </w:r>
            <w:r w:rsidRPr="00FD5728">
              <w:rPr>
                <w:rStyle w:val="Hiperpovezava"/>
                <w:noProof/>
              </w:rPr>
              <w:t>Ključne ugotovitve</w:t>
            </w:r>
            <w:r>
              <w:rPr>
                <w:noProof/>
                <w:webHidden/>
              </w:rPr>
              <w:tab/>
            </w:r>
            <w:r>
              <w:rPr>
                <w:noProof/>
                <w:webHidden/>
              </w:rPr>
              <w:fldChar w:fldCharType="begin"/>
            </w:r>
            <w:r>
              <w:rPr>
                <w:noProof/>
                <w:webHidden/>
              </w:rPr>
              <w:instrText xml:space="preserve"> PAGEREF _Toc55912197 \h </w:instrText>
            </w:r>
            <w:r>
              <w:rPr>
                <w:noProof/>
                <w:webHidden/>
              </w:rPr>
            </w:r>
            <w:r>
              <w:rPr>
                <w:noProof/>
                <w:webHidden/>
              </w:rPr>
              <w:fldChar w:fldCharType="separate"/>
            </w:r>
            <w:r w:rsidR="00ED2796">
              <w:rPr>
                <w:noProof/>
                <w:webHidden/>
              </w:rPr>
              <w:t>60</w:t>
            </w:r>
            <w:r>
              <w:rPr>
                <w:noProof/>
                <w:webHidden/>
              </w:rPr>
              <w:fldChar w:fldCharType="end"/>
            </w:r>
          </w:hyperlink>
        </w:p>
        <w:p w14:paraId="3ACD6E75" w14:textId="4535C9C0" w:rsidR="0035086C" w:rsidRDefault="0035086C">
          <w:pPr>
            <w:pStyle w:val="Kazalovsebine1"/>
            <w:rPr>
              <w:rFonts w:asciiTheme="minorHAnsi" w:eastAsiaTheme="minorEastAsia" w:hAnsiTheme="minorHAnsi" w:cstheme="minorBidi"/>
              <w:noProof/>
              <w:sz w:val="22"/>
              <w:szCs w:val="22"/>
              <w:lang w:eastAsia="sl-SI"/>
            </w:rPr>
          </w:pPr>
          <w:hyperlink w:anchor="_Toc55912198" w:history="1">
            <w:r w:rsidRPr="00FD5728">
              <w:rPr>
                <w:rStyle w:val="Hiperpovezava"/>
                <w:rFonts w:eastAsia="Calibri"/>
                <w:noProof/>
              </w:rPr>
              <w:t>2</w:t>
            </w:r>
            <w:r>
              <w:rPr>
                <w:rFonts w:asciiTheme="minorHAnsi" w:eastAsiaTheme="minorEastAsia" w:hAnsiTheme="minorHAnsi" w:cstheme="minorBidi"/>
                <w:noProof/>
                <w:sz w:val="22"/>
                <w:szCs w:val="22"/>
                <w:lang w:eastAsia="sl-SI"/>
              </w:rPr>
              <w:tab/>
            </w:r>
            <w:r w:rsidRPr="00FD5728">
              <w:rPr>
                <w:rStyle w:val="Hiperpovezava"/>
                <w:noProof/>
              </w:rPr>
              <w:t>ANALIZA KMETIJSKIH SEKTORJEV</w:t>
            </w:r>
            <w:r>
              <w:rPr>
                <w:noProof/>
                <w:webHidden/>
              </w:rPr>
              <w:tab/>
            </w:r>
            <w:r>
              <w:rPr>
                <w:noProof/>
                <w:webHidden/>
              </w:rPr>
              <w:fldChar w:fldCharType="begin"/>
            </w:r>
            <w:r>
              <w:rPr>
                <w:noProof/>
                <w:webHidden/>
              </w:rPr>
              <w:instrText xml:space="preserve"> PAGEREF _Toc55912198 \h </w:instrText>
            </w:r>
            <w:r>
              <w:rPr>
                <w:noProof/>
                <w:webHidden/>
              </w:rPr>
            </w:r>
            <w:r>
              <w:rPr>
                <w:noProof/>
                <w:webHidden/>
              </w:rPr>
              <w:fldChar w:fldCharType="separate"/>
            </w:r>
            <w:r w:rsidR="00ED2796">
              <w:rPr>
                <w:noProof/>
                <w:webHidden/>
              </w:rPr>
              <w:t>6</w:t>
            </w:r>
            <w:r w:rsidR="00ED2796">
              <w:rPr>
                <w:noProof/>
                <w:webHidden/>
              </w:rPr>
              <w:t>3</w:t>
            </w:r>
            <w:r>
              <w:rPr>
                <w:noProof/>
                <w:webHidden/>
              </w:rPr>
              <w:fldChar w:fldCharType="end"/>
            </w:r>
          </w:hyperlink>
        </w:p>
        <w:p w14:paraId="761352F2" w14:textId="284E5F9E" w:rsidR="0035086C" w:rsidRDefault="0035086C">
          <w:pPr>
            <w:pStyle w:val="Kazalovsebine2"/>
            <w:rPr>
              <w:rFonts w:asciiTheme="minorHAnsi" w:eastAsiaTheme="minorEastAsia" w:hAnsiTheme="minorHAnsi" w:cstheme="minorBidi"/>
              <w:noProof/>
              <w:sz w:val="22"/>
              <w:szCs w:val="22"/>
              <w:lang w:eastAsia="sl-SI"/>
            </w:rPr>
          </w:pPr>
          <w:hyperlink w:anchor="_Toc55912199" w:history="1">
            <w:r w:rsidRPr="00FD5728">
              <w:rPr>
                <w:rStyle w:val="Hiperpovezava"/>
                <w:rFonts w:eastAsia="Calibri"/>
                <w:noProof/>
              </w:rPr>
              <w:t>2.1</w:t>
            </w:r>
            <w:r>
              <w:rPr>
                <w:rFonts w:asciiTheme="minorHAnsi" w:eastAsiaTheme="minorEastAsia" w:hAnsiTheme="minorHAnsi" w:cstheme="minorBidi"/>
                <w:noProof/>
                <w:sz w:val="22"/>
                <w:szCs w:val="22"/>
                <w:lang w:eastAsia="sl-SI"/>
              </w:rPr>
              <w:tab/>
            </w:r>
            <w:r w:rsidRPr="00FD5728">
              <w:rPr>
                <w:rStyle w:val="Hiperpovezava"/>
                <w:rFonts w:eastAsia="Calibri"/>
                <w:noProof/>
              </w:rPr>
              <w:t>Govedoreja</w:t>
            </w:r>
            <w:r>
              <w:rPr>
                <w:noProof/>
                <w:webHidden/>
              </w:rPr>
              <w:tab/>
            </w:r>
            <w:r>
              <w:rPr>
                <w:noProof/>
                <w:webHidden/>
              </w:rPr>
              <w:fldChar w:fldCharType="begin"/>
            </w:r>
            <w:r>
              <w:rPr>
                <w:noProof/>
                <w:webHidden/>
              </w:rPr>
              <w:instrText xml:space="preserve"> PAGEREF _Toc55912199 \h </w:instrText>
            </w:r>
            <w:r>
              <w:rPr>
                <w:noProof/>
                <w:webHidden/>
              </w:rPr>
            </w:r>
            <w:r>
              <w:rPr>
                <w:noProof/>
                <w:webHidden/>
              </w:rPr>
              <w:fldChar w:fldCharType="separate"/>
            </w:r>
            <w:r w:rsidR="00ED2796">
              <w:rPr>
                <w:noProof/>
                <w:webHidden/>
              </w:rPr>
              <w:t>63</w:t>
            </w:r>
            <w:r>
              <w:rPr>
                <w:noProof/>
                <w:webHidden/>
              </w:rPr>
              <w:fldChar w:fldCharType="end"/>
            </w:r>
          </w:hyperlink>
        </w:p>
        <w:p w14:paraId="5E6202F3" w14:textId="4513A336" w:rsidR="0035086C" w:rsidRDefault="0035086C">
          <w:pPr>
            <w:pStyle w:val="Kazalovsebine3"/>
            <w:tabs>
              <w:tab w:val="left" w:pos="1320"/>
              <w:tab w:val="right" w:leader="dot" w:pos="9062"/>
            </w:tabs>
            <w:rPr>
              <w:rFonts w:asciiTheme="minorHAnsi" w:eastAsiaTheme="minorEastAsia" w:hAnsiTheme="minorHAnsi" w:cstheme="minorBidi"/>
              <w:noProof/>
              <w:sz w:val="22"/>
              <w:szCs w:val="22"/>
              <w:lang w:eastAsia="sl-SI"/>
            </w:rPr>
          </w:pPr>
          <w:hyperlink w:anchor="_Toc55912200" w:history="1">
            <w:r w:rsidRPr="00FD5728">
              <w:rPr>
                <w:rStyle w:val="Hiperpovezava"/>
                <w:rFonts w:eastAsia="Calibri"/>
                <w:noProof/>
              </w:rPr>
              <w:t>2.1.1</w:t>
            </w:r>
            <w:r>
              <w:rPr>
                <w:rFonts w:asciiTheme="minorHAnsi" w:eastAsiaTheme="minorEastAsia" w:hAnsiTheme="minorHAnsi" w:cstheme="minorBidi"/>
                <w:noProof/>
                <w:sz w:val="22"/>
                <w:szCs w:val="22"/>
                <w:lang w:eastAsia="sl-SI"/>
              </w:rPr>
              <w:tab/>
            </w:r>
            <w:r w:rsidRPr="00FD5728">
              <w:rPr>
                <w:rStyle w:val="Hiperpovezava"/>
                <w:rFonts w:eastAsia="Calibri"/>
                <w:noProof/>
              </w:rPr>
              <w:t>Stanje in osnovni ekonomski kazalniki</w:t>
            </w:r>
            <w:r>
              <w:rPr>
                <w:noProof/>
                <w:webHidden/>
              </w:rPr>
              <w:tab/>
            </w:r>
            <w:r>
              <w:rPr>
                <w:noProof/>
                <w:webHidden/>
              </w:rPr>
              <w:fldChar w:fldCharType="begin"/>
            </w:r>
            <w:r>
              <w:rPr>
                <w:noProof/>
                <w:webHidden/>
              </w:rPr>
              <w:instrText xml:space="preserve"> PAGEREF _Toc55912200 \h </w:instrText>
            </w:r>
            <w:r>
              <w:rPr>
                <w:noProof/>
                <w:webHidden/>
              </w:rPr>
            </w:r>
            <w:r>
              <w:rPr>
                <w:noProof/>
                <w:webHidden/>
              </w:rPr>
              <w:fldChar w:fldCharType="separate"/>
            </w:r>
            <w:r w:rsidR="00ED2796">
              <w:rPr>
                <w:noProof/>
                <w:webHidden/>
              </w:rPr>
              <w:t>63</w:t>
            </w:r>
            <w:r>
              <w:rPr>
                <w:noProof/>
                <w:webHidden/>
              </w:rPr>
              <w:fldChar w:fldCharType="end"/>
            </w:r>
          </w:hyperlink>
        </w:p>
        <w:p w14:paraId="711819FD" w14:textId="68CB84F2" w:rsidR="0035086C" w:rsidRDefault="0035086C">
          <w:pPr>
            <w:pStyle w:val="Kazalovsebine3"/>
            <w:tabs>
              <w:tab w:val="left" w:pos="1320"/>
              <w:tab w:val="right" w:leader="dot" w:pos="9062"/>
            </w:tabs>
            <w:rPr>
              <w:rFonts w:asciiTheme="minorHAnsi" w:eastAsiaTheme="minorEastAsia" w:hAnsiTheme="minorHAnsi" w:cstheme="minorBidi"/>
              <w:noProof/>
              <w:sz w:val="22"/>
              <w:szCs w:val="22"/>
              <w:lang w:eastAsia="sl-SI"/>
            </w:rPr>
          </w:pPr>
          <w:hyperlink w:anchor="_Toc55912201" w:history="1">
            <w:r w:rsidRPr="00FD5728">
              <w:rPr>
                <w:rStyle w:val="Hiperpovezava"/>
                <w:rFonts w:eastAsia="Calibri"/>
                <w:noProof/>
              </w:rPr>
              <w:t>2.1.2</w:t>
            </w:r>
            <w:r>
              <w:rPr>
                <w:rFonts w:asciiTheme="minorHAnsi" w:eastAsiaTheme="minorEastAsia" w:hAnsiTheme="minorHAnsi" w:cstheme="minorBidi"/>
                <w:noProof/>
                <w:sz w:val="22"/>
                <w:szCs w:val="22"/>
                <w:lang w:eastAsia="sl-SI"/>
              </w:rPr>
              <w:tab/>
            </w:r>
            <w:r w:rsidRPr="00FD5728">
              <w:rPr>
                <w:rStyle w:val="Hiperpovezava"/>
                <w:rFonts w:eastAsia="Calibri"/>
                <w:noProof/>
              </w:rPr>
              <w:t>Ključne ugotovitve</w:t>
            </w:r>
            <w:r>
              <w:rPr>
                <w:noProof/>
                <w:webHidden/>
              </w:rPr>
              <w:tab/>
            </w:r>
            <w:r>
              <w:rPr>
                <w:noProof/>
                <w:webHidden/>
              </w:rPr>
              <w:fldChar w:fldCharType="begin"/>
            </w:r>
            <w:r>
              <w:rPr>
                <w:noProof/>
                <w:webHidden/>
              </w:rPr>
              <w:instrText xml:space="preserve"> PAGEREF _Toc55912201 \h </w:instrText>
            </w:r>
            <w:r>
              <w:rPr>
                <w:noProof/>
                <w:webHidden/>
              </w:rPr>
            </w:r>
            <w:r>
              <w:rPr>
                <w:noProof/>
                <w:webHidden/>
              </w:rPr>
              <w:fldChar w:fldCharType="separate"/>
            </w:r>
            <w:r w:rsidR="00ED2796">
              <w:rPr>
                <w:noProof/>
                <w:webHidden/>
              </w:rPr>
              <w:t>68</w:t>
            </w:r>
            <w:r>
              <w:rPr>
                <w:noProof/>
                <w:webHidden/>
              </w:rPr>
              <w:fldChar w:fldCharType="end"/>
            </w:r>
          </w:hyperlink>
        </w:p>
        <w:p w14:paraId="44A9E676" w14:textId="4EA43BB6" w:rsidR="0035086C" w:rsidRDefault="0035086C">
          <w:pPr>
            <w:pStyle w:val="Kazalovsebine2"/>
            <w:rPr>
              <w:rFonts w:asciiTheme="minorHAnsi" w:eastAsiaTheme="minorEastAsia" w:hAnsiTheme="minorHAnsi" w:cstheme="minorBidi"/>
              <w:noProof/>
              <w:sz w:val="22"/>
              <w:szCs w:val="22"/>
              <w:lang w:eastAsia="sl-SI"/>
            </w:rPr>
          </w:pPr>
          <w:hyperlink w:anchor="_Toc55912202" w:history="1">
            <w:r w:rsidRPr="00FD5728">
              <w:rPr>
                <w:rStyle w:val="Hiperpovezava"/>
                <w:rFonts w:eastAsia="Calibri"/>
                <w:noProof/>
              </w:rPr>
              <w:t>2.2</w:t>
            </w:r>
            <w:r>
              <w:rPr>
                <w:rFonts w:asciiTheme="minorHAnsi" w:eastAsiaTheme="minorEastAsia" w:hAnsiTheme="minorHAnsi" w:cstheme="minorBidi"/>
                <w:noProof/>
                <w:sz w:val="22"/>
                <w:szCs w:val="22"/>
                <w:lang w:eastAsia="sl-SI"/>
              </w:rPr>
              <w:tab/>
            </w:r>
            <w:r w:rsidRPr="00FD5728">
              <w:rPr>
                <w:rStyle w:val="Hiperpovezava"/>
                <w:rFonts w:eastAsia="Calibri"/>
                <w:noProof/>
              </w:rPr>
              <w:t>Prašičereja</w:t>
            </w:r>
            <w:r>
              <w:rPr>
                <w:noProof/>
                <w:webHidden/>
              </w:rPr>
              <w:tab/>
            </w:r>
            <w:r>
              <w:rPr>
                <w:noProof/>
                <w:webHidden/>
              </w:rPr>
              <w:fldChar w:fldCharType="begin"/>
            </w:r>
            <w:r>
              <w:rPr>
                <w:noProof/>
                <w:webHidden/>
              </w:rPr>
              <w:instrText xml:space="preserve"> PAGEREF _Toc55912202 \h </w:instrText>
            </w:r>
            <w:r>
              <w:rPr>
                <w:noProof/>
                <w:webHidden/>
              </w:rPr>
            </w:r>
            <w:r>
              <w:rPr>
                <w:noProof/>
                <w:webHidden/>
              </w:rPr>
              <w:fldChar w:fldCharType="separate"/>
            </w:r>
            <w:r w:rsidR="00ED2796">
              <w:rPr>
                <w:noProof/>
                <w:webHidden/>
              </w:rPr>
              <w:t>69</w:t>
            </w:r>
            <w:r>
              <w:rPr>
                <w:noProof/>
                <w:webHidden/>
              </w:rPr>
              <w:fldChar w:fldCharType="end"/>
            </w:r>
          </w:hyperlink>
        </w:p>
        <w:p w14:paraId="44FB17E8" w14:textId="7039662D" w:rsidR="0035086C" w:rsidRDefault="0035086C">
          <w:pPr>
            <w:pStyle w:val="Kazalovsebine3"/>
            <w:tabs>
              <w:tab w:val="left" w:pos="1320"/>
              <w:tab w:val="right" w:leader="dot" w:pos="9062"/>
            </w:tabs>
            <w:rPr>
              <w:rFonts w:asciiTheme="minorHAnsi" w:eastAsiaTheme="minorEastAsia" w:hAnsiTheme="minorHAnsi" w:cstheme="minorBidi"/>
              <w:noProof/>
              <w:sz w:val="22"/>
              <w:szCs w:val="22"/>
              <w:lang w:eastAsia="sl-SI"/>
            </w:rPr>
          </w:pPr>
          <w:hyperlink w:anchor="_Toc55912203" w:history="1">
            <w:r w:rsidRPr="00FD5728">
              <w:rPr>
                <w:rStyle w:val="Hiperpovezava"/>
                <w:rFonts w:eastAsia="Calibri"/>
                <w:noProof/>
              </w:rPr>
              <w:t>2.2.1</w:t>
            </w:r>
            <w:r>
              <w:rPr>
                <w:rFonts w:asciiTheme="minorHAnsi" w:eastAsiaTheme="minorEastAsia" w:hAnsiTheme="minorHAnsi" w:cstheme="minorBidi"/>
                <w:noProof/>
                <w:sz w:val="22"/>
                <w:szCs w:val="22"/>
                <w:lang w:eastAsia="sl-SI"/>
              </w:rPr>
              <w:tab/>
            </w:r>
            <w:r w:rsidRPr="00FD5728">
              <w:rPr>
                <w:rStyle w:val="Hiperpovezava"/>
                <w:rFonts w:eastAsia="Calibri"/>
                <w:noProof/>
              </w:rPr>
              <w:t>Stanje v sektorju in osnovni ekonomski kazalniki</w:t>
            </w:r>
            <w:r>
              <w:rPr>
                <w:noProof/>
                <w:webHidden/>
              </w:rPr>
              <w:tab/>
            </w:r>
            <w:r>
              <w:rPr>
                <w:noProof/>
                <w:webHidden/>
              </w:rPr>
              <w:fldChar w:fldCharType="begin"/>
            </w:r>
            <w:r>
              <w:rPr>
                <w:noProof/>
                <w:webHidden/>
              </w:rPr>
              <w:instrText xml:space="preserve"> PAGEREF _Toc55912203 \h </w:instrText>
            </w:r>
            <w:r>
              <w:rPr>
                <w:noProof/>
                <w:webHidden/>
              </w:rPr>
            </w:r>
            <w:r>
              <w:rPr>
                <w:noProof/>
                <w:webHidden/>
              </w:rPr>
              <w:fldChar w:fldCharType="separate"/>
            </w:r>
            <w:r w:rsidR="00ED2796">
              <w:rPr>
                <w:noProof/>
                <w:webHidden/>
              </w:rPr>
              <w:t>70</w:t>
            </w:r>
            <w:r>
              <w:rPr>
                <w:noProof/>
                <w:webHidden/>
              </w:rPr>
              <w:fldChar w:fldCharType="end"/>
            </w:r>
          </w:hyperlink>
        </w:p>
        <w:p w14:paraId="6FD0ED5B" w14:textId="726342B2" w:rsidR="0035086C" w:rsidRDefault="0035086C">
          <w:pPr>
            <w:pStyle w:val="Kazalovsebine3"/>
            <w:tabs>
              <w:tab w:val="left" w:pos="1320"/>
              <w:tab w:val="right" w:leader="dot" w:pos="9062"/>
            </w:tabs>
            <w:rPr>
              <w:rFonts w:asciiTheme="minorHAnsi" w:eastAsiaTheme="minorEastAsia" w:hAnsiTheme="minorHAnsi" w:cstheme="minorBidi"/>
              <w:noProof/>
              <w:sz w:val="22"/>
              <w:szCs w:val="22"/>
              <w:lang w:eastAsia="sl-SI"/>
            </w:rPr>
          </w:pPr>
          <w:hyperlink w:anchor="_Toc55912204" w:history="1">
            <w:r w:rsidRPr="00FD5728">
              <w:rPr>
                <w:rStyle w:val="Hiperpovezava"/>
                <w:rFonts w:eastAsia="Calibri"/>
                <w:noProof/>
              </w:rPr>
              <w:t>2.2.2</w:t>
            </w:r>
            <w:r>
              <w:rPr>
                <w:rFonts w:asciiTheme="minorHAnsi" w:eastAsiaTheme="minorEastAsia" w:hAnsiTheme="minorHAnsi" w:cstheme="minorBidi"/>
                <w:noProof/>
                <w:sz w:val="22"/>
                <w:szCs w:val="22"/>
                <w:lang w:eastAsia="sl-SI"/>
              </w:rPr>
              <w:tab/>
            </w:r>
            <w:r w:rsidRPr="00FD5728">
              <w:rPr>
                <w:rStyle w:val="Hiperpovezava"/>
                <w:rFonts w:eastAsia="Calibri"/>
                <w:noProof/>
              </w:rPr>
              <w:t>Ključne ugotovitve</w:t>
            </w:r>
            <w:r>
              <w:rPr>
                <w:noProof/>
                <w:webHidden/>
              </w:rPr>
              <w:tab/>
            </w:r>
            <w:r>
              <w:rPr>
                <w:noProof/>
                <w:webHidden/>
              </w:rPr>
              <w:fldChar w:fldCharType="begin"/>
            </w:r>
            <w:r>
              <w:rPr>
                <w:noProof/>
                <w:webHidden/>
              </w:rPr>
              <w:instrText xml:space="preserve"> PAGEREF _Toc55912204 \h </w:instrText>
            </w:r>
            <w:r>
              <w:rPr>
                <w:noProof/>
                <w:webHidden/>
              </w:rPr>
            </w:r>
            <w:r>
              <w:rPr>
                <w:noProof/>
                <w:webHidden/>
              </w:rPr>
              <w:fldChar w:fldCharType="separate"/>
            </w:r>
            <w:r w:rsidR="00ED2796">
              <w:rPr>
                <w:noProof/>
                <w:webHidden/>
              </w:rPr>
              <w:t>74</w:t>
            </w:r>
            <w:r>
              <w:rPr>
                <w:noProof/>
                <w:webHidden/>
              </w:rPr>
              <w:fldChar w:fldCharType="end"/>
            </w:r>
          </w:hyperlink>
        </w:p>
        <w:p w14:paraId="3D2EA03D" w14:textId="32947B4A" w:rsidR="0035086C" w:rsidRDefault="0035086C">
          <w:pPr>
            <w:pStyle w:val="Kazalovsebine2"/>
            <w:rPr>
              <w:rFonts w:asciiTheme="minorHAnsi" w:eastAsiaTheme="minorEastAsia" w:hAnsiTheme="minorHAnsi" w:cstheme="minorBidi"/>
              <w:noProof/>
              <w:sz w:val="22"/>
              <w:szCs w:val="22"/>
              <w:lang w:eastAsia="sl-SI"/>
            </w:rPr>
          </w:pPr>
          <w:hyperlink w:anchor="_Toc55912205" w:history="1">
            <w:r w:rsidRPr="00FD5728">
              <w:rPr>
                <w:rStyle w:val="Hiperpovezava"/>
                <w:rFonts w:eastAsia="Calibri"/>
                <w:noProof/>
              </w:rPr>
              <w:t>2.3</w:t>
            </w:r>
            <w:r>
              <w:rPr>
                <w:rFonts w:asciiTheme="minorHAnsi" w:eastAsiaTheme="minorEastAsia" w:hAnsiTheme="minorHAnsi" w:cstheme="minorBidi"/>
                <w:noProof/>
                <w:sz w:val="22"/>
                <w:szCs w:val="22"/>
                <w:lang w:eastAsia="sl-SI"/>
              </w:rPr>
              <w:tab/>
            </w:r>
            <w:r w:rsidRPr="00FD5728">
              <w:rPr>
                <w:rStyle w:val="Hiperpovezava"/>
                <w:noProof/>
              </w:rPr>
              <w:t>Perutninarstvo</w:t>
            </w:r>
            <w:r>
              <w:rPr>
                <w:noProof/>
                <w:webHidden/>
              </w:rPr>
              <w:tab/>
            </w:r>
            <w:r>
              <w:rPr>
                <w:noProof/>
                <w:webHidden/>
              </w:rPr>
              <w:fldChar w:fldCharType="begin"/>
            </w:r>
            <w:r>
              <w:rPr>
                <w:noProof/>
                <w:webHidden/>
              </w:rPr>
              <w:instrText xml:space="preserve"> PAGEREF _Toc55912205 \h </w:instrText>
            </w:r>
            <w:r>
              <w:rPr>
                <w:noProof/>
                <w:webHidden/>
              </w:rPr>
            </w:r>
            <w:r>
              <w:rPr>
                <w:noProof/>
                <w:webHidden/>
              </w:rPr>
              <w:fldChar w:fldCharType="separate"/>
            </w:r>
            <w:r w:rsidR="00ED2796">
              <w:rPr>
                <w:noProof/>
                <w:webHidden/>
              </w:rPr>
              <w:t>74</w:t>
            </w:r>
            <w:r>
              <w:rPr>
                <w:noProof/>
                <w:webHidden/>
              </w:rPr>
              <w:fldChar w:fldCharType="end"/>
            </w:r>
          </w:hyperlink>
        </w:p>
        <w:p w14:paraId="40C61874" w14:textId="1949001E" w:rsidR="0035086C" w:rsidRDefault="0035086C">
          <w:pPr>
            <w:pStyle w:val="Kazalovsebine3"/>
            <w:tabs>
              <w:tab w:val="left" w:pos="1320"/>
              <w:tab w:val="right" w:leader="dot" w:pos="9062"/>
            </w:tabs>
            <w:rPr>
              <w:rFonts w:asciiTheme="minorHAnsi" w:eastAsiaTheme="minorEastAsia" w:hAnsiTheme="minorHAnsi" w:cstheme="minorBidi"/>
              <w:noProof/>
              <w:sz w:val="22"/>
              <w:szCs w:val="22"/>
              <w:lang w:eastAsia="sl-SI"/>
            </w:rPr>
          </w:pPr>
          <w:hyperlink w:anchor="_Toc55912206" w:history="1">
            <w:r w:rsidRPr="00FD5728">
              <w:rPr>
                <w:rStyle w:val="Hiperpovezava"/>
                <w:rFonts w:eastAsia="Calibri"/>
                <w:noProof/>
              </w:rPr>
              <w:t>2.3.1</w:t>
            </w:r>
            <w:r>
              <w:rPr>
                <w:rFonts w:asciiTheme="minorHAnsi" w:eastAsiaTheme="minorEastAsia" w:hAnsiTheme="minorHAnsi" w:cstheme="minorBidi"/>
                <w:noProof/>
                <w:sz w:val="22"/>
                <w:szCs w:val="22"/>
                <w:lang w:eastAsia="sl-SI"/>
              </w:rPr>
              <w:tab/>
            </w:r>
            <w:r w:rsidRPr="00FD5728">
              <w:rPr>
                <w:rStyle w:val="Hiperpovezava"/>
                <w:rFonts w:eastAsia="Calibri"/>
                <w:noProof/>
              </w:rPr>
              <w:t>Stanje v sektorju in osnovni ekonomski kazalniki</w:t>
            </w:r>
            <w:r>
              <w:rPr>
                <w:noProof/>
                <w:webHidden/>
              </w:rPr>
              <w:tab/>
            </w:r>
            <w:r>
              <w:rPr>
                <w:noProof/>
                <w:webHidden/>
              </w:rPr>
              <w:fldChar w:fldCharType="begin"/>
            </w:r>
            <w:r>
              <w:rPr>
                <w:noProof/>
                <w:webHidden/>
              </w:rPr>
              <w:instrText xml:space="preserve"> PAGEREF _Toc55912206 \h </w:instrText>
            </w:r>
            <w:r>
              <w:rPr>
                <w:noProof/>
                <w:webHidden/>
              </w:rPr>
            </w:r>
            <w:r>
              <w:rPr>
                <w:noProof/>
                <w:webHidden/>
              </w:rPr>
              <w:fldChar w:fldCharType="separate"/>
            </w:r>
            <w:r w:rsidR="00ED2796">
              <w:rPr>
                <w:noProof/>
                <w:webHidden/>
              </w:rPr>
              <w:t>74</w:t>
            </w:r>
            <w:r>
              <w:rPr>
                <w:noProof/>
                <w:webHidden/>
              </w:rPr>
              <w:fldChar w:fldCharType="end"/>
            </w:r>
          </w:hyperlink>
        </w:p>
        <w:p w14:paraId="0AA5013F" w14:textId="3DDDB5A0" w:rsidR="0035086C" w:rsidRDefault="0035086C">
          <w:pPr>
            <w:pStyle w:val="Kazalovsebine3"/>
            <w:tabs>
              <w:tab w:val="left" w:pos="1320"/>
              <w:tab w:val="right" w:leader="dot" w:pos="9062"/>
            </w:tabs>
            <w:rPr>
              <w:rFonts w:asciiTheme="minorHAnsi" w:eastAsiaTheme="minorEastAsia" w:hAnsiTheme="minorHAnsi" w:cstheme="minorBidi"/>
              <w:noProof/>
              <w:sz w:val="22"/>
              <w:szCs w:val="22"/>
              <w:lang w:eastAsia="sl-SI"/>
            </w:rPr>
          </w:pPr>
          <w:hyperlink w:anchor="_Toc55912207" w:history="1">
            <w:r w:rsidRPr="00FD5728">
              <w:rPr>
                <w:rStyle w:val="Hiperpovezava"/>
                <w:rFonts w:eastAsia="Calibri"/>
                <w:noProof/>
              </w:rPr>
              <w:t>2.3.2</w:t>
            </w:r>
            <w:r>
              <w:rPr>
                <w:rFonts w:asciiTheme="minorHAnsi" w:eastAsiaTheme="minorEastAsia" w:hAnsiTheme="minorHAnsi" w:cstheme="minorBidi"/>
                <w:noProof/>
                <w:sz w:val="22"/>
                <w:szCs w:val="22"/>
                <w:lang w:eastAsia="sl-SI"/>
              </w:rPr>
              <w:tab/>
            </w:r>
            <w:r w:rsidRPr="00FD5728">
              <w:rPr>
                <w:rStyle w:val="Hiperpovezava"/>
                <w:rFonts w:eastAsia="Calibri"/>
                <w:noProof/>
              </w:rPr>
              <w:t>Ključne ugotovitve</w:t>
            </w:r>
            <w:r>
              <w:rPr>
                <w:noProof/>
                <w:webHidden/>
              </w:rPr>
              <w:tab/>
            </w:r>
            <w:r>
              <w:rPr>
                <w:noProof/>
                <w:webHidden/>
              </w:rPr>
              <w:fldChar w:fldCharType="begin"/>
            </w:r>
            <w:r>
              <w:rPr>
                <w:noProof/>
                <w:webHidden/>
              </w:rPr>
              <w:instrText xml:space="preserve"> PAGEREF _Toc55912207 \h </w:instrText>
            </w:r>
            <w:r>
              <w:rPr>
                <w:noProof/>
                <w:webHidden/>
              </w:rPr>
            </w:r>
            <w:r>
              <w:rPr>
                <w:noProof/>
                <w:webHidden/>
              </w:rPr>
              <w:fldChar w:fldCharType="separate"/>
            </w:r>
            <w:r w:rsidR="00ED2796">
              <w:rPr>
                <w:noProof/>
                <w:webHidden/>
              </w:rPr>
              <w:t>77</w:t>
            </w:r>
            <w:r>
              <w:rPr>
                <w:noProof/>
                <w:webHidden/>
              </w:rPr>
              <w:fldChar w:fldCharType="end"/>
            </w:r>
          </w:hyperlink>
        </w:p>
        <w:p w14:paraId="772D7EF6" w14:textId="3928D577" w:rsidR="0035086C" w:rsidRDefault="0035086C">
          <w:pPr>
            <w:pStyle w:val="Kazalovsebine2"/>
            <w:rPr>
              <w:rFonts w:asciiTheme="minorHAnsi" w:eastAsiaTheme="minorEastAsia" w:hAnsiTheme="minorHAnsi" w:cstheme="minorBidi"/>
              <w:noProof/>
              <w:sz w:val="22"/>
              <w:szCs w:val="22"/>
              <w:lang w:eastAsia="sl-SI"/>
            </w:rPr>
          </w:pPr>
          <w:hyperlink w:anchor="_Toc55912208" w:history="1">
            <w:r w:rsidRPr="00FD5728">
              <w:rPr>
                <w:rStyle w:val="Hiperpovezava"/>
                <w:noProof/>
              </w:rPr>
              <w:t>2.4</w:t>
            </w:r>
            <w:r>
              <w:rPr>
                <w:rFonts w:asciiTheme="minorHAnsi" w:eastAsiaTheme="minorEastAsia" w:hAnsiTheme="minorHAnsi" w:cstheme="minorBidi"/>
                <w:noProof/>
                <w:sz w:val="22"/>
                <w:szCs w:val="22"/>
                <w:lang w:eastAsia="sl-SI"/>
              </w:rPr>
              <w:tab/>
            </w:r>
            <w:r w:rsidRPr="00FD5728">
              <w:rPr>
                <w:rStyle w:val="Hiperpovezava"/>
                <w:noProof/>
              </w:rPr>
              <w:t>Drobnica</w:t>
            </w:r>
            <w:r>
              <w:rPr>
                <w:noProof/>
                <w:webHidden/>
              </w:rPr>
              <w:tab/>
            </w:r>
            <w:r>
              <w:rPr>
                <w:noProof/>
                <w:webHidden/>
              </w:rPr>
              <w:fldChar w:fldCharType="begin"/>
            </w:r>
            <w:r>
              <w:rPr>
                <w:noProof/>
                <w:webHidden/>
              </w:rPr>
              <w:instrText xml:space="preserve"> PAGEREF _Toc55912208 \h </w:instrText>
            </w:r>
            <w:r>
              <w:rPr>
                <w:noProof/>
                <w:webHidden/>
              </w:rPr>
            </w:r>
            <w:r>
              <w:rPr>
                <w:noProof/>
                <w:webHidden/>
              </w:rPr>
              <w:fldChar w:fldCharType="separate"/>
            </w:r>
            <w:r w:rsidR="00ED2796">
              <w:rPr>
                <w:noProof/>
                <w:webHidden/>
              </w:rPr>
              <w:t>77</w:t>
            </w:r>
            <w:r>
              <w:rPr>
                <w:noProof/>
                <w:webHidden/>
              </w:rPr>
              <w:fldChar w:fldCharType="end"/>
            </w:r>
          </w:hyperlink>
        </w:p>
        <w:p w14:paraId="276CA299" w14:textId="763A004B" w:rsidR="0035086C" w:rsidRDefault="0035086C">
          <w:pPr>
            <w:pStyle w:val="Kazalovsebine3"/>
            <w:tabs>
              <w:tab w:val="left" w:pos="1320"/>
              <w:tab w:val="right" w:leader="dot" w:pos="9062"/>
            </w:tabs>
            <w:rPr>
              <w:rFonts w:asciiTheme="minorHAnsi" w:eastAsiaTheme="minorEastAsia" w:hAnsiTheme="minorHAnsi" w:cstheme="minorBidi"/>
              <w:noProof/>
              <w:sz w:val="22"/>
              <w:szCs w:val="22"/>
              <w:lang w:eastAsia="sl-SI"/>
            </w:rPr>
          </w:pPr>
          <w:hyperlink w:anchor="_Toc55912209" w:history="1">
            <w:r w:rsidRPr="00FD5728">
              <w:rPr>
                <w:rStyle w:val="Hiperpovezava"/>
                <w:rFonts w:eastAsia="Calibri"/>
                <w:noProof/>
              </w:rPr>
              <w:t>2.4.1</w:t>
            </w:r>
            <w:r>
              <w:rPr>
                <w:rFonts w:asciiTheme="minorHAnsi" w:eastAsiaTheme="minorEastAsia" w:hAnsiTheme="minorHAnsi" w:cstheme="minorBidi"/>
                <w:noProof/>
                <w:sz w:val="22"/>
                <w:szCs w:val="22"/>
                <w:lang w:eastAsia="sl-SI"/>
              </w:rPr>
              <w:tab/>
            </w:r>
            <w:r w:rsidRPr="00FD5728">
              <w:rPr>
                <w:rStyle w:val="Hiperpovezava"/>
                <w:rFonts w:eastAsia="Calibri"/>
                <w:noProof/>
              </w:rPr>
              <w:t>Stanje v sektorju in osnovni ekonomski kazalniki</w:t>
            </w:r>
            <w:r>
              <w:rPr>
                <w:noProof/>
                <w:webHidden/>
              </w:rPr>
              <w:tab/>
            </w:r>
            <w:r>
              <w:rPr>
                <w:noProof/>
                <w:webHidden/>
              </w:rPr>
              <w:fldChar w:fldCharType="begin"/>
            </w:r>
            <w:r>
              <w:rPr>
                <w:noProof/>
                <w:webHidden/>
              </w:rPr>
              <w:instrText xml:space="preserve"> PAGEREF _Toc55912209 \h </w:instrText>
            </w:r>
            <w:r>
              <w:rPr>
                <w:noProof/>
                <w:webHidden/>
              </w:rPr>
            </w:r>
            <w:r>
              <w:rPr>
                <w:noProof/>
                <w:webHidden/>
              </w:rPr>
              <w:fldChar w:fldCharType="separate"/>
            </w:r>
            <w:r w:rsidR="00ED2796">
              <w:rPr>
                <w:noProof/>
                <w:webHidden/>
              </w:rPr>
              <w:t>77</w:t>
            </w:r>
            <w:r>
              <w:rPr>
                <w:noProof/>
                <w:webHidden/>
              </w:rPr>
              <w:fldChar w:fldCharType="end"/>
            </w:r>
          </w:hyperlink>
        </w:p>
        <w:p w14:paraId="0DA68B8C" w14:textId="2E53DB41" w:rsidR="0035086C" w:rsidRDefault="0035086C">
          <w:pPr>
            <w:pStyle w:val="Kazalovsebine3"/>
            <w:tabs>
              <w:tab w:val="left" w:pos="1320"/>
              <w:tab w:val="right" w:leader="dot" w:pos="9062"/>
            </w:tabs>
            <w:rPr>
              <w:rFonts w:asciiTheme="minorHAnsi" w:eastAsiaTheme="minorEastAsia" w:hAnsiTheme="minorHAnsi" w:cstheme="minorBidi"/>
              <w:noProof/>
              <w:sz w:val="22"/>
              <w:szCs w:val="22"/>
              <w:lang w:eastAsia="sl-SI"/>
            </w:rPr>
          </w:pPr>
          <w:hyperlink w:anchor="_Toc55912210" w:history="1">
            <w:r w:rsidRPr="00FD5728">
              <w:rPr>
                <w:rStyle w:val="Hiperpovezava"/>
                <w:rFonts w:eastAsia="Calibri"/>
                <w:noProof/>
              </w:rPr>
              <w:t>2.4.2</w:t>
            </w:r>
            <w:r>
              <w:rPr>
                <w:rFonts w:asciiTheme="minorHAnsi" w:eastAsiaTheme="minorEastAsia" w:hAnsiTheme="minorHAnsi" w:cstheme="minorBidi"/>
                <w:noProof/>
                <w:sz w:val="22"/>
                <w:szCs w:val="22"/>
                <w:lang w:eastAsia="sl-SI"/>
              </w:rPr>
              <w:tab/>
            </w:r>
            <w:r w:rsidRPr="00FD5728">
              <w:rPr>
                <w:rStyle w:val="Hiperpovezava"/>
                <w:rFonts w:eastAsia="Calibri"/>
                <w:noProof/>
              </w:rPr>
              <w:t>Ključne ugotovitve</w:t>
            </w:r>
            <w:r>
              <w:rPr>
                <w:noProof/>
                <w:webHidden/>
              </w:rPr>
              <w:tab/>
            </w:r>
            <w:r>
              <w:rPr>
                <w:noProof/>
                <w:webHidden/>
              </w:rPr>
              <w:fldChar w:fldCharType="begin"/>
            </w:r>
            <w:r>
              <w:rPr>
                <w:noProof/>
                <w:webHidden/>
              </w:rPr>
              <w:instrText xml:space="preserve"> PAGEREF _Toc55912210 \h </w:instrText>
            </w:r>
            <w:r>
              <w:rPr>
                <w:noProof/>
                <w:webHidden/>
              </w:rPr>
            </w:r>
            <w:r>
              <w:rPr>
                <w:noProof/>
                <w:webHidden/>
              </w:rPr>
              <w:fldChar w:fldCharType="separate"/>
            </w:r>
            <w:r w:rsidR="00ED2796">
              <w:rPr>
                <w:noProof/>
                <w:webHidden/>
              </w:rPr>
              <w:t>80</w:t>
            </w:r>
            <w:r>
              <w:rPr>
                <w:noProof/>
                <w:webHidden/>
              </w:rPr>
              <w:fldChar w:fldCharType="end"/>
            </w:r>
          </w:hyperlink>
        </w:p>
        <w:p w14:paraId="494423AB" w14:textId="7868B726" w:rsidR="0035086C" w:rsidRDefault="0035086C">
          <w:pPr>
            <w:pStyle w:val="Kazalovsebine2"/>
            <w:rPr>
              <w:rFonts w:asciiTheme="minorHAnsi" w:eastAsiaTheme="minorEastAsia" w:hAnsiTheme="minorHAnsi" w:cstheme="minorBidi"/>
              <w:noProof/>
              <w:sz w:val="22"/>
              <w:szCs w:val="22"/>
              <w:lang w:eastAsia="sl-SI"/>
            </w:rPr>
          </w:pPr>
          <w:hyperlink w:anchor="_Toc55912211" w:history="1">
            <w:r w:rsidRPr="00FD5728">
              <w:rPr>
                <w:rStyle w:val="Hiperpovezava"/>
                <w:noProof/>
              </w:rPr>
              <w:t>2.5</w:t>
            </w:r>
            <w:r>
              <w:rPr>
                <w:rFonts w:asciiTheme="minorHAnsi" w:eastAsiaTheme="minorEastAsia" w:hAnsiTheme="minorHAnsi" w:cstheme="minorBidi"/>
                <w:noProof/>
                <w:sz w:val="22"/>
                <w:szCs w:val="22"/>
                <w:lang w:eastAsia="sl-SI"/>
              </w:rPr>
              <w:tab/>
            </w:r>
            <w:r w:rsidRPr="00FD5728">
              <w:rPr>
                <w:rStyle w:val="Hiperpovezava"/>
                <w:noProof/>
              </w:rPr>
              <w:t>Čebelarstvo</w:t>
            </w:r>
            <w:r>
              <w:rPr>
                <w:noProof/>
                <w:webHidden/>
              </w:rPr>
              <w:tab/>
            </w:r>
            <w:r>
              <w:rPr>
                <w:noProof/>
                <w:webHidden/>
              </w:rPr>
              <w:fldChar w:fldCharType="begin"/>
            </w:r>
            <w:r>
              <w:rPr>
                <w:noProof/>
                <w:webHidden/>
              </w:rPr>
              <w:instrText xml:space="preserve"> PAGEREF _Toc55912211 \h </w:instrText>
            </w:r>
            <w:r>
              <w:rPr>
                <w:noProof/>
                <w:webHidden/>
              </w:rPr>
            </w:r>
            <w:r>
              <w:rPr>
                <w:noProof/>
                <w:webHidden/>
              </w:rPr>
              <w:fldChar w:fldCharType="separate"/>
            </w:r>
            <w:r w:rsidR="00ED2796">
              <w:rPr>
                <w:noProof/>
                <w:webHidden/>
              </w:rPr>
              <w:t>81</w:t>
            </w:r>
            <w:r>
              <w:rPr>
                <w:noProof/>
                <w:webHidden/>
              </w:rPr>
              <w:fldChar w:fldCharType="end"/>
            </w:r>
          </w:hyperlink>
        </w:p>
        <w:p w14:paraId="56193E99" w14:textId="17EFEA69" w:rsidR="0035086C" w:rsidRDefault="0035086C">
          <w:pPr>
            <w:pStyle w:val="Kazalovsebine3"/>
            <w:tabs>
              <w:tab w:val="left" w:pos="1320"/>
              <w:tab w:val="right" w:leader="dot" w:pos="9062"/>
            </w:tabs>
            <w:rPr>
              <w:rFonts w:asciiTheme="minorHAnsi" w:eastAsiaTheme="minorEastAsia" w:hAnsiTheme="minorHAnsi" w:cstheme="minorBidi"/>
              <w:noProof/>
              <w:sz w:val="22"/>
              <w:szCs w:val="22"/>
              <w:lang w:eastAsia="sl-SI"/>
            </w:rPr>
          </w:pPr>
          <w:hyperlink w:anchor="_Toc55912212" w:history="1">
            <w:r w:rsidRPr="00FD5728">
              <w:rPr>
                <w:rStyle w:val="Hiperpovezava"/>
                <w:rFonts w:eastAsia="Calibri"/>
                <w:noProof/>
              </w:rPr>
              <w:t>2.5.1</w:t>
            </w:r>
            <w:r>
              <w:rPr>
                <w:rFonts w:asciiTheme="minorHAnsi" w:eastAsiaTheme="minorEastAsia" w:hAnsiTheme="minorHAnsi" w:cstheme="minorBidi"/>
                <w:noProof/>
                <w:sz w:val="22"/>
                <w:szCs w:val="22"/>
                <w:lang w:eastAsia="sl-SI"/>
              </w:rPr>
              <w:tab/>
            </w:r>
            <w:r w:rsidRPr="00FD5728">
              <w:rPr>
                <w:rStyle w:val="Hiperpovezava"/>
                <w:rFonts w:eastAsia="Calibri"/>
                <w:noProof/>
              </w:rPr>
              <w:t>Stanje in osnovni ekonomski kazalniki</w:t>
            </w:r>
            <w:r>
              <w:rPr>
                <w:noProof/>
                <w:webHidden/>
              </w:rPr>
              <w:tab/>
            </w:r>
            <w:r>
              <w:rPr>
                <w:noProof/>
                <w:webHidden/>
              </w:rPr>
              <w:fldChar w:fldCharType="begin"/>
            </w:r>
            <w:r>
              <w:rPr>
                <w:noProof/>
                <w:webHidden/>
              </w:rPr>
              <w:instrText xml:space="preserve"> PAGEREF _Toc55912212 \h </w:instrText>
            </w:r>
            <w:r>
              <w:rPr>
                <w:noProof/>
                <w:webHidden/>
              </w:rPr>
            </w:r>
            <w:r>
              <w:rPr>
                <w:noProof/>
                <w:webHidden/>
              </w:rPr>
              <w:fldChar w:fldCharType="separate"/>
            </w:r>
            <w:r w:rsidR="00ED2796">
              <w:rPr>
                <w:noProof/>
                <w:webHidden/>
              </w:rPr>
              <w:t>81</w:t>
            </w:r>
            <w:r>
              <w:rPr>
                <w:noProof/>
                <w:webHidden/>
              </w:rPr>
              <w:fldChar w:fldCharType="end"/>
            </w:r>
          </w:hyperlink>
        </w:p>
        <w:p w14:paraId="21834781" w14:textId="328E9ED5" w:rsidR="0035086C" w:rsidRDefault="0035086C">
          <w:pPr>
            <w:pStyle w:val="Kazalovsebine3"/>
            <w:tabs>
              <w:tab w:val="left" w:pos="1320"/>
              <w:tab w:val="right" w:leader="dot" w:pos="9062"/>
            </w:tabs>
            <w:rPr>
              <w:rFonts w:asciiTheme="minorHAnsi" w:eastAsiaTheme="minorEastAsia" w:hAnsiTheme="minorHAnsi" w:cstheme="minorBidi"/>
              <w:noProof/>
              <w:sz w:val="22"/>
              <w:szCs w:val="22"/>
              <w:lang w:eastAsia="sl-SI"/>
            </w:rPr>
          </w:pPr>
          <w:hyperlink w:anchor="_Toc55912213" w:history="1">
            <w:r w:rsidRPr="00FD5728">
              <w:rPr>
                <w:rStyle w:val="Hiperpovezava"/>
                <w:noProof/>
              </w:rPr>
              <w:t>2.5.2</w:t>
            </w:r>
            <w:r>
              <w:rPr>
                <w:rFonts w:asciiTheme="minorHAnsi" w:eastAsiaTheme="minorEastAsia" w:hAnsiTheme="minorHAnsi" w:cstheme="minorBidi"/>
                <w:noProof/>
                <w:sz w:val="22"/>
                <w:szCs w:val="22"/>
                <w:lang w:eastAsia="sl-SI"/>
              </w:rPr>
              <w:tab/>
            </w:r>
            <w:r w:rsidRPr="00FD5728">
              <w:rPr>
                <w:rStyle w:val="Hiperpovezava"/>
                <w:noProof/>
              </w:rPr>
              <w:t>Ključne ugotovitve</w:t>
            </w:r>
            <w:r>
              <w:rPr>
                <w:noProof/>
                <w:webHidden/>
              </w:rPr>
              <w:tab/>
            </w:r>
            <w:r>
              <w:rPr>
                <w:noProof/>
                <w:webHidden/>
              </w:rPr>
              <w:fldChar w:fldCharType="begin"/>
            </w:r>
            <w:r>
              <w:rPr>
                <w:noProof/>
                <w:webHidden/>
              </w:rPr>
              <w:instrText xml:space="preserve"> PAGEREF _Toc55912213 \h </w:instrText>
            </w:r>
            <w:r>
              <w:rPr>
                <w:noProof/>
                <w:webHidden/>
              </w:rPr>
            </w:r>
            <w:r>
              <w:rPr>
                <w:noProof/>
                <w:webHidden/>
              </w:rPr>
              <w:fldChar w:fldCharType="separate"/>
            </w:r>
            <w:r w:rsidR="00ED2796">
              <w:rPr>
                <w:noProof/>
                <w:webHidden/>
              </w:rPr>
              <w:t>86</w:t>
            </w:r>
            <w:r>
              <w:rPr>
                <w:noProof/>
                <w:webHidden/>
              </w:rPr>
              <w:fldChar w:fldCharType="end"/>
            </w:r>
          </w:hyperlink>
        </w:p>
        <w:p w14:paraId="445AE41F" w14:textId="7EF1AC9B" w:rsidR="0035086C" w:rsidRDefault="0035086C">
          <w:pPr>
            <w:pStyle w:val="Kazalovsebine2"/>
            <w:rPr>
              <w:rFonts w:asciiTheme="minorHAnsi" w:eastAsiaTheme="minorEastAsia" w:hAnsiTheme="minorHAnsi" w:cstheme="minorBidi"/>
              <w:noProof/>
              <w:sz w:val="22"/>
              <w:szCs w:val="22"/>
              <w:lang w:eastAsia="sl-SI"/>
            </w:rPr>
          </w:pPr>
          <w:hyperlink w:anchor="_Toc55912214" w:history="1">
            <w:r w:rsidRPr="00FD5728">
              <w:rPr>
                <w:rStyle w:val="Hiperpovezava"/>
                <w:noProof/>
              </w:rPr>
              <w:t>2.6</w:t>
            </w:r>
            <w:r>
              <w:rPr>
                <w:rFonts w:asciiTheme="minorHAnsi" w:eastAsiaTheme="minorEastAsia" w:hAnsiTheme="minorHAnsi" w:cstheme="minorBidi"/>
                <w:noProof/>
                <w:sz w:val="22"/>
                <w:szCs w:val="22"/>
                <w:lang w:eastAsia="sl-SI"/>
              </w:rPr>
              <w:tab/>
            </w:r>
            <w:r w:rsidRPr="00FD5728">
              <w:rPr>
                <w:rStyle w:val="Hiperpovezava"/>
                <w:noProof/>
              </w:rPr>
              <w:t>Konjereja</w:t>
            </w:r>
            <w:r>
              <w:rPr>
                <w:noProof/>
                <w:webHidden/>
              </w:rPr>
              <w:tab/>
            </w:r>
            <w:r>
              <w:rPr>
                <w:noProof/>
                <w:webHidden/>
              </w:rPr>
              <w:fldChar w:fldCharType="begin"/>
            </w:r>
            <w:r>
              <w:rPr>
                <w:noProof/>
                <w:webHidden/>
              </w:rPr>
              <w:instrText xml:space="preserve"> PAGEREF _Toc55912214 \h </w:instrText>
            </w:r>
            <w:r>
              <w:rPr>
                <w:noProof/>
                <w:webHidden/>
              </w:rPr>
            </w:r>
            <w:r>
              <w:rPr>
                <w:noProof/>
                <w:webHidden/>
              </w:rPr>
              <w:fldChar w:fldCharType="separate"/>
            </w:r>
            <w:r w:rsidR="00ED2796">
              <w:rPr>
                <w:noProof/>
                <w:webHidden/>
              </w:rPr>
              <w:t>86</w:t>
            </w:r>
            <w:r>
              <w:rPr>
                <w:noProof/>
                <w:webHidden/>
              </w:rPr>
              <w:fldChar w:fldCharType="end"/>
            </w:r>
          </w:hyperlink>
        </w:p>
        <w:p w14:paraId="6DEE654E" w14:textId="43AA3106" w:rsidR="0035086C" w:rsidRDefault="0035086C">
          <w:pPr>
            <w:pStyle w:val="Kazalovsebine3"/>
            <w:tabs>
              <w:tab w:val="left" w:pos="1320"/>
              <w:tab w:val="right" w:leader="dot" w:pos="9062"/>
            </w:tabs>
            <w:rPr>
              <w:rFonts w:asciiTheme="minorHAnsi" w:eastAsiaTheme="minorEastAsia" w:hAnsiTheme="minorHAnsi" w:cstheme="minorBidi"/>
              <w:noProof/>
              <w:sz w:val="22"/>
              <w:szCs w:val="22"/>
              <w:lang w:eastAsia="sl-SI"/>
            </w:rPr>
          </w:pPr>
          <w:hyperlink w:anchor="_Toc55912215" w:history="1">
            <w:r w:rsidRPr="00FD5728">
              <w:rPr>
                <w:rStyle w:val="Hiperpovezava"/>
                <w:rFonts w:eastAsia="Calibri"/>
                <w:noProof/>
              </w:rPr>
              <w:t>2.6.1</w:t>
            </w:r>
            <w:r>
              <w:rPr>
                <w:rFonts w:asciiTheme="minorHAnsi" w:eastAsiaTheme="minorEastAsia" w:hAnsiTheme="minorHAnsi" w:cstheme="minorBidi"/>
                <w:noProof/>
                <w:sz w:val="22"/>
                <w:szCs w:val="22"/>
                <w:lang w:eastAsia="sl-SI"/>
              </w:rPr>
              <w:tab/>
            </w:r>
            <w:r w:rsidRPr="00FD5728">
              <w:rPr>
                <w:rStyle w:val="Hiperpovezava"/>
                <w:rFonts w:eastAsia="Calibri"/>
                <w:noProof/>
              </w:rPr>
              <w:t>Ključna ugotovitev</w:t>
            </w:r>
            <w:r>
              <w:rPr>
                <w:noProof/>
                <w:webHidden/>
              </w:rPr>
              <w:tab/>
            </w:r>
            <w:r>
              <w:rPr>
                <w:noProof/>
                <w:webHidden/>
              </w:rPr>
              <w:fldChar w:fldCharType="begin"/>
            </w:r>
            <w:r>
              <w:rPr>
                <w:noProof/>
                <w:webHidden/>
              </w:rPr>
              <w:instrText xml:space="preserve"> PAGEREF _Toc55912215 \h </w:instrText>
            </w:r>
            <w:r>
              <w:rPr>
                <w:noProof/>
                <w:webHidden/>
              </w:rPr>
            </w:r>
            <w:r>
              <w:rPr>
                <w:noProof/>
                <w:webHidden/>
              </w:rPr>
              <w:fldChar w:fldCharType="separate"/>
            </w:r>
            <w:r w:rsidR="00ED2796">
              <w:rPr>
                <w:noProof/>
                <w:webHidden/>
              </w:rPr>
              <w:t>88</w:t>
            </w:r>
            <w:r>
              <w:rPr>
                <w:noProof/>
                <w:webHidden/>
              </w:rPr>
              <w:fldChar w:fldCharType="end"/>
            </w:r>
          </w:hyperlink>
        </w:p>
        <w:p w14:paraId="6DB15EB0" w14:textId="4F84E88C" w:rsidR="0035086C" w:rsidRDefault="0035086C">
          <w:pPr>
            <w:pStyle w:val="Kazalovsebine2"/>
            <w:rPr>
              <w:rFonts w:asciiTheme="minorHAnsi" w:eastAsiaTheme="minorEastAsia" w:hAnsiTheme="minorHAnsi" w:cstheme="minorBidi"/>
              <w:noProof/>
              <w:sz w:val="22"/>
              <w:szCs w:val="22"/>
              <w:lang w:eastAsia="sl-SI"/>
            </w:rPr>
          </w:pPr>
          <w:hyperlink w:anchor="_Toc55912216" w:history="1">
            <w:r w:rsidRPr="00FD5728">
              <w:rPr>
                <w:rStyle w:val="Hiperpovezava"/>
                <w:noProof/>
              </w:rPr>
              <w:t>2.7</w:t>
            </w:r>
            <w:r>
              <w:rPr>
                <w:rFonts w:asciiTheme="minorHAnsi" w:eastAsiaTheme="minorEastAsia" w:hAnsiTheme="minorHAnsi" w:cstheme="minorBidi"/>
                <w:noProof/>
                <w:sz w:val="22"/>
                <w:szCs w:val="22"/>
                <w:lang w:eastAsia="sl-SI"/>
              </w:rPr>
              <w:tab/>
            </w:r>
            <w:r w:rsidRPr="00FD5728">
              <w:rPr>
                <w:rStyle w:val="Hiperpovezava"/>
                <w:noProof/>
              </w:rPr>
              <w:t>Zelenjadarstvo</w:t>
            </w:r>
            <w:r>
              <w:rPr>
                <w:noProof/>
                <w:webHidden/>
              </w:rPr>
              <w:tab/>
            </w:r>
            <w:r>
              <w:rPr>
                <w:noProof/>
                <w:webHidden/>
              </w:rPr>
              <w:fldChar w:fldCharType="begin"/>
            </w:r>
            <w:r>
              <w:rPr>
                <w:noProof/>
                <w:webHidden/>
              </w:rPr>
              <w:instrText xml:space="preserve"> PAGEREF _Toc55912216 \h </w:instrText>
            </w:r>
            <w:r>
              <w:rPr>
                <w:noProof/>
                <w:webHidden/>
              </w:rPr>
            </w:r>
            <w:r>
              <w:rPr>
                <w:noProof/>
                <w:webHidden/>
              </w:rPr>
              <w:fldChar w:fldCharType="separate"/>
            </w:r>
            <w:r w:rsidR="00ED2796">
              <w:rPr>
                <w:noProof/>
                <w:webHidden/>
              </w:rPr>
              <w:t>89</w:t>
            </w:r>
            <w:r>
              <w:rPr>
                <w:noProof/>
                <w:webHidden/>
              </w:rPr>
              <w:fldChar w:fldCharType="end"/>
            </w:r>
          </w:hyperlink>
        </w:p>
        <w:p w14:paraId="488A81CB" w14:textId="24B9779D" w:rsidR="0035086C" w:rsidRDefault="0035086C">
          <w:pPr>
            <w:pStyle w:val="Kazalovsebine3"/>
            <w:tabs>
              <w:tab w:val="left" w:pos="1320"/>
              <w:tab w:val="right" w:leader="dot" w:pos="9062"/>
            </w:tabs>
            <w:rPr>
              <w:rFonts w:asciiTheme="minorHAnsi" w:eastAsiaTheme="minorEastAsia" w:hAnsiTheme="minorHAnsi" w:cstheme="minorBidi"/>
              <w:noProof/>
              <w:sz w:val="22"/>
              <w:szCs w:val="22"/>
              <w:lang w:eastAsia="sl-SI"/>
            </w:rPr>
          </w:pPr>
          <w:hyperlink w:anchor="_Toc55912217" w:history="1">
            <w:r w:rsidRPr="00FD5728">
              <w:rPr>
                <w:rStyle w:val="Hiperpovezava"/>
                <w:rFonts w:eastAsia="Calibri"/>
                <w:noProof/>
              </w:rPr>
              <w:t>2.7.1</w:t>
            </w:r>
            <w:r>
              <w:rPr>
                <w:rFonts w:asciiTheme="minorHAnsi" w:eastAsiaTheme="minorEastAsia" w:hAnsiTheme="minorHAnsi" w:cstheme="minorBidi"/>
                <w:noProof/>
                <w:sz w:val="22"/>
                <w:szCs w:val="22"/>
                <w:lang w:eastAsia="sl-SI"/>
              </w:rPr>
              <w:tab/>
            </w:r>
            <w:r w:rsidRPr="00FD5728">
              <w:rPr>
                <w:rStyle w:val="Hiperpovezava"/>
                <w:rFonts w:eastAsia="Calibri"/>
                <w:noProof/>
              </w:rPr>
              <w:t>Stanje v sektorju in osnovni ekonomski kazalniki</w:t>
            </w:r>
            <w:r>
              <w:rPr>
                <w:noProof/>
                <w:webHidden/>
              </w:rPr>
              <w:tab/>
            </w:r>
            <w:r>
              <w:rPr>
                <w:noProof/>
                <w:webHidden/>
              </w:rPr>
              <w:fldChar w:fldCharType="begin"/>
            </w:r>
            <w:r>
              <w:rPr>
                <w:noProof/>
                <w:webHidden/>
              </w:rPr>
              <w:instrText xml:space="preserve"> PAGEREF _Toc55912217 \h </w:instrText>
            </w:r>
            <w:r>
              <w:rPr>
                <w:noProof/>
                <w:webHidden/>
              </w:rPr>
            </w:r>
            <w:r>
              <w:rPr>
                <w:noProof/>
                <w:webHidden/>
              </w:rPr>
              <w:fldChar w:fldCharType="separate"/>
            </w:r>
            <w:r w:rsidR="00ED2796">
              <w:rPr>
                <w:noProof/>
                <w:webHidden/>
              </w:rPr>
              <w:t>89</w:t>
            </w:r>
            <w:r>
              <w:rPr>
                <w:noProof/>
                <w:webHidden/>
              </w:rPr>
              <w:fldChar w:fldCharType="end"/>
            </w:r>
          </w:hyperlink>
        </w:p>
        <w:p w14:paraId="04A22C54" w14:textId="64396A6E" w:rsidR="0035086C" w:rsidRDefault="0035086C">
          <w:pPr>
            <w:pStyle w:val="Kazalovsebine3"/>
            <w:tabs>
              <w:tab w:val="left" w:pos="1320"/>
              <w:tab w:val="right" w:leader="dot" w:pos="9062"/>
            </w:tabs>
            <w:rPr>
              <w:rFonts w:asciiTheme="minorHAnsi" w:eastAsiaTheme="minorEastAsia" w:hAnsiTheme="minorHAnsi" w:cstheme="minorBidi"/>
              <w:noProof/>
              <w:sz w:val="22"/>
              <w:szCs w:val="22"/>
              <w:lang w:eastAsia="sl-SI"/>
            </w:rPr>
          </w:pPr>
          <w:hyperlink w:anchor="_Toc55912218" w:history="1">
            <w:r w:rsidRPr="00FD5728">
              <w:rPr>
                <w:rStyle w:val="Hiperpovezava"/>
                <w:rFonts w:eastAsia="Calibri"/>
                <w:noProof/>
              </w:rPr>
              <w:t>2.7.2</w:t>
            </w:r>
            <w:r>
              <w:rPr>
                <w:rFonts w:asciiTheme="minorHAnsi" w:eastAsiaTheme="minorEastAsia" w:hAnsiTheme="minorHAnsi" w:cstheme="minorBidi"/>
                <w:noProof/>
                <w:sz w:val="22"/>
                <w:szCs w:val="22"/>
                <w:lang w:eastAsia="sl-SI"/>
              </w:rPr>
              <w:tab/>
            </w:r>
            <w:r w:rsidRPr="00FD5728">
              <w:rPr>
                <w:rStyle w:val="Hiperpovezava"/>
                <w:rFonts w:eastAsia="Calibri"/>
                <w:noProof/>
              </w:rPr>
              <w:t>Ključne ugotovitve</w:t>
            </w:r>
            <w:r>
              <w:rPr>
                <w:noProof/>
                <w:webHidden/>
              </w:rPr>
              <w:tab/>
            </w:r>
            <w:r>
              <w:rPr>
                <w:noProof/>
                <w:webHidden/>
              </w:rPr>
              <w:fldChar w:fldCharType="begin"/>
            </w:r>
            <w:r>
              <w:rPr>
                <w:noProof/>
                <w:webHidden/>
              </w:rPr>
              <w:instrText xml:space="preserve"> PAGEREF _Toc55912218 \h </w:instrText>
            </w:r>
            <w:r>
              <w:rPr>
                <w:noProof/>
                <w:webHidden/>
              </w:rPr>
            </w:r>
            <w:r>
              <w:rPr>
                <w:noProof/>
                <w:webHidden/>
              </w:rPr>
              <w:fldChar w:fldCharType="separate"/>
            </w:r>
            <w:r w:rsidR="00ED2796">
              <w:rPr>
                <w:noProof/>
                <w:webHidden/>
              </w:rPr>
              <w:t>94</w:t>
            </w:r>
            <w:r>
              <w:rPr>
                <w:noProof/>
                <w:webHidden/>
              </w:rPr>
              <w:fldChar w:fldCharType="end"/>
            </w:r>
          </w:hyperlink>
        </w:p>
        <w:p w14:paraId="5C8B555A" w14:textId="7E8A6E4F" w:rsidR="0035086C" w:rsidRDefault="0035086C">
          <w:pPr>
            <w:pStyle w:val="Kazalovsebine2"/>
            <w:rPr>
              <w:rFonts w:asciiTheme="minorHAnsi" w:eastAsiaTheme="minorEastAsia" w:hAnsiTheme="minorHAnsi" w:cstheme="minorBidi"/>
              <w:noProof/>
              <w:sz w:val="22"/>
              <w:szCs w:val="22"/>
              <w:lang w:eastAsia="sl-SI"/>
            </w:rPr>
          </w:pPr>
          <w:hyperlink w:anchor="_Toc55912219" w:history="1">
            <w:r w:rsidRPr="00FD5728">
              <w:rPr>
                <w:rStyle w:val="Hiperpovezava"/>
                <w:noProof/>
              </w:rPr>
              <w:t>2.8</w:t>
            </w:r>
            <w:r>
              <w:rPr>
                <w:rFonts w:asciiTheme="minorHAnsi" w:eastAsiaTheme="minorEastAsia" w:hAnsiTheme="minorHAnsi" w:cstheme="minorBidi"/>
                <w:noProof/>
                <w:sz w:val="22"/>
                <w:szCs w:val="22"/>
                <w:lang w:eastAsia="sl-SI"/>
              </w:rPr>
              <w:tab/>
            </w:r>
            <w:r w:rsidRPr="00FD5728">
              <w:rPr>
                <w:rStyle w:val="Hiperpovezava"/>
                <w:noProof/>
              </w:rPr>
              <w:t>Zelišča</w:t>
            </w:r>
            <w:r>
              <w:rPr>
                <w:noProof/>
                <w:webHidden/>
              </w:rPr>
              <w:tab/>
            </w:r>
            <w:r>
              <w:rPr>
                <w:noProof/>
                <w:webHidden/>
              </w:rPr>
              <w:fldChar w:fldCharType="begin"/>
            </w:r>
            <w:r>
              <w:rPr>
                <w:noProof/>
                <w:webHidden/>
              </w:rPr>
              <w:instrText xml:space="preserve"> PAGEREF _Toc55912219 \h </w:instrText>
            </w:r>
            <w:r>
              <w:rPr>
                <w:noProof/>
                <w:webHidden/>
              </w:rPr>
            </w:r>
            <w:r>
              <w:rPr>
                <w:noProof/>
                <w:webHidden/>
              </w:rPr>
              <w:fldChar w:fldCharType="separate"/>
            </w:r>
            <w:r w:rsidR="00ED2796">
              <w:rPr>
                <w:noProof/>
                <w:webHidden/>
              </w:rPr>
              <w:t>95</w:t>
            </w:r>
            <w:r>
              <w:rPr>
                <w:noProof/>
                <w:webHidden/>
              </w:rPr>
              <w:fldChar w:fldCharType="end"/>
            </w:r>
          </w:hyperlink>
        </w:p>
        <w:p w14:paraId="6856386E" w14:textId="3FA970A7" w:rsidR="0035086C" w:rsidRDefault="0035086C">
          <w:pPr>
            <w:pStyle w:val="Kazalovsebine3"/>
            <w:tabs>
              <w:tab w:val="left" w:pos="1320"/>
              <w:tab w:val="right" w:leader="dot" w:pos="9062"/>
            </w:tabs>
            <w:rPr>
              <w:rFonts w:asciiTheme="minorHAnsi" w:eastAsiaTheme="minorEastAsia" w:hAnsiTheme="minorHAnsi" w:cstheme="minorBidi"/>
              <w:noProof/>
              <w:sz w:val="22"/>
              <w:szCs w:val="22"/>
              <w:lang w:eastAsia="sl-SI"/>
            </w:rPr>
          </w:pPr>
          <w:hyperlink w:anchor="_Toc55912220" w:history="1">
            <w:r w:rsidRPr="00FD5728">
              <w:rPr>
                <w:rStyle w:val="Hiperpovezava"/>
                <w:rFonts w:eastAsia="Calibri"/>
                <w:noProof/>
              </w:rPr>
              <w:t>2.8.1</w:t>
            </w:r>
            <w:r>
              <w:rPr>
                <w:rFonts w:asciiTheme="minorHAnsi" w:eastAsiaTheme="minorEastAsia" w:hAnsiTheme="minorHAnsi" w:cstheme="minorBidi"/>
                <w:noProof/>
                <w:sz w:val="22"/>
                <w:szCs w:val="22"/>
                <w:lang w:eastAsia="sl-SI"/>
              </w:rPr>
              <w:tab/>
            </w:r>
            <w:r w:rsidRPr="00FD5728">
              <w:rPr>
                <w:rStyle w:val="Hiperpovezava"/>
                <w:rFonts w:eastAsia="Calibri"/>
                <w:noProof/>
              </w:rPr>
              <w:t>Ključne ugotovitve</w:t>
            </w:r>
            <w:r>
              <w:rPr>
                <w:noProof/>
                <w:webHidden/>
              </w:rPr>
              <w:tab/>
            </w:r>
            <w:r>
              <w:rPr>
                <w:noProof/>
                <w:webHidden/>
              </w:rPr>
              <w:fldChar w:fldCharType="begin"/>
            </w:r>
            <w:r>
              <w:rPr>
                <w:noProof/>
                <w:webHidden/>
              </w:rPr>
              <w:instrText xml:space="preserve"> PAGEREF _Toc55912220 \h </w:instrText>
            </w:r>
            <w:r>
              <w:rPr>
                <w:noProof/>
                <w:webHidden/>
              </w:rPr>
            </w:r>
            <w:r>
              <w:rPr>
                <w:noProof/>
                <w:webHidden/>
              </w:rPr>
              <w:fldChar w:fldCharType="separate"/>
            </w:r>
            <w:r w:rsidR="00ED2796">
              <w:rPr>
                <w:noProof/>
                <w:webHidden/>
              </w:rPr>
              <w:t>97</w:t>
            </w:r>
            <w:r>
              <w:rPr>
                <w:noProof/>
                <w:webHidden/>
              </w:rPr>
              <w:fldChar w:fldCharType="end"/>
            </w:r>
          </w:hyperlink>
        </w:p>
        <w:p w14:paraId="4EBFD2E4" w14:textId="3A3D8403" w:rsidR="0035086C" w:rsidRDefault="0035086C">
          <w:pPr>
            <w:pStyle w:val="Kazalovsebine2"/>
            <w:rPr>
              <w:rFonts w:asciiTheme="minorHAnsi" w:eastAsiaTheme="minorEastAsia" w:hAnsiTheme="minorHAnsi" w:cstheme="minorBidi"/>
              <w:noProof/>
              <w:sz w:val="22"/>
              <w:szCs w:val="22"/>
              <w:lang w:eastAsia="sl-SI"/>
            </w:rPr>
          </w:pPr>
          <w:hyperlink w:anchor="_Toc55912221" w:history="1">
            <w:r w:rsidRPr="00FD5728">
              <w:rPr>
                <w:rStyle w:val="Hiperpovezava"/>
                <w:noProof/>
              </w:rPr>
              <w:t>2.9</w:t>
            </w:r>
            <w:r>
              <w:rPr>
                <w:rFonts w:asciiTheme="minorHAnsi" w:eastAsiaTheme="minorEastAsia" w:hAnsiTheme="minorHAnsi" w:cstheme="minorBidi"/>
                <w:noProof/>
                <w:sz w:val="22"/>
                <w:szCs w:val="22"/>
                <w:lang w:eastAsia="sl-SI"/>
              </w:rPr>
              <w:tab/>
            </w:r>
            <w:r w:rsidRPr="00FD5728">
              <w:rPr>
                <w:rStyle w:val="Hiperpovezava"/>
                <w:noProof/>
              </w:rPr>
              <w:t>Sadjarstvo</w:t>
            </w:r>
            <w:r>
              <w:rPr>
                <w:noProof/>
                <w:webHidden/>
              </w:rPr>
              <w:tab/>
            </w:r>
            <w:r>
              <w:rPr>
                <w:noProof/>
                <w:webHidden/>
              </w:rPr>
              <w:fldChar w:fldCharType="begin"/>
            </w:r>
            <w:r>
              <w:rPr>
                <w:noProof/>
                <w:webHidden/>
              </w:rPr>
              <w:instrText xml:space="preserve"> PAGEREF _Toc55912221 \h </w:instrText>
            </w:r>
            <w:r>
              <w:rPr>
                <w:noProof/>
                <w:webHidden/>
              </w:rPr>
            </w:r>
            <w:r>
              <w:rPr>
                <w:noProof/>
                <w:webHidden/>
              </w:rPr>
              <w:fldChar w:fldCharType="separate"/>
            </w:r>
            <w:r w:rsidR="00ED2796">
              <w:rPr>
                <w:noProof/>
                <w:webHidden/>
              </w:rPr>
              <w:t>97</w:t>
            </w:r>
            <w:r>
              <w:rPr>
                <w:noProof/>
                <w:webHidden/>
              </w:rPr>
              <w:fldChar w:fldCharType="end"/>
            </w:r>
          </w:hyperlink>
        </w:p>
        <w:p w14:paraId="300A4321" w14:textId="087562FE" w:rsidR="0035086C" w:rsidRDefault="0035086C">
          <w:pPr>
            <w:pStyle w:val="Kazalovsebine3"/>
            <w:tabs>
              <w:tab w:val="left" w:pos="1320"/>
              <w:tab w:val="right" w:leader="dot" w:pos="9062"/>
            </w:tabs>
            <w:rPr>
              <w:rFonts w:asciiTheme="minorHAnsi" w:eastAsiaTheme="minorEastAsia" w:hAnsiTheme="minorHAnsi" w:cstheme="minorBidi"/>
              <w:noProof/>
              <w:sz w:val="22"/>
              <w:szCs w:val="22"/>
              <w:lang w:eastAsia="sl-SI"/>
            </w:rPr>
          </w:pPr>
          <w:hyperlink w:anchor="_Toc55912222" w:history="1">
            <w:r w:rsidRPr="00FD5728">
              <w:rPr>
                <w:rStyle w:val="Hiperpovezava"/>
                <w:rFonts w:eastAsia="Calibri"/>
                <w:noProof/>
              </w:rPr>
              <w:t>2.9.1</w:t>
            </w:r>
            <w:r>
              <w:rPr>
                <w:rFonts w:asciiTheme="minorHAnsi" w:eastAsiaTheme="minorEastAsia" w:hAnsiTheme="minorHAnsi" w:cstheme="minorBidi"/>
                <w:noProof/>
                <w:sz w:val="22"/>
                <w:szCs w:val="22"/>
                <w:lang w:eastAsia="sl-SI"/>
              </w:rPr>
              <w:tab/>
            </w:r>
            <w:r w:rsidRPr="00FD5728">
              <w:rPr>
                <w:rStyle w:val="Hiperpovezava"/>
                <w:rFonts w:eastAsia="Calibri"/>
                <w:noProof/>
              </w:rPr>
              <w:t>Stanje v sektorju in osnovni ekonomski kazalniki</w:t>
            </w:r>
            <w:r>
              <w:rPr>
                <w:noProof/>
                <w:webHidden/>
              </w:rPr>
              <w:tab/>
            </w:r>
            <w:r>
              <w:rPr>
                <w:noProof/>
                <w:webHidden/>
              </w:rPr>
              <w:fldChar w:fldCharType="begin"/>
            </w:r>
            <w:r>
              <w:rPr>
                <w:noProof/>
                <w:webHidden/>
              </w:rPr>
              <w:instrText xml:space="preserve"> PAGEREF _Toc55912222 \h </w:instrText>
            </w:r>
            <w:r>
              <w:rPr>
                <w:noProof/>
                <w:webHidden/>
              </w:rPr>
            </w:r>
            <w:r>
              <w:rPr>
                <w:noProof/>
                <w:webHidden/>
              </w:rPr>
              <w:fldChar w:fldCharType="separate"/>
            </w:r>
            <w:r w:rsidR="00ED2796">
              <w:rPr>
                <w:noProof/>
                <w:webHidden/>
              </w:rPr>
              <w:t>97</w:t>
            </w:r>
            <w:r>
              <w:rPr>
                <w:noProof/>
                <w:webHidden/>
              </w:rPr>
              <w:fldChar w:fldCharType="end"/>
            </w:r>
          </w:hyperlink>
        </w:p>
        <w:p w14:paraId="14BE1BB6" w14:textId="6F3BD580" w:rsidR="0035086C" w:rsidRDefault="0035086C">
          <w:pPr>
            <w:pStyle w:val="Kazalovsebine3"/>
            <w:tabs>
              <w:tab w:val="left" w:pos="1320"/>
              <w:tab w:val="right" w:leader="dot" w:pos="9062"/>
            </w:tabs>
            <w:rPr>
              <w:rFonts w:asciiTheme="minorHAnsi" w:eastAsiaTheme="minorEastAsia" w:hAnsiTheme="minorHAnsi" w:cstheme="minorBidi"/>
              <w:noProof/>
              <w:sz w:val="22"/>
              <w:szCs w:val="22"/>
              <w:lang w:eastAsia="sl-SI"/>
            </w:rPr>
          </w:pPr>
          <w:hyperlink w:anchor="_Toc55912223" w:history="1">
            <w:r w:rsidRPr="00FD5728">
              <w:rPr>
                <w:rStyle w:val="Hiperpovezava"/>
                <w:rFonts w:eastAsia="Calibri"/>
                <w:noProof/>
              </w:rPr>
              <w:t>2.9.2</w:t>
            </w:r>
            <w:r>
              <w:rPr>
                <w:rFonts w:asciiTheme="minorHAnsi" w:eastAsiaTheme="minorEastAsia" w:hAnsiTheme="minorHAnsi" w:cstheme="minorBidi"/>
                <w:noProof/>
                <w:sz w:val="22"/>
                <w:szCs w:val="22"/>
                <w:lang w:eastAsia="sl-SI"/>
              </w:rPr>
              <w:tab/>
            </w:r>
            <w:r w:rsidRPr="00FD5728">
              <w:rPr>
                <w:rStyle w:val="Hiperpovezava"/>
                <w:rFonts w:eastAsia="Calibri"/>
                <w:noProof/>
              </w:rPr>
              <w:t>Ključne ugotovitve</w:t>
            </w:r>
            <w:r>
              <w:rPr>
                <w:noProof/>
                <w:webHidden/>
              </w:rPr>
              <w:tab/>
            </w:r>
            <w:r>
              <w:rPr>
                <w:noProof/>
                <w:webHidden/>
              </w:rPr>
              <w:fldChar w:fldCharType="begin"/>
            </w:r>
            <w:r>
              <w:rPr>
                <w:noProof/>
                <w:webHidden/>
              </w:rPr>
              <w:instrText xml:space="preserve"> PAGEREF _Toc55912223 \h </w:instrText>
            </w:r>
            <w:r>
              <w:rPr>
                <w:noProof/>
                <w:webHidden/>
              </w:rPr>
            </w:r>
            <w:r>
              <w:rPr>
                <w:noProof/>
                <w:webHidden/>
              </w:rPr>
              <w:fldChar w:fldCharType="separate"/>
            </w:r>
            <w:r w:rsidR="00ED2796">
              <w:rPr>
                <w:noProof/>
                <w:webHidden/>
              </w:rPr>
              <w:t>103</w:t>
            </w:r>
            <w:r>
              <w:rPr>
                <w:noProof/>
                <w:webHidden/>
              </w:rPr>
              <w:fldChar w:fldCharType="end"/>
            </w:r>
          </w:hyperlink>
        </w:p>
        <w:p w14:paraId="5C39DCF9" w14:textId="2704FF73" w:rsidR="0035086C" w:rsidRDefault="0035086C">
          <w:pPr>
            <w:pStyle w:val="Kazalovsebine2"/>
            <w:rPr>
              <w:rFonts w:asciiTheme="minorHAnsi" w:eastAsiaTheme="minorEastAsia" w:hAnsiTheme="minorHAnsi" w:cstheme="minorBidi"/>
              <w:noProof/>
              <w:sz w:val="22"/>
              <w:szCs w:val="22"/>
              <w:lang w:eastAsia="sl-SI"/>
            </w:rPr>
          </w:pPr>
          <w:hyperlink w:anchor="_Toc55912224" w:history="1">
            <w:r w:rsidRPr="00FD5728">
              <w:rPr>
                <w:rStyle w:val="Hiperpovezava"/>
                <w:noProof/>
              </w:rPr>
              <w:t>2.10</w:t>
            </w:r>
            <w:r>
              <w:rPr>
                <w:rFonts w:asciiTheme="minorHAnsi" w:eastAsiaTheme="minorEastAsia" w:hAnsiTheme="minorHAnsi" w:cstheme="minorBidi"/>
                <w:noProof/>
                <w:sz w:val="22"/>
                <w:szCs w:val="22"/>
                <w:lang w:eastAsia="sl-SI"/>
              </w:rPr>
              <w:tab/>
            </w:r>
            <w:r w:rsidRPr="00FD5728">
              <w:rPr>
                <w:rStyle w:val="Hiperpovezava"/>
                <w:noProof/>
              </w:rPr>
              <w:t>Sektor vina</w:t>
            </w:r>
            <w:r>
              <w:rPr>
                <w:noProof/>
                <w:webHidden/>
              </w:rPr>
              <w:tab/>
            </w:r>
            <w:r>
              <w:rPr>
                <w:noProof/>
                <w:webHidden/>
              </w:rPr>
              <w:fldChar w:fldCharType="begin"/>
            </w:r>
            <w:r>
              <w:rPr>
                <w:noProof/>
                <w:webHidden/>
              </w:rPr>
              <w:instrText xml:space="preserve"> PAGEREF _Toc55912224 \h </w:instrText>
            </w:r>
            <w:r>
              <w:rPr>
                <w:noProof/>
                <w:webHidden/>
              </w:rPr>
            </w:r>
            <w:r>
              <w:rPr>
                <w:noProof/>
                <w:webHidden/>
              </w:rPr>
              <w:fldChar w:fldCharType="separate"/>
            </w:r>
            <w:r w:rsidR="00ED2796">
              <w:rPr>
                <w:noProof/>
                <w:webHidden/>
              </w:rPr>
              <w:t>103</w:t>
            </w:r>
            <w:r>
              <w:rPr>
                <w:noProof/>
                <w:webHidden/>
              </w:rPr>
              <w:fldChar w:fldCharType="end"/>
            </w:r>
          </w:hyperlink>
        </w:p>
        <w:p w14:paraId="32DF1DB7" w14:textId="0022F9CA" w:rsidR="0035086C" w:rsidRDefault="0035086C">
          <w:pPr>
            <w:pStyle w:val="Kazalovsebine3"/>
            <w:tabs>
              <w:tab w:val="left" w:pos="1320"/>
              <w:tab w:val="right" w:leader="dot" w:pos="9062"/>
            </w:tabs>
            <w:rPr>
              <w:rFonts w:asciiTheme="minorHAnsi" w:eastAsiaTheme="minorEastAsia" w:hAnsiTheme="minorHAnsi" w:cstheme="minorBidi"/>
              <w:noProof/>
              <w:sz w:val="22"/>
              <w:szCs w:val="22"/>
              <w:lang w:eastAsia="sl-SI"/>
            </w:rPr>
          </w:pPr>
          <w:hyperlink w:anchor="_Toc55912225" w:history="1">
            <w:r w:rsidRPr="00FD5728">
              <w:rPr>
                <w:rStyle w:val="Hiperpovezava"/>
                <w:rFonts w:eastAsia="Calibri"/>
                <w:noProof/>
              </w:rPr>
              <w:t>2.10.1</w:t>
            </w:r>
            <w:r>
              <w:rPr>
                <w:rFonts w:asciiTheme="minorHAnsi" w:eastAsiaTheme="minorEastAsia" w:hAnsiTheme="minorHAnsi" w:cstheme="minorBidi"/>
                <w:noProof/>
                <w:sz w:val="22"/>
                <w:szCs w:val="22"/>
                <w:lang w:eastAsia="sl-SI"/>
              </w:rPr>
              <w:tab/>
            </w:r>
            <w:r w:rsidRPr="00FD5728">
              <w:rPr>
                <w:rStyle w:val="Hiperpovezava"/>
                <w:rFonts w:eastAsia="Calibri"/>
                <w:noProof/>
              </w:rPr>
              <w:t>Stanje v sektorju in osnovni ekonomski kazalniki</w:t>
            </w:r>
            <w:r>
              <w:rPr>
                <w:noProof/>
                <w:webHidden/>
              </w:rPr>
              <w:tab/>
            </w:r>
            <w:r>
              <w:rPr>
                <w:noProof/>
                <w:webHidden/>
              </w:rPr>
              <w:fldChar w:fldCharType="begin"/>
            </w:r>
            <w:r>
              <w:rPr>
                <w:noProof/>
                <w:webHidden/>
              </w:rPr>
              <w:instrText xml:space="preserve"> PAGEREF _Toc55912225 \h </w:instrText>
            </w:r>
            <w:r>
              <w:rPr>
                <w:noProof/>
                <w:webHidden/>
              </w:rPr>
            </w:r>
            <w:r>
              <w:rPr>
                <w:noProof/>
                <w:webHidden/>
              </w:rPr>
              <w:fldChar w:fldCharType="separate"/>
            </w:r>
            <w:r w:rsidR="00ED2796">
              <w:rPr>
                <w:noProof/>
                <w:webHidden/>
              </w:rPr>
              <w:t>103</w:t>
            </w:r>
            <w:r>
              <w:rPr>
                <w:noProof/>
                <w:webHidden/>
              </w:rPr>
              <w:fldChar w:fldCharType="end"/>
            </w:r>
          </w:hyperlink>
        </w:p>
        <w:p w14:paraId="3483C67B" w14:textId="104BB26F" w:rsidR="0035086C" w:rsidRDefault="0035086C">
          <w:pPr>
            <w:pStyle w:val="Kazalovsebine3"/>
            <w:tabs>
              <w:tab w:val="left" w:pos="1320"/>
              <w:tab w:val="right" w:leader="dot" w:pos="9062"/>
            </w:tabs>
            <w:rPr>
              <w:rFonts w:asciiTheme="minorHAnsi" w:eastAsiaTheme="minorEastAsia" w:hAnsiTheme="minorHAnsi" w:cstheme="minorBidi"/>
              <w:noProof/>
              <w:sz w:val="22"/>
              <w:szCs w:val="22"/>
              <w:lang w:eastAsia="sl-SI"/>
            </w:rPr>
          </w:pPr>
          <w:hyperlink w:anchor="_Toc55912226" w:history="1">
            <w:r w:rsidRPr="00FD5728">
              <w:rPr>
                <w:rStyle w:val="Hiperpovezava"/>
                <w:rFonts w:eastAsia="Calibri"/>
                <w:noProof/>
              </w:rPr>
              <w:t>2.10.2</w:t>
            </w:r>
            <w:r>
              <w:rPr>
                <w:rFonts w:asciiTheme="minorHAnsi" w:eastAsiaTheme="minorEastAsia" w:hAnsiTheme="minorHAnsi" w:cstheme="minorBidi"/>
                <w:noProof/>
                <w:sz w:val="22"/>
                <w:szCs w:val="22"/>
                <w:lang w:eastAsia="sl-SI"/>
              </w:rPr>
              <w:tab/>
            </w:r>
            <w:r w:rsidRPr="00FD5728">
              <w:rPr>
                <w:rStyle w:val="Hiperpovezava"/>
                <w:rFonts w:eastAsia="Calibri"/>
                <w:noProof/>
              </w:rPr>
              <w:t>Ključne ugotovitve</w:t>
            </w:r>
            <w:r>
              <w:rPr>
                <w:noProof/>
                <w:webHidden/>
              </w:rPr>
              <w:tab/>
            </w:r>
            <w:r>
              <w:rPr>
                <w:noProof/>
                <w:webHidden/>
              </w:rPr>
              <w:fldChar w:fldCharType="begin"/>
            </w:r>
            <w:r>
              <w:rPr>
                <w:noProof/>
                <w:webHidden/>
              </w:rPr>
              <w:instrText xml:space="preserve"> PAGEREF _Toc55912226 \h </w:instrText>
            </w:r>
            <w:r>
              <w:rPr>
                <w:noProof/>
                <w:webHidden/>
              </w:rPr>
            </w:r>
            <w:r>
              <w:rPr>
                <w:noProof/>
                <w:webHidden/>
              </w:rPr>
              <w:fldChar w:fldCharType="separate"/>
            </w:r>
            <w:r w:rsidR="00ED2796">
              <w:rPr>
                <w:noProof/>
                <w:webHidden/>
              </w:rPr>
              <w:t>108</w:t>
            </w:r>
            <w:r>
              <w:rPr>
                <w:noProof/>
                <w:webHidden/>
              </w:rPr>
              <w:fldChar w:fldCharType="end"/>
            </w:r>
          </w:hyperlink>
        </w:p>
        <w:p w14:paraId="3E621DB9" w14:textId="4AEB5169" w:rsidR="0035086C" w:rsidRDefault="0035086C">
          <w:pPr>
            <w:pStyle w:val="Kazalovsebine2"/>
            <w:rPr>
              <w:rFonts w:asciiTheme="minorHAnsi" w:eastAsiaTheme="minorEastAsia" w:hAnsiTheme="minorHAnsi" w:cstheme="minorBidi"/>
              <w:noProof/>
              <w:sz w:val="22"/>
              <w:szCs w:val="22"/>
              <w:lang w:eastAsia="sl-SI"/>
            </w:rPr>
          </w:pPr>
          <w:hyperlink w:anchor="_Toc55912227" w:history="1">
            <w:r w:rsidRPr="00FD5728">
              <w:rPr>
                <w:rStyle w:val="Hiperpovezava"/>
                <w:noProof/>
              </w:rPr>
              <w:t>2.11</w:t>
            </w:r>
            <w:r>
              <w:rPr>
                <w:rFonts w:asciiTheme="minorHAnsi" w:eastAsiaTheme="minorEastAsia" w:hAnsiTheme="minorHAnsi" w:cstheme="minorBidi"/>
                <w:noProof/>
                <w:sz w:val="22"/>
                <w:szCs w:val="22"/>
                <w:lang w:eastAsia="sl-SI"/>
              </w:rPr>
              <w:tab/>
            </w:r>
            <w:r w:rsidRPr="00FD5728">
              <w:rPr>
                <w:rStyle w:val="Hiperpovezava"/>
                <w:noProof/>
              </w:rPr>
              <w:t>Sektor oljkarstva</w:t>
            </w:r>
            <w:r>
              <w:rPr>
                <w:noProof/>
                <w:webHidden/>
              </w:rPr>
              <w:tab/>
            </w:r>
            <w:r>
              <w:rPr>
                <w:noProof/>
                <w:webHidden/>
              </w:rPr>
              <w:fldChar w:fldCharType="begin"/>
            </w:r>
            <w:r>
              <w:rPr>
                <w:noProof/>
                <w:webHidden/>
              </w:rPr>
              <w:instrText xml:space="preserve"> PAGEREF _Toc55912227 \h </w:instrText>
            </w:r>
            <w:r>
              <w:rPr>
                <w:noProof/>
                <w:webHidden/>
              </w:rPr>
            </w:r>
            <w:r>
              <w:rPr>
                <w:noProof/>
                <w:webHidden/>
              </w:rPr>
              <w:fldChar w:fldCharType="separate"/>
            </w:r>
            <w:r w:rsidR="00ED2796">
              <w:rPr>
                <w:noProof/>
                <w:webHidden/>
              </w:rPr>
              <w:t>108</w:t>
            </w:r>
            <w:r>
              <w:rPr>
                <w:noProof/>
                <w:webHidden/>
              </w:rPr>
              <w:fldChar w:fldCharType="end"/>
            </w:r>
          </w:hyperlink>
        </w:p>
        <w:p w14:paraId="551B0F28" w14:textId="32530BEA" w:rsidR="0035086C" w:rsidRDefault="0035086C">
          <w:pPr>
            <w:pStyle w:val="Kazalovsebine3"/>
            <w:tabs>
              <w:tab w:val="left" w:pos="1320"/>
              <w:tab w:val="right" w:leader="dot" w:pos="9062"/>
            </w:tabs>
            <w:rPr>
              <w:rFonts w:asciiTheme="minorHAnsi" w:eastAsiaTheme="minorEastAsia" w:hAnsiTheme="minorHAnsi" w:cstheme="minorBidi"/>
              <w:noProof/>
              <w:sz w:val="22"/>
              <w:szCs w:val="22"/>
              <w:lang w:eastAsia="sl-SI"/>
            </w:rPr>
          </w:pPr>
          <w:hyperlink w:anchor="_Toc55912228" w:history="1">
            <w:r w:rsidRPr="00FD5728">
              <w:rPr>
                <w:rStyle w:val="Hiperpovezava"/>
                <w:rFonts w:eastAsia="Calibri"/>
                <w:noProof/>
              </w:rPr>
              <w:t>2.11.1</w:t>
            </w:r>
            <w:r>
              <w:rPr>
                <w:rFonts w:asciiTheme="minorHAnsi" w:eastAsiaTheme="minorEastAsia" w:hAnsiTheme="minorHAnsi" w:cstheme="minorBidi"/>
                <w:noProof/>
                <w:sz w:val="22"/>
                <w:szCs w:val="22"/>
                <w:lang w:eastAsia="sl-SI"/>
              </w:rPr>
              <w:tab/>
            </w:r>
            <w:r w:rsidRPr="00FD5728">
              <w:rPr>
                <w:rStyle w:val="Hiperpovezava"/>
                <w:rFonts w:eastAsia="Calibri"/>
                <w:noProof/>
              </w:rPr>
              <w:t>Stanje v sektorju in osnovni ekonomski kazalniki</w:t>
            </w:r>
            <w:r>
              <w:rPr>
                <w:noProof/>
                <w:webHidden/>
              </w:rPr>
              <w:tab/>
            </w:r>
            <w:r>
              <w:rPr>
                <w:noProof/>
                <w:webHidden/>
              </w:rPr>
              <w:fldChar w:fldCharType="begin"/>
            </w:r>
            <w:r>
              <w:rPr>
                <w:noProof/>
                <w:webHidden/>
              </w:rPr>
              <w:instrText xml:space="preserve"> PAGEREF _Toc55912228 \h </w:instrText>
            </w:r>
            <w:r>
              <w:rPr>
                <w:noProof/>
                <w:webHidden/>
              </w:rPr>
            </w:r>
            <w:r>
              <w:rPr>
                <w:noProof/>
                <w:webHidden/>
              </w:rPr>
              <w:fldChar w:fldCharType="separate"/>
            </w:r>
            <w:r w:rsidR="00ED2796">
              <w:rPr>
                <w:noProof/>
                <w:webHidden/>
              </w:rPr>
              <w:t>109</w:t>
            </w:r>
            <w:r>
              <w:rPr>
                <w:noProof/>
                <w:webHidden/>
              </w:rPr>
              <w:fldChar w:fldCharType="end"/>
            </w:r>
          </w:hyperlink>
        </w:p>
        <w:p w14:paraId="0A216047" w14:textId="1DB2B1E1" w:rsidR="0035086C" w:rsidRDefault="0035086C">
          <w:pPr>
            <w:pStyle w:val="Kazalovsebine3"/>
            <w:tabs>
              <w:tab w:val="left" w:pos="1320"/>
              <w:tab w:val="right" w:leader="dot" w:pos="9062"/>
            </w:tabs>
            <w:rPr>
              <w:rFonts w:asciiTheme="minorHAnsi" w:eastAsiaTheme="minorEastAsia" w:hAnsiTheme="minorHAnsi" w:cstheme="minorBidi"/>
              <w:noProof/>
              <w:sz w:val="22"/>
              <w:szCs w:val="22"/>
              <w:lang w:eastAsia="sl-SI"/>
            </w:rPr>
          </w:pPr>
          <w:hyperlink w:anchor="_Toc55912229" w:history="1">
            <w:r w:rsidRPr="00FD5728">
              <w:rPr>
                <w:rStyle w:val="Hiperpovezava"/>
                <w:noProof/>
              </w:rPr>
              <w:t>2.11.2</w:t>
            </w:r>
            <w:r>
              <w:rPr>
                <w:rFonts w:asciiTheme="minorHAnsi" w:eastAsiaTheme="minorEastAsia" w:hAnsiTheme="minorHAnsi" w:cstheme="minorBidi"/>
                <w:noProof/>
                <w:sz w:val="22"/>
                <w:szCs w:val="22"/>
                <w:lang w:eastAsia="sl-SI"/>
              </w:rPr>
              <w:tab/>
            </w:r>
            <w:r w:rsidRPr="00FD5728">
              <w:rPr>
                <w:rStyle w:val="Hiperpovezava"/>
                <w:noProof/>
              </w:rPr>
              <w:t>Ključne ugotovitve</w:t>
            </w:r>
            <w:r>
              <w:rPr>
                <w:noProof/>
                <w:webHidden/>
              </w:rPr>
              <w:tab/>
            </w:r>
            <w:r>
              <w:rPr>
                <w:noProof/>
                <w:webHidden/>
              </w:rPr>
              <w:fldChar w:fldCharType="begin"/>
            </w:r>
            <w:r>
              <w:rPr>
                <w:noProof/>
                <w:webHidden/>
              </w:rPr>
              <w:instrText xml:space="preserve"> PAGEREF _Toc55912229 \h </w:instrText>
            </w:r>
            <w:r>
              <w:rPr>
                <w:noProof/>
                <w:webHidden/>
              </w:rPr>
            </w:r>
            <w:r>
              <w:rPr>
                <w:noProof/>
                <w:webHidden/>
              </w:rPr>
              <w:fldChar w:fldCharType="separate"/>
            </w:r>
            <w:r w:rsidR="00ED2796">
              <w:rPr>
                <w:noProof/>
                <w:webHidden/>
              </w:rPr>
              <w:t>113</w:t>
            </w:r>
            <w:r>
              <w:rPr>
                <w:noProof/>
                <w:webHidden/>
              </w:rPr>
              <w:fldChar w:fldCharType="end"/>
            </w:r>
          </w:hyperlink>
        </w:p>
        <w:p w14:paraId="3D77491A" w14:textId="2F1821C3" w:rsidR="0035086C" w:rsidRDefault="0035086C">
          <w:pPr>
            <w:pStyle w:val="Kazalovsebine2"/>
            <w:rPr>
              <w:rFonts w:asciiTheme="minorHAnsi" w:eastAsiaTheme="minorEastAsia" w:hAnsiTheme="minorHAnsi" w:cstheme="minorBidi"/>
              <w:noProof/>
              <w:sz w:val="22"/>
              <w:szCs w:val="22"/>
              <w:lang w:eastAsia="sl-SI"/>
            </w:rPr>
          </w:pPr>
          <w:hyperlink w:anchor="_Toc55912230" w:history="1">
            <w:r w:rsidRPr="00FD5728">
              <w:rPr>
                <w:rStyle w:val="Hiperpovezava"/>
                <w:noProof/>
              </w:rPr>
              <w:t>2.12</w:t>
            </w:r>
            <w:r>
              <w:rPr>
                <w:rFonts w:asciiTheme="minorHAnsi" w:eastAsiaTheme="minorEastAsia" w:hAnsiTheme="minorHAnsi" w:cstheme="minorBidi"/>
                <w:noProof/>
                <w:sz w:val="22"/>
                <w:szCs w:val="22"/>
                <w:lang w:eastAsia="sl-SI"/>
              </w:rPr>
              <w:tab/>
            </w:r>
            <w:r w:rsidRPr="00FD5728">
              <w:rPr>
                <w:rStyle w:val="Hiperpovezava"/>
                <w:noProof/>
              </w:rPr>
              <w:t>Hmeljarstvo</w:t>
            </w:r>
            <w:r>
              <w:rPr>
                <w:noProof/>
                <w:webHidden/>
              </w:rPr>
              <w:tab/>
            </w:r>
            <w:r>
              <w:rPr>
                <w:noProof/>
                <w:webHidden/>
              </w:rPr>
              <w:fldChar w:fldCharType="begin"/>
            </w:r>
            <w:r>
              <w:rPr>
                <w:noProof/>
                <w:webHidden/>
              </w:rPr>
              <w:instrText xml:space="preserve"> PAGEREF _Toc55912230 \h </w:instrText>
            </w:r>
            <w:r>
              <w:rPr>
                <w:noProof/>
                <w:webHidden/>
              </w:rPr>
            </w:r>
            <w:r>
              <w:rPr>
                <w:noProof/>
                <w:webHidden/>
              </w:rPr>
              <w:fldChar w:fldCharType="separate"/>
            </w:r>
            <w:r w:rsidR="00ED2796">
              <w:rPr>
                <w:noProof/>
                <w:webHidden/>
              </w:rPr>
              <w:t>114</w:t>
            </w:r>
            <w:r>
              <w:rPr>
                <w:noProof/>
                <w:webHidden/>
              </w:rPr>
              <w:fldChar w:fldCharType="end"/>
            </w:r>
          </w:hyperlink>
        </w:p>
        <w:p w14:paraId="243C44F6" w14:textId="1EA177F5" w:rsidR="0035086C" w:rsidRDefault="0035086C">
          <w:pPr>
            <w:pStyle w:val="Kazalovsebine3"/>
            <w:tabs>
              <w:tab w:val="left" w:pos="1320"/>
              <w:tab w:val="right" w:leader="dot" w:pos="9062"/>
            </w:tabs>
            <w:rPr>
              <w:rFonts w:asciiTheme="minorHAnsi" w:eastAsiaTheme="minorEastAsia" w:hAnsiTheme="minorHAnsi" w:cstheme="minorBidi"/>
              <w:noProof/>
              <w:sz w:val="22"/>
              <w:szCs w:val="22"/>
              <w:lang w:eastAsia="sl-SI"/>
            </w:rPr>
          </w:pPr>
          <w:hyperlink w:anchor="_Toc55912231" w:history="1">
            <w:r w:rsidRPr="00FD5728">
              <w:rPr>
                <w:rStyle w:val="Hiperpovezava"/>
                <w:noProof/>
              </w:rPr>
              <w:t>2.12.1</w:t>
            </w:r>
            <w:r>
              <w:rPr>
                <w:rFonts w:asciiTheme="minorHAnsi" w:eastAsiaTheme="minorEastAsia" w:hAnsiTheme="minorHAnsi" w:cstheme="minorBidi"/>
                <w:noProof/>
                <w:sz w:val="22"/>
                <w:szCs w:val="22"/>
                <w:lang w:eastAsia="sl-SI"/>
              </w:rPr>
              <w:tab/>
            </w:r>
            <w:r w:rsidRPr="00FD5728">
              <w:rPr>
                <w:rStyle w:val="Hiperpovezava"/>
                <w:noProof/>
              </w:rPr>
              <w:t>Stanje in osnovni ekonomski kazalniki</w:t>
            </w:r>
            <w:r>
              <w:rPr>
                <w:noProof/>
                <w:webHidden/>
              </w:rPr>
              <w:tab/>
            </w:r>
            <w:r>
              <w:rPr>
                <w:noProof/>
                <w:webHidden/>
              </w:rPr>
              <w:fldChar w:fldCharType="begin"/>
            </w:r>
            <w:r>
              <w:rPr>
                <w:noProof/>
                <w:webHidden/>
              </w:rPr>
              <w:instrText xml:space="preserve"> PAGEREF _Toc55912231 \h </w:instrText>
            </w:r>
            <w:r>
              <w:rPr>
                <w:noProof/>
                <w:webHidden/>
              </w:rPr>
            </w:r>
            <w:r>
              <w:rPr>
                <w:noProof/>
                <w:webHidden/>
              </w:rPr>
              <w:fldChar w:fldCharType="separate"/>
            </w:r>
            <w:r w:rsidR="00ED2796">
              <w:rPr>
                <w:noProof/>
                <w:webHidden/>
              </w:rPr>
              <w:t>114</w:t>
            </w:r>
            <w:r>
              <w:rPr>
                <w:noProof/>
                <w:webHidden/>
              </w:rPr>
              <w:fldChar w:fldCharType="end"/>
            </w:r>
          </w:hyperlink>
        </w:p>
        <w:p w14:paraId="372E5507" w14:textId="600DC7B6" w:rsidR="0035086C" w:rsidRDefault="0035086C">
          <w:pPr>
            <w:pStyle w:val="Kazalovsebine3"/>
            <w:tabs>
              <w:tab w:val="left" w:pos="1320"/>
              <w:tab w:val="right" w:leader="dot" w:pos="9062"/>
            </w:tabs>
            <w:rPr>
              <w:rFonts w:asciiTheme="minorHAnsi" w:eastAsiaTheme="minorEastAsia" w:hAnsiTheme="minorHAnsi" w:cstheme="minorBidi"/>
              <w:noProof/>
              <w:sz w:val="22"/>
              <w:szCs w:val="22"/>
              <w:lang w:eastAsia="sl-SI"/>
            </w:rPr>
          </w:pPr>
          <w:hyperlink w:anchor="_Toc55912232" w:history="1">
            <w:r w:rsidRPr="00FD5728">
              <w:rPr>
                <w:rStyle w:val="Hiperpovezava"/>
                <w:noProof/>
              </w:rPr>
              <w:t>2.12.2</w:t>
            </w:r>
            <w:r>
              <w:rPr>
                <w:rFonts w:asciiTheme="minorHAnsi" w:eastAsiaTheme="minorEastAsia" w:hAnsiTheme="minorHAnsi" w:cstheme="minorBidi"/>
                <w:noProof/>
                <w:sz w:val="22"/>
                <w:szCs w:val="22"/>
                <w:lang w:eastAsia="sl-SI"/>
              </w:rPr>
              <w:tab/>
            </w:r>
            <w:r w:rsidRPr="00FD5728">
              <w:rPr>
                <w:rStyle w:val="Hiperpovezava"/>
                <w:noProof/>
              </w:rPr>
              <w:t>Ključne ugotovitve</w:t>
            </w:r>
            <w:r>
              <w:rPr>
                <w:noProof/>
                <w:webHidden/>
              </w:rPr>
              <w:tab/>
            </w:r>
            <w:r>
              <w:rPr>
                <w:noProof/>
                <w:webHidden/>
              </w:rPr>
              <w:fldChar w:fldCharType="begin"/>
            </w:r>
            <w:r>
              <w:rPr>
                <w:noProof/>
                <w:webHidden/>
              </w:rPr>
              <w:instrText xml:space="preserve"> PAGEREF _Toc55912232 \h </w:instrText>
            </w:r>
            <w:r>
              <w:rPr>
                <w:noProof/>
                <w:webHidden/>
              </w:rPr>
            </w:r>
            <w:r>
              <w:rPr>
                <w:noProof/>
                <w:webHidden/>
              </w:rPr>
              <w:fldChar w:fldCharType="separate"/>
            </w:r>
            <w:r w:rsidR="00ED2796">
              <w:rPr>
                <w:noProof/>
                <w:webHidden/>
              </w:rPr>
              <w:t>117</w:t>
            </w:r>
            <w:r>
              <w:rPr>
                <w:noProof/>
                <w:webHidden/>
              </w:rPr>
              <w:fldChar w:fldCharType="end"/>
            </w:r>
          </w:hyperlink>
        </w:p>
        <w:p w14:paraId="0780C836" w14:textId="7F65704A" w:rsidR="0035086C" w:rsidRDefault="0035086C">
          <w:pPr>
            <w:pStyle w:val="Kazalovsebine2"/>
            <w:rPr>
              <w:rFonts w:asciiTheme="minorHAnsi" w:eastAsiaTheme="minorEastAsia" w:hAnsiTheme="minorHAnsi" w:cstheme="minorBidi"/>
              <w:noProof/>
              <w:sz w:val="22"/>
              <w:szCs w:val="22"/>
              <w:lang w:eastAsia="sl-SI"/>
            </w:rPr>
          </w:pPr>
          <w:hyperlink w:anchor="_Toc55912233" w:history="1">
            <w:r w:rsidRPr="00FD5728">
              <w:rPr>
                <w:rStyle w:val="Hiperpovezava"/>
                <w:noProof/>
              </w:rPr>
              <w:t>2.13</w:t>
            </w:r>
            <w:r>
              <w:rPr>
                <w:rFonts w:asciiTheme="minorHAnsi" w:eastAsiaTheme="minorEastAsia" w:hAnsiTheme="minorHAnsi" w:cstheme="minorBidi"/>
                <w:noProof/>
                <w:sz w:val="22"/>
                <w:szCs w:val="22"/>
                <w:lang w:eastAsia="sl-SI"/>
              </w:rPr>
              <w:tab/>
            </w:r>
            <w:r w:rsidRPr="00FD5728">
              <w:rPr>
                <w:rStyle w:val="Hiperpovezava"/>
                <w:noProof/>
              </w:rPr>
              <w:t>Semenarstvo</w:t>
            </w:r>
            <w:r>
              <w:rPr>
                <w:noProof/>
                <w:webHidden/>
              </w:rPr>
              <w:tab/>
            </w:r>
            <w:r>
              <w:rPr>
                <w:noProof/>
                <w:webHidden/>
              </w:rPr>
              <w:fldChar w:fldCharType="begin"/>
            </w:r>
            <w:r>
              <w:rPr>
                <w:noProof/>
                <w:webHidden/>
              </w:rPr>
              <w:instrText xml:space="preserve"> PAGEREF _Toc55912233 \h </w:instrText>
            </w:r>
            <w:r>
              <w:rPr>
                <w:noProof/>
                <w:webHidden/>
              </w:rPr>
            </w:r>
            <w:r>
              <w:rPr>
                <w:noProof/>
                <w:webHidden/>
              </w:rPr>
              <w:fldChar w:fldCharType="separate"/>
            </w:r>
            <w:r w:rsidR="00ED2796">
              <w:rPr>
                <w:noProof/>
                <w:webHidden/>
              </w:rPr>
              <w:t>118</w:t>
            </w:r>
            <w:r>
              <w:rPr>
                <w:noProof/>
                <w:webHidden/>
              </w:rPr>
              <w:fldChar w:fldCharType="end"/>
            </w:r>
          </w:hyperlink>
        </w:p>
        <w:p w14:paraId="728D6AD9" w14:textId="00FCA3D4" w:rsidR="0035086C" w:rsidRDefault="0035086C">
          <w:pPr>
            <w:pStyle w:val="Kazalovsebine3"/>
            <w:tabs>
              <w:tab w:val="left" w:pos="1320"/>
              <w:tab w:val="right" w:leader="dot" w:pos="9062"/>
            </w:tabs>
            <w:rPr>
              <w:rFonts w:asciiTheme="minorHAnsi" w:eastAsiaTheme="minorEastAsia" w:hAnsiTheme="minorHAnsi" w:cstheme="minorBidi"/>
              <w:noProof/>
              <w:sz w:val="22"/>
              <w:szCs w:val="22"/>
              <w:lang w:eastAsia="sl-SI"/>
            </w:rPr>
          </w:pPr>
          <w:hyperlink w:anchor="_Toc55912234" w:history="1">
            <w:r w:rsidRPr="00FD5728">
              <w:rPr>
                <w:rStyle w:val="Hiperpovezava"/>
                <w:noProof/>
              </w:rPr>
              <w:t>2.13.1</w:t>
            </w:r>
            <w:r>
              <w:rPr>
                <w:rFonts w:asciiTheme="minorHAnsi" w:eastAsiaTheme="minorEastAsia" w:hAnsiTheme="minorHAnsi" w:cstheme="minorBidi"/>
                <w:noProof/>
                <w:sz w:val="22"/>
                <w:szCs w:val="22"/>
                <w:lang w:eastAsia="sl-SI"/>
              </w:rPr>
              <w:tab/>
            </w:r>
            <w:r w:rsidRPr="00FD5728">
              <w:rPr>
                <w:rStyle w:val="Hiperpovezava"/>
                <w:noProof/>
              </w:rPr>
              <w:t>Stanje v sektorju in osnovni ekonomski kazalniki</w:t>
            </w:r>
            <w:r>
              <w:rPr>
                <w:noProof/>
                <w:webHidden/>
              </w:rPr>
              <w:tab/>
            </w:r>
            <w:r>
              <w:rPr>
                <w:noProof/>
                <w:webHidden/>
              </w:rPr>
              <w:fldChar w:fldCharType="begin"/>
            </w:r>
            <w:r>
              <w:rPr>
                <w:noProof/>
                <w:webHidden/>
              </w:rPr>
              <w:instrText xml:space="preserve"> PAGEREF _Toc55912234 \h </w:instrText>
            </w:r>
            <w:r>
              <w:rPr>
                <w:noProof/>
                <w:webHidden/>
              </w:rPr>
            </w:r>
            <w:r>
              <w:rPr>
                <w:noProof/>
                <w:webHidden/>
              </w:rPr>
              <w:fldChar w:fldCharType="separate"/>
            </w:r>
            <w:r w:rsidR="00ED2796">
              <w:rPr>
                <w:noProof/>
                <w:webHidden/>
              </w:rPr>
              <w:t>118</w:t>
            </w:r>
            <w:r>
              <w:rPr>
                <w:noProof/>
                <w:webHidden/>
              </w:rPr>
              <w:fldChar w:fldCharType="end"/>
            </w:r>
          </w:hyperlink>
        </w:p>
        <w:p w14:paraId="3648FF9E" w14:textId="7C4E807E" w:rsidR="0035086C" w:rsidRDefault="0035086C">
          <w:pPr>
            <w:pStyle w:val="Kazalovsebine3"/>
            <w:tabs>
              <w:tab w:val="left" w:pos="1320"/>
              <w:tab w:val="right" w:leader="dot" w:pos="9062"/>
            </w:tabs>
            <w:rPr>
              <w:rFonts w:asciiTheme="minorHAnsi" w:eastAsiaTheme="minorEastAsia" w:hAnsiTheme="minorHAnsi" w:cstheme="minorBidi"/>
              <w:noProof/>
              <w:sz w:val="22"/>
              <w:szCs w:val="22"/>
              <w:lang w:eastAsia="sl-SI"/>
            </w:rPr>
          </w:pPr>
          <w:hyperlink w:anchor="_Toc55912235" w:history="1">
            <w:r w:rsidRPr="00FD5728">
              <w:rPr>
                <w:rStyle w:val="Hiperpovezava"/>
                <w:noProof/>
              </w:rPr>
              <w:t>2.13.2</w:t>
            </w:r>
            <w:r>
              <w:rPr>
                <w:rFonts w:asciiTheme="minorHAnsi" w:eastAsiaTheme="minorEastAsia" w:hAnsiTheme="minorHAnsi" w:cstheme="minorBidi"/>
                <w:noProof/>
                <w:sz w:val="22"/>
                <w:szCs w:val="22"/>
                <w:lang w:eastAsia="sl-SI"/>
              </w:rPr>
              <w:tab/>
            </w:r>
            <w:r w:rsidRPr="00FD5728">
              <w:rPr>
                <w:rStyle w:val="Hiperpovezava"/>
                <w:noProof/>
              </w:rPr>
              <w:t>Ključne ugotovitve</w:t>
            </w:r>
            <w:r>
              <w:rPr>
                <w:noProof/>
                <w:webHidden/>
              </w:rPr>
              <w:tab/>
            </w:r>
            <w:r>
              <w:rPr>
                <w:noProof/>
                <w:webHidden/>
              </w:rPr>
              <w:fldChar w:fldCharType="begin"/>
            </w:r>
            <w:r>
              <w:rPr>
                <w:noProof/>
                <w:webHidden/>
              </w:rPr>
              <w:instrText xml:space="preserve"> PAGEREF _Toc55912235 \h </w:instrText>
            </w:r>
            <w:r>
              <w:rPr>
                <w:noProof/>
                <w:webHidden/>
              </w:rPr>
            </w:r>
            <w:r>
              <w:rPr>
                <w:noProof/>
                <w:webHidden/>
              </w:rPr>
              <w:fldChar w:fldCharType="separate"/>
            </w:r>
            <w:r w:rsidR="00ED2796">
              <w:rPr>
                <w:noProof/>
                <w:webHidden/>
              </w:rPr>
              <w:t>122</w:t>
            </w:r>
            <w:r>
              <w:rPr>
                <w:noProof/>
                <w:webHidden/>
              </w:rPr>
              <w:fldChar w:fldCharType="end"/>
            </w:r>
          </w:hyperlink>
        </w:p>
        <w:p w14:paraId="298322BF" w14:textId="414F2E8C" w:rsidR="0035086C" w:rsidRDefault="0035086C">
          <w:pPr>
            <w:pStyle w:val="Kazalovsebine2"/>
            <w:rPr>
              <w:rFonts w:asciiTheme="minorHAnsi" w:eastAsiaTheme="minorEastAsia" w:hAnsiTheme="minorHAnsi" w:cstheme="minorBidi"/>
              <w:noProof/>
              <w:sz w:val="22"/>
              <w:szCs w:val="22"/>
              <w:lang w:eastAsia="sl-SI"/>
            </w:rPr>
          </w:pPr>
          <w:hyperlink w:anchor="_Toc55912236" w:history="1">
            <w:r w:rsidRPr="00FD5728">
              <w:rPr>
                <w:rStyle w:val="Hiperpovezava"/>
                <w:noProof/>
              </w:rPr>
              <w:t>2.14</w:t>
            </w:r>
            <w:r>
              <w:rPr>
                <w:rFonts w:asciiTheme="minorHAnsi" w:eastAsiaTheme="minorEastAsia" w:hAnsiTheme="minorHAnsi" w:cstheme="minorBidi"/>
                <w:noProof/>
                <w:sz w:val="22"/>
                <w:szCs w:val="22"/>
                <w:lang w:eastAsia="sl-SI"/>
              </w:rPr>
              <w:tab/>
            </w:r>
            <w:r w:rsidRPr="00FD5728">
              <w:rPr>
                <w:rStyle w:val="Hiperpovezava"/>
                <w:noProof/>
              </w:rPr>
              <w:t>Poljedelstvo</w:t>
            </w:r>
            <w:r>
              <w:rPr>
                <w:noProof/>
                <w:webHidden/>
              </w:rPr>
              <w:tab/>
            </w:r>
            <w:r>
              <w:rPr>
                <w:noProof/>
                <w:webHidden/>
              </w:rPr>
              <w:fldChar w:fldCharType="begin"/>
            </w:r>
            <w:r>
              <w:rPr>
                <w:noProof/>
                <w:webHidden/>
              </w:rPr>
              <w:instrText xml:space="preserve"> PAGEREF _Toc55912236 \h </w:instrText>
            </w:r>
            <w:r>
              <w:rPr>
                <w:noProof/>
                <w:webHidden/>
              </w:rPr>
            </w:r>
            <w:r>
              <w:rPr>
                <w:noProof/>
                <w:webHidden/>
              </w:rPr>
              <w:fldChar w:fldCharType="separate"/>
            </w:r>
            <w:r w:rsidR="00ED2796">
              <w:rPr>
                <w:noProof/>
                <w:webHidden/>
              </w:rPr>
              <w:t>123</w:t>
            </w:r>
            <w:r>
              <w:rPr>
                <w:noProof/>
                <w:webHidden/>
              </w:rPr>
              <w:fldChar w:fldCharType="end"/>
            </w:r>
          </w:hyperlink>
        </w:p>
        <w:p w14:paraId="26D8C4C4" w14:textId="0A52A378" w:rsidR="0035086C" w:rsidRDefault="0035086C">
          <w:pPr>
            <w:pStyle w:val="Kazalovsebine3"/>
            <w:tabs>
              <w:tab w:val="left" w:pos="1320"/>
              <w:tab w:val="right" w:leader="dot" w:pos="9062"/>
            </w:tabs>
            <w:rPr>
              <w:rFonts w:asciiTheme="minorHAnsi" w:eastAsiaTheme="minorEastAsia" w:hAnsiTheme="minorHAnsi" w:cstheme="minorBidi"/>
              <w:noProof/>
              <w:sz w:val="22"/>
              <w:szCs w:val="22"/>
              <w:lang w:eastAsia="sl-SI"/>
            </w:rPr>
          </w:pPr>
          <w:hyperlink w:anchor="_Toc55912237" w:history="1">
            <w:r w:rsidRPr="00FD5728">
              <w:rPr>
                <w:rStyle w:val="Hiperpovezava"/>
                <w:noProof/>
              </w:rPr>
              <w:t>2.14.1</w:t>
            </w:r>
            <w:r>
              <w:rPr>
                <w:rFonts w:asciiTheme="minorHAnsi" w:eastAsiaTheme="minorEastAsia" w:hAnsiTheme="minorHAnsi" w:cstheme="minorBidi"/>
                <w:noProof/>
                <w:sz w:val="22"/>
                <w:szCs w:val="22"/>
                <w:lang w:eastAsia="sl-SI"/>
              </w:rPr>
              <w:tab/>
            </w:r>
            <w:r w:rsidRPr="00FD5728">
              <w:rPr>
                <w:rStyle w:val="Hiperpovezava"/>
                <w:noProof/>
              </w:rPr>
              <w:t>Stanje v sektorju in osnovni ekonomski kazalniki</w:t>
            </w:r>
            <w:r>
              <w:rPr>
                <w:noProof/>
                <w:webHidden/>
              </w:rPr>
              <w:tab/>
            </w:r>
            <w:r>
              <w:rPr>
                <w:noProof/>
                <w:webHidden/>
              </w:rPr>
              <w:fldChar w:fldCharType="begin"/>
            </w:r>
            <w:r>
              <w:rPr>
                <w:noProof/>
                <w:webHidden/>
              </w:rPr>
              <w:instrText xml:space="preserve"> PAGEREF _Toc55912237 \h </w:instrText>
            </w:r>
            <w:r>
              <w:rPr>
                <w:noProof/>
                <w:webHidden/>
              </w:rPr>
            </w:r>
            <w:r>
              <w:rPr>
                <w:noProof/>
                <w:webHidden/>
              </w:rPr>
              <w:fldChar w:fldCharType="separate"/>
            </w:r>
            <w:r w:rsidR="00ED2796">
              <w:rPr>
                <w:noProof/>
                <w:webHidden/>
              </w:rPr>
              <w:t>123</w:t>
            </w:r>
            <w:r>
              <w:rPr>
                <w:noProof/>
                <w:webHidden/>
              </w:rPr>
              <w:fldChar w:fldCharType="end"/>
            </w:r>
          </w:hyperlink>
        </w:p>
        <w:p w14:paraId="650162B3" w14:textId="3F259E2A" w:rsidR="0035086C" w:rsidRDefault="0035086C">
          <w:pPr>
            <w:pStyle w:val="Kazalovsebine3"/>
            <w:tabs>
              <w:tab w:val="left" w:pos="1320"/>
              <w:tab w:val="right" w:leader="dot" w:pos="9062"/>
            </w:tabs>
            <w:rPr>
              <w:rFonts w:asciiTheme="minorHAnsi" w:eastAsiaTheme="minorEastAsia" w:hAnsiTheme="minorHAnsi" w:cstheme="minorBidi"/>
              <w:noProof/>
              <w:sz w:val="22"/>
              <w:szCs w:val="22"/>
              <w:lang w:eastAsia="sl-SI"/>
            </w:rPr>
          </w:pPr>
          <w:hyperlink w:anchor="_Toc55912238" w:history="1">
            <w:r w:rsidRPr="00FD5728">
              <w:rPr>
                <w:rStyle w:val="Hiperpovezava"/>
                <w:noProof/>
              </w:rPr>
              <w:t>2.14.2</w:t>
            </w:r>
            <w:r>
              <w:rPr>
                <w:rFonts w:asciiTheme="minorHAnsi" w:eastAsiaTheme="minorEastAsia" w:hAnsiTheme="minorHAnsi" w:cstheme="minorBidi"/>
                <w:noProof/>
                <w:sz w:val="22"/>
                <w:szCs w:val="22"/>
                <w:lang w:eastAsia="sl-SI"/>
              </w:rPr>
              <w:tab/>
            </w:r>
            <w:r w:rsidRPr="00FD5728">
              <w:rPr>
                <w:rStyle w:val="Hiperpovezava"/>
                <w:noProof/>
              </w:rPr>
              <w:t>Ključne ugotovitve</w:t>
            </w:r>
            <w:r>
              <w:rPr>
                <w:noProof/>
                <w:webHidden/>
              </w:rPr>
              <w:tab/>
            </w:r>
            <w:r>
              <w:rPr>
                <w:noProof/>
                <w:webHidden/>
              </w:rPr>
              <w:fldChar w:fldCharType="begin"/>
            </w:r>
            <w:r>
              <w:rPr>
                <w:noProof/>
                <w:webHidden/>
              </w:rPr>
              <w:instrText xml:space="preserve"> PAGEREF _Toc55912238 \h </w:instrText>
            </w:r>
            <w:r>
              <w:rPr>
                <w:noProof/>
                <w:webHidden/>
              </w:rPr>
            </w:r>
            <w:r>
              <w:rPr>
                <w:noProof/>
                <w:webHidden/>
              </w:rPr>
              <w:fldChar w:fldCharType="separate"/>
            </w:r>
            <w:r w:rsidR="00ED2796">
              <w:rPr>
                <w:noProof/>
                <w:webHidden/>
              </w:rPr>
              <w:t>129</w:t>
            </w:r>
            <w:r>
              <w:rPr>
                <w:noProof/>
                <w:webHidden/>
              </w:rPr>
              <w:fldChar w:fldCharType="end"/>
            </w:r>
          </w:hyperlink>
        </w:p>
        <w:p w14:paraId="01346285" w14:textId="06A35962" w:rsidR="0035086C" w:rsidRDefault="0035086C">
          <w:pPr>
            <w:pStyle w:val="Kazalovsebine1"/>
            <w:rPr>
              <w:rFonts w:asciiTheme="minorHAnsi" w:eastAsiaTheme="minorEastAsia" w:hAnsiTheme="minorHAnsi" w:cstheme="minorBidi"/>
              <w:noProof/>
              <w:sz w:val="22"/>
              <w:szCs w:val="22"/>
              <w:lang w:eastAsia="sl-SI"/>
            </w:rPr>
          </w:pPr>
          <w:hyperlink w:anchor="_Toc55912239" w:history="1">
            <w:r w:rsidRPr="00FD5728">
              <w:rPr>
                <w:rStyle w:val="Hiperpovezava"/>
                <w:noProof/>
              </w:rPr>
              <w:t>3</w:t>
            </w:r>
            <w:r>
              <w:rPr>
                <w:rFonts w:asciiTheme="minorHAnsi" w:eastAsiaTheme="minorEastAsia" w:hAnsiTheme="minorHAnsi" w:cstheme="minorBidi"/>
                <w:noProof/>
                <w:sz w:val="22"/>
                <w:szCs w:val="22"/>
                <w:lang w:eastAsia="sl-SI"/>
              </w:rPr>
              <w:tab/>
            </w:r>
            <w:r w:rsidRPr="00FD5728">
              <w:rPr>
                <w:rStyle w:val="Hiperpovezava"/>
                <w:noProof/>
              </w:rPr>
              <w:t>VIRI IN LITERATURA</w:t>
            </w:r>
            <w:r>
              <w:rPr>
                <w:noProof/>
                <w:webHidden/>
              </w:rPr>
              <w:tab/>
            </w:r>
            <w:r>
              <w:rPr>
                <w:noProof/>
                <w:webHidden/>
              </w:rPr>
              <w:fldChar w:fldCharType="begin"/>
            </w:r>
            <w:r>
              <w:rPr>
                <w:noProof/>
                <w:webHidden/>
              </w:rPr>
              <w:instrText xml:space="preserve"> PAGEREF _Toc55912239 \h </w:instrText>
            </w:r>
            <w:r>
              <w:rPr>
                <w:noProof/>
                <w:webHidden/>
              </w:rPr>
            </w:r>
            <w:r>
              <w:rPr>
                <w:noProof/>
                <w:webHidden/>
              </w:rPr>
              <w:fldChar w:fldCharType="separate"/>
            </w:r>
            <w:r w:rsidR="00ED2796">
              <w:rPr>
                <w:noProof/>
                <w:webHidden/>
              </w:rPr>
              <w:t>130</w:t>
            </w:r>
            <w:r>
              <w:rPr>
                <w:noProof/>
                <w:webHidden/>
              </w:rPr>
              <w:fldChar w:fldCharType="end"/>
            </w:r>
          </w:hyperlink>
        </w:p>
        <w:p w14:paraId="5B9714E3" w14:textId="51B43499" w:rsidR="00BC2FAB" w:rsidRDefault="00BC2FAB" w:rsidP="00D05572">
          <w:r>
            <w:rPr>
              <w:b/>
              <w:bCs/>
            </w:rPr>
            <w:fldChar w:fldCharType="end"/>
          </w:r>
        </w:p>
      </w:sdtContent>
    </w:sdt>
    <w:p w14:paraId="4E091F02" w14:textId="2EA79882" w:rsidR="0035086C" w:rsidRDefault="0035086C">
      <w:r>
        <w:br w:type="page"/>
      </w:r>
    </w:p>
    <w:p w14:paraId="50945743" w14:textId="77777777" w:rsidR="00956FB5" w:rsidRPr="00770611" w:rsidRDefault="00956FB5" w:rsidP="00770611">
      <w:pPr>
        <w:pStyle w:val="Naslov1"/>
        <w:numPr>
          <w:ilvl w:val="0"/>
          <w:numId w:val="0"/>
        </w:numPr>
        <w:ind w:left="432" w:hanging="432"/>
        <w:rPr>
          <w:sz w:val="24"/>
          <w:szCs w:val="24"/>
        </w:rPr>
      </w:pPr>
      <w:bookmarkStart w:id="0" w:name="_Toc55912169"/>
      <w:r w:rsidRPr="00770611">
        <w:rPr>
          <w:sz w:val="24"/>
          <w:szCs w:val="24"/>
        </w:rPr>
        <w:lastRenderedPageBreak/>
        <w:t>Seznam kratic</w:t>
      </w:r>
      <w:bookmarkEnd w:id="0"/>
    </w:p>
    <w:tbl>
      <w:tblPr>
        <w:tblW w:w="9365" w:type="dxa"/>
        <w:tblInd w:w="-5" w:type="dxa"/>
        <w:tblLook w:val="04A0" w:firstRow="1" w:lastRow="0" w:firstColumn="1" w:lastColumn="0" w:noHBand="0" w:noVBand="1"/>
      </w:tblPr>
      <w:tblGrid>
        <w:gridCol w:w="1369"/>
        <w:gridCol w:w="7996"/>
      </w:tblGrid>
      <w:tr w:rsidR="00956FB5" w:rsidRPr="00030F8F" w14:paraId="70BB6AC2" w14:textId="77777777" w:rsidTr="00852E5E">
        <w:trPr>
          <w:trHeight w:val="300"/>
        </w:trPr>
        <w:tc>
          <w:tcPr>
            <w:tcW w:w="1369" w:type="dxa"/>
            <w:shd w:val="clear" w:color="auto" w:fill="auto"/>
            <w:noWrap/>
            <w:vAlign w:val="center"/>
            <w:hideMark/>
          </w:tcPr>
          <w:p w14:paraId="65E4883E" w14:textId="77777777" w:rsidR="00956FB5" w:rsidRPr="00030F8F" w:rsidRDefault="00956FB5" w:rsidP="00C760FC">
            <w:pPr>
              <w:spacing w:after="0" w:line="240" w:lineRule="auto"/>
              <w:jc w:val="both"/>
              <w:rPr>
                <w:rFonts w:cs="Arial"/>
                <w:b/>
                <w:color w:val="86BC25"/>
              </w:rPr>
            </w:pPr>
            <w:r w:rsidRPr="00030F8F">
              <w:rPr>
                <w:rFonts w:cs="Arial"/>
                <w:b/>
                <w:color w:val="86BC25"/>
              </w:rPr>
              <w:t>AJPES</w:t>
            </w:r>
          </w:p>
        </w:tc>
        <w:tc>
          <w:tcPr>
            <w:tcW w:w="7996" w:type="dxa"/>
            <w:shd w:val="clear" w:color="auto" w:fill="auto"/>
            <w:noWrap/>
            <w:vAlign w:val="center"/>
            <w:hideMark/>
          </w:tcPr>
          <w:p w14:paraId="0B4BA9BD" w14:textId="77777777" w:rsidR="00956FB5" w:rsidRPr="00030F8F" w:rsidRDefault="00956FB5" w:rsidP="00C760FC">
            <w:pPr>
              <w:spacing w:after="0" w:line="240" w:lineRule="auto"/>
              <w:jc w:val="both"/>
              <w:rPr>
                <w:rFonts w:cs="Arial"/>
                <w:color w:val="000000"/>
              </w:rPr>
            </w:pPr>
            <w:r w:rsidRPr="00030F8F">
              <w:rPr>
                <w:rFonts w:cs="Arial"/>
                <w:color w:val="000000"/>
              </w:rPr>
              <w:t>Agencija RS za javnopravne evidence in storitve</w:t>
            </w:r>
          </w:p>
        </w:tc>
      </w:tr>
      <w:tr w:rsidR="00956FB5" w:rsidRPr="00030F8F" w14:paraId="56E7FA24" w14:textId="77777777" w:rsidTr="00852E5E">
        <w:trPr>
          <w:trHeight w:val="300"/>
        </w:trPr>
        <w:tc>
          <w:tcPr>
            <w:tcW w:w="1369" w:type="dxa"/>
            <w:shd w:val="clear" w:color="auto" w:fill="auto"/>
            <w:noWrap/>
            <w:vAlign w:val="center"/>
            <w:hideMark/>
          </w:tcPr>
          <w:p w14:paraId="60FB9008" w14:textId="77777777" w:rsidR="00956FB5" w:rsidRPr="00030F8F" w:rsidRDefault="00956FB5" w:rsidP="00C760FC">
            <w:pPr>
              <w:spacing w:after="0" w:line="240" w:lineRule="auto"/>
              <w:jc w:val="both"/>
              <w:rPr>
                <w:rFonts w:cs="Arial"/>
                <w:b/>
                <w:color w:val="86BC25"/>
              </w:rPr>
            </w:pPr>
            <w:r w:rsidRPr="00030F8F">
              <w:rPr>
                <w:rFonts w:cs="Arial"/>
                <w:b/>
                <w:color w:val="86BC25"/>
              </w:rPr>
              <w:t>ARSKTRP</w:t>
            </w:r>
          </w:p>
        </w:tc>
        <w:tc>
          <w:tcPr>
            <w:tcW w:w="7996" w:type="dxa"/>
            <w:shd w:val="clear" w:color="auto" w:fill="auto"/>
            <w:noWrap/>
            <w:vAlign w:val="center"/>
            <w:hideMark/>
          </w:tcPr>
          <w:p w14:paraId="2DD170FA" w14:textId="77777777" w:rsidR="00956FB5" w:rsidRPr="00030F8F" w:rsidRDefault="00956FB5" w:rsidP="00C760FC">
            <w:pPr>
              <w:spacing w:after="0" w:line="240" w:lineRule="auto"/>
              <w:jc w:val="both"/>
              <w:rPr>
                <w:rFonts w:cs="Arial"/>
                <w:color w:val="000000"/>
              </w:rPr>
            </w:pPr>
            <w:r w:rsidRPr="00030F8F">
              <w:rPr>
                <w:rFonts w:cs="Arial"/>
                <w:color w:val="000000"/>
              </w:rPr>
              <w:t>(Tudi AKTRP) Agencija Republike Slovenije za kmetijske trge in razvoj podeželja</w:t>
            </w:r>
          </w:p>
        </w:tc>
      </w:tr>
      <w:tr w:rsidR="00956FB5" w:rsidRPr="00030F8F" w14:paraId="21950543" w14:textId="77777777" w:rsidTr="00852E5E">
        <w:trPr>
          <w:trHeight w:val="300"/>
        </w:trPr>
        <w:tc>
          <w:tcPr>
            <w:tcW w:w="1369" w:type="dxa"/>
            <w:shd w:val="clear" w:color="auto" w:fill="auto"/>
            <w:noWrap/>
            <w:vAlign w:val="center"/>
            <w:hideMark/>
          </w:tcPr>
          <w:p w14:paraId="1C741052" w14:textId="77777777" w:rsidR="00956FB5" w:rsidRPr="00030F8F" w:rsidRDefault="00956FB5" w:rsidP="00C760FC">
            <w:pPr>
              <w:spacing w:after="0" w:line="240" w:lineRule="auto"/>
              <w:jc w:val="both"/>
              <w:rPr>
                <w:rFonts w:cs="Arial"/>
                <w:b/>
                <w:color w:val="86BC25"/>
              </w:rPr>
            </w:pPr>
            <w:r w:rsidRPr="00030F8F">
              <w:rPr>
                <w:rFonts w:cs="Arial"/>
                <w:b/>
                <w:color w:val="86BC25"/>
              </w:rPr>
              <w:t>ARSO</w:t>
            </w:r>
          </w:p>
        </w:tc>
        <w:tc>
          <w:tcPr>
            <w:tcW w:w="7996" w:type="dxa"/>
            <w:shd w:val="clear" w:color="auto" w:fill="auto"/>
            <w:noWrap/>
            <w:vAlign w:val="center"/>
            <w:hideMark/>
          </w:tcPr>
          <w:p w14:paraId="2BA2DA14" w14:textId="77777777" w:rsidR="00956FB5" w:rsidRPr="00030F8F" w:rsidRDefault="00956FB5" w:rsidP="00C760FC">
            <w:pPr>
              <w:spacing w:after="0" w:line="240" w:lineRule="auto"/>
              <w:jc w:val="both"/>
              <w:rPr>
                <w:rFonts w:cs="Arial"/>
                <w:color w:val="000000"/>
              </w:rPr>
            </w:pPr>
            <w:r w:rsidRPr="00030F8F">
              <w:rPr>
                <w:rFonts w:cs="Arial"/>
                <w:color w:val="000000"/>
              </w:rPr>
              <w:t>Agencija Republike Slovenije za okolje</w:t>
            </w:r>
          </w:p>
        </w:tc>
      </w:tr>
      <w:tr w:rsidR="00246F26" w:rsidRPr="00030F8F" w14:paraId="2F9796DA" w14:textId="77777777" w:rsidTr="00852E5E">
        <w:trPr>
          <w:trHeight w:val="300"/>
        </w:trPr>
        <w:tc>
          <w:tcPr>
            <w:tcW w:w="1369" w:type="dxa"/>
            <w:shd w:val="clear" w:color="auto" w:fill="auto"/>
            <w:noWrap/>
            <w:vAlign w:val="center"/>
          </w:tcPr>
          <w:p w14:paraId="49C68148" w14:textId="351FED99" w:rsidR="00246F26" w:rsidRPr="00030F8F" w:rsidRDefault="00246F26" w:rsidP="00C760FC">
            <w:pPr>
              <w:spacing w:after="0" w:line="240" w:lineRule="auto"/>
              <w:jc w:val="both"/>
              <w:rPr>
                <w:rFonts w:cs="Arial"/>
                <w:b/>
                <w:color w:val="86BC25"/>
              </w:rPr>
            </w:pPr>
            <w:r>
              <w:rPr>
                <w:rFonts w:cs="Arial"/>
                <w:b/>
                <w:color w:val="86BC25"/>
              </w:rPr>
              <w:t>ARRS</w:t>
            </w:r>
          </w:p>
        </w:tc>
        <w:tc>
          <w:tcPr>
            <w:tcW w:w="7996" w:type="dxa"/>
            <w:shd w:val="clear" w:color="auto" w:fill="auto"/>
            <w:noWrap/>
            <w:vAlign w:val="center"/>
          </w:tcPr>
          <w:p w14:paraId="5F5A8B1C" w14:textId="214F6A72" w:rsidR="00246F26" w:rsidRPr="00030F8F" w:rsidRDefault="00246F26" w:rsidP="00C760FC">
            <w:pPr>
              <w:spacing w:after="0" w:line="240" w:lineRule="auto"/>
              <w:jc w:val="both"/>
              <w:rPr>
                <w:rFonts w:cs="Arial"/>
                <w:color w:val="000000"/>
              </w:rPr>
            </w:pPr>
            <w:r>
              <w:rPr>
                <w:rFonts w:cs="Arial"/>
                <w:color w:val="000000"/>
              </w:rPr>
              <w:t>Javna agencija za raziskovalno dejavnost RS</w:t>
            </w:r>
          </w:p>
        </w:tc>
      </w:tr>
      <w:tr w:rsidR="00956FB5" w:rsidRPr="00030F8F" w14:paraId="58C41B63" w14:textId="77777777" w:rsidTr="00852E5E">
        <w:trPr>
          <w:trHeight w:val="300"/>
        </w:trPr>
        <w:tc>
          <w:tcPr>
            <w:tcW w:w="1369" w:type="dxa"/>
            <w:shd w:val="clear" w:color="auto" w:fill="auto"/>
            <w:noWrap/>
            <w:vAlign w:val="center"/>
            <w:hideMark/>
          </w:tcPr>
          <w:p w14:paraId="6CF7A691" w14:textId="77777777" w:rsidR="00956FB5" w:rsidRPr="00030F8F" w:rsidRDefault="00956FB5" w:rsidP="00C760FC">
            <w:pPr>
              <w:spacing w:after="0" w:line="240" w:lineRule="auto"/>
              <w:jc w:val="both"/>
              <w:rPr>
                <w:rFonts w:cs="Arial"/>
                <w:b/>
                <w:color w:val="86BC25"/>
              </w:rPr>
            </w:pPr>
            <w:r w:rsidRPr="00030F8F">
              <w:rPr>
                <w:rFonts w:cs="Arial"/>
                <w:b/>
                <w:color w:val="86BC25"/>
              </w:rPr>
              <w:t xml:space="preserve">BDP </w:t>
            </w:r>
          </w:p>
        </w:tc>
        <w:tc>
          <w:tcPr>
            <w:tcW w:w="7996" w:type="dxa"/>
            <w:shd w:val="clear" w:color="auto" w:fill="auto"/>
            <w:noWrap/>
            <w:vAlign w:val="center"/>
            <w:hideMark/>
          </w:tcPr>
          <w:p w14:paraId="73BDF099" w14:textId="77777777" w:rsidR="00956FB5" w:rsidRPr="00030F8F" w:rsidRDefault="00956FB5" w:rsidP="00C760FC">
            <w:pPr>
              <w:spacing w:after="0" w:line="240" w:lineRule="auto"/>
              <w:jc w:val="both"/>
              <w:rPr>
                <w:rFonts w:cs="Arial"/>
                <w:color w:val="000000"/>
              </w:rPr>
            </w:pPr>
            <w:r w:rsidRPr="00030F8F">
              <w:rPr>
                <w:rFonts w:cs="Arial"/>
                <w:color w:val="000000"/>
              </w:rPr>
              <w:t>Bruto domači proizvod</w:t>
            </w:r>
          </w:p>
        </w:tc>
      </w:tr>
      <w:tr w:rsidR="00956FB5" w:rsidRPr="00030F8F" w14:paraId="46AE3C14" w14:textId="77777777" w:rsidTr="00852E5E">
        <w:trPr>
          <w:trHeight w:val="300"/>
        </w:trPr>
        <w:tc>
          <w:tcPr>
            <w:tcW w:w="1369" w:type="dxa"/>
            <w:shd w:val="clear" w:color="auto" w:fill="auto"/>
            <w:noWrap/>
            <w:vAlign w:val="center"/>
            <w:hideMark/>
          </w:tcPr>
          <w:p w14:paraId="765B7DE7" w14:textId="77777777" w:rsidR="00956FB5" w:rsidRPr="00030F8F" w:rsidRDefault="00956FB5" w:rsidP="00C760FC">
            <w:pPr>
              <w:spacing w:after="0" w:line="240" w:lineRule="auto"/>
              <w:jc w:val="both"/>
              <w:rPr>
                <w:rFonts w:cs="Arial"/>
                <w:b/>
                <w:color w:val="86BC25"/>
              </w:rPr>
            </w:pPr>
            <w:r w:rsidRPr="00030F8F">
              <w:rPr>
                <w:rFonts w:cs="Arial"/>
                <w:b/>
                <w:color w:val="86BC25"/>
              </w:rPr>
              <w:t>BDV</w:t>
            </w:r>
          </w:p>
        </w:tc>
        <w:tc>
          <w:tcPr>
            <w:tcW w:w="7996" w:type="dxa"/>
            <w:shd w:val="clear" w:color="auto" w:fill="auto"/>
            <w:noWrap/>
            <w:vAlign w:val="center"/>
            <w:hideMark/>
          </w:tcPr>
          <w:p w14:paraId="2EF9F810" w14:textId="77777777" w:rsidR="00956FB5" w:rsidRPr="00030F8F" w:rsidRDefault="00956FB5" w:rsidP="00C760FC">
            <w:pPr>
              <w:spacing w:after="0" w:line="240" w:lineRule="auto"/>
              <w:jc w:val="both"/>
              <w:rPr>
                <w:rFonts w:cs="Arial"/>
                <w:color w:val="000000"/>
              </w:rPr>
            </w:pPr>
            <w:r w:rsidRPr="00030F8F">
              <w:rPr>
                <w:rFonts w:cs="Arial"/>
                <w:color w:val="000000"/>
              </w:rPr>
              <w:t>Bruto dodana vrednost</w:t>
            </w:r>
          </w:p>
        </w:tc>
      </w:tr>
      <w:tr w:rsidR="004C7089" w:rsidRPr="00030F8F" w14:paraId="41011F3E" w14:textId="77777777" w:rsidTr="00852E5E">
        <w:trPr>
          <w:trHeight w:val="300"/>
        </w:trPr>
        <w:tc>
          <w:tcPr>
            <w:tcW w:w="1369" w:type="dxa"/>
            <w:shd w:val="clear" w:color="auto" w:fill="auto"/>
            <w:noWrap/>
            <w:vAlign w:val="center"/>
          </w:tcPr>
          <w:p w14:paraId="2543A2EF" w14:textId="77777777" w:rsidR="004C7089" w:rsidRPr="00030F8F" w:rsidRDefault="004C7089" w:rsidP="00C760FC">
            <w:pPr>
              <w:spacing w:after="0" w:line="240" w:lineRule="auto"/>
              <w:jc w:val="both"/>
              <w:rPr>
                <w:rFonts w:cs="Arial"/>
                <w:b/>
                <w:color w:val="86BC25"/>
              </w:rPr>
            </w:pPr>
            <w:r w:rsidRPr="00030F8F">
              <w:rPr>
                <w:rFonts w:cs="Arial"/>
                <w:b/>
                <w:color w:val="86BC25"/>
              </w:rPr>
              <w:t>CLLD</w:t>
            </w:r>
          </w:p>
        </w:tc>
        <w:tc>
          <w:tcPr>
            <w:tcW w:w="7996" w:type="dxa"/>
            <w:shd w:val="clear" w:color="auto" w:fill="auto"/>
            <w:noWrap/>
            <w:vAlign w:val="center"/>
          </w:tcPr>
          <w:p w14:paraId="2ECE723B" w14:textId="77777777" w:rsidR="004C7089" w:rsidRPr="00030F8F" w:rsidRDefault="004C7089" w:rsidP="00C760FC">
            <w:pPr>
              <w:spacing w:after="0" w:line="240" w:lineRule="auto"/>
              <w:jc w:val="both"/>
              <w:rPr>
                <w:rFonts w:cs="Arial"/>
                <w:color w:val="000000"/>
              </w:rPr>
            </w:pPr>
            <w:proofErr w:type="spellStart"/>
            <w:r w:rsidRPr="00030F8F">
              <w:rPr>
                <w:rFonts w:cs="Arial"/>
                <w:color w:val="000000"/>
              </w:rPr>
              <w:t>Community</w:t>
            </w:r>
            <w:proofErr w:type="spellEnd"/>
            <w:r w:rsidRPr="00030F8F">
              <w:rPr>
                <w:rFonts w:cs="Arial"/>
                <w:color w:val="000000"/>
              </w:rPr>
              <w:t xml:space="preserve">-Led </w:t>
            </w:r>
            <w:proofErr w:type="spellStart"/>
            <w:r w:rsidRPr="00030F8F">
              <w:rPr>
                <w:rFonts w:cs="Arial"/>
                <w:color w:val="000000"/>
              </w:rPr>
              <w:t>Local</w:t>
            </w:r>
            <w:proofErr w:type="spellEnd"/>
            <w:r w:rsidRPr="00030F8F">
              <w:rPr>
                <w:rFonts w:cs="Arial"/>
                <w:color w:val="000000"/>
              </w:rPr>
              <w:t xml:space="preserve"> </w:t>
            </w:r>
            <w:proofErr w:type="spellStart"/>
            <w:r w:rsidRPr="00030F8F">
              <w:rPr>
                <w:rFonts w:cs="Arial"/>
                <w:color w:val="000000"/>
              </w:rPr>
              <w:t>Development</w:t>
            </w:r>
            <w:proofErr w:type="spellEnd"/>
            <w:r w:rsidRPr="00030F8F">
              <w:rPr>
                <w:rFonts w:cs="Arial"/>
                <w:color w:val="000000"/>
              </w:rPr>
              <w:t>/ Lokalni razvoj, ki ga vodi skupnost</w:t>
            </w:r>
          </w:p>
        </w:tc>
      </w:tr>
      <w:tr w:rsidR="00165F71" w:rsidRPr="00030F8F" w14:paraId="6A000EB6" w14:textId="77777777" w:rsidTr="00852E5E">
        <w:trPr>
          <w:trHeight w:val="300"/>
        </w:trPr>
        <w:tc>
          <w:tcPr>
            <w:tcW w:w="1369" w:type="dxa"/>
            <w:shd w:val="clear" w:color="auto" w:fill="auto"/>
            <w:noWrap/>
            <w:vAlign w:val="center"/>
          </w:tcPr>
          <w:p w14:paraId="6318773F" w14:textId="77777777" w:rsidR="00165F71" w:rsidRPr="00030F8F" w:rsidRDefault="00165F71" w:rsidP="00C760FC">
            <w:pPr>
              <w:spacing w:after="0" w:line="240" w:lineRule="auto"/>
              <w:jc w:val="both"/>
              <w:rPr>
                <w:rFonts w:cs="Arial"/>
                <w:b/>
                <w:color w:val="86BC25"/>
              </w:rPr>
            </w:pPr>
            <w:r w:rsidRPr="00030F8F">
              <w:rPr>
                <w:rFonts w:cs="Arial"/>
                <w:b/>
                <w:color w:val="86BC25"/>
              </w:rPr>
              <w:t>CRPOV</w:t>
            </w:r>
          </w:p>
        </w:tc>
        <w:tc>
          <w:tcPr>
            <w:tcW w:w="7996" w:type="dxa"/>
            <w:shd w:val="clear" w:color="auto" w:fill="auto"/>
            <w:noWrap/>
            <w:vAlign w:val="center"/>
          </w:tcPr>
          <w:p w14:paraId="3CA3910A" w14:textId="77777777" w:rsidR="00165F71" w:rsidRPr="00030F8F" w:rsidRDefault="00165F71" w:rsidP="00C760FC">
            <w:pPr>
              <w:spacing w:after="0" w:line="240" w:lineRule="auto"/>
              <w:jc w:val="both"/>
              <w:rPr>
                <w:rFonts w:cs="Arial"/>
                <w:color w:val="000000"/>
              </w:rPr>
            </w:pPr>
            <w:r w:rsidRPr="00030F8F">
              <w:rPr>
                <w:rFonts w:cs="Arial"/>
                <w:color w:val="000000"/>
              </w:rPr>
              <w:t>Celostni razvoj podeželja in obnove vasi</w:t>
            </w:r>
          </w:p>
        </w:tc>
      </w:tr>
      <w:tr w:rsidR="00956FB5" w:rsidRPr="00030F8F" w14:paraId="59C15A44" w14:textId="77777777" w:rsidTr="00852E5E">
        <w:trPr>
          <w:trHeight w:val="300"/>
        </w:trPr>
        <w:tc>
          <w:tcPr>
            <w:tcW w:w="1369" w:type="dxa"/>
            <w:shd w:val="clear" w:color="auto" w:fill="auto"/>
            <w:noWrap/>
            <w:vAlign w:val="center"/>
          </w:tcPr>
          <w:p w14:paraId="1F415368" w14:textId="77777777" w:rsidR="00956FB5" w:rsidRPr="00030F8F" w:rsidRDefault="00956FB5" w:rsidP="00C760FC">
            <w:pPr>
              <w:spacing w:after="0" w:line="240" w:lineRule="auto"/>
              <w:jc w:val="both"/>
              <w:rPr>
                <w:rFonts w:cs="Arial"/>
                <w:b/>
                <w:color w:val="86BC25"/>
              </w:rPr>
            </w:pPr>
            <w:r w:rsidRPr="00030F8F">
              <w:rPr>
                <w:rFonts w:cs="Arial"/>
                <w:b/>
                <w:color w:val="86BC25"/>
              </w:rPr>
              <w:t>EK</w:t>
            </w:r>
          </w:p>
        </w:tc>
        <w:tc>
          <w:tcPr>
            <w:tcW w:w="7996" w:type="dxa"/>
            <w:shd w:val="clear" w:color="auto" w:fill="auto"/>
            <w:noWrap/>
            <w:vAlign w:val="center"/>
          </w:tcPr>
          <w:p w14:paraId="282976DA" w14:textId="77777777" w:rsidR="00956FB5" w:rsidRPr="00030F8F" w:rsidRDefault="00956FB5" w:rsidP="00C760FC">
            <w:pPr>
              <w:spacing w:after="0" w:line="240" w:lineRule="auto"/>
              <w:jc w:val="both"/>
              <w:rPr>
                <w:rFonts w:cs="Arial"/>
                <w:color w:val="000000"/>
              </w:rPr>
            </w:pPr>
            <w:r w:rsidRPr="00030F8F">
              <w:rPr>
                <w:rFonts w:cs="Arial"/>
                <w:color w:val="000000"/>
              </w:rPr>
              <w:t>Evropska komisija</w:t>
            </w:r>
          </w:p>
        </w:tc>
      </w:tr>
      <w:tr w:rsidR="00956FB5" w:rsidRPr="00030F8F" w14:paraId="36DD8B0E" w14:textId="77777777" w:rsidTr="00852E5E">
        <w:trPr>
          <w:trHeight w:val="300"/>
        </w:trPr>
        <w:tc>
          <w:tcPr>
            <w:tcW w:w="1369" w:type="dxa"/>
            <w:shd w:val="clear" w:color="auto" w:fill="auto"/>
            <w:noWrap/>
            <w:vAlign w:val="center"/>
          </w:tcPr>
          <w:p w14:paraId="69B0D112" w14:textId="77777777" w:rsidR="00956FB5" w:rsidRPr="00030F8F" w:rsidRDefault="00956FB5" w:rsidP="00C760FC">
            <w:pPr>
              <w:spacing w:after="0" w:line="240" w:lineRule="auto"/>
              <w:jc w:val="both"/>
              <w:rPr>
                <w:rFonts w:cs="Arial"/>
                <w:b/>
                <w:color w:val="86BC25"/>
              </w:rPr>
            </w:pPr>
            <w:r w:rsidRPr="00030F8F">
              <w:rPr>
                <w:rFonts w:cs="Arial"/>
                <w:b/>
                <w:color w:val="86BC25"/>
              </w:rPr>
              <w:t>EKJS</w:t>
            </w:r>
          </w:p>
        </w:tc>
        <w:tc>
          <w:tcPr>
            <w:tcW w:w="7996" w:type="dxa"/>
            <w:shd w:val="clear" w:color="auto" w:fill="auto"/>
            <w:noWrap/>
            <w:vAlign w:val="center"/>
          </w:tcPr>
          <w:p w14:paraId="3F518EBC" w14:textId="77777777" w:rsidR="00956FB5" w:rsidRPr="00030F8F" w:rsidRDefault="00956FB5" w:rsidP="00C760FC">
            <w:pPr>
              <w:spacing w:after="0" w:line="240" w:lineRule="auto"/>
              <w:jc w:val="both"/>
              <w:rPr>
                <w:rFonts w:cs="Arial"/>
                <w:color w:val="000000"/>
              </w:rPr>
            </w:pPr>
            <w:r w:rsidRPr="00030F8F">
              <w:rPr>
                <w:rFonts w:cs="Arial"/>
                <w:color w:val="000000"/>
              </w:rPr>
              <w:t>Evropski kmetijski jamstveni sklad</w:t>
            </w:r>
          </w:p>
        </w:tc>
      </w:tr>
      <w:tr w:rsidR="00956FB5" w:rsidRPr="00030F8F" w14:paraId="6F5E3220" w14:textId="77777777" w:rsidTr="00852E5E">
        <w:trPr>
          <w:trHeight w:val="300"/>
        </w:trPr>
        <w:tc>
          <w:tcPr>
            <w:tcW w:w="1369" w:type="dxa"/>
            <w:shd w:val="clear" w:color="auto" w:fill="auto"/>
            <w:noWrap/>
            <w:vAlign w:val="center"/>
          </w:tcPr>
          <w:p w14:paraId="6C2C59DF" w14:textId="77777777" w:rsidR="00956FB5" w:rsidRPr="00030F8F" w:rsidRDefault="00956FB5" w:rsidP="00C760FC">
            <w:pPr>
              <w:spacing w:after="0" w:line="240" w:lineRule="auto"/>
              <w:jc w:val="both"/>
              <w:rPr>
                <w:rFonts w:cs="Arial"/>
                <w:b/>
                <w:color w:val="86BC25"/>
              </w:rPr>
            </w:pPr>
            <w:r w:rsidRPr="00030F8F">
              <w:rPr>
                <w:rFonts w:cs="Arial"/>
                <w:b/>
                <w:color w:val="86BC25"/>
              </w:rPr>
              <w:t>EKSRP</w:t>
            </w:r>
          </w:p>
        </w:tc>
        <w:tc>
          <w:tcPr>
            <w:tcW w:w="7996" w:type="dxa"/>
            <w:shd w:val="clear" w:color="auto" w:fill="auto"/>
            <w:noWrap/>
            <w:vAlign w:val="center"/>
          </w:tcPr>
          <w:p w14:paraId="7C80AC48" w14:textId="77777777" w:rsidR="00956FB5" w:rsidRPr="00030F8F" w:rsidRDefault="00956FB5" w:rsidP="00C760FC">
            <w:pPr>
              <w:spacing w:after="0" w:line="240" w:lineRule="auto"/>
              <w:jc w:val="both"/>
              <w:rPr>
                <w:rFonts w:cs="Arial"/>
                <w:color w:val="000000"/>
              </w:rPr>
            </w:pPr>
            <w:r w:rsidRPr="00030F8F">
              <w:rPr>
                <w:rFonts w:cs="Arial"/>
                <w:color w:val="000000"/>
              </w:rPr>
              <w:t>Evropski kmetijski sklad za razvoj podeželja</w:t>
            </w:r>
          </w:p>
        </w:tc>
      </w:tr>
      <w:tr w:rsidR="004C7089" w:rsidRPr="00030F8F" w14:paraId="6B9D2E69" w14:textId="77777777" w:rsidTr="00852E5E">
        <w:trPr>
          <w:trHeight w:val="300"/>
        </w:trPr>
        <w:tc>
          <w:tcPr>
            <w:tcW w:w="1369" w:type="dxa"/>
            <w:shd w:val="clear" w:color="auto" w:fill="auto"/>
            <w:noWrap/>
            <w:vAlign w:val="center"/>
          </w:tcPr>
          <w:p w14:paraId="0BB5EC17" w14:textId="77777777" w:rsidR="004C7089" w:rsidRPr="00030F8F" w:rsidRDefault="004C7089" w:rsidP="00C760FC">
            <w:pPr>
              <w:spacing w:after="0" w:line="240" w:lineRule="auto"/>
              <w:jc w:val="both"/>
              <w:rPr>
                <w:rFonts w:cs="Arial"/>
                <w:b/>
                <w:color w:val="86BC25"/>
              </w:rPr>
            </w:pPr>
            <w:r w:rsidRPr="00030F8F">
              <w:rPr>
                <w:rFonts w:cs="Arial"/>
                <w:b/>
                <w:color w:val="86BC25"/>
              </w:rPr>
              <w:t>ESPR</w:t>
            </w:r>
          </w:p>
        </w:tc>
        <w:tc>
          <w:tcPr>
            <w:tcW w:w="7996" w:type="dxa"/>
            <w:shd w:val="clear" w:color="auto" w:fill="auto"/>
            <w:noWrap/>
            <w:vAlign w:val="center"/>
          </w:tcPr>
          <w:p w14:paraId="5D2EE893" w14:textId="77777777" w:rsidR="004C7089" w:rsidRPr="00030F8F" w:rsidRDefault="004C7089" w:rsidP="00C760FC">
            <w:pPr>
              <w:spacing w:after="0" w:line="240" w:lineRule="auto"/>
              <w:jc w:val="both"/>
              <w:rPr>
                <w:rFonts w:cs="Arial"/>
                <w:color w:val="000000"/>
              </w:rPr>
            </w:pPr>
            <w:r w:rsidRPr="00030F8F">
              <w:rPr>
                <w:rFonts w:cs="Arial"/>
                <w:color w:val="000000"/>
              </w:rPr>
              <w:t>Evropski sklad za pomorstvo in ribištvo</w:t>
            </w:r>
          </w:p>
        </w:tc>
      </w:tr>
      <w:tr w:rsidR="004C7089" w:rsidRPr="00030F8F" w14:paraId="0225F7AD" w14:textId="77777777" w:rsidTr="00852E5E">
        <w:trPr>
          <w:trHeight w:val="300"/>
        </w:trPr>
        <w:tc>
          <w:tcPr>
            <w:tcW w:w="1369" w:type="dxa"/>
            <w:shd w:val="clear" w:color="auto" w:fill="auto"/>
            <w:noWrap/>
            <w:vAlign w:val="center"/>
          </w:tcPr>
          <w:p w14:paraId="080A5847" w14:textId="77777777" w:rsidR="004C7089" w:rsidRPr="00030F8F" w:rsidRDefault="004C7089" w:rsidP="00C760FC">
            <w:pPr>
              <w:spacing w:after="0" w:line="240" w:lineRule="auto"/>
              <w:jc w:val="both"/>
              <w:rPr>
                <w:rFonts w:cs="Arial"/>
                <w:b/>
                <w:color w:val="86BC25"/>
              </w:rPr>
            </w:pPr>
            <w:r w:rsidRPr="00030F8F">
              <w:rPr>
                <w:rFonts w:cs="Arial"/>
                <w:b/>
                <w:color w:val="86BC25"/>
              </w:rPr>
              <w:t>ESRR</w:t>
            </w:r>
          </w:p>
        </w:tc>
        <w:tc>
          <w:tcPr>
            <w:tcW w:w="7996" w:type="dxa"/>
            <w:shd w:val="clear" w:color="auto" w:fill="auto"/>
            <w:noWrap/>
            <w:vAlign w:val="center"/>
          </w:tcPr>
          <w:p w14:paraId="0FE93F16" w14:textId="77777777" w:rsidR="004C7089" w:rsidRPr="00030F8F" w:rsidRDefault="00066D72" w:rsidP="00C760FC">
            <w:pPr>
              <w:spacing w:after="0" w:line="240" w:lineRule="auto"/>
              <w:jc w:val="both"/>
              <w:rPr>
                <w:rFonts w:cs="Arial"/>
                <w:color w:val="000000"/>
              </w:rPr>
            </w:pPr>
            <w:r w:rsidRPr="00030F8F">
              <w:rPr>
                <w:rFonts w:cs="Arial"/>
                <w:color w:val="000000"/>
              </w:rPr>
              <w:t>Evropski sklad za regionalni razvoj</w:t>
            </w:r>
          </w:p>
        </w:tc>
      </w:tr>
      <w:tr w:rsidR="00956FB5" w:rsidRPr="00030F8F" w14:paraId="681D2851" w14:textId="77777777" w:rsidTr="00852E5E">
        <w:trPr>
          <w:trHeight w:val="300"/>
        </w:trPr>
        <w:tc>
          <w:tcPr>
            <w:tcW w:w="1369" w:type="dxa"/>
            <w:shd w:val="clear" w:color="auto" w:fill="auto"/>
            <w:noWrap/>
            <w:vAlign w:val="center"/>
            <w:hideMark/>
          </w:tcPr>
          <w:p w14:paraId="059B62AC" w14:textId="77777777" w:rsidR="00956FB5" w:rsidRPr="00030F8F" w:rsidRDefault="00956FB5" w:rsidP="00C760FC">
            <w:pPr>
              <w:spacing w:after="0" w:line="240" w:lineRule="auto"/>
              <w:jc w:val="both"/>
              <w:rPr>
                <w:rFonts w:cs="Arial"/>
                <w:b/>
                <w:color w:val="86BC25"/>
              </w:rPr>
            </w:pPr>
            <w:r w:rsidRPr="00030F8F">
              <w:rPr>
                <w:rFonts w:cs="Arial"/>
                <w:b/>
                <w:color w:val="86BC25"/>
              </w:rPr>
              <w:t xml:space="preserve">EU </w:t>
            </w:r>
          </w:p>
        </w:tc>
        <w:tc>
          <w:tcPr>
            <w:tcW w:w="7996" w:type="dxa"/>
            <w:shd w:val="clear" w:color="auto" w:fill="auto"/>
            <w:noWrap/>
            <w:vAlign w:val="center"/>
            <w:hideMark/>
          </w:tcPr>
          <w:p w14:paraId="35250427" w14:textId="77777777" w:rsidR="00956FB5" w:rsidRPr="00030F8F" w:rsidRDefault="00956FB5" w:rsidP="00C760FC">
            <w:pPr>
              <w:spacing w:after="0" w:line="240" w:lineRule="auto"/>
              <w:jc w:val="both"/>
              <w:rPr>
                <w:rFonts w:cs="Arial"/>
                <w:color w:val="000000"/>
              </w:rPr>
            </w:pPr>
            <w:r w:rsidRPr="00030F8F">
              <w:rPr>
                <w:rFonts w:cs="Arial"/>
                <w:color w:val="000000"/>
              </w:rPr>
              <w:t>Evropska unija</w:t>
            </w:r>
          </w:p>
        </w:tc>
      </w:tr>
      <w:tr w:rsidR="00956FB5" w:rsidRPr="00030F8F" w14:paraId="33B21334" w14:textId="77777777" w:rsidTr="00852E5E">
        <w:trPr>
          <w:trHeight w:val="300"/>
        </w:trPr>
        <w:tc>
          <w:tcPr>
            <w:tcW w:w="1369" w:type="dxa"/>
            <w:shd w:val="clear" w:color="auto" w:fill="auto"/>
            <w:noWrap/>
            <w:vAlign w:val="center"/>
            <w:hideMark/>
          </w:tcPr>
          <w:p w14:paraId="41A0AC6A" w14:textId="77777777" w:rsidR="00956FB5" w:rsidRPr="00030F8F" w:rsidRDefault="00956FB5" w:rsidP="00C760FC">
            <w:pPr>
              <w:spacing w:after="0" w:line="240" w:lineRule="auto"/>
              <w:jc w:val="both"/>
              <w:rPr>
                <w:rFonts w:cs="Arial"/>
                <w:b/>
                <w:color w:val="86BC25"/>
              </w:rPr>
            </w:pPr>
            <w:r w:rsidRPr="00030F8F">
              <w:rPr>
                <w:rFonts w:cs="Arial"/>
                <w:b/>
                <w:color w:val="86BC25"/>
              </w:rPr>
              <w:t>EUR</w:t>
            </w:r>
          </w:p>
        </w:tc>
        <w:tc>
          <w:tcPr>
            <w:tcW w:w="7996" w:type="dxa"/>
            <w:shd w:val="clear" w:color="auto" w:fill="auto"/>
            <w:noWrap/>
            <w:vAlign w:val="center"/>
            <w:hideMark/>
          </w:tcPr>
          <w:p w14:paraId="4C033FC4" w14:textId="77777777" w:rsidR="00956FB5" w:rsidRPr="00030F8F" w:rsidRDefault="00956FB5" w:rsidP="00C760FC">
            <w:pPr>
              <w:spacing w:after="0" w:line="240" w:lineRule="auto"/>
              <w:jc w:val="both"/>
              <w:rPr>
                <w:rFonts w:cs="Arial"/>
                <w:color w:val="000000"/>
              </w:rPr>
            </w:pPr>
            <w:r w:rsidRPr="00030F8F">
              <w:rPr>
                <w:rFonts w:cs="Arial"/>
                <w:color w:val="000000"/>
              </w:rPr>
              <w:t>Evro</w:t>
            </w:r>
          </w:p>
        </w:tc>
      </w:tr>
      <w:tr w:rsidR="00956FB5" w:rsidRPr="00030F8F" w14:paraId="1A7467E4" w14:textId="77777777" w:rsidTr="00852E5E">
        <w:trPr>
          <w:trHeight w:val="300"/>
        </w:trPr>
        <w:tc>
          <w:tcPr>
            <w:tcW w:w="1369" w:type="dxa"/>
            <w:shd w:val="clear" w:color="auto" w:fill="auto"/>
            <w:noWrap/>
            <w:vAlign w:val="center"/>
            <w:hideMark/>
          </w:tcPr>
          <w:p w14:paraId="519772ED" w14:textId="77777777" w:rsidR="00956FB5" w:rsidRPr="00030F8F" w:rsidRDefault="00956FB5" w:rsidP="00C760FC">
            <w:pPr>
              <w:spacing w:after="0" w:line="240" w:lineRule="auto"/>
              <w:jc w:val="both"/>
              <w:rPr>
                <w:rFonts w:cs="Arial"/>
                <w:b/>
                <w:color w:val="86BC25"/>
              </w:rPr>
            </w:pPr>
            <w:r w:rsidRPr="00030F8F">
              <w:rPr>
                <w:rFonts w:cs="Arial"/>
                <w:b/>
                <w:color w:val="86BC25"/>
              </w:rPr>
              <w:t>FADN</w:t>
            </w:r>
          </w:p>
        </w:tc>
        <w:tc>
          <w:tcPr>
            <w:tcW w:w="7996" w:type="dxa"/>
            <w:shd w:val="clear" w:color="auto" w:fill="auto"/>
            <w:noWrap/>
            <w:vAlign w:val="center"/>
            <w:hideMark/>
          </w:tcPr>
          <w:p w14:paraId="3A20E16A" w14:textId="77777777" w:rsidR="00956FB5" w:rsidRPr="00030F8F" w:rsidRDefault="00956FB5" w:rsidP="00C760FC">
            <w:pPr>
              <w:spacing w:after="0" w:line="240" w:lineRule="auto"/>
              <w:jc w:val="both"/>
              <w:rPr>
                <w:rFonts w:cs="Arial"/>
                <w:color w:val="000000"/>
              </w:rPr>
            </w:pPr>
            <w:r w:rsidRPr="00030F8F">
              <w:rPr>
                <w:rFonts w:cs="Arial"/>
                <w:color w:val="000000"/>
              </w:rPr>
              <w:t>Mreža računovodskih podatkov s kmetijskih gospodarstev (</w:t>
            </w:r>
            <w:r w:rsidRPr="00030F8F">
              <w:rPr>
                <w:rFonts w:cs="Arial"/>
                <w:i/>
                <w:color w:val="000000"/>
              </w:rPr>
              <w:t xml:space="preserve">Farm </w:t>
            </w:r>
            <w:proofErr w:type="spellStart"/>
            <w:r w:rsidRPr="00030F8F">
              <w:rPr>
                <w:rFonts w:cs="Arial"/>
                <w:i/>
                <w:color w:val="000000"/>
              </w:rPr>
              <w:t>Accountancy</w:t>
            </w:r>
            <w:proofErr w:type="spellEnd"/>
            <w:r w:rsidRPr="00030F8F">
              <w:rPr>
                <w:rFonts w:cs="Arial"/>
                <w:i/>
                <w:color w:val="000000"/>
              </w:rPr>
              <w:t xml:space="preserve"> Data </w:t>
            </w:r>
            <w:proofErr w:type="spellStart"/>
            <w:r w:rsidRPr="00030F8F">
              <w:rPr>
                <w:rFonts w:cs="Arial"/>
                <w:i/>
                <w:color w:val="000000"/>
              </w:rPr>
              <w:t>Network</w:t>
            </w:r>
            <w:proofErr w:type="spellEnd"/>
            <w:r w:rsidRPr="00030F8F">
              <w:rPr>
                <w:rFonts w:cs="Arial"/>
                <w:i/>
                <w:color w:val="000000"/>
              </w:rPr>
              <w:t>)</w:t>
            </w:r>
          </w:p>
        </w:tc>
      </w:tr>
      <w:tr w:rsidR="00956FB5" w:rsidRPr="00030F8F" w14:paraId="09272319" w14:textId="77777777" w:rsidTr="00852E5E">
        <w:trPr>
          <w:trHeight w:val="300"/>
        </w:trPr>
        <w:tc>
          <w:tcPr>
            <w:tcW w:w="1369" w:type="dxa"/>
            <w:shd w:val="clear" w:color="auto" w:fill="auto"/>
            <w:noWrap/>
            <w:vAlign w:val="center"/>
            <w:hideMark/>
          </w:tcPr>
          <w:p w14:paraId="7EC25B22" w14:textId="77777777" w:rsidR="00956FB5" w:rsidRPr="00030F8F" w:rsidRDefault="00956FB5" w:rsidP="00C760FC">
            <w:pPr>
              <w:spacing w:after="0" w:line="240" w:lineRule="auto"/>
              <w:jc w:val="both"/>
              <w:rPr>
                <w:rFonts w:cs="Arial"/>
                <w:b/>
                <w:color w:val="86BC25"/>
              </w:rPr>
            </w:pPr>
            <w:r w:rsidRPr="00030F8F">
              <w:rPr>
                <w:rFonts w:cs="Arial"/>
                <w:b/>
                <w:color w:val="86BC25"/>
              </w:rPr>
              <w:t>FFS</w:t>
            </w:r>
          </w:p>
        </w:tc>
        <w:tc>
          <w:tcPr>
            <w:tcW w:w="7996" w:type="dxa"/>
            <w:shd w:val="clear" w:color="auto" w:fill="auto"/>
            <w:noWrap/>
            <w:vAlign w:val="center"/>
            <w:hideMark/>
          </w:tcPr>
          <w:p w14:paraId="012F283B" w14:textId="77777777" w:rsidR="00956FB5" w:rsidRPr="00030F8F" w:rsidRDefault="00956FB5" w:rsidP="00C760FC">
            <w:pPr>
              <w:spacing w:after="0" w:line="240" w:lineRule="auto"/>
              <w:jc w:val="both"/>
              <w:rPr>
                <w:rFonts w:cs="Arial"/>
                <w:color w:val="000000"/>
              </w:rPr>
            </w:pPr>
            <w:r w:rsidRPr="00030F8F">
              <w:rPr>
                <w:rFonts w:cs="Arial"/>
                <w:color w:val="000000"/>
              </w:rPr>
              <w:t>Fitofarmacevtska sredstva</w:t>
            </w:r>
          </w:p>
        </w:tc>
      </w:tr>
      <w:tr w:rsidR="00A20F35" w:rsidRPr="00030F8F" w14:paraId="56DE8A22" w14:textId="77777777" w:rsidTr="00852E5E">
        <w:trPr>
          <w:trHeight w:val="300"/>
        </w:trPr>
        <w:tc>
          <w:tcPr>
            <w:tcW w:w="1369" w:type="dxa"/>
            <w:shd w:val="clear" w:color="auto" w:fill="auto"/>
            <w:noWrap/>
            <w:vAlign w:val="center"/>
          </w:tcPr>
          <w:p w14:paraId="3D7A2A62" w14:textId="77777777" w:rsidR="00A20F35" w:rsidRPr="00030F8F" w:rsidRDefault="00A20F35" w:rsidP="00C760FC">
            <w:pPr>
              <w:spacing w:after="0" w:line="240" w:lineRule="auto"/>
              <w:jc w:val="both"/>
              <w:rPr>
                <w:rFonts w:cs="Arial"/>
                <w:b/>
                <w:color w:val="86BC25"/>
              </w:rPr>
            </w:pPr>
            <w:r w:rsidRPr="00030F8F">
              <w:rPr>
                <w:rFonts w:cs="Arial"/>
                <w:b/>
                <w:color w:val="86BC25"/>
              </w:rPr>
              <w:t>GURS</w:t>
            </w:r>
          </w:p>
        </w:tc>
        <w:tc>
          <w:tcPr>
            <w:tcW w:w="7996" w:type="dxa"/>
            <w:shd w:val="clear" w:color="auto" w:fill="auto"/>
            <w:noWrap/>
            <w:vAlign w:val="center"/>
          </w:tcPr>
          <w:p w14:paraId="12B8CEB4" w14:textId="77777777" w:rsidR="00A20F35" w:rsidRPr="00030F8F" w:rsidRDefault="00A20F35" w:rsidP="00C760FC">
            <w:pPr>
              <w:spacing w:after="0" w:line="240" w:lineRule="auto"/>
              <w:jc w:val="both"/>
              <w:rPr>
                <w:rFonts w:cs="Arial"/>
                <w:color w:val="000000"/>
              </w:rPr>
            </w:pPr>
            <w:r w:rsidRPr="00030F8F">
              <w:rPr>
                <w:rFonts w:cs="Arial"/>
                <w:color w:val="000000"/>
              </w:rPr>
              <w:t>Geodetska uprava Republike Slovenije</w:t>
            </w:r>
          </w:p>
        </w:tc>
      </w:tr>
      <w:tr w:rsidR="00956FB5" w:rsidRPr="00030F8F" w14:paraId="63A79D9A" w14:textId="77777777" w:rsidTr="00852E5E">
        <w:trPr>
          <w:trHeight w:val="300"/>
        </w:trPr>
        <w:tc>
          <w:tcPr>
            <w:tcW w:w="1369" w:type="dxa"/>
            <w:shd w:val="clear" w:color="auto" w:fill="auto"/>
            <w:noWrap/>
            <w:vAlign w:val="center"/>
          </w:tcPr>
          <w:p w14:paraId="326623C7" w14:textId="77777777" w:rsidR="00956FB5" w:rsidRPr="00030F8F" w:rsidRDefault="00956FB5" w:rsidP="00C760FC">
            <w:pPr>
              <w:spacing w:after="0" w:line="240" w:lineRule="auto"/>
              <w:jc w:val="both"/>
              <w:rPr>
                <w:rFonts w:cs="Arial"/>
                <w:b/>
                <w:color w:val="86BC25"/>
              </w:rPr>
            </w:pPr>
            <w:r w:rsidRPr="00030F8F">
              <w:rPr>
                <w:rFonts w:cs="Arial"/>
                <w:b/>
                <w:color w:val="86BC25"/>
              </w:rPr>
              <w:t>HT</w:t>
            </w:r>
          </w:p>
        </w:tc>
        <w:tc>
          <w:tcPr>
            <w:tcW w:w="7996" w:type="dxa"/>
            <w:shd w:val="clear" w:color="auto" w:fill="auto"/>
            <w:noWrap/>
            <w:vAlign w:val="center"/>
          </w:tcPr>
          <w:p w14:paraId="13775293" w14:textId="77777777" w:rsidR="00956FB5" w:rsidRPr="00030F8F" w:rsidRDefault="00956FB5" w:rsidP="00C760FC">
            <w:pPr>
              <w:spacing w:after="0" w:line="240" w:lineRule="auto"/>
              <w:jc w:val="both"/>
              <w:rPr>
                <w:rFonts w:cs="Arial"/>
                <w:color w:val="000000"/>
              </w:rPr>
            </w:pPr>
            <w:r w:rsidRPr="00030F8F">
              <w:rPr>
                <w:rFonts w:cs="Arial"/>
                <w:color w:val="000000"/>
              </w:rPr>
              <w:t>Habitatni tipi</w:t>
            </w:r>
          </w:p>
        </w:tc>
      </w:tr>
      <w:tr w:rsidR="00165F71" w:rsidRPr="00030F8F" w14:paraId="7A14FEE8" w14:textId="77777777" w:rsidTr="00852E5E">
        <w:trPr>
          <w:trHeight w:val="300"/>
        </w:trPr>
        <w:tc>
          <w:tcPr>
            <w:tcW w:w="1369" w:type="dxa"/>
            <w:shd w:val="clear" w:color="auto" w:fill="auto"/>
            <w:noWrap/>
            <w:vAlign w:val="center"/>
          </w:tcPr>
          <w:p w14:paraId="305612BC" w14:textId="77777777" w:rsidR="00165F71" w:rsidRPr="00030F8F" w:rsidRDefault="00165F71" w:rsidP="00C760FC">
            <w:pPr>
              <w:spacing w:after="0" w:line="240" w:lineRule="auto"/>
              <w:jc w:val="both"/>
              <w:rPr>
                <w:rFonts w:cs="Arial"/>
                <w:b/>
                <w:color w:val="86BC25"/>
              </w:rPr>
            </w:pPr>
            <w:r w:rsidRPr="00030F8F">
              <w:rPr>
                <w:rFonts w:cs="Arial"/>
                <w:b/>
                <w:color w:val="86BC25"/>
              </w:rPr>
              <w:t>IKT</w:t>
            </w:r>
          </w:p>
        </w:tc>
        <w:tc>
          <w:tcPr>
            <w:tcW w:w="7996" w:type="dxa"/>
            <w:shd w:val="clear" w:color="auto" w:fill="auto"/>
            <w:noWrap/>
            <w:vAlign w:val="center"/>
          </w:tcPr>
          <w:p w14:paraId="71197E73" w14:textId="77777777" w:rsidR="00165F71" w:rsidRPr="00030F8F" w:rsidRDefault="00165F71" w:rsidP="00C760FC">
            <w:pPr>
              <w:spacing w:after="0" w:line="240" w:lineRule="auto"/>
              <w:jc w:val="both"/>
              <w:rPr>
                <w:rFonts w:cs="Arial"/>
                <w:color w:val="000000"/>
              </w:rPr>
            </w:pPr>
            <w:r w:rsidRPr="00030F8F">
              <w:rPr>
                <w:rFonts w:cs="Arial"/>
                <w:color w:val="000000"/>
              </w:rPr>
              <w:t>Informacijsko-komunikacijska tehnologija</w:t>
            </w:r>
          </w:p>
        </w:tc>
      </w:tr>
      <w:tr w:rsidR="00165F71" w:rsidRPr="00030F8F" w14:paraId="5D5A38D7" w14:textId="77777777" w:rsidTr="00852E5E">
        <w:trPr>
          <w:trHeight w:val="300"/>
        </w:trPr>
        <w:tc>
          <w:tcPr>
            <w:tcW w:w="1369" w:type="dxa"/>
            <w:shd w:val="clear" w:color="auto" w:fill="auto"/>
            <w:noWrap/>
            <w:vAlign w:val="center"/>
          </w:tcPr>
          <w:p w14:paraId="1283F150" w14:textId="77777777" w:rsidR="00165F71" w:rsidRPr="00030F8F" w:rsidRDefault="00165F71" w:rsidP="00C760FC">
            <w:pPr>
              <w:spacing w:after="0" w:line="240" w:lineRule="auto"/>
              <w:jc w:val="both"/>
              <w:rPr>
                <w:rFonts w:cs="Arial"/>
                <w:b/>
                <w:color w:val="86BC25"/>
              </w:rPr>
            </w:pPr>
            <w:r w:rsidRPr="00030F8F">
              <w:rPr>
                <w:rFonts w:cs="Arial"/>
                <w:b/>
                <w:color w:val="86BC25"/>
              </w:rPr>
              <w:t>IRO</w:t>
            </w:r>
          </w:p>
        </w:tc>
        <w:tc>
          <w:tcPr>
            <w:tcW w:w="7996" w:type="dxa"/>
            <w:shd w:val="clear" w:color="auto" w:fill="auto"/>
            <w:noWrap/>
            <w:vAlign w:val="center"/>
          </w:tcPr>
          <w:p w14:paraId="6ACD343F" w14:textId="77777777" w:rsidR="00165F71" w:rsidRPr="00030F8F" w:rsidRDefault="00165F71" w:rsidP="00C760FC">
            <w:pPr>
              <w:spacing w:after="0" w:line="240" w:lineRule="auto"/>
              <w:jc w:val="both"/>
              <w:rPr>
                <w:rFonts w:cs="Arial"/>
                <w:color w:val="000000"/>
              </w:rPr>
            </w:pPr>
            <w:r w:rsidRPr="00030F8F">
              <w:rPr>
                <w:rFonts w:cs="Arial"/>
                <w:color w:val="000000"/>
              </w:rPr>
              <w:t>Indeks razvojne ogroženosti</w:t>
            </w:r>
          </w:p>
        </w:tc>
      </w:tr>
      <w:tr w:rsidR="00956FB5" w:rsidRPr="00030F8F" w14:paraId="728A9463" w14:textId="77777777" w:rsidTr="00852E5E">
        <w:trPr>
          <w:trHeight w:val="300"/>
        </w:trPr>
        <w:tc>
          <w:tcPr>
            <w:tcW w:w="1369" w:type="dxa"/>
            <w:shd w:val="clear" w:color="auto" w:fill="auto"/>
            <w:noWrap/>
            <w:vAlign w:val="center"/>
            <w:hideMark/>
          </w:tcPr>
          <w:p w14:paraId="694375EE" w14:textId="77777777" w:rsidR="00956FB5" w:rsidRPr="00030F8F" w:rsidRDefault="00956FB5" w:rsidP="00C760FC">
            <w:pPr>
              <w:spacing w:after="0" w:line="240" w:lineRule="auto"/>
              <w:jc w:val="both"/>
              <w:rPr>
                <w:rFonts w:cs="Arial"/>
                <w:b/>
                <w:color w:val="86BC25"/>
              </w:rPr>
            </w:pPr>
            <w:r w:rsidRPr="00030F8F">
              <w:rPr>
                <w:rFonts w:cs="Arial"/>
                <w:b/>
                <w:color w:val="86BC25"/>
              </w:rPr>
              <w:t>KMG</w:t>
            </w:r>
          </w:p>
        </w:tc>
        <w:tc>
          <w:tcPr>
            <w:tcW w:w="7996" w:type="dxa"/>
            <w:shd w:val="clear" w:color="auto" w:fill="auto"/>
            <w:noWrap/>
            <w:vAlign w:val="center"/>
            <w:hideMark/>
          </w:tcPr>
          <w:p w14:paraId="5C1025E4" w14:textId="77777777" w:rsidR="00956FB5" w:rsidRPr="00030F8F" w:rsidRDefault="00956FB5" w:rsidP="00C760FC">
            <w:pPr>
              <w:spacing w:after="0" w:line="240" w:lineRule="auto"/>
              <w:jc w:val="both"/>
              <w:rPr>
                <w:rFonts w:cs="Arial"/>
                <w:color w:val="000000"/>
              </w:rPr>
            </w:pPr>
            <w:r w:rsidRPr="00030F8F">
              <w:rPr>
                <w:rFonts w:cs="Arial"/>
                <w:color w:val="000000"/>
              </w:rPr>
              <w:t>Kmetijsko gospodarstvo</w:t>
            </w:r>
          </w:p>
        </w:tc>
      </w:tr>
      <w:tr w:rsidR="00956FB5" w:rsidRPr="00030F8F" w14:paraId="06F89314" w14:textId="77777777" w:rsidTr="00852E5E">
        <w:trPr>
          <w:trHeight w:val="300"/>
        </w:trPr>
        <w:tc>
          <w:tcPr>
            <w:tcW w:w="1369" w:type="dxa"/>
            <w:shd w:val="clear" w:color="auto" w:fill="auto"/>
            <w:noWrap/>
            <w:vAlign w:val="center"/>
            <w:hideMark/>
          </w:tcPr>
          <w:p w14:paraId="496B7DC5" w14:textId="77777777" w:rsidR="00956FB5" w:rsidRPr="00030F8F" w:rsidRDefault="00956FB5" w:rsidP="00C760FC">
            <w:pPr>
              <w:spacing w:after="0" w:line="240" w:lineRule="auto"/>
              <w:jc w:val="both"/>
              <w:rPr>
                <w:rFonts w:cs="Arial"/>
                <w:b/>
                <w:color w:val="86BC25"/>
              </w:rPr>
            </w:pPr>
            <w:r w:rsidRPr="00030F8F">
              <w:rPr>
                <w:rFonts w:cs="Arial"/>
                <w:b/>
                <w:color w:val="86BC25"/>
              </w:rPr>
              <w:t>KZU</w:t>
            </w:r>
          </w:p>
        </w:tc>
        <w:tc>
          <w:tcPr>
            <w:tcW w:w="7996" w:type="dxa"/>
            <w:shd w:val="clear" w:color="auto" w:fill="auto"/>
            <w:noWrap/>
            <w:vAlign w:val="center"/>
            <w:hideMark/>
          </w:tcPr>
          <w:p w14:paraId="3BC4C64F" w14:textId="77777777" w:rsidR="00956FB5" w:rsidRPr="00030F8F" w:rsidRDefault="00956FB5" w:rsidP="00C760FC">
            <w:pPr>
              <w:spacing w:after="0" w:line="240" w:lineRule="auto"/>
              <w:jc w:val="both"/>
              <w:rPr>
                <w:rFonts w:cs="Arial"/>
                <w:color w:val="000000"/>
              </w:rPr>
            </w:pPr>
            <w:r w:rsidRPr="00030F8F">
              <w:rPr>
                <w:rFonts w:cs="Arial"/>
                <w:color w:val="000000"/>
              </w:rPr>
              <w:t>Kmetijska zemljišča v uporabi</w:t>
            </w:r>
          </w:p>
        </w:tc>
      </w:tr>
      <w:tr w:rsidR="00165F71" w:rsidRPr="00030F8F" w14:paraId="60063545" w14:textId="77777777" w:rsidTr="00852E5E">
        <w:trPr>
          <w:trHeight w:val="300"/>
        </w:trPr>
        <w:tc>
          <w:tcPr>
            <w:tcW w:w="1369" w:type="dxa"/>
            <w:shd w:val="clear" w:color="auto" w:fill="auto"/>
            <w:noWrap/>
            <w:vAlign w:val="center"/>
          </w:tcPr>
          <w:p w14:paraId="092F1998" w14:textId="77777777" w:rsidR="00165F71" w:rsidRPr="00030F8F" w:rsidRDefault="00165F71" w:rsidP="00C760FC">
            <w:pPr>
              <w:spacing w:after="0" w:line="240" w:lineRule="auto"/>
              <w:jc w:val="both"/>
              <w:rPr>
                <w:rFonts w:cs="Arial"/>
                <w:b/>
                <w:color w:val="86BC25"/>
              </w:rPr>
            </w:pPr>
            <w:r w:rsidRPr="00030F8F">
              <w:rPr>
                <w:rFonts w:cs="Arial"/>
                <w:b/>
                <w:color w:val="86BC25"/>
              </w:rPr>
              <w:t>LAS</w:t>
            </w:r>
          </w:p>
        </w:tc>
        <w:tc>
          <w:tcPr>
            <w:tcW w:w="7996" w:type="dxa"/>
            <w:shd w:val="clear" w:color="auto" w:fill="auto"/>
            <w:noWrap/>
            <w:vAlign w:val="center"/>
          </w:tcPr>
          <w:p w14:paraId="6EF59FF4" w14:textId="77777777" w:rsidR="00165F71" w:rsidRPr="00030F8F" w:rsidRDefault="00165F71" w:rsidP="00C760FC">
            <w:pPr>
              <w:spacing w:after="0" w:line="240" w:lineRule="auto"/>
              <w:jc w:val="both"/>
              <w:rPr>
                <w:rFonts w:cs="Arial"/>
                <w:color w:val="000000"/>
              </w:rPr>
            </w:pPr>
            <w:r w:rsidRPr="00030F8F">
              <w:rPr>
                <w:rFonts w:cs="Arial"/>
                <w:color w:val="000000"/>
              </w:rPr>
              <w:t>Lokalna akcijska skupina</w:t>
            </w:r>
          </w:p>
        </w:tc>
      </w:tr>
      <w:tr w:rsidR="00956FB5" w:rsidRPr="00030F8F" w14:paraId="0F7C35FC" w14:textId="77777777" w:rsidTr="00852E5E">
        <w:trPr>
          <w:trHeight w:val="300"/>
        </w:trPr>
        <w:tc>
          <w:tcPr>
            <w:tcW w:w="1369" w:type="dxa"/>
            <w:shd w:val="clear" w:color="auto" w:fill="auto"/>
            <w:noWrap/>
            <w:vAlign w:val="center"/>
            <w:hideMark/>
          </w:tcPr>
          <w:p w14:paraId="69368BFA" w14:textId="77777777" w:rsidR="00956FB5" w:rsidRPr="00030F8F" w:rsidRDefault="00956FB5" w:rsidP="00C760FC">
            <w:pPr>
              <w:spacing w:after="0" w:line="240" w:lineRule="auto"/>
              <w:jc w:val="both"/>
              <w:rPr>
                <w:rFonts w:cs="Arial"/>
                <w:b/>
                <w:color w:val="86BC25"/>
              </w:rPr>
            </w:pPr>
            <w:r w:rsidRPr="00030F8F">
              <w:rPr>
                <w:rFonts w:cs="Arial"/>
                <w:b/>
                <w:color w:val="86BC25"/>
              </w:rPr>
              <w:t>LEADER</w:t>
            </w:r>
          </w:p>
        </w:tc>
        <w:tc>
          <w:tcPr>
            <w:tcW w:w="7996" w:type="dxa"/>
            <w:shd w:val="clear" w:color="auto" w:fill="auto"/>
            <w:noWrap/>
            <w:vAlign w:val="center"/>
            <w:hideMark/>
          </w:tcPr>
          <w:p w14:paraId="6CA4F5F2" w14:textId="77777777" w:rsidR="00956FB5" w:rsidRPr="00030F8F" w:rsidRDefault="00956FB5" w:rsidP="00C760FC">
            <w:pPr>
              <w:spacing w:after="0" w:line="240" w:lineRule="auto"/>
              <w:jc w:val="both"/>
              <w:rPr>
                <w:rFonts w:cs="Arial"/>
                <w:color w:val="000000"/>
              </w:rPr>
            </w:pPr>
            <w:r w:rsidRPr="00030F8F">
              <w:rPr>
                <w:rFonts w:cs="Arial"/>
                <w:color w:val="000000"/>
              </w:rPr>
              <w:t>Zveza razvojnih ukrepov podeželskega gospodarstva (</w:t>
            </w:r>
            <w:proofErr w:type="spellStart"/>
            <w:r w:rsidRPr="00030F8F">
              <w:rPr>
                <w:rFonts w:cs="Arial"/>
                <w:i/>
                <w:color w:val="000000"/>
              </w:rPr>
              <w:t>Liaison</w:t>
            </w:r>
            <w:proofErr w:type="spellEnd"/>
            <w:r w:rsidRPr="00030F8F">
              <w:rPr>
                <w:rFonts w:cs="Arial"/>
                <w:i/>
                <w:color w:val="000000"/>
              </w:rPr>
              <w:t xml:space="preserve"> </w:t>
            </w:r>
            <w:proofErr w:type="spellStart"/>
            <w:r w:rsidRPr="00030F8F">
              <w:rPr>
                <w:rFonts w:cs="Arial"/>
                <w:i/>
                <w:color w:val="000000"/>
              </w:rPr>
              <w:t>Entre</w:t>
            </w:r>
            <w:proofErr w:type="spellEnd"/>
            <w:r w:rsidRPr="00030F8F">
              <w:rPr>
                <w:rFonts w:cs="Arial"/>
                <w:i/>
                <w:color w:val="000000"/>
              </w:rPr>
              <w:t xml:space="preserve"> </w:t>
            </w:r>
            <w:proofErr w:type="spellStart"/>
            <w:r w:rsidRPr="00030F8F">
              <w:rPr>
                <w:rFonts w:cs="Arial"/>
                <w:i/>
                <w:color w:val="000000"/>
              </w:rPr>
              <w:t>Actions</w:t>
            </w:r>
            <w:proofErr w:type="spellEnd"/>
            <w:r w:rsidRPr="00030F8F">
              <w:rPr>
                <w:rFonts w:cs="Arial"/>
                <w:i/>
                <w:color w:val="000000"/>
              </w:rPr>
              <w:t xml:space="preserve"> de </w:t>
            </w:r>
            <w:proofErr w:type="spellStart"/>
            <w:r w:rsidRPr="00030F8F">
              <w:rPr>
                <w:rFonts w:cs="Arial"/>
                <w:i/>
                <w:color w:val="000000"/>
              </w:rPr>
              <w:t>Développement</w:t>
            </w:r>
            <w:proofErr w:type="spellEnd"/>
            <w:r w:rsidRPr="00030F8F">
              <w:rPr>
                <w:rFonts w:cs="Arial"/>
                <w:i/>
                <w:color w:val="000000"/>
              </w:rPr>
              <w:t xml:space="preserve"> de </w:t>
            </w:r>
            <w:proofErr w:type="spellStart"/>
            <w:r w:rsidRPr="00030F8F">
              <w:rPr>
                <w:rFonts w:cs="Arial"/>
                <w:i/>
                <w:color w:val="000000"/>
              </w:rPr>
              <w:t>l'Économie</w:t>
            </w:r>
            <w:proofErr w:type="spellEnd"/>
            <w:r w:rsidRPr="00030F8F">
              <w:rPr>
                <w:rFonts w:cs="Arial"/>
                <w:i/>
                <w:color w:val="000000"/>
              </w:rPr>
              <w:t xml:space="preserve"> </w:t>
            </w:r>
            <w:proofErr w:type="spellStart"/>
            <w:r w:rsidRPr="00030F8F">
              <w:rPr>
                <w:rFonts w:cs="Arial"/>
                <w:i/>
                <w:color w:val="000000"/>
              </w:rPr>
              <w:t>Rurale</w:t>
            </w:r>
            <w:proofErr w:type="spellEnd"/>
            <w:r w:rsidRPr="00030F8F">
              <w:rPr>
                <w:rFonts w:cs="Arial"/>
                <w:color w:val="000000"/>
              </w:rPr>
              <w:t>)</w:t>
            </w:r>
          </w:p>
        </w:tc>
      </w:tr>
      <w:tr w:rsidR="00956FB5" w:rsidRPr="00030F8F" w14:paraId="6D63261E" w14:textId="77777777" w:rsidTr="00852E5E">
        <w:trPr>
          <w:trHeight w:val="300"/>
        </w:trPr>
        <w:tc>
          <w:tcPr>
            <w:tcW w:w="1369" w:type="dxa"/>
            <w:shd w:val="clear" w:color="auto" w:fill="auto"/>
            <w:noWrap/>
            <w:vAlign w:val="center"/>
          </w:tcPr>
          <w:p w14:paraId="2B2FBBC5" w14:textId="77777777" w:rsidR="00956FB5" w:rsidRPr="00030F8F" w:rsidRDefault="00956FB5" w:rsidP="00C760FC">
            <w:pPr>
              <w:spacing w:after="0" w:line="240" w:lineRule="auto"/>
              <w:jc w:val="both"/>
              <w:rPr>
                <w:rFonts w:cs="Arial"/>
                <w:b/>
                <w:color w:val="86BC25"/>
              </w:rPr>
            </w:pPr>
            <w:r w:rsidRPr="00030F8F">
              <w:rPr>
                <w:rFonts w:cs="Arial"/>
                <w:b/>
                <w:color w:val="86BC25"/>
              </w:rPr>
              <w:t>LULUCF</w:t>
            </w:r>
          </w:p>
        </w:tc>
        <w:tc>
          <w:tcPr>
            <w:tcW w:w="7996" w:type="dxa"/>
            <w:shd w:val="clear" w:color="auto" w:fill="auto"/>
            <w:noWrap/>
            <w:vAlign w:val="center"/>
          </w:tcPr>
          <w:p w14:paraId="61434962" w14:textId="77777777" w:rsidR="00956FB5" w:rsidRPr="00030F8F" w:rsidRDefault="00956FB5" w:rsidP="00C760FC">
            <w:pPr>
              <w:spacing w:after="0" w:line="240" w:lineRule="auto"/>
              <w:jc w:val="both"/>
              <w:rPr>
                <w:rFonts w:cs="Arial"/>
                <w:color w:val="000000"/>
              </w:rPr>
            </w:pPr>
            <w:r w:rsidRPr="00030F8F">
              <w:rPr>
                <w:rFonts w:cs="Arial"/>
                <w:color w:val="000000"/>
              </w:rPr>
              <w:t>Uredba o rabi zemljišč, spremembi rabe zemljišč in gozdarstvu (</w:t>
            </w:r>
            <w:proofErr w:type="spellStart"/>
            <w:r w:rsidRPr="00030F8F">
              <w:rPr>
                <w:rFonts w:cs="Arial"/>
                <w:i/>
                <w:color w:val="000000"/>
              </w:rPr>
              <w:t>Land</w:t>
            </w:r>
            <w:proofErr w:type="spellEnd"/>
            <w:r w:rsidRPr="00030F8F">
              <w:rPr>
                <w:rFonts w:cs="Arial"/>
                <w:i/>
                <w:color w:val="000000"/>
              </w:rPr>
              <w:t xml:space="preserve"> </w:t>
            </w:r>
            <w:proofErr w:type="spellStart"/>
            <w:r w:rsidRPr="00030F8F">
              <w:rPr>
                <w:rFonts w:cs="Arial"/>
                <w:i/>
                <w:color w:val="000000"/>
              </w:rPr>
              <w:t>use</w:t>
            </w:r>
            <w:proofErr w:type="spellEnd"/>
            <w:r w:rsidRPr="00030F8F">
              <w:rPr>
                <w:rFonts w:cs="Arial"/>
                <w:i/>
                <w:color w:val="000000"/>
              </w:rPr>
              <w:t xml:space="preserve">, </w:t>
            </w:r>
            <w:proofErr w:type="spellStart"/>
            <w:r w:rsidRPr="00030F8F">
              <w:rPr>
                <w:rFonts w:cs="Arial"/>
                <w:i/>
                <w:color w:val="000000"/>
              </w:rPr>
              <w:t>land-use</w:t>
            </w:r>
            <w:proofErr w:type="spellEnd"/>
            <w:r w:rsidRPr="00030F8F">
              <w:rPr>
                <w:rFonts w:cs="Arial"/>
                <w:i/>
                <w:color w:val="000000"/>
              </w:rPr>
              <w:t xml:space="preserve"> </w:t>
            </w:r>
            <w:proofErr w:type="spellStart"/>
            <w:r w:rsidRPr="00030F8F">
              <w:rPr>
                <w:rFonts w:cs="Arial"/>
                <w:i/>
                <w:color w:val="000000"/>
              </w:rPr>
              <w:t>change</w:t>
            </w:r>
            <w:proofErr w:type="spellEnd"/>
            <w:r w:rsidRPr="00030F8F">
              <w:rPr>
                <w:rFonts w:cs="Arial"/>
                <w:i/>
                <w:color w:val="000000"/>
              </w:rPr>
              <w:t xml:space="preserve">, </w:t>
            </w:r>
            <w:proofErr w:type="spellStart"/>
            <w:r w:rsidRPr="00030F8F">
              <w:rPr>
                <w:rFonts w:cs="Arial"/>
                <w:i/>
                <w:color w:val="000000"/>
              </w:rPr>
              <w:t>and</w:t>
            </w:r>
            <w:proofErr w:type="spellEnd"/>
            <w:r w:rsidRPr="00030F8F">
              <w:rPr>
                <w:rFonts w:cs="Arial"/>
                <w:i/>
                <w:color w:val="000000"/>
              </w:rPr>
              <w:t xml:space="preserve"> </w:t>
            </w:r>
            <w:proofErr w:type="spellStart"/>
            <w:r w:rsidRPr="00030F8F">
              <w:rPr>
                <w:rFonts w:cs="Arial"/>
                <w:i/>
                <w:color w:val="000000"/>
              </w:rPr>
              <w:t>forestry</w:t>
            </w:r>
            <w:proofErr w:type="spellEnd"/>
            <w:r w:rsidRPr="00030F8F">
              <w:rPr>
                <w:rFonts w:cs="Arial"/>
                <w:color w:val="000000"/>
              </w:rPr>
              <w:t>)</w:t>
            </w:r>
          </w:p>
        </w:tc>
      </w:tr>
      <w:tr w:rsidR="00956FB5" w:rsidRPr="00030F8F" w14:paraId="21C08BA0" w14:textId="77777777" w:rsidTr="00852E5E">
        <w:trPr>
          <w:trHeight w:val="300"/>
        </w:trPr>
        <w:tc>
          <w:tcPr>
            <w:tcW w:w="1369" w:type="dxa"/>
            <w:shd w:val="clear" w:color="auto" w:fill="auto"/>
            <w:noWrap/>
            <w:vAlign w:val="center"/>
            <w:hideMark/>
          </w:tcPr>
          <w:p w14:paraId="0FBA2DDC" w14:textId="77777777" w:rsidR="00956FB5" w:rsidRPr="00030F8F" w:rsidRDefault="00956FB5" w:rsidP="00C760FC">
            <w:pPr>
              <w:spacing w:after="0" w:line="240" w:lineRule="auto"/>
              <w:jc w:val="both"/>
              <w:rPr>
                <w:rFonts w:cs="Arial"/>
                <w:b/>
                <w:color w:val="86BC25"/>
              </w:rPr>
            </w:pPr>
            <w:r w:rsidRPr="00030F8F">
              <w:rPr>
                <w:rFonts w:cs="Arial"/>
                <w:b/>
                <w:color w:val="86BC25"/>
              </w:rPr>
              <w:t>MKGP</w:t>
            </w:r>
          </w:p>
        </w:tc>
        <w:tc>
          <w:tcPr>
            <w:tcW w:w="7996" w:type="dxa"/>
            <w:shd w:val="clear" w:color="auto" w:fill="auto"/>
            <w:noWrap/>
            <w:vAlign w:val="center"/>
            <w:hideMark/>
          </w:tcPr>
          <w:p w14:paraId="747E0631" w14:textId="77777777" w:rsidR="00956FB5" w:rsidRPr="00030F8F" w:rsidRDefault="00956FB5" w:rsidP="00C760FC">
            <w:pPr>
              <w:spacing w:after="0" w:line="240" w:lineRule="auto"/>
              <w:jc w:val="both"/>
              <w:rPr>
                <w:rFonts w:cs="Arial"/>
                <w:color w:val="000000"/>
              </w:rPr>
            </w:pPr>
            <w:r w:rsidRPr="00030F8F">
              <w:rPr>
                <w:rFonts w:cs="Arial"/>
                <w:color w:val="000000"/>
              </w:rPr>
              <w:t>Ministrstvo za kmetijstvo, gozdarstvo in prehrano</w:t>
            </w:r>
          </w:p>
        </w:tc>
      </w:tr>
      <w:tr w:rsidR="00246F26" w:rsidRPr="00030F8F" w14:paraId="265E81F5" w14:textId="77777777" w:rsidTr="00852E5E">
        <w:trPr>
          <w:trHeight w:val="300"/>
        </w:trPr>
        <w:tc>
          <w:tcPr>
            <w:tcW w:w="1369" w:type="dxa"/>
            <w:shd w:val="clear" w:color="auto" w:fill="auto"/>
            <w:noWrap/>
            <w:vAlign w:val="center"/>
          </w:tcPr>
          <w:p w14:paraId="3DF16B05" w14:textId="02F2A0A5" w:rsidR="00246F26" w:rsidRPr="00030F8F" w:rsidRDefault="00246F26" w:rsidP="00C760FC">
            <w:pPr>
              <w:spacing w:after="0" w:line="240" w:lineRule="auto"/>
              <w:jc w:val="both"/>
              <w:rPr>
                <w:rFonts w:cs="Arial"/>
                <w:b/>
                <w:color w:val="86BC25"/>
              </w:rPr>
            </w:pPr>
            <w:r>
              <w:rPr>
                <w:rFonts w:cs="Arial"/>
                <w:b/>
                <w:color w:val="86BC25"/>
              </w:rPr>
              <w:t>MOP</w:t>
            </w:r>
          </w:p>
        </w:tc>
        <w:tc>
          <w:tcPr>
            <w:tcW w:w="7996" w:type="dxa"/>
            <w:shd w:val="clear" w:color="auto" w:fill="auto"/>
            <w:noWrap/>
            <w:vAlign w:val="center"/>
          </w:tcPr>
          <w:p w14:paraId="71A37222" w14:textId="5B8059BA" w:rsidR="00246F26" w:rsidRPr="00030F8F" w:rsidRDefault="00246F26" w:rsidP="00C760FC">
            <w:pPr>
              <w:spacing w:after="0" w:line="240" w:lineRule="auto"/>
              <w:jc w:val="both"/>
              <w:rPr>
                <w:rFonts w:cs="Arial"/>
                <w:color w:val="000000"/>
              </w:rPr>
            </w:pPr>
            <w:r>
              <w:rPr>
                <w:rFonts w:cs="Arial"/>
                <w:color w:val="000000"/>
              </w:rPr>
              <w:t>Ministrstvo za okolje in prostor</w:t>
            </w:r>
          </w:p>
        </w:tc>
      </w:tr>
      <w:tr w:rsidR="00A20F35" w:rsidRPr="00030F8F" w14:paraId="3A5BF4C2" w14:textId="77777777" w:rsidTr="00852E5E">
        <w:trPr>
          <w:trHeight w:val="300"/>
        </w:trPr>
        <w:tc>
          <w:tcPr>
            <w:tcW w:w="1369" w:type="dxa"/>
            <w:shd w:val="clear" w:color="auto" w:fill="auto"/>
            <w:noWrap/>
            <w:vAlign w:val="center"/>
          </w:tcPr>
          <w:p w14:paraId="72B93C7C" w14:textId="77777777" w:rsidR="00A20F35" w:rsidRPr="00030F8F" w:rsidRDefault="00A20F35" w:rsidP="00C760FC">
            <w:pPr>
              <w:spacing w:after="0" w:line="240" w:lineRule="auto"/>
              <w:jc w:val="both"/>
              <w:rPr>
                <w:rFonts w:cs="Arial"/>
                <w:b/>
                <w:color w:val="86BC25"/>
              </w:rPr>
            </w:pPr>
            <w:r w:rsidRPr="00030F8F">
              <w:rPr>
                <w:rFonts w:cs="Arial"/>
                <w:b/>
                <w:color w:val="86BC25"/>
              </w:rPr>
              <w:t>OECD</w:t>
            </w:r>
          </w:p>
        </w:tc>
        <w:tc>
          <w:tcPr>
            <w:tcW w:w="7996" w:type="dxa"/>
            <w:shd w:val="clear" w:color="auto" w:fill="auto"/>
            <w:noWrap/>
            <w:vAlign w:val="center"/>
          </w:tcPr>
          <w:p w14:paraId="47524633" w14:textId="77777777" w:rsidR="00A20F35" w:rsidRPr="00030F8F" w:rsidRDefault="00A20F35" w:rsidP="00C760FC">
            <w:pPr>
              <w:spacing w:after="0" w:line="240" w:lineRule="auto"/>
              <w:jc w:val="both"/>
              <w:rPr>
                <w:rFonts w:cs="Arial"/>
                <w:color w:val="000000"/>
              </w:rPr>
            </w:pPr>
            <w:proofErr w:type="spellStart"/>
            <w:r w:rsidRPr="00030F8F">
              <w:rPr>
                <w:rFonts w:cs="Arial"/>
                <w:color w:val="000000"/>
              </w:rPr>
              <w:t>Organisation</w:t>
            </w:r>
            <w:proofErr w:type="spellEnd"/>
            <w:r w:rsidRPr="00030F8F">
              <w:rPr>
                <w:rFonts w:cs="Arial"/>
                <w:color w:val="000000"/>
              </w:rPr>
              <w:t xml:space="preserve"> </w:t>
            </w:r>
            <w:proofErr w:type="spellStart"/>
            <w:r w:rsidRPr="00030F8F">
              <w:rPr>
                <w:rFonts w:cs="Arial"/>
                <w:color w:val="000000"/>
              </w:rPr>
              <w:t>for</w:t>
            </w:r>
            <w:proofErr w:type="spellEnd"/>
            <w:r w:rsidRPr="00030F8F">
              <w:rPr>
                <w:rFonts w:cs="Arial"/>
                <w:color w:val="000000"/>
              </w:rPr>
              <w:t xml:space="preserve"> </w:t>
            </w:r>
            <w:proofErr w:type="spellStart"/>
            <w:r w:rsidRPr="00030F8F">
              <w:rPr>
                <w:rFonts w:cs="Arial"/>
                <w:color w:val="000000"/>
              </w:rPr>
              <w:t>economic</w:t>
            </w:r>
            <w:proofErr w:type="spellEnd"/>
            <w:r w:rsidRPr="00030F8F">
              <w:rPr>
                <w:rFonts w:cs="Arial"/>
                <w:color w:val="000000"/>
              </w:rPr>
              <w:t xml:space="preserve"> </w:t>
            </w:r>
            <w:proofErr w:type="spellStart"/>
            <w:r w:rsidRPr="00030F8F">
              <w:rPr>
                <w:rFonts w:cs="Arial"/>
                <w:color w:val="000000"/>
              </w:rPr>
              <w:t>co-operation</w:t>
            </w:r>
            <w:proofErr w:type="spellEnd"/>
            <w:r w:rsidRPr="00030F8F">
              <w:rPr>
                <w:rFonts w:cs="Arial"/>
                <w:color w:val="000000"/>
              </w:rPr>
              <w:t xml:space="preserve"> </w:t>
            </w:r>
            <w:proofErr w:type="spellStart"/>
            <w:r w:rsidRPr="00030F8F">
              <w:rPr>
                <w:rFonts w:cs="Arial"/>
                <w:color w:val="000000"/>
              </w:rPr>
              <w:t>and</w:t>
            </w:r>
            <w:proofErr w:type="spellEnd"/>
            <w:r w:rsidRPr="00030F8F">
              <w:rPr>
                <w:rFonts w:cs="Arial"/>
                <w:color w:val="000000"/>
              </w:rPr>
              <w:t xml:space="preserve"> </w:t>
            </w:r>
            <w:proofErr w:type="spellStart"/>
            <w:r w:rsidRPr="00030F8F">
              <w:rPr>
                <w:rFonts w:cs="Arial"/>
                <w:color w:val="000000"/>
              </w:rPr>
              <w:t>development</w:t>
            </w:r>
            <w:proofErr w:type="spellEnd"/>
            <w:r w:rsidRPr="00030F8F">
              <w:rPr>
                <w:rFonts w:cs="Arial"/>
                <w:color w:val="000000"/>
              </w:rPr>
              <w:t>/ Organizacija za gospodarsko sodelovanje in razvoj</w:t>
            </w:r>
          </w:p>
        </w:tc>
      </w:tr>
      <w:tr w:rsidR="00956FB5" w:rsidRPr="00030F8F" w14:paraId="757F6038" w14:textId="77777777" w:rsidTr="00852E5E">
        <w:trPr>
          <w:trHeight w:val="300"/>
        </w:trPr>
        <w:tc>
          <w:tcPr>
            <w:tcW w:w="1369" w:type="dxa"/>
            <w:shd w:val="clear" w:color="auto" w:fill="auto"/>
            <w:noWrap/>
            <w:vAlign w:val="center"/>
          </w:tcPr>
          <w:p w14:paraId="74C99555" w14:textId="77777777" w:rsidR="00956FB5" w:rsidRPr="00030F8F" w:rsidRDefault="00956FB5" w:rsidP="00C760FC">
            <w:pPr>
              <w:spacing w:after="0" w:line="240" w:lineRule="auto"/>
              <w:jc w:val="both"/>
              <w:rPr>
                <w:rFonts w:cs="Arial"/>
                <w:b/>
                <w:color w:val="86BC25"/>
              </w:rPr>
            </w:pPr>
            <w:r w:rsidRPr="00030F8F">
              <w:rPr>
                <w:rFonts w:cs="Arial"/>
                <w:b/>
                <w:color w:val="86BC25"/>
              </w:rPr>
              <w:t>OMD</w:t>
            </w:r>
          </w:p>
        </w:tc>
        <w:tc>
          <w:tcPr>
            <w:tcW w:w="7996" w:type="dxa"/>
            <w:shd w:val="clear" w:color="auto" w:fill="auto"/>
            <w:noWrap/>
            <w:vAlign w:val="center"/>
          </w:tcPr>
          <w:p w14:paraId="7472DC6E" w14:textId="77777777" w:rsidR="00956FB5" w:rsidRPr="00030F8F" w:rsidRDefault="00956FB5" w:rsidP="00C760FC">
            <w:pPr>
              <w:spacing w:after="0" w:line="240" w:lineRule="auto"/>
              <w:jc w:val="both"/>
              <w:rPr>
                <w:rFonts w:cs="Arial"/>
                <w:color w:val="000000"/>
              </w:rPr>
            </w:pPr>
            <w:r w:rsidRPr="00030F8F">
              <w:rPr>
                <w:rFonts w:cs="Arial"/>
                <w:color w:val="000000"/>
              </w:rPr>
              <w:t>Območja z omejenimi možnostmi za kmetijsko dejavnost</w:t>
            </w:r>
          </w:p>
        </w:tc>
      </w:tr>
      <w:tr w:rsidR="004C7089" w:rsidRPr="00030F8F" w14:paraId="0E5928B1" w14:textId="77777777" w:rsidTr="00852E5E">
        <w:trPr>
          <w:trHeight w:val="300"/>
        </w:trPr>
        <w:tc>
          <w:tcPr>
            <w:tcW w:w="1369" w:type="dxa"/>
            <w:shd w:val="clear" w:color="auto" w:fill="auto"/>
            <w:noWrap/>
            <w:vAlign w:val="center"/>
          </w:tcPr>
          <w:p w14:paraId="329B32B7" w14:textId="77777777" w:rsidR="004C7089" w:rsidRPr="00030F8F" w:rsidRDefault="004C7089" w:rsidP="00C760FC">
            <w:pPr>
              <w:spacing w:after="0" w:line="240" w:lineRule="auto"/>
              <w:jc w:val="both"/>
              <w:rPr>
                <w:rFonts w:cs="Arial"/>
                <w:b/>
                <w:color w:val="86BC25"/>
              </w:rPr>
            </w:pPr>
            <w:r w:rsidRPr="00030F8F">
              <w:rPr>
                <w:rFonts w:cs="Arial"/>
                <w:b/>
                <w:color w:val="86BC25"/>
              </w:rPr>
              <w:t>OP EKP</w:t>
            </w:r>
          </w:p>
        </w:tc>
        <w:tc>
          <w:tcPr>
            <w:tcW w:w="7996" w:type="dxa"/>
            <w:shd w:val="clear" w:color="auto" w:fill="auto"/>
            <w:noWrap/>
            <w:vAlign w:val="center"/>
          </w:tcPr>
          <w:p w14:paraId="06F55F64" w14:textId="77777777" w:rsidR="004C7089" w:rsidRPr="00030F8F" w:rsidRDefault="004C7089" w:rsidP="00C760FC">
            <w:pPr>
              <w:spacing w:after="0" w:line="240" w:lineRule="auto"/>
              <w:jc w:val="both"/>
              <w:rPr>
                <w:rFonts w:cs="Arial"/>
                <w:color w:val="000000"/>
              </w:rPr>
            </w:pPr>
            <w:r w:rsidRPr="00030F8F">
              <w:rPr>
                <w:rFonts w:cs="Arial"/>
                <w:color w:val="000000"/>
              </w:rPr>
              <w:t>Operativni program evropske kohezijske politike</w:t>
            </w:r>
          </w:p>
        </w:tc>
      </w:tr>
      <w:tr w:rsidR="00956FB5" w:rsidRPr="00030F8F" w14:paraId="1827DE41" w14:textId="77777777" w:rsidTr="00852E5E">
        <w:trPr>
          <w:trHeight w:val="300"/>
        </w:trPr>
        <w:tc>
          <w:tcPr>
            <w:tcW w:w="1369" w:type="dxa"/>
            <w:shd w:val="clear" w:color="auto" w:fill="auto"/>
            <w:noWrap/>
            <w:vAlign w:val="center"/>
          </w:tcPr>
          <w:p w14:paraId="0D7ACBF8" w14:textId="77777777" w:rsidR="00956FB5" w:rsidRPr="00030F8F" w:rsidRDefault="00956FB5" w:rsidP="00C760FC">
            <w:pPr>
              <w:spacing w:after="0" w:line="240" w:lineRule="auto"/>
              <w:jc w:val="both"/>
              <w:rPr>
                <w:rFonts w:cs="Arial"/>
                <w:b/>
                <w:color w:val="86BC25"/>
              </w:rPr>
            </w:pPr>
            <w:r w:rsidRPr="00030F8F">
              <w:rPr>
                <w:rFonts w:cs="Arial"/>
                <w:b/>
                <w:color w:val="86BC25"/>
              </w:rPr>
              <w:t>OVE</w:t>
            </w:r>
          </w:p>
        </w:tc>
        <w:tc>
          <w:tcPr>
            <w:tcW w:w="7996" w:type="dxa"/>
            <w:shd w:val="clear" w:color="auto" w:fill="auto"/>
            <w:noWrap/>
            <w:vAlign w:val="center"/>
          </w:tcPr>
          <w:p w14:paraId="3AEFAF61" w14:textId="77777777" w:rsidR="00FE416E" w:rsidRPr="00030F8F" w:rsidRDefault="00956FB5" w:rsidP="00C760FC">
            <w:pPr>
              <w:spacing w:after="0" w:line="240" w:lineRule="auto"/>
              <w:jc w:val="both"/>
              <w:rPr>
                <w:rFonts w:cs="Arial"/>
                <w:color w:val="000000"/>
              </w:rPr>
            </w:pPr>
            <w:r w:rsidRPr="00030F8F">
              <w:rPr>
                <w:rFonts w:cs="Arial"/>
                <w:color w:val="000000"/>
              </w:rPr>
              <w:t>Obnovljivi viri energije</w:t>
            </w:r>
          </w:p>
        </w:tc>
      </w:tr>
      <w:tr w:rsidR="00FE416E" w:rsidRPr="00030F8F" w14:paraId="30E50983" w14:textId="77777777" w:rsidTr="00852E5E">
        <w:trPr>
          <w:trHeight w:val="300"/>
        </w:trPr>
        <w:tc>
          <w:tcPr>
            <w:tcW w:w="1369" w:type="dxa"/>
            <w:shd w:val="clear" w:color="auto" w:fill="auto"/>
            <w:noWrap/>
            <w:vAlign w:val="center"/>
          </w:tcPr>
          <w:p w14:paraId="4C861810" w14:textId="77777777" w:rsidR="00FE416E" w:rsidRPr="00030F8F" w:rsidRDefault="00FE416E" w:rsidP="00C760FC">
            <w:pPr>
              <w:spacing w:after="0" w:line="240" w:lineRule="auto"/>
              <w:jc w:val="both"/>
              <w:rPr>
                <w:rFonts w:cs="Arial"/>
                <w:b/>
                <w:color w:val="86BC25"/>
              </w:rPr>
            </w:pPr>
            <w:r w:rsidRPr="00030F8F">
              <w:rPr>
                <w:rFonts w:cs="Arial"/>
                <w:b/>
                <w:color w:val="86BC25"/>
              </w:rPr>
              <w:t>PMEF</w:t>
            </w:r>
          </w:p>
        </w:tc>
        <w:tc>
          <w:tcPr>
            <w:tcW w:w="7996" w:type="dxa"/>
            <w:shd w:val="clear" w:color="auto" w:fill="auto"/>
            <w:noWrap/>
            <w:vAlign w:val="center"/>
          </w:tcPr>
          <w:p w14:paraId="4F55FD58" w14:textId="5B1319C7" w:rsidR="00FE416E" w:rsidRPr="00030F8F" w:rsidRDefault="00FE416E" w:rsidP="00C760FC">
            <w:pPr>
              <w:spacing w:after="0" w:line="240" w:lineRule="auto"/>
              <w:jc w:val="both"/>
              <w:rPr>
                <w:rFonts w:cs="Arial"/>
                <w:color w:val="000000"/>
              </w:rPr>
            </w:pPr>
            <w:r w:rsidRPr="00030F8F">
              <w:rPr>
                <w:rFonts w:cs="Arial"/>
                <w:color w:val="000000"/>
              </w:rPr>
              <w:t xml:space="preserve">CAP </w:t>
            </w:r>
            <w:proofErr w:type="spellStart"/>
            <w:r w:rsidRPr="00030F8F">
              <w:rPr>
                <w:rFonts w:cs="Arial"/>
                <w:color w:val="000000"/>
              </w:rPr>
              <w:t>Performance</w:t>
            </w:r>
            <w:proofErr w:type="spellEnd"/>
            <w:r w:rsidRPr="00030F8F">
              <w:rPr>
                <w:rFonts w:cs="Arial"/>
                <w:color w:val="000000"/>
              </w:rPr>
              <w:t xml:space="preserve"> Monitoring </w:t>
            </w:r>
            <w:proofErr w:type="spellStart"/>
            <w:r w:rsidRPr="00030F8F">
              <w:rPr>
                <w:rFonts w:cs="Arial"/>
                <w:color w:val="000000"/>
              </w:rPr>
              <w:t>and</w:t>
            </w:r>
            <w:proofErr w:type="spellEnd"/>
            <w:r w:rsidRPr="00030F8F">
              <w:rPr>
                <w:rFonts w:cs="Arial"/>
                <w:color w:val="000000"/>
              </w:rPr>
              <w:t xml:space="preserve"> </w:t>
            </w:r>
            <w:proofErr w:type="spellStart"/>
            <w:r w:rsidRPr="00030F8F">
              <w:rPr>
                <w:rFonts w:cs="Arial"/>
                <w:color w:val="000000"/>
              </w:rPr>
              <w:t>Evaluation</w:t>
            </w:r>
            <w:proofErr w:type="spellEnd"/>
            <w:r w:rsidRPr="00030F8F">
              <w:rPr>
                <w:rFonts w:cs="Arial"/>
                <w:color w:val="000000"/>
              </w:rPr>
              <w:t xml:space="preserve"> </w:t>
            </w:r>
            <w:proofErr w:type="spellStart"/>
            <w:r w:rsidRPr="00030F8F">
              <w:rPr>
                <w:rFonts w:cs="Arial"/>
                <w:color w:val="000000"/>
              </w:rPr>
              <w:t>Framework</w:t>
            </w:r>
            <w:proofErr w:type="spellEnd"/>
            <w:r w:rsidR="00060FA1">
              <w:rPr>
                <w:rFonts w:cs="Arial"/>
                <w:color w:val="000000"/>
              </w:rPr>
              <w:t xml:space="preserve">/ </w:t>
            </w:r>
            <w:r w:rsidR="00BC5214" w:rsidRPr="00BC5214">
              <w:rPr>
                <w:rFonts w:cs="Arial"/>
                <w:color w:val="000000"/>
              </w:rPr>
              <w:t>Okvir spremljanja in vrednotenja smotrnosti SKP</w:t>
            </w:r>
          </w:p>
        </w:tc>
      </w:tr>
      <w:tr w:rsidR="00956FB5" w:rsidRPr="00030F8F" w14:paraId="64479F14" w14:textId="77777777" w:rsidTr="00852E5E">
        <w:trPr>
          <w:trHeight w:val="300"/>
        </w:trPr>
        <w:tc>
          <w:tcPr>
            <w:tcW w:w="1369" w:type="dxa"/>
            <w:shd w:val="clear" w:color="auto" w:fill="auto"/>
            <w:noWrap/>
            <w:vAlign w:val="center"/>
          </w:tcPr>
          <w:p w14:paraId="5DAAB9AF" w14:textId="77777777" w:rsidR="00956FB5" w:rsidRPr="00030F8F" w:rsidRDefault="00956FB5" w:rsidP="00C760FC">
            <w:pPr>
              <w:spacing w:after="0" w:line="240" w:lineRule="auto"/>
              <w:jc w:val="both"/>
              <w:rPr>
                <w:rFonts w:cs="Arial"/>
                <w:b/>
                <w:color w:val="86BC25"/>
              </w:rPr>
            </w:pPr>
            <w:r w:rsidRPr="00030F8F">
              <w:rPr>
                <w:rFonts w:cs="Arial"/>
                <w:b/>
                <w:color w:val="86BC25"/>
              </w:rPr>
              <w:t>PRP</w:t>
            </w:r>
          </w:p>
        </w:tc>
        <w:tc>
          <w:tcPr>
            <w:tcW w:w="7996" w:type="dxa"/>
            <w:shd w:val="clear" w:color="auto" w:fill="auto"/>
            <w:noWrap/>
            <w:vAlign w:val="center"/>
          </w:tcPr>
          <w:p w14:paraId="79A25945" w14:textId="77777777" w:rsidR="00956FB5" w:rsidRPr="00030F8F" w:rsidRDefault="00956FB5" w:rsidP="00C760FC">
            <w:pPr>
              <w:spacing w:after="0" w:line="240" w:lineRule="auto"/>
              <w:jc w:val="both"/>
              <w:rPr>
                <w:rFonts w:cs="Arial"/>
                <w:color w:val="000000"/>
              </w:rPr>
            </w:pPr>
            <w:r w:rsidRPr="00030F8F">
              <w:rPr>
                <w:rFonts w:cs="Arial"/>
                <w:color w:val="000000"/>
              </w:rPr>
              <w:t>Program razvoja podeželja</w:t>
            </w:r>
          </w:p>
        </w:tc>
      </w:tr>
      <w:tr w:rsidR="00165F71" w:rsidRPr="00030F8F" w14:paraId="2CD7C727" w14:textId="77777777" w:rsidTr="00852E5E">
        <w:trPr>
          <w:trHeight w:val="300"/>
        </w:trPr>
        <w:tc>
          <w:tcPr>
            <w:tcW w:w="1369" w:type="dxa"/>
            <w:shd w:val="clear" w:color="auto" w:fill="auto"/>
            <w:noWrap/>
            <w:vAlign w:val="center"/>
          </w:tcPr>
          <w:p w14:paraId="2AAEBB93" w14:textId="77777777" w:rsidR="00165F71" w:rsidRPr="00030F8F" w:rsidRDefault="00165F71" w:rsidP="00C760FC">
            <w:pPr>
              <w:spacing w:after="0" w:line="240" w:lineRule="auto"/>
              <w:jc w:val="both"/>
              <w:rPr>
                <w:rFonts w:cs="Arial"/>
                <w:b/>
                <w:color w:val="86BC25"/>
              </w:rPr>
            </w:pPr>
            <w:r w:rsidRPr="00030F8F">
              <w:rPr>
                <w:rFonts w:cs="Arial"/>
                <w:b/>
                <w:color w:val="86BC25"/>
              </w:rPr>
              <w:t>RRA</w:t>
            </w:r>
          </w:p>
        </w:tc>
        <w:tc>
          <w:tcPr>
            <w:tcW w:w="7996" w:type="dxa"/>
            <w:shd w:val="clear" w:color="auto" w:fill="auto"/>
            <w:noWrap/>
            <w:vAlign w:val="center"/>
          </w:tcPr>
          <w:p w14:paraId="0C5ED32B" w14:textId="77777777" w:rsidR="00165F71" w:rsidRPr="00030F8F" w:rsidRDefault="00165F71" w:rsidP="00C760FC">
            <w:pPr>
              <w:spacing w:after="0" w:line="240" w:lineRule="auto"/>
              <w:jc w:val="both"/>
              <w:rPr>
                <w:rFonts w:cs="Arial"/>
                <w:color w:val="000000"/>
              </w:rPr>
            </w:pPr>
            <w:r w:rsidRPr="00030F8F">
              <w:rPr>
                <w:rFonts w:cs="Arial"/>
                <w:color w:val="000000"/>
              </w:rPr>
              <w:t>Regionalna razvojna agencija</w:t>
            </w:r>
          </w:p>
        </w:tc>
      </w:tr>
      <w:tr w:rsidR="00A20F35" w:rsidRPr="00030F8F" w14:paraId="58C612C8" w14:textId="77777777" w:rsidTr="00852E5E">
        <w:trPr>
          <w:trHeight w:val="300"/>
        </w:trPr>
        <w:tc>
          <w:tcPr>
            <w:tcW w:w="1369" w:type="dxa"/>
            <w:shd w:val="clear" w:color="auto" w:fill="auto"/>
            <w:noWrap/>
            <w:vAlign w:val="center"/>
          </w:tcPr>
          <w:p w14:paraId="6CFFF549" w14:textId="77777777" w:rsidR="00A20F35" w:rsidRPr="00030F8F" w:rsidRDefault="00A20F35" w:rsidP="00C760FC">
            <w:pPr>
              <w:spacing w:after="0" w:line="240" w:lineRule="auto"/>
              <w:jc w:val="both"/>
              <w:rPr>
                <w:rFonts w:cs="Arial"/>
                <w:b/>
                <w:color w:val="86BC25"/>
              </w:rPr>
            </w:pPr>
            <w:r w:rsidRPr="00030F8F">
              <w:rPr>
                <w:rFonts w:cs="Arial"/>
                <w:b/>
                <w:color w:val="86BC25"/>
              </w:rPr>
              <w:t>RS</w:t>
            </w:r>
          </w:p>
        </w:tc>
        <w:tc>
          <w:tcPr>
            <w:tcW w:w="7996" w:type="dxa"/>
            <w:shd w:val="clear" w:color="auto" w:fill="auto"/>
            <w:noWrap/>
            <w:vAlign w:val="center"/>
          </w:tcPr>
          <w:p w14:paraId="3271F4B8" w14:textId="77777777" w:rsidR="00A20F35" w:rsidRPr="00030F8F" w:rsidRDefault="00A20F35" w:rsidP="00C760FC">
            <w:pPr>
              <w:spacing w:after="0" w:line="240" w:lineRule="auto"/>
              <w:jc w:val="both"/>
              <w:rPr>
                <w:rFonts w:cs="Arial"/>
                <w:color w:val="000000"/>
              </w:rPr>
            </w:pPr>
            <w:r w:rsidRPr="00030F8F">
              <w:rPr>
                <w:rFonts w:cs="Arial"/>
                <w:color w:val="000000"/>
              </w:rPr>
              <w:t>Republika Slovenija</w:t>
            </w:r>
          </w:p>
        </w:tc>
      </w:tr>
      <w:tr w:rsidR="00956FB5" w:rsidRPr="00030F8F" w14:paraId="1FAA0CB3" w14:textId="77777777" w:rsidTr="00852E5E">
        <w:trPr>
          <w:trHeight w:val="300"/>
        </w:trPr>
        <w:tc>
          <w:tcPr>
            <w:tcW w:w="1369" w:type="dxa"/>
            <w:shd w:val="clear" w:color="auto" w:fill="auto"/>
            <w:noWrap/>
            <w:vAlign w:val="center"/>
          </w:tcPr>
          <w:p w14:paraId="41CB57A0" w14:textId="77777777" w:rsidR="00956FB5" w:rsidRPr="00030F8F" w:rsidRDefault="00956FB5" w:rsidP="00C760FC">
            <w:pPr>
              <w:spacing w:after="0" w:line="240" w:lineRule="auto"/>
              <w:jc w:val="both"/>
              <w:rPr>
                <w:rFonts w:cs="Arial"/>
                <w:b/>
                <w:color w:val="86BC25"/>
              </w:rPr>
            </w:pPr>
            <w:r w:rsidRPr="00030F8F">
              <w:rPr>
                <w:rFonts w:cs="Arial"/>
                <w:b/>
                <w:color w:val="86BC25"/>
              </w:rPr>
              <w:t>SC</w:t>
            </w:r>
          </w:p>
        </w:tc>
        <w:tc>
          <w:tcPr>
            <w:tcW w:w="7996" w:type="dxa"/>
            <w:shd w:val="clear" w:color="auto" w:fill="auto"/>
            <w:noWrap/>
            <w:vAlign w:val="center"/>
          </w:tcPr>
          <w:p w14:paraId="30ED6E37" w14:textId="77777777" w:rsidR="00956FB5" w:rsidRPr="00030F8F" w:rsidRDefault="00956FB5" w:rsidP="00C760FC">
            <w:pPr>
              <w:spacing w:after="0" w:line="240" w:lineRule="auto"/>
              <w:jc w:val="both"/>
              <w:rPr>
                <w:rFonts w:cs="Arial"/>
                <w:color w:val="000000"/>
              </w:rPr>
            </w:pPr>
            <w:r w:rsidRPr="00030F8F">
              <w:rPr>
                <w:rFonts w:cs="Arial"/>
                <w:color w:val="000000"/>
              </w:rPr>
              <w:t>Specifični cilj</w:t>
            </w:r>
          </w:p>
        </w:tc>
      </w:tr>
      <w:tr w:rsidR="00246F26" w:rsidRPr="00030F8F" w14:paraId="4B6579D3" w14:textId="77777777" w:rsidTr="00852E5E">
        <w:trPr>
          <w:trHeight w:val="300"/>
        </w:trPr>
        <w:tc>
          <w:tcPr>
            <w:tcW w:w="1369" w:type="dxa"/>
            <w:shd w:val="clear" w:color="auto" w:fill="auto"/>
            <w:noWrap/>
            <w:vAlign w:val="center"/>
          </w:tcPr>
          <w:p w14:paraId="28ABDFBE" w14:textId="6AC04D51" w:rsidR="00246F26" w:rsidRPr="00030F8F" w:rsidRDefault="00246F26" w:rsidP="00246F26">
            <w:pPr>
              <w:spacing w:after="0" w:line="240" w:lineRule="auto"/>
              <w:jc w:val="both"/>
              <w:rPr>
                <w:rFonts w:cs="Arial"/>
                <w:b/>
                <w:color w:val="86BC25"/>
              </w:rPr>
            </w:pPr>
            <w:r w:rsidRPr="00030F8F">
              <w:rPr>
                <w:rFonts w:cs="Arial"/>
                <w:b/>
                <w:color w:val="86BC25"/>
              </w:rPr>
              <w:t>SKP</w:t>
            </w:r>
          </w:p>
        </w:tc>
        <w:tc>
          <w:tcPr>
            <w:tcW w:w="7996" w:type="dxa"/>
            <w:shd w:val="clear" w:color="auto" w:fill="auto"/>
            <w:noWrap/>
            <w:vAlign w:val="center"/>
          </w:tcPr>
          <w:p w14:paraId="64B33E2F" w14:textId="6E631655" w:rsidR="00246F26" w:rsidRPr="00030F8F" w:rsidRDefault="00246F26" w:rsidP="00246F26">
            <w:pPr>
              <w:spacing w:after="0" w:line="240" w:lineRule="auto"/>
              <w:jc w:val="both"/>
              <w:rPr>
                <w:rFonts w:cs="Arial"/>
                <w:color w:val="000000"/>
              </w:rPr>
            </w:pPr>
            <w:r w:rsidRPr="00030F8F">
              <w:rPr>
                <w:rFonts w:cs="Arial"/>
                <w:color w:val="000000"/>
              </w:rPr>
              <w:t>Skupna kmetijska politika</w:t>
            </w:r>
          </w:p>
        </w:tc>
      </w:tr>
      <w:tr w:rsidR="00246F26" w:rsidRPr="00030F8F" w14:paraId="2B288FA1" w14:textId="77777777" w:rsidTr="00852E5E">
        <w:trPr>
          <w:trHeight w:val="300"/>
        </w:trPr>
        <w:tc>
          <w:tcPr>
            <w:tcW w:w="1369" w:type="dxa"/>
            <w:shd w:val="clear" w:color="auto" w:fill="auto"/>
            <w:noWrap/>
            <w:vAlign w:val="center"/>
          </w:tcPr>
          <w:p w14:paraId="7FA2077B" w14:textId="0D7C3681" w:rsidR="00246F26" w:rsidRPr="00030F8F" w:rsidRDefault="00246F26" w:rsidP="00246F26">
            <w:pPr>
              <w:spacing w:after="0" w:line="240" w:lineRule="auto"/>
              <w:jc w:val="both"/>
              <w:rPr>
                <w:rFonts w:cs="Arial"/>
                <w:b/>
                <w:color w:val="86BC25"/>
              </w:rPr>
            </w:pPr>
            <w:r>
              <w:rPr>
                <w:rFonts w:cs="Arial"/>
                <w:b/>
                <w:color w:val="86BC25"/>
              </w:rPr>
              <w:t>SKZG</w:t>
            </w:r>
          </w:p>
        </w:tc>
        <w:tc>
          <w:tcPr>
            <w:tcW w:w="7996" w:type="dxa"/>
            <w:shd w:val="clear" w:color="auto" w:fill="auto"/>
            <w:noWrap/>
            <w:vAlign w:val="center"/>
          </w:tcPr>
          <w:p w14:paraId="0605E4D6" w14:textId="3D5046C5" w:rsidR="00246F26" w:rsidRPr="00030F8F" w:rsidRDefault="00246F26" w:rsidP="00246F26">
            <w:pPr>
              <w:spacing w:after="0" w:line="240" w:lineRule="auto"/>
              <w:jc w:val="both"/>
              <w:rPr>
                <w:rFonts w:cs="Arial"/>
                <w:color w:val="000000"/>
              </w:rPr>
            </w:pPr>
            <w:r>
              <w:rPr>
                <w:rFonts w:cs="Arial"/>
                <w:color w:val="000000"/>
              </w:rPr>
              <w:t>Sklad kmetijskih zemljišč in gozdov RS</w:t>
            </w:r>
          </w:p>
        </w:tc>
      </w:tr>
      <w:tr w:rsidR="00246F26" w:rsidRPr="00030F8F" w14:paraId="59E8DDA9" w14:textId="77777777" w:rsidTr="00852E5E">
        <w:trPr>
          <w:trHeight w:val="300"/>
        </w:trPr>
        <w:tc>
          <w:tcPr>
            <w:tcW w:w="1369" w:type="dxa"/>
            <w:shd w:val="clear" w:color="auto" w:fill="auto"/>
            <w:noWrap/>
            <w:vAlign w:val="center"/>
            <w:hideMark/>
          </w:tcPr>
          <w:p w14:paraId="59B5E4E6" w14:textId="77777777" w:rsidR="00246F26" w:rsidRPr="00030F8F" w:rsidRDefault="00246F26" w:rsidP="00246F26">
            <w:pPr>
              <w:spacing w:after="0" w:line="240" w:lineRule="auto"/>
              <w:jc w:val="both"/>
              <w:rPr>
                <w:rFonts w:cs="Arial"/>
                <w:b/>
                <w:color w:val="86BC25"/>
              </w:rPr>
            </w:pPr>
            <w:r w:rsidRPr="00030F8F">
              <w:rPr>
                <w:rFonts w:cs="Arial"/>
                <w:b/>
                <w:color w:val="86BC25"/>
              </w:rPr>
              <w:lastRenderedPageBreak/>
              <w:t>SURS</w:t>
            </w:r>
          </w:p>
        </w:tc>
        <w:tc>
          <w:tcPr>
            <w:tcW w:w="7996" w:type="dxa"/>
            <w:shd w:val="clear" w:color="auto" w:fill="auto"/>
            <w:noWrap/>
            <w:vAlign w:val="center"/>
            <w:hideMark/>
          </w:tcPr>
          <w:p w14:paraId="321B3C66" w14:textId="77777777" w:rsidR="00246F26" w:rsidRPr="00030F8F" w:rsidRDefault="00246F26" w:rsidP="00246F26">
            <w:pPr>
              <w:spacing w:after="0" w:line="240" w:lineRule="auto"/>
              <w:jc w:val="both"/>
              <w:rPr>
                <w:rFonts w:cs="Arial"/>
                <w:color w:val="000000"/>
              </w:rPr>
            </w:pPr>
            <w:r w:rsidRPr="00030F8F">
              <w:rPr>
                <w:rFonts w:cs="Arial"/>
                <w:color w:val="000000"/>
              </w:rPr>
              <w:t>Statistični urad Republike Slovenije</w:t>
            </w:r>
          </w:p>
        </w:tc>
      </w:tr>
      <w:tr w:rsidR="00246F26" w:rsidRPr="00030F8F" w14:paraId="3A00C916" w14:textId="77777777" w:rsidTr="00852E5E">
        <w:trPr>
          <w:trHeight w:val="77"/>
        </w:trPr>
        <w:tc>
          <w:tcPr>
            <w:tcW w:w="1369" w:type="dxa"/>
            <w:shd w:val="clear" w:color="auto" w:fill="auto"/>
            <w:noWrap/>
            <w:vAlign w:val="center"/>
          </w:tcPr>
          <w:p w14:paraId="123BFBCA" w14:textId="77777777" w:rsidR="00246F26" w:rsidRPr="00030F8F" w:rsidRDefault="00246F26" w:rsidP="00246F26">
            <w:pPr>
              <w:spacing w:after="0" w:line="240" w:lineRule="auto"/>
              <w:jc w:val="both"/>
              <w:rPr>
                <w:rFonts w:cs="Arial"/>
                <w:b/>
                <w:color w:val="86BC25"/>
              </w:rPr>
            </w:pPr>
            <w:r w:rsidRPr="00030F8F">
              <w:rPr>
                <w:rFonts w:cs="Arial"/>
                <w:b/>
                <w:color w:val="86BC25"/>
              </w:rPr>
              <w:t>TGP</w:t>
            </w:r>
          </w:p>
        </w:tc>
        <w:tc>
          <w:tcPr>
            <w:tcW w:w="7996" w:type="dxa"/>
            <w:shd w:val="clear" w:color="auto" w:fill="auto"/>
            <w:noWrap/>
            <w:vAlign w:val="center"/>
          </w:tcPr>
          <w:p w14:paraId="22372E88" w14:textId="77777777" w:rsidR="00246F26" w:rsidRPr="00030F8F" w:rsidRDefault="00246F26" w:rsidP="00246F26">
            <w:pPr>
              <w:spacing w:after="0" w:line="240" w:lineRule="auto"/>
              <w:jc w:val="both"/>
              <w:rPr>
                <w:rFonts w:cs="Arial"/>
                <w:color w:val="000000"/>
              </w:rPr>
            </w:pPr>
            <w:r w:rsidRPr="00030F8F">
              <w:rPr>
                <w:rFonts w:cs="Arial"/>
                <w:color w:val="000000"/>
              </w:rPr>
              <w:t>Toplogredni plini</w:t>
            </w:r>
          </w:p>
        </w:tc>
      </w:tr>
      <w:tr w:rsidR="00246F26" w:rsidRPr="00030F8F" w14:paraId="17D03D27" w14:textId="77777777" w:rsidTr="00852E5E">
        <w:trPr>
          <w:trHeight w:val="77"/>
        </w:trPr>
        <w:tc>
          <w:tcPr>
            <w:tcW w:w="1369" w:type="dxa"/>
            <w:shd w:val="clear" w:color="auto" w:fill="auto"/>
            <w:noWrap/>
            <w:vAlign w:val="center"/>
          </w:tcPr>
          <w:p w14:paraId="4B2F14E0" w14:textId="77777777" w:rsidR="00246F26" w:rsidRPr="00030F8F" w:rsidRDefault="00246F26" w:rsidP="00246F26">
            <w:pPr>
              <w:spacing w:after="0" w:line="240" w:lineRule="auto"/>
              <w:jc w:val="both"/>
              <w:rPr>
                <w:rFonts w:cs="Arial"/>
                <w:b/>
                <w:color w:val="86BC25"/>
              </w:rPr>
            </w:pPr>
            <w:r w:rsidRPr="00030F8F">
              <w:rPr>
                <w:rFonts w:cs="Arial"/>
                <w:b/>
                <w:color w:val="86BC25"/>
              </w:rPr>
              <w:t>TNP</w:t>
            </w:r>
          </w:p>
        </w:tc>
        <w:tc>
          <w:tcPr>
            <w:tcW w:w="7996" w:type="dxa"/>
            <w:shd w:val="clear" w:color="auto" w:fill="auto"/>
            <w:noWrap/>
            <w:vAlign w:val="center"/>
          </w:tcPr>
          <w:p w14:paraId="6840C4F1" w14:textId="77777777" w:rsidR="00246F26" w:rsidRPr="00030F8F" w:rsidRDefault="00246F26" w:rsidP="00246F26">
            <w:pPr>
              <w:spacing w:after="0" w:line="240" w:lineRule="auto"/>
              <w:jc w:val="both"/>
              <w:rPr>
                <w:rFonts w:cs="Arial"/>
                <w:color w:val="000000"/>
              </w:rPr>
            </w:pPr>
            <w:r w:rsidRPr="00030F8F">
              <w:rPr>
                <w:rFonts w:cs="Arial"/>
                <w:color w:val="000000"/>
              </w:rPr>
              <w:t>Triglavski narodni park</w:t>
            </w:r>
          </w:p>
        </w:tc>
      </w:tr>
      <w:tr w:rsidR="00246F26" w:rsidRPr="00030F8F" w14:paraId="7036749B" w14:textId="77777777" w:rsidTr="00852E5E">
        <w:trPr>
          <w:trHeight w:val="77"/>
        </w:trPr>
        <w:tc>
          <w:tcPr>
            <w:tcW w:w="1369" w:type="dxa"/>
            <w:shd w:val="clear" w:color="auto" w:fill="auto"/>
            <w:noWrap/>
            <w:vAlign w:val="center"/>
          </w:tcPr>
          <w:p w14:paraId="2AC6AE5A" w14:textId="77777777" w:rsidR="00246F26" w:rsidRPr="00030F8F" w:rsidRDefault="00246F26" w:rsidP="00246F26">
            <w:pPr>
              <w:spacing w:after="0" w:line="240" w:lineRule="auto"/>
              <w:jc w:val="both"/>
              <w:rPr>
                <w:rFonts w:cs="Arial"/>
                <w:b/>
                <w:color w:val="86BC25"/>
              </w:rPr>
            </w:pPr>
            <w:r w:rsidRPr="00030F8F">
              <w:rPr>
                <w:rFonts w:cs="Arial"/>
                <w:b/>
                <w:color w:val="86BC25"/>
              </w:rPr>
              <w:t>UMAR</w:t>
            </w:r>
          </w:p>
        </w:tc>
        <w:tc>
          <w:tcPr>
            <w:tcW w:w="7996" w:type="dxa"/>
            <w:shd w:val="clear" w:color="auto" w:fill="auto"/>
            <w:noWrap/>
            <w:vAlign w:val="center"/>
          </w:tcPr>
          <w:p w14:paraId="231B7A7B" w14:textId="77777777" w:rsidR="00246F26" w:rsidRPr="00030F8F" w:rsidRDefault="00246F26" w:rsidP="00246F26">
            <w:pPr>
              <w:spacing w:after="0" w:line="240" w:lineRule="auto"/>
              <w:jc w:val="both"/>
              <w:rPr>
                <w:rFonts w:cs="Arial"/>
                <w:color w:val="000000"/>
              </w:rPr>
            </w:pPr>
            <w:r w:rsidRPr="00030F8F">
              <w:rPr>
                <w:rFonts w:cs="Arial"/>
                <w:color w:val="000000"/>
              </w:rPr>
              <w:t>Urad Republike Slovenije za makroekonomske analize in razvoj</w:t>
            </w:r>
          </w:p>
        </w:tc>
      </w:tr>
      <w:tr w:rsidR="00246F26" w:rsidRPr="00030F8F" w14:paraId="4F9269B1" w14:textId="77777777" w:rsidTr="00852E5E">
        <w:trPr>
          <w:trHeight w:val="77"/>
        </w:trPr>
        <w:tc>
          <w:tcPr>
            <w:tcW w:w="1369" w:type="dxa"/>
            <w:shd w:val="clear" w:color="auto" w:fill="auto"/>
            <w:noWrap/>
            <w:vAlign w:val="center"/>
          </w:tcPr>
          <w:p w14:paraId="742459CA" w14:textId="77777777" w:rsidR="00246F26" w:rsidRPr="00030F8F" w:rsidRDefault="00246F26" w:rsidP="00246F26">
            <w:pPr>
              <w:spacing w:after="0" w:line="240" w:lineRule="auto"/>
              <w:jc w:val="both"/>
              <w:rPr>
                <w:rFonts w:cs="Arial"/>
                <w:b/>
                <w:color w:val="86BC25"/>
              </w:rPr>
            </w:pPr>
            <w:r w:rsidRPr="00030F8F">
              <w:rPr>
                <w:rFonts w:cs="Arial"/>
                <w:b/>
                <w:color w:val="86BC25"/>
              </w:rPr>
              <w:t>URE</w:t>
            </w:r>
          </w:p>
        </w:tc>
        <w:tc>
          <w:tcPr>
            <w:tcW w:w="7996" w:type="dxa"/>
            <w:shd w:val="clear" w:color="auto" w:fill="auto"/>
            <w:noWrap/>
            <w:vAlign w:val="center"/>
          </w:tcPr>
          <w:p w14:paraId="31958169" w14:textId="77777777" w:rsidR="00246F26" w:rsidRPr="00030F8F" w:rsidRDefault="00246F26" w:rsidP="00246F26">
            <w:pPr>
              <w:spacing w:after="0" w:line="240" w:lineRule="auto"/>
              <w:jc w:val="both"/>
              <w:rPr>
                <w:rFonts w:cs="Arial"/>
                <w:color w:val="000000"/>
              </w:rPr>
            </w:pPr>
            <w:r w:rsidRPr="00030F8F">
              <w:rPr>
                <w:rFonts w:cs="Arial"/>
                <w:color w:val="000000"/>
              </w:rPr>
              <w:t>Učinkovita raba energije</w:t>
            </w:r>
          </w:p>
        </w:tc>
      </w:tr>
      <w:tr w:rsidR="00246F26" w:rsidRPr="00030F8F" w14:paraId="4A9B8161" w14:textId="77777777" w:rsidTr="00852E5E">
        <w:trPr>
          <w:trHeight w:val="77"/>
        </w:trPr>
        <w:tc>
          <w:tcPr>
            <w:tcW w:w="1369" w:type="dxa"/>
            <w:shd w:val="clear" w:color="auto" w:fill="auto"/>
            <w:noWrap/>
            <w:vAlign w:val="center"/>
          </w:tcPr>
          <w:p w14:paraId="3EED8F41" w14:textId="77777777" w:rsidR="00246F26" w:rsidRPr="00030F8F" w:rsidRDefault="00246F26" w:rsidP="00246F26">
            <w:pPr>
              <w:spacing w:after="0" w:line="240" w:lineRule="auto"/>
              <w:jc w:val="both"/>
              <w:rPr>
                <w:rFonts w:cs="Arial"/>
                <w:b/>
                <w:color w:val="86BC25"/>
              </w:rPr>
            </w:pPr>
            <w:r w:rsidRPr="00030F8F">
              <w:rPr>
                <w:rFonts w:cs="Arial"/>
                <w:b/>
                <w:color w:val="86BC25"/>
              </w:rPr>
              <w:t>ZRC SAZU</w:t>
            </w:r>
          </w:p>
        </w:tc>
        <w:tc>
          <w:tcPr>
            <w:tcW w:w="7996" w:type="dxa"/>
            <w:shd w:val="clear" w:color="auto" w:fill="auto"/>
            <w:noWrap/>
            <w:vAlign w:val="center"/>
          </w:tcPr>
          <w:p w14:paraId="3A9D964B" w14:textId="77777777" w:rsidR="00246F26" w:rsidRPr="00030F8F" w:rsidRDefault="00246F26" w:rsidP="00246F26">
            <w:pPr>
              <w:spacing w:after="0" w:line="240" w:lineRule="auto"/>
              <w:jc w:val="both"/>
              <w:rPr>
                <w:rFonts w:cs="Arial"/>
                <w:color w:val="000000"/>
              </w:rPr>
            </w:pPr>
            <w:r w:rsidRPr="00030F8F">
              <w:rPr>
                <w:rFonts w:cs="Arial"/>
                <w:color w:val="000000"/>
              </w:rPr>
              <w:t>Znanstvenoraziskovalni center Slovenske akademije znanosti in umetnosti</w:t>
            </w:r>
          </w:p>
        </w:tc>
      </w:tr>
      <w:tr w:rsidR="00246F26" w:rsidRPr="00030F8F" w14:paraId="5D6BEFB3" w14:textId="77777777" w:rsidTr="00852E5E">
        <w:trPr>
          <w:trHeight w:val="77"/>
        </w:trPr>
        <w:tc>
          <w:tcPr>
            <w:tcW w:w="1369" w:type="dxa"/>
            <w:shd w:val="clear" w:color="auto" w:fill="auto"/>
            <w:noWrap/>
            <w:vAlign w:val="center"/>
          </w:tcPr>
          <w:p w14:paraId="4ABF40AD" w14:textId="77777777" w:rsidR="00246F26" w:rsidRPr="00030F8F" w:rsidRDefault="00246F26" w:rsidP="00246F26">
            <w:pPr>
              <w:spacing w:after="0" w:line="240" w:lineRule="auto"/>
              <w:jc w:val="both"/>
              <w:rPr>
                <w:rFonts w:cs="Arial"/>
                <w:b/>
                <w:color w:val="86BC25"/>
              </w:rPr>
            </w:pPr>
            <w:r w:rsidRPr="00030F8F">
              <w:rPr>
                <w:rFonts w:cs="Arial"/>
                <w:b/>
                <w:color w:val="86BC25"/>
              </w:rPr>
              <w:t>ZRSVN</w:t>
            </w:r>
          </w:p>
        </w:tc>
        <w:tc>
          <w:tcPr>
            <w:tcW w:w="7996" w:type="dxa"/>
            <w:shd w:val="clear" w:color="auto" w:fill="auto"/>
            <w:noWrap/>
            <w:vAlign w:val="center"/>
          </w:tcPr>
          <w:p w14:paraId="26210FE8" w14:textId="77777777" w:rsidR="00246F26" w:rsidRPr="00030F8F" w:rsidRDefault="00246F26" w:rsidP="00246F26">
            <w:pPr>
              <w:spacing w:after="0" w:line="240" w:lineRule="auto"/>
              <w:jc w:val="both"/>
              <w:rPr>
                <w:rFonts w:cs="Arial"/>
                <w:color w:val="000000"/>
              </w:rPr>
            </w:pPr>
            <w:r w:rsidRPr="00030F8F">
              <w:rPr>
                <w:rFonts w:cs="Arial"/>
                <w:color w:val="000000"/>
              </w:rPr>
              <w:t>Zavod RS za varstvo narave</w:t>
            </w:r>
          </w:p>
        </w:tc>
      </w:tr>
      <w:tr w:rsidR="00246F26" w:rsidRPr="00030F8F" w14:paraId="68430EC5" w14:textId="77777777" w:rsidTr="00852E5E">
        <w:trPr>
          <w:trHeight w:val="77"/>
        </w:trPr>
        <w:tc>
          <w:tcPr>
            <w:tcW w:w="1369" w:type="dxa"/>
            <w:shd w:val="clear" w:color="auto" w:fill="auto"/>
            <w:noWrap/>
            <w:vAlign w:val="center"/>
          </w:tcPr>
          <w:p w14:paraId="10D79D9E" w14:textId="77777777" w:rsidR="00246F26" w:rsidRPr="00030F8F" w:rsidRDefault="00246F26" w:rsidP="00246F26">
            <w:pPr>
              <w:spacing w:after="0" w:line="240" w:lineRule="auto"/>
              <w:jc w:val="both"/>
              <w:rPr>
                <w:rFonts w:cs="Arial"/>
                <w:b/>
                <w:color w:val="86BC25"/>
              </w:rPr>
            </w:pPr>
            <w:r w:rsidRPr="00030F8F">
              <w:rPr>
                <w:rFonts w:cs="Arial"/>
                <w:b/>
                <w:color w:val="86BC25"/>
              </w:rPr>
              <w:t>ZSRR</w:t>
            </w:r>
          </w:p>
        </w:tc>
        <w:tc>
          <w:tcPr>
            <w:tcW w:w="7996" w:type="dxa"/>
            <w:shd w:val="clear" w:color="auto" w:fill="auto"/>
            <w:noWrap/>
            <w:vAlign w:val="center"/>
          </w:tcPr>
          <w:p w14:paraId="3AC665FB" w14:textId="77777777" w:rsidR="00246F26" w:rsidRPr="00030F8F" w:rsidRDefault="00246F26" w:rsidP="00246F26">
            <w:pPr>
              <w:spacing w:after="0" w:line="240" w:lineRule="auto"/>
              <w:jc w:val="both"/>
              <w:rPr>
                <w:rFonts w:cs="Arial"/>
                <w:color w:val="000000"/>
              </w:rPr>
            </w:pPr>
            <w:r w:rsidRPr="00030F8F">
              <w:rPr>
                <w:rFonts w:cs="Arial"/>
                <w:color w:val="000000"/>
              </w:rPr>
              <w:t>Zakon o spodbujanju skladnega regionalnega razvoja</w:t>
            </w:r>
          </w:p>
        </w:tc>
      </w:tr>
      <w:tr w:rsidR="00246F26" w:rsidRPr="00030F8F" w14:paraId="443E1F63" w14:textId="77777777" w:rsidTr="00852E5E">
        <w:trPr>
          <w:trHeight w:val="77"/>
        </w:trPr>
        <w:tc>
          <w:tcPr>
            <w:tcW w:w="1369" w:type="dxa"/>
            <w:shd w:val="clear" w:color="auto" w:fill="auto"/>
            <w:noWrap/>
            <w:vAlign w:val="center"/>
          </w:tcPr>
          <w:p w14:paraId="6F9A8B6F" w14:textId="77777777" w:rsidR="00246F26" w:rsidRPr="00030F8F" w:rsidRDefault="00246F26" w:rsidP="00246F26">
            <w:pPr>
              <w:spacing w:after="0" w:line="240" w:lineRule="auto"/>
              <w:jc w:val="both"/>
              <w:rPr>
                <w:rFonts w:cs="Arial"/>
                <w:b/>
                <w:color w:val="86BC25"/>
              </w:rPr>
            </w:pPr>
            <w:r w:rsidRPr="00030F8F">
              <w:rPr>
                <w:rFonts w:cs="Arial"/>
                <w:b/>
                <w:color w:val="86BC25"/>
              </w:rPr>
              <w:t>ZVKD</w:t>
            </w:r>
          </w:p>
        </w:tc>
        <w:tc>
          <w:tcPr>
            <w:tcW w:w="7996" w:type="dxa"/>
            <w:shd w:val="clear" w:color="auto" w:fill="auto"/>
            <w:noWrap/>
            <w:vAlign w:val="center"/>
          </w:tcPr>
          <w:p w14:paraId="16E4026F" w14:textId="77777777" w:rsidR="00246F26" w:rsidRPr="00030F8F" w:rsidRDefault="00246F26" w:rsidP="00246F26">
            <w:pPr>
              <w:spacing w:after="0" w:line="240" w:lineRule="auto"/>
              <w:jc w:val="both"/>
              <w:rPr>
                <w:rFonts w:cs="Arial"/>
                <w:color w:val="000000"/>
              </w:rPr>
            </w:pPr>
            <w:r w:rsidRPr="00030F8F">
              <w:rPr>
                <w:rFonts w:cs="Arial"/>
                <w:color w:val="000000"/>
              </w:rPr>
              <w:t>Zakon o varstvu kulturne dediščine</w:t>
            </w:r>
          </w:p>
        </w:tc>
      </w:tr>
      <w:tr w:rsidR="00246F26" w:rsidRPr="00030F8F" w14:paraId="77B3DCC7" w14:textId="77777777" w:rsidTr="00852E5E">
        <w:trPr>
          <w:trHeight w:val="77"/>
        </w:trPr>
        <w:tc>
          <w:tcPr>
            <w:tcW w:w="1369" w:type="dxa"/>
            <w:shd w:val="clear" w:color="auto" w:fill="auto"/>
            <w:noWrap/>
            <w:vAlign w:val="center"/>
          </w:tcPr>
          <w:p w14:paraId="1E46E23F" w14:textId="77777777" w:rsidR="00246F26" w:rsidRPr="00030F8F" w:rsidRDefault="00246F26" w:rsidP="00246F26">
            <w:pPr>
              <w:spacing w:after="0" w:line="240" w:lineRule="auto"/>
              <w:jc w:val="both"/>
              <w:rPr>
                <w:rFonts w:cs="Arial"/>
                <w:b/>
                <w:color w:val="86BC25"/>
              </w:rPr>
            </w:pPr>
            <w:r w:rsidRPr="00030F8F">
              <w:rPr>
                <w:rFonts w:cs="Arial"/>
                <w:b/>
                <w:color w:val="86BC25"/>
              </w:rPr>
              <w:t>ŽPI</w:t>
            </w:r>
          </w:p>
        </w:tc>
        <w:tc>
          <w:tcPr>
            <w:tcW w:w="7996" w:type="dxa"/>
            <w:shd w:val="clear" w:color="auto" w:fill="auto"/>
            <w:noWrap/>
            <w:vAlign w:val="center"/>
          </w:tcPr>
          <w:p w14:paraId="20625717" w14:textId="77777777" w:rsidR="00246F26" w:rsidRPr="00030F8F" w:rsidRDefault="00246F26" w:rsidP="00246F26">
            <w:pPr>
              <w:spacing w:after="0" w:line="240" w:lineRule="auto"/>
              <w:jc w:val="both"/>
              <w:rPr>
                <w:rFonts w:cs="Arial"/>
                <w:color w:val="000000"/>
              </w:rPr>
            </w:pPr>
            <w:r w:rsidRPr="00030F8F">
              <w:rPr>
                <w:rFonts w:cs="Arial"/>
                <w:color w:val="000000"/>
              </w:rPr>
              <w:t>Živilskopredelovalna industrija</w:t>
            </w:r>
          </w:p>
        </w:tc>
      </w:tr>
    </w:tbl>
    <w:p w14:paraId="4A29ACD0" w14:textId="77777777" w:rsidR="00956FB5" w:rsidRDefault="00956FB5" w:rsidP="00C760FC">
      <w:pPr>
        <w:jc w:val="both"/>
      </w:pPr>
    </w:p>
    <w:p w14:paraId="3BD77E68" w14:textId="77777777" w:rsidR="00BC755C" w:rsidRDefault="00BC755C">
      <w:r>
        <w:br w:type="page"/>
      </w:r>
    </w:p>
    <w:p w14:paraId="55192343" w14:textId="77777777" w:rsidR="001532FF" w:rsidRDefault="001532FF" w:rsidP="00C760FC">
      <w:pPr>
        <w:jc w:val="both"/>
      </w:pPr>
    </w:p>
    <w:p w14:paraId="406AA61E" w14:textId="77777777" w:rsidR="001532FF" w:rsidRPr="00770611" w:rsidRDefault="001532FF" w:rsidP="00770611">
      <w:pPr>
        <w:pStyle w:val="Naslov1"/>
        <w:numPr>
          <w:ilvl w:val="0"/>
          <w:numId w:val="0"/>
        </w:numPr>
        <w:ind w:left="432" w:hanging="432"/>
        <w:rPr>
          <w:sz w:val="24"/>
          <w:szCs w:val="24"/>
        </w:rPr>
      </w:pPr>
      <w:bookmarkStart w:id="1" w:name="_Toc55912170"/>
      <w:r w:rsidRPr="00770611">
        <w:rPr>
          <w:sz w:val="24"/>
          <w:szCs w:val="24"/>
        </w:rPr>
        <w:t>Kazalo slik</w:t>
      </w:r>
      <w:bookmarkEnd w:id="1"/>
    </w:p>
    <w:p w14:paraId="5D8F11AF" w14:textId="3CFDAE2B" w:rsidR="003F4427" w:rsidRDefault="00DB0D57">
      <w:pPr>
        <w:pStyle w:val="Kazaloslik"/>
        <w:tabs>
          <w:tab w:val="right" w:leader="dot" w:pos="9062"/>
        </w:tabs>
        <w:rPr>
          <w:rFonts w:asciiTheme="minorHAnsi" w:eastAsiaTheme="minorEastAsia" w:hAnsiTheme="minorHAnsi"/>
          <w:noProof/>
          <w:sz w:val="22"/>
          <w:lang w:eastAsia="sl-SI"/>
        </w:rPr>
      </w:pPr>
      <w:r>
        <w:fldChar w:fldCharType="begin"/>
      </w:r>
      <w:r>
        <w:instrText xml:space="preserve"> TOC \h \z \c "Slika" </w:instrText>
      </w:r>
      <w:r>
        <w:fldChar w:fldCharType="separate"/>
      </w:r>
      <w:hyperlink w:anchor="_Toc55913752" w:history="1">
        <w:r w:rsidR="003F4427" w:rsidRPr="00033F22">
          <w:rPr>
            <w:rStyle w:val="Hiperpovezava"/>
            <w:noProof/>
          </w:rPr>
          <w:t>Slika 1: Sestava pokrovnosti in rabe tal v Sloveniji</w:t>
        </w:r>
        <w:r w:rsidR="003F4427">
          <w:rPr>
            <w:noProof/>
            <w:webHidden/>
          </w:rPr>
          <w:tab/>
        </w:r>
        <w:r w:rsidR="003F4427">
          <w:rPr>
            <w:noProof/>
            <w:webHidden/>
          </w:rPr>
          <w:fldChar w:fldCharType="begin"/>
        </w:r>
        <w:r w:rsidR="003F4427">
          <w:rPr>
            <w:noProof/>
            <w:webHidden/>
          </w:rPr>
          <w:instrText xml:space="preserve"> PAGEREF _Toc55913752 \h </w:instrText>
        </w:r>
        <w:r w:rsidR="003F4427">
          <w:rPr>
            <w:noProof/>
            <w:webHidden/>
          </w:rPr>
        </w:r>
        <w:r w:rsidR="003F4427">
          <w:rPr>
            <w:noProof/>
            <w:webHidden/>
          </w:rPr>
          <w:fldChar w:fldCharType="separate"/>
        </w:r>
        <w:r w:rsidR="00ED2796">
          <w:rPr>
            <w:noProof/>
            <w:webHidden/>
          </w:rPr>
          <w:t>15</w:t>
        </w:r>
        <w:r w:rsidR="003F4427">
          <w:rPr>
            <w:noProof/>
            <w:webHidden/>
          </w:rPr>
          <w:fldChar w:fldCharType="end"/>
        </w:r>
      </w:hyperlink>
    </w:p>
    <w:p w14:paraId="54A63BC4" w14:textId="4B794DF7" w:rsidR="003F4427" w:rsidRDefault="003F4427">
      <w:pPr>
        <w:pStyle w:val="Kazaloslik"/>
        <w:tabs>
          <w:tab w:val="right" w:leader="dot" w:pos="9062"/>
        </w:tabs>
        <w:rPr>
          <w:rFonts w:asciiTheme="minorHAnsi" w:eastAsiaTheme="minorEastAsia" w:hAnsiTheme="minorHAnsi"/>
          <w:noProof/>
          <w:sz w:val="22"/>
          <w:lang w:eastAsia="sl-SI"/>
        </w:rPr>
      </w:pPr>
      <w:hyperlink w:anchor="_Toc55913753" w:history="1">
        <w:r w:rsidRPr="00033F22">
          <w:rPr>
            <w:rStyle w:val="Hiperpovezava"/>
            <w:noProof/>
          </w:rPr>
          <w:t>Slika 2: Statistične regije in kohezijski regiji</w:t>
        </w:r>
        <w:r>
          <w:rPr>
            <w:noProof/>
            <w:webHidden/>
          </w:rPr>
          <w:tab/>
        </w:r>
        <w:r>
          <w:rPr>
            <w:noProof/>
            <w:webHidden/>
          </w:rPr>
          <w:fldChar w:fldCharType="begin"/>
        </w:r>
        <w:r>
          <w:rPr>
            <w:noProof/>
            <w:webHidden/>
          </w:rPr>
          <w:instrText xml:space="preserve"> PAGEREF _Toc55913753 \h </w:instrText>
        </w:r>
        <w:r>
          <w:rPr>
            <w:noProof/>
            <w:webHidden/>
          </w:rPr>
        </w:r>
        <w:r>
          <w:rPr>
            <w:noProof/>
            <w:webHidden/>
          </w:rPr>
          <w:fldChar w:fldCharType="separate"/>
        </w:r>
        <w:r w:rsidR="00ED2796">
          <w:rPr>
            <w:noProof/>
            <w:webHidden/>
          </w:rPr>
          <w:t>16</w:t>
        </w:r>
        <w:r>
          <w:rPr>
            <w:noProof/>
            <w:webHidden/>
          </w:rPr>
          <w:fldChar w:fldCharType="end"/>
        </w:r>
      </w:hyperlink>
    </w:p>
    <w:p w14:paraId="084FBC34" w14:textId="24080907" w:rsidR="003F4427" w:rsidRDefault="003F4427">
      <w:pPr>
        <w:pStyle w:val="Kazaloslik"/>
        <w:tabs>
          <w:tab w:val="right" w:leader="dot" w:pos="9062"/>
        </w:tabs>
        <w:rPr>
          <w:rFonts w:asciiTheme="minorHAnsi" w:eastAsiaTheme="minorEastAsia" w:hAnsiTheme="minorHAnsi"/>
          <w:noProof/>
          <w:sz w:val="22"/>
          <w:lang w:eastAsia="sl-SI"/>
        </w:rPr>
      </w:pPr>
      <w:hyperlink w:anchor="_Toc55913754" w:history="1">
        <w:r w:rsidRPr="00033F22">
          <w:rPr>
            <w:rStyle w:val="Hiperpovezava"/>
            <w:noProof/>
          </w:rPr>
          <w:t>Slika 3: Vmesne in podeželske regije</w:t>
        </w:r>
        <w:r>
          <w:rPr>
            <w:noProof/>
            <w:webHidden/>
          </w:rPr>
          <w:tab/>
        </w:r>
        <w:r>
          <w:rPr>
            <w:noProof/>
            <w:webHidden/>
          </w:rPr>
          <w:fldChar w:fldCharType="begin"/>
        </w:r>
        <w:r>
          <w:rPr>
            <w:noProof/>
            <w:webHidden/>
          </w:rPr>
          <w:instrText xml:space="preserve"> PAGEREF _Toc55913754 \h </w:instrText>
        </w:r>
        <w:r>
          <w:rPr>
            <w:noProof/>
            <w:webHidden/>
          </w:rPr>
        </w:r>
        <w:r>
          <w:rPr>
            <w:noProof/>
            <w:webHidden/>
          </w:rPr>
          <w:fldChar w:fldCharType="separate"/>
        </w:r>
        <w:r w:rsidR="00ED2796">
          <w:rPr>
            <w:noProof/>
            <w:webHidden/>
          </w:rPr>
          <w:t>17</w:t>
        </w:r>
        <w:r>
          <w:rPr>
            <w:noProof/>
            <w:webHidden/>
          </w:rPr>
          <w:fldChar w:fldCharType="end"/>
        </w:r>
      </w:hyperlink>
    </w:p>
    <w:p w14:paraId="75F3BCE0" w14:textId="6A8E9654" w:rsidR="003F4427" w:rsidRDefault="003F4427">
      <w:pPr>
        <w:pStyle w:val="Kazaloslik"/>
        <w:tabs>
          <w:tab w:val="right" w:leader="dot" w:pos="9062"/>
        </w:tabs>
        <w:rPr>
          <w:rFonts w:asciiTheme="minorHAnsi" w:eastAsiaTheme="minorEastAsia" w:hAnsiTheme="minorHAnsi"/>
          <w:noProof/>
          <w:sz w:val="22"/>
          <w:lang w:eastAsia="sl-SI"/>
        </w:rPr>
      </w:pPr>
      <w:hyperlink w:anchor="_Toc55913755" w:history="1">
        <w:r w:rsidRPr="00033F22">
          <w:rPr>
            <w:rStyle w:val="Hiperpovezava"/>
            <w:noProof/>
          </w:rPr>
          <w:t>Slika 4: Delež podeželskega prebivalstva, 65 let in več ter pod 15 let starosti</w:t>
        </w:r>
        <w:r>
          <w:rPr>
            <w:noProof/>
            <w:webHidden/>
          </w:rPr>
          <w:tab/>
        </w:r>
        <w:r>
          <w:rPr>
            <w:noProof/>
            <w:webHidden/>
          </w:rPr>
          <w:fldChar w:fldCharType="begin"/>
        </w:r>
        <w:r>
          <w:rPr>
            <w:noProof/>
            <w:webHidden/>
          </w:rPr>
          <w:instrText xml:space="preserve"> PAGEREF _Toc55913755 \h </w:instrText>
        </w:r>
        <w:r>
          <w:rPr>
            <w:noProof/>
            <w:webHidden/>
          </w:rPr>
        </w:r>
        <w:r>
          <w:rPr>
            <w:noProof/>
            <w:webHidden/>
          </w:rPr>
          <w:fldChar w:fldCharType="separate"/>
        </w:r>
        <w:r w:rsidR="00ED2796">
          <w:rPr>
            <w:noProof/>
            <w:webHidden/>
          </w:rPr>
          <w:t>20</w:t>
        </w:r>
        <w:r>
          <w:rPr>
            <w:noProof/>
            <w:webHidden/>
          </w:rPr>
          <w:fldChar w:fldCharType="end"/>
        </w:r>
      </w:hyperlink>
    </w:p>
    <w:p w14:paraId="22A1E11A" w14:textId="17C8AFC3" w:rsidR="003F4427" w:rsidRDefault="003F4427">
      <w:pPr>
        <w:pStyle w:val="Kazaloslik"/>
        <w:tabs>
          <w:tab w:val="right" w:leader="dot" w:pos="9062"/>
        </w:tabs>
        <w:rPr>
          <w:rFonts w:asciiTheme="minorHAnsi" w:eastAsiaTheme="minorEastAsia" w:hAnsiTheme="minorHAnsi"/>
          <w:noProof/>
          <w:sz w:val="22"/>
          <w:lang w:eastAsia="sl-SI"/>
        </w:rPr>
      </w:pPr>
      <w:hyperlink w:anchor="_Toc55913756" w:history="1">
        <w:r w:rsidRPr="00033F22">
          <w:rPr>
            <w:rStyle w:val="Hiperpovezava"/>
            <w:noProof/>
          </w:rPr>
          <w:t>Slika 5: BDP na prebivalca, indeks standarda kupne moči EU-28=100;</w:t>
        </w:r>
        <w:r>
          <w:rPr>
            <w:noProof/>
            <w:webHidden/>
          </w:rPr>
          <w:tab/>
        </w:r>
        <w:r>
          <w:rPr>
            <w:noProof/>
            <w:webHidden/>
          </w:rPr>
          <w:fldChar w:fldCharType="begin"/>
        </w:r>
        <w:r>
          <w:rPr>
            <w:noProof/>
            <w:webHidden/>
          </w:rPr>
          <w:instrText xml:space="preserve"> PAGEREF _Toc55913756 \h </w:instrText>
        </w:r>
        <w:r>
          <w:rPr>
            <w:noProof/>
            <w:webHidden/>
          </w:rPr>
        </w:r>
        <w:r>
          <w:rPr>
            <w:noProof/>
            <w:webHidden/>
          </w:rPr>
          <w:fldChar w:fldCharType="separate"/>
        </w:r>
        <w:r w:rsidR="00ED2796">
          <w:rPr>
            <w:noProof/>
            <w:webHidden/>
          </w:rPr>
          <w:t>22</w:t>
        </w:r>
        <w:r>
          <w:rPr>
            <w:noProof/>
            <w:webHidden/>
          </w:rPr>
          <w:fldChar w:fldCharType="end"/>
        </w:r>
      </w:hyperlink>
    </w:p>
    <w:p w14:paraId="37456283" w14:textId="192B9795" w:rsidR="003F4427" w:rsidRDefault="003F4427">
      <w:pPr>
        <w:pStyle w:val="Kazaloslik"/>
        <w:tabs>
          <w:tab w:val="right" w:leader="dot" w:pos="9062"/>
        </w:tabs>
        <w:rPr>
          <w:rFonts w:asciiTheme="minorHAnsi" w:eastAsiaTheme="minorEastAsia" w:hAnsiTheme="minorHAnsi"/>
          <w:noProof/>
          <w:sz w:val="22"/>
          <w:lang w:eastAsia="sl-SI"/>
        </w:rPr>
      </w:pPr>
      <w:hyperlink w:anchor="_Toc55913757" w:history="1">
        <w:r w:rsidRPr="00033F22">
          <w:rPr>
            <w:rStyle w:val="Hiperpovezava"/>
            <w:noProof/>
          </w:rPr>
          <w:t>Slika 6: Delež zaposlenih po sektorjih glede na vse zaposlene v RS</w:t>
        </w:r>
        <w:r>
          <w:rPr>
            <w:noProof/>
            <w:webHidden/>
          </w:rPr>
          <w:tab/>
        </w:r>
        <w:r>
          <w:rPr>
            <w:noProof/>
            <w:webHidden/>
          </w:rPr>
          <w:fldChar w:fldCharType="begin"/>
        </w:r>
        <w:r>
          <w:rPr>
            <w:noProof/>
            <w:webHidden/>
          </w:rPr>
          <w:instrText xml:space="preserve"> PAGEREF _Toc55913757 \h </w:instrText>
        </w:r>
        <w:r>
          <w:rPr>
            <w:noProof/>
            <w:webHidden/>
          </w:rPr>
        </w:r>
        <w:r>
          <w:rPr>
            <w:noProof/>
            <w:webHidden/>
          </w:rPr>
          <w:fldChar w:fldCharType="separate"/>
        </w:r>
        <w:r w:rsidR="00ED2796">
          <w:rPr>
            <w:noProof/>
            <w:webHidden/>
          </w:rPr>
          <w:t>27</w:t>
        </w:r>
        <w:r>
          <w:rPr>
            <w:noProof/>
            <w:webHidden/>
          </w:rPr>
          <w:fldChar w:fldCharType="end"/>
        </w:r>
      </w:hyperlink>
    </w:p>
    <w:p w14:paraId="7BE0FAAD" w14:textId="47D240FE" w:rsidR="003F4427" w:rsidRDefault="003F4427">
      <w:pPr>
        <w:pStyle w:val="Kazaloslik"/>
        <w:tabs>
          <w:tab w:val="right" w:leader="dot" w:pos="9062"/>
        </w:tabs>
        <w:rPr>
          <w:rFonts w:asciiTheme="minorHAnsi" w:eastAsiaTheme="minorEastAsia" w:hAnsiTheme="minorHAnsi"/>
          <w:noProof/>
          <w:sz w:val="22"/>
          <w:lang w:eastAsia="sl-SI"/>
        </w:rPr>
      </w:pPr>
      <w:hyperlink w:anchor="_Toc55913758" w:history="1">
        <w:r w:rsidRPr="00033F22">
          <w:rPr>
            <w:rStyle w:val="Hiperpovezava"/>
            <w:noProof/>
          </w:rPr>
          <w:t>Slika 7: Stopnja brezposelnosti po letih v RS in na podeželju</w:t>
        </w:r>
        <w:r>
          <w:rPr>
            <w:noProof/>
            <w:webHidden/>
          </w:rPr>
          <w:tab/>
        </w:r>
        <w:r>
          <w:rPr>
            <w:noProof/>
            <w:webHidden/>
          </w:rPr>
          <w:fldChar w:fldCharType="begin"/>
        </w:r>
        <w:r>
          <w:rPr>
            <w:noProof/>
            <w:webHidden/>
          </w:rPr>
          <w:instrText xml:space="preserve"> PAGEREF _Toc55913758 \h </w:instrText>
        </w:r>
        <w:r>
          <w:rPr>
            <w:noProof/>
            <w:webHidden/>
          </w:rPr>
        </w:r>
        <w:r>
          <w:rPr>
            <w:noProof/>
            <w:webHidden/>
          </w:rPr>
          <w:fldChar w:fldCharType="separate"/>
        </w:r>
        <w:r w:rsidR="00ED2796">
          <w:rPr>
            <w:noProof/>
            <w:webHidden/>
          </w:rPr>
          <w:t>28</w:t>
        </w:r>
        <w:r>
          <w:rPr>
            <w:noProof/>
            <w:webHidden/>
          </w:rPr>
          <w:fldChar w:fldCharType="end"/>
        </w:r>
      </w:hyperlink>
    </w:p>
    <w:p w14:paraId="00FDBCCE" w14:textId="6A275A9E" w:rsidR="003F4427" w:rsidRDefault="003F4427">
      <w:pPr>
        <w:pStyle w:val="Kazaloslik"/>
        <w:tabs>
          <w:tab w:val="right" w:leader="dot" w:pos="9062"/>
        </w:tabs>
        <w:rPr>
          <w:rFonts w:asciiTheme="minorHAnsi" w:eastAsiaTheme="minorEastAsia" w:hAnsiTheme="minorHAnsi"/>
          <w:noProof/>
          <w:sz w:val="22"/>
          <w:lang w:eastAsia="sl-SI"/>
        </w:rPr>
      </w:pPr>
      <w:hyperlink w:anchor="_Toc55913759" w:history="1">
        <w:r w:rsidRPr="00033F22">
          <w:rPr>
            <w:rStyle w:val="Hiperpovezava"/>
            <w:noProof/>
          </w:rPr>
          <w:t>Slika 8 : Stopnja registrirane brezposelnosti za prebivalce Slovenije, stare 15 in več let, po izobrazbi za regije 2018</w:t>
        </w:r>
        <w:r>
          <w:rPr>
            <w:noProof/>
            <w:webHidden/>
          </w:rPr>
          <w:tab/>
        </w:r>
        <w:r>
          <w:rPr>
            <w:noProof/>
            <w:webHidden/>
          </w:rPr>
          <w:fldChar w:fldCharType="begin"/>
        </w:r>
        <w:r>
          <w:rPr>
            <w:noProof/>
            <w:webHidden/>
          </w:rPr>
          <w:instrText xml:space="preserve"> PAGEREF _Toc55913759 \h </w:instrText>
        </w:r>
        <w:r>
          <w:rPr>
            <w:noProof/>
            <w:webHidden/>
          </w:rPr>
        </w:r>
        <w:r>
          <w:rPr>
            <w:noProof/>
            <w:webHidden/>
          </w:rPr>
          <w:fldChar w:fldCharType="separate"/>
        </w:r>
        <w:r w:rsidR="00ED2796">
          <w:rPr>
            <w:noProof/>
            <w:webHidden/>
          </w:rPr>
          <w:t>29</w:t>
        </w:r>
        <w:r>
          <w:rPr>
            <w:noProof/>
            <w:webHidden/>
          </w:rPr>
          <w:fldChar w:fldCharType="end"/>
        </w:r>
      </w:hyperlink>
    </w:p>
    <w:p w14:paraId="2140EB5A" w14:textId="71EA51BD" w:rsidR="003F4427" w:rsidRDefault="003F4427">
      <w:pPr>
        <w:pStyle w:val="Kazaloslik"/>
        <w:tabs>
          <w:tab w:val="right" w:leader="dot" w:pos="9062"/>
        </w:tabs>
        <w:rPr>
          <w:rFonts w:asciiTheme="minorHAnsi" w:eastAsiaTheme="minorEastAsia" w:hAnsiTheme="minorHAnsi"/>
          <w:noProof/>
          <w:sz w:val="22"/>
          <w:lang w:eastAsia="sl-SI"/>
        </w:rPr>
      </w:pPr>
      <w:hyperlink w:anchor="_Toc55913760" w:history="1">
        <w:r w:rsidRPr="00033F22">
          <w:rPr>
            <w:rStyle w:val="Hiperpovezava"/>
            <w:noProof/>
          </w:rPr>
          <w:t>Slika 9: Stopnja revščine skupaj v RS in na podeželju (podeželska območja)</w:t>
        </w:r>
        <w:r>
          <w:rPr>
            <w:noProof/>
            <w:webHidden/>
          </w:rPr>
          <w:tab/>
        </w:r>
        <w:r>
          <w:rPr>
            <w:noProof/>
            <w:webHidden/>
          </w:rPr>
          <w:fldChar w:fldCharType="begin"/>
        </w:r>
        <w:r>
          <w:rPr>
            <w:noProof/>
            <w:webHidden/>
          </w:rPr>
          <w:instrText xml:space="preserve"> PAGEREF _Toc55913760 \h </w:instrText>
        </w:r>
        <w:r>
          <w:rPr>
            <w:noProof/>
            <w:webHidden/>
          </w:rPr>
        </w:r>
        <w:r>
          <w:rPr>
            <w:noProof/>
            <w:webHidden/>
          </w:rPr>
          <w:fldChar w:fldCharType="separate"/>
        </w:r>
        <w:r w:rsidR="00ED2796">
          <w:rPr>
            <w:noProof/>
            <w:webHidden/>
          </w:rPr>
          <w:t>30</w:t>
        </w:r>
        <w:r>
          <w:rPr>
            <w:noProof/>
            <w:webHidden/>
          </w:rPr>
          <w:fldChar w:fldCharType="end"/>
        </w:r>
      </w:hyperlink>
    </w:p>
    <w:p w14:paraId="52919E3B" w14:textId="79FDE021" w:rsidR="003F4427" w:rsidRDefault="003F4427">
      <w:pPr>
        <w:pStyle w:val="Kazaloslik"/>
        <w:tabs>
          <w:tab w:val="right" w:leader="dot" w:pos="9062"/>
        </w:tabs>
        <w:rPr>
          <w:rFonts w:asciiTheme="minorHAnsi" w:eastAsiaTheme="minorEastAsia" w:hAnsiTheme="minorHAnsi"/>
          <w:noProof/>
          <w:sz w:val="22"/>
          <w:lang w:eastAsia="sl-SI"/>
        </w:rPr>
      </w:pPr>
      <w:hyperlink w:anchor="_Toc55913761" w:history="1">
        <w:r w:rsidRPr="00033F22">
          <w:rPr>
            <w:rStyle w:val="Hiperpovezava"/>
            <w:noProof/>
          </w:rPr>
          <w:t>Slika 10: Prebivalci, stari 25 ali več let, po starosti in izobrazbi</w:t>
        </w:r>
        <w:r>
          <w:rPr>
            <w:noProof/>
            <w:webHidden/>
          </w:rPr>
          <w:tab/>
        </w:r>
        <w:r>
          <w:rPr>
            <w:noProof/>
            <w:webHidden/>
          </w:rPr>
          <w:fldChar w:fldCharType="begin"/>
        </w:r>
        <w:r>
          <w:rPr>
            <w:noProof/>
            <w:webHidden/>
          </w:rPr>
          <w:instrText xml:space="preserve"> PAGEREF _Toc55913761 \h </w:instrText>
        </w:r>
        <w:r>
          <w:rPr>
            <w:noProof/>
            <w:webHidden/>
          </w:rPr>
        </w:r>
        <w:r>
          <w:rPr>
            <w:noProof/>
            <w:webHidden/>
          </w:rPr>
          <w:fldChar w:fldCharType="separate"/>
        </w:r>
        <w:r w:rsidR="00ED2796">
          <w:rPr>
            <w:noProof/>
            <w:webHidden/>
          </w:rPr>
          <w:t>31</w:t>
        </w:r>
        <w:r>
          <w:rPr>
            <w:noProof/>
            <w:webHidden/>
          </w:rPr>
          <w:fldChar w:fldCharType="end"/>
        </w:r>
      </w:hyperlink>
    </w:p>
    <w:p w14:paraId="37702E2A" w14:textId="6EDB6EC2" w:rsidR="003F4427" w:rsidRDefault="003F4427">
      <w:pPr>
        <w:pStyle w:val="Kazaloslik"/>
        <w:tabs>
          <w:tab w:val="right" w:leader="dot" w:pos="9062"/>
        </w:tabs>
        <w:rPr>
          <w:rFonts w:asciiTheme="minorHAnsi" w:eastAsiaTheme="minorEastAsia" w:hAnsiTheme="minorHAnsi"/>
          <w:noProof/>
          <w:sz w:val="22"/>
          <w:lang w:eastAsia="sl-SI"/>
        </w:rPr>
      </w:pPr>
      <w:hyperlink w:anchor="_Toc55913762" w:history="1">
        <w:r w:rsidRPr="00033F22">
          <w:rPr>
            <w:rStyle w:val="Hiperpovezava"/>
            <w:noProof/>
          </w:rPr>
          <w:t>Slika 11: Delež bruto dodane vrednosti (BDV) kmetijstva, gozdarstva in ribištva v skupni BDV ,Slovenija in EU-28 – tekoče cene</w:t>
        </w:r>
        <w:r>
          <w:rPr>
            <w:noProof/>
            <w:webHidden/>
          </w:rPr>
          <w:tab/>
        </w:r>
        <w:r>
          <w:rPr>
            <w:noProof/>
            <w:webHidden/>
          </w:rPr>
          <w:fldChar w:fldCharType="begin"/>
        </w:r>
        <w:r>
          <w:rPr>
            <w:noProof/>
            <w:webHidden/>
          </w:rPr>
          <w:instrText xml:space="preserve"> PAGEREF _Toc55913762 \h </w:instrText>
        </w:r>
        <w:r>
          <w:rPr>
            <w:noProof/>
            <w:webHidden/>
          </w:rPr>
        </w:r>
        <w:r>
          <w:rPr>
            <w:noProof/>
            <w:webHidden/>
          </w:rPr>
          <w:fldChar w:fldCharType="separate"/>
        </w:r>
        <w:r w:rsidR="00ED2796">
          <w:rPr>
            <w:noProof/>
            <w:webHidden/>
          </w:rPr>
          <w:t>34</w:t>
        </w:r>
        <w:r>
          <w:rPr>
            <w:noProof/>
            <w:webHidden/>
          </w:rPr>
          <w:fldChar w:fldCharType="end"/>
        </w:r>
      </w:hyperlink>
    </w:p>
    <w:p w14:paraId="65A7D2A1" w14:textId="529E03EC" w:rsidR="003F4427" w:rsidRDefault="003F4427">
      <w:pPr>
        <w:pStyle w:val="Kazaloslik"/>
        <w:tabs>
          <w:tab w:val="right" w:leader="dot" w:pos="9062"/>
        </w:tabs>
        <w:rPr>
          <w:rFonts w:asciiTheme="minorHAnsi" w:eastAsiaTheme="minorEastAsia" w:hAnsiTheme="minorHAnsi"/>
          <w:noProof/>
          <w:sz w:val="22"/>
          <w:lang w:eastAsia="sl-SI"/>
        </w:rPr>
      </w:pPr>
      <w:hyperlink w:anchor="_Toc55913763" w:history="1">
        <w:r w:rsidRPr="00033F22">
          <w:rPr>
            <w:rStyle w:val="Hiperpovezava"/>
            <w:rFonts w:cs="Arial"/>
            <w:i/>
            <w:noProof/>
          </w:rPr>
          <w:t>Slika 12: Skupna kmetijska zemljišča v uporabi v ha od leta 2005 do 2018</w:t>
        </w:r>
        <w:r>
          <w:rPr>
            <w:noProof/>
            <w:webHidden/>
          </w:rPr>
          <w:tab/>
        </w:r>
        <w:r>
          <w:rPr>
            <w:noProof/>
            <w:webHidden/>
          </w:rPr>
          <w:fldChar w:fldCharType="begin"/>
        </w:r>
        <w:r>
          <w:rPr>
            <w:noProof/>
            <w:webHidden/>
          </w:rPr>
          <w:instrText xml:space="preserve"> PAGEREF _Toc55913763 \h </w:instrText>
        </w:r>
        <w:r>
          <w:rPr>
            <w:noProof/>
            <w:webHidden/>
          </w:rPr>
        </w:r>
        <w:r>
          <w:rPr>
            <w:noProof/>
            <w:webHidden/>
          </w:rPr>
          <w:fldChar w:fldCharType="separate"/>
        </w:r>
        <w:r w:rsidR="00ED2796">
          <w:rPr>
            <w:noProof/>
            <w:webHidden/>
          </w:rPr>
          <w:t>35</w:t>
        </w:r>
        <w:r>
          <w:rPr>
            <w:noProof/>
            <w:webHidden/>
          </w:rPr>
          <w:fldChar w:fldCharType="end"/>
        </w:r>
      </w:hyperlink>
    </w:p>
    <w:p w14:paraId="72484E5D" w14:textId="693496C2" w:rsidR="003F4427" w:rsidRDefault="003F4427">
      <w:pPr>
        <w:pStyle w:val="Kazaloslik"/>
        <w:tabs>
          <w:tab w:val="right" w:leader="dot" w:pos="9062"/>
        </w:tabs>
        <w:rPr>
          <w:rFonts w:asciiTheme="minorHAnsi" w:eastAsiaTheme="minorEastAsia" w:hAnsiTheme="minorHAnsi"/>
          <w:noProof/>
          <w:sz w:val="22"/>
          <w:lang w:eastAsia="sl-SI"/>
        </w:rPr>
      </w:pPr>
      <w:hyperlink w:anchor="_Toc55913764" w:history="1">
        <w:r w:rsidRPr="00033F22">
          <w:rPr>
            <w:rStyle w:val="Hiperpovezava"/>
            <w:noProof/>
          </w:rPr>
          <w:t>Slika 13: Delež trajnega travinja, delež trajnih nasadov in delež ornih površin od skupnih kmetijskih zemljišč v uporabi za Slovenijo od leta 2005 do 2017</w:t>
        </w:r>
        <w:r>
          <w:rPr>
            <w:noProof/>
            <w:webHidden/>
          </w:rPr>
          <w:tab/>
        </w:r>
        <w:r>
          <w:rPr>
            <w:noProof/>
            <w:webHidden/>
          </w:rPr>
          <w:fldChar w:fldCharType="begin"/>
        </w:r>
        <w:r>
          <w:rPr>
            <w:noProof/>
            <w:webHidden/>
          </w:rPr>
          <w:instrText xml:space="preserve"> PAGEREF _Toc55913764 \h </w:instrText>
        </w:r>
        <w:r>
          <w:rPr>
            <w:noProof/>
            <w:webHidden/>
          </w:rPr>
        </w:r>
        <w:r>
          <w:rPr>
            <w:noProof/>
            <w:webHidden/>
          </w:rPr>
          <w:fldChar w:fldCharType="separate"/>
        </w:r>
        <w:r w:rsidR="00ED2796">
          <w:rPr>
            <w:noProof/>
            <w:webHidden/>
          </w:rPr>
          <w:t>36</w:t>
        </w:r>
        <w:r>
          <w:rPr>
            <w:noProof/>
            <w:webHidden/>
          </w:rPr>
          <w:fldChar w:fldCharType="end"/>
        </w:r>
      </w:hyperlink>
    </w:p>
    <w:p w14:paraId="5AF34ADB" w14:textId="0DF28298" w:rsidR="003F4427" w:rsidRDefault="003F4427">
      <w:pPr>
        <w:pStyle w:val="Kazaloslik"/>
        <w:tabs>
          <w:tab w:val="right" w:leader="dot" w:pos="9062"/>
        </w:tabs>
        <w:rPr>
          <w:rFonts w:asciiTheme="minorHAnsi" w:eastAsiaTheme="minorEastAsia" w:hAnsiTheme="minorHAnsi"/>
          <w:noProof/>
          <w:sz w:val="22"/>
          <w:lang w:eastAsia="sl-SI"/>
        </w:rPr>
      </w:pPr>
      <w:hyperlink w:anchor="_Toc55913765" w:history="1">
        <w:r w:rsidRPr="00033F22">
          <w:rPr>
            <w:rStyle w:val="Hiperpovezava"/>
            <w:noProof/>
          </w:rPr>
          <w:t>Slika 14: Kmetijska zemljišča v uporabi po statističnih regijah (% glede na celotno površino regije),</w:t>
        </w:r>
        <w:r>
          <w:rPr>
            <w:noProof/>
            <w:webHidden/>
          </w:rPr>
          <w:tab/>
        </w:r>
        <w:r>
          <w:rPr>
            <w:noProof/>
            <w:webHidden/>
          </w:rPr>
          <w:fldChar w:fldCharType="begin"/>
        </w:r>
        <w:r>
          <w:rPr>
            <w:noProof/>
            <w:webHidden/>
          </w:rPr>
          <w:instrText xml:space="preserve"> PAGEREF _Toc55913765 \h </w:instrText>
        </w:r>
        <w:r>
          <w:rPr>
            <w:noProof/>
            <w:webHidden/>
          </w:rPr>
        </w:r>
        <w:r>
          <w:rPr>
            <w:noProof/>
            <w:webHidden/>
          </w:rPr>
          <w:fldChar w:fldCharType="separate"/>
        </w:r>
        <w:r w:rsidR="00ED2796">
          <w:rPr>
            <w:noProof/>
            <w:webHidden/>
          </w:rPr>
          <w:t>37</w:t>
        </w:r>
        <w:r>
          <w:rPr>
            <w:noProof/>
            <w:webHidden/>
          </w:rPr>
          <w:fldChar w:fldCharType="end"/>
        </w:r>
      </w:hyperlink>
    </w:p>
    <w:p w14:paraId="428BA42D" w14:textId="38B0C982" w:rsidR="003F4427" w:rsidRDefault="003F4427">
      <w:pPr>
        <w:pStyle w:val="Kazaloslik"/>
        <w:tabs>
          <w:tab w:val="right" w:leader="dot" w:pos="9062"/>
        </w:tabs>
        <w:rPr>
          <w:rFonts w:asciiTheme="minorHAnsi" w:eastAsiaTheme="minorEastAsia" w:hAnsiTheme="minorHAnsi"/>
          <w:noProof/>
          <w:sz w:val="22"/>
          <w:lang w:eastAsia="sl-SI"/>
        </w:rPr>
      </w:pPr>
      <w:hyperlink w:anchor="_Toc55913766" w:history="1">
        <w:r w:rsidRPr="00033F22">
          <w:rPr>
            <w:rStyle w:val="Hiperpovezava"/>
            <w:rFonts w:eastAsia="Arial"/>
            <w:noProof/>
          </w:rPr>
          <w:t>Slika 15: Območja z omejenimi možnostmi za kmetijsko dejavnost (OMD)</w:t>
        </w:r>
        <w:r>
          <w:rPr>
            <w:noProof/>
            <w:webHidden/>
          </w:rPr>
          <w:tab/>
        </w:r>
        <w:r>
          <w:rPr>
            <w:noProof/>
            <w:webHidden/>
          </w:rPr>
          <w:fldChar w:fldCharType="begin"/>
        </w:r>
        <w:r>
          <w:rPr>
            <w:noProof/>
            <w:webHidden/>
          </w:rPr>
          <w:instrText xml:space="preserve"> PAGEREF _Toc55913766 \h </w:instrText>
        </w:r>
        <w:r>
          <w:rPr>
            <w:noProof/>
            <w:webHidden/>
          </w:rPr>
        </w:r>
        <w:r>
          <w:rPr>
            <w:noProof/>
            <w:webHidden/>
          </w:rPr>
          <w:fldChar w:fldCharType="separate"/>
        </w:r>
        <w:r w:rsidR="00ED2796">
          <w:rPr>
            <w:noProof/>
            <w:webHidden/>
          </w:rPr>
          <w:t>40</w:t>
        </w:r>
        <w:r>
          <w:rPr>
            <w:noProof/>
            <w:webHidden/>
          </w:rPr>
          <w:fldChar w:fldCharType="end"/>
        </w:r>
      </w:hyperlink>
    </w:p>
    <w:p w14:paraId="02262C6A" w14:textId="3CF5FA02" w:rsidR="003F4427" w:rsidRDefault="003F4427">
      <w:pPr>
        <w:pStyle w:val="Kazaloslik"/>
        <w:tabs>
          <w:tab w:val="right" w:leader="dot" w:pos="9062"/>
        </w:tabs>
        <w:rPr>
          <w:rFonts w:asciiTheme="minorHAnsi" w:eastAsiaTheme="minorEastAsia" w:hAnsiTheme="minorHAnsi"/>
          <w:noProof/>
          <w:sz w:val="22"/>
          <w:lang w:eastAsia="sl-SI"/>
        </w:rPr>
      </w:pPr>
      <w:hyperlink w:anchor="_Toc55913767" w:history="1">
        <w:r w:rsidRPr="00033F22">
          <w:rPr>
            <w:rStyle w:val="Hiperpovezava"/>
            <w:rFonts w:eastAsia="Arial"/>
            <w:noProof/>
          </w:rPr>
          <w:t>Slika 16: Gorska območja</w:t>
        </w:r>
        <w:r>
          <w:rPr>
            <w:noProof/>
            <w:webHidden/>
          </w:rPr>
          <w:tab/>
        </w:r>
        <w:r>
          <w:rPr>
            <w:noProof/>
            <w:webHidden/>
          </w:rPr>
          <w:fldChar w:fldCharType="begin"/>
        </w:r>
        <w:r>
          <w:rPr>
            <w:noProof/>
            <w:webHidden/>
          </w:rPr>
          <w:instrText xml:space="preserve"> PAGEREF _Toc55913767 \h </w:instrText>
        </w:r>
        <w:r>
          <w:rPr>
            <w:noProof/>
            <w:webHidden/>
          </w:rPr>
        </w:r>
        <w:r>
          <w:rPr>
            <w:noProof/>
            <w:webHidden/>
          </w:rPr>
          <w:fldChar w:fldCharType="separate"/>
        </w:r>
        <w:r w:rsidR="00ED2796">
          <w:rPr>
            <w:noProof/>
            <w:webHidden/>
          </w:rPr>
          <w:t>41</w:t>
        </w:r>
        <w:r>
          <w:rPr>
            <w:noProof/>
            <w:webHidden/>
          </w:rPr>
          <w:fldChar w:fldCharType="end"/>
        </w:r>
      </w:hyperlink>
    </w:p>
    <w:p w14:paraId="0D829EBA" w14:textId="5F4C23D4" w:rsidR="003F4427" w:rsidRDefault="003F4427">
      <w:pPr>
        <w:pStyle w:val="Kazaloslik"/>
        <w:tabs>
          <w:tab w:val="right" w:leader="dot" w:pos="9062"/>
        </w:tabs>
        <w:rPr>
          <w:rFonts w:asciiTheme="minorHAnsi" w:eastAsiaTheme="minorEastAsia" w:hAnsiTheme="minorHAnsi"/>
          <w:noProof/>
          <w:sz w:val="22"/>
          <w:lang w:eastAsia="sl-SI"/>
        </w:rPr>
      </w:pPr>
      <w:hyperlink w:anchor="_Toc55913768" w:history="1">
        <w:r w:rsidRPr="00033F22">
          <w:rPr>
            <w:rStyle w:val="Hiperpovezava"/>
            <w:rFonts w:eastAsia="Arial"/>
            <w:noProof/>
          </w:rPr>
          <w:t>Slika 17: Območja z naravnimi omejitvami</w:t>
        </w:r>
        <w:r>
          <w:rPr>
            <w:noProof/>
            <w:webHidden/>
          </w:rPr>
          <w:tab/>
        </w:r>
        <w:r>
          <w:rPr>
            <w:noProof/>
            <w:webHidden/>
          </w:rPr>
          <w:fldChar w:fldCharType="begin"/>
        </w:r>
        <w:r>
          <w:rPr>
            <w:noProof/>
            <w:webHidden/>
          </w:rPr>
          <w:instrText xml:space="preserve"> PAGEREF _Toc55913768 \h </w:instrText>
        </w:r>
        <w:r>
          <w:rPr>
            <w:noProof/>
            <w:webHidden/>
          </w:rPr>
        </w:r>
        <w:r>
          <w:rPr>
            <w:noProof/>
            <w:webHidden/>
          </w:rPr>
          <w:fldChar w:fldCharType="separate"/>
        </w:r>
        <w:r w:rsidR="00ED2796">
          <w:rPr>
            <w:noProof/>
            <w:webHidden/>
          </w:rPr>
          <w:t>41</w:t>
        </w:r>
        <w:r>
          <w:rPr>
            <w:noProof/>
            <w:webHidden/>
          </w:rPr>
          <w:fldChar w:fldCharType="end"/>
        </w:r>
      </w:hyperlink>
    </w:p>
    <w:p w14:paraId="670FEC3C" w14:textId="42AB9F3E" w:rsidR="003F4427" w:rsidRDefault="003F4427">
      <w:pPr>
        <w:pStyle w:val="Kazaloslik"/>
        <w:tabs>
          <w:tab w:val="right" w:leader="dot" w:pos="9062"/>
        </w:tabs>
        <w:rPr>
          <w:rFonts w:asciiTheme="minorHAnsi" w:eastAsiaTheme="minorEastAsia" w:hAnsiTheme="minorHAnsi"/>
          <w:noProof/>
          <w:sz w:val="22"/>
          <w:lang w:eastAsia="sl-SI"/>
        </w:rPr>
      </w:pPr>
      <w:hyperlink w:anchor="_Toc55913769" w:history="1">
        <w:r w:rsidRPr="00033F22">
          <w:rPr>
            <w:rStyle w:val="Hiperpovezava"/>
            <w:rFonts w:eastAsia="Arial"/>
            <w:noProof/>
          </w:rPr>
          <w:t>Slika 18: Območja s posebnimi omejitvami</w:t>
        </w:r>
        <w:r>
          <w:rPr>
            <w:noProof/>
            <w:webHidden/>
          </w:rPr>
          <w:tab/>
        </w:r>
        <w:r>
          <w:rPr>
            <w:noProof/>
            <w:webHidden/>
          </w:rPr>
          <w:fldChar w:fldCharType="begin"/>
        </w:r>
        <w:r>
          <w:rPr>
            <w:noProof/>
            <w:webHidden/>
          </w:rPr>
          <w:instrText xml:space="preserve"> PAGEREF _Toc55913769 \h </w:instrText>
        </w:r>
        <w:r>
          <w:rPr>
            <w:noProof/>
            <w:webHidden/>
          </w:rPr>
        </w:r>
        <w:r>
          <w:rPr>
            <w:noProof/>
            <w:webHidden/>
          </w:rPr>
          <w:fldChar w:fldCharType="separate"/>
        </w:r>
        <w:r w:rsidR="00ED2796">
          <w:rPr>
            <w:noProof/>
            <w:webHidden/>
          </w:rPr>
          <w:t>42</w:t>
        </w:r>
        <w:r>
          <w:rPr>
            <w:noProof/>
            <w:webHidden/>
          </w:rPr>
          <w:fldChar w:fldCharType="end"/>
        </w:r>
      </w:hyperlink>
    </w:p>
    <w:p w14:paraId="68E6A026" w14:textId="6B279ADE" w:rsidR="003F4427" w:rsidRDefault="003F4427">
      <w:pPr>
        <w:pStyle w:val="Kazaloslik"/>
        <w:tabs>
          <w:tab w:val="right" w:leader="dot" w:pos="9062"/>
        </w:tabs>
        <w:rPr>
          <w:rFonts w:asciiTheme="minorHAnsi" w:eastAsiaTheme="minorEastAsia" w:hAnsiTheme="minorHAnsi"/>
          <w:noProof/>
          <w:sz w:val="22"/>
          <w:lang w:eastAsia="sl-SI"/>
        </w:rPr>
      </w:pPr>
      <w:hyperlink w:anchor="_Toc55913770" w:history="1">
        <w:r w:rsidRPr="00033F22">
          <w:rPr>
            <w:rStyle w:val="Hiperpovezava"/>
            <w:noProof/>
          </w:rPr>
          <w:t>Slika 19: Delež števila kmetijskih gospodarstev po tipu kmetovanja za leto 2016</w:t>
        </w:r>
        <w:r>
          <w:rPr>
            <w:noProof/>
            <w:webHidden/>
          </w:rPr>
          <w:tab/>
        </w:r>
        <w:r>
          <w:rPr>
            <w:noProof/>
            <w:webHidden/>
          </w:rPr>
          <w:fldChar w:fldCharType="begin"/>
        </w:r>
        <w:r>
          <w:rPr>
            <w:noProof/>
            <w:webHidden/>
          </w:rPr>
          <w:instrText xml:space="preserve"> PAGEREF _Toc55913770 \h </w:instrText>
        </w:r>
        <w:r>
          <w:rPr>
            <w:noProof/>
            <w:webHidden/>
          </w:rPr>
        </w:r>
        <w:r>
          <w:rPr>
            <w:noProof/>
            <w:webHidden/>
          </w:rPr>
          <w:fldChar w:fldCharType="separate"/>
        </w:r>
        <w:r w:rsidR="00ED2796">
          <w:rPr>
            <w:noProof/>
            <w:webHidden/>
          </w:rPr>
          <w:t>47</w:t>
        </w:r>
        <w:r>
          <w:rPr>
            <w:noProof/>
            <w:webHidden/>
          </w:rPr>
          <w:fldChar w:fldCharType="end"/>
        </w:r>
      </w:hyperlink>
    </w:p>
    <w:p w14:paraId="729AB049" w14:textId="1A4C0412" w:rsidR="003F4427" w:rsidRDefault="003F4427">
      <w:pPr>
        <w:pStyle w:val="Kazaloslik"/>
        <w:tabs>
          <w:tab w:val="right" w:leader="dot" w:pos="9062"/>
        </w:tabs>
        <w:rPr>
          <w:rFonts w:asciiTheme="minorHAnsi" w:eastAsiaTheme="minorEastAsia" w:hAnsiTheme="minorHAnsi"/>
          <w:noProof/>
          <w:sz w:val="22"/>
          <w:lang w:eastAsia="sl-SI"/>
        </w:rPr>
      </w:pPr>
      <w:hyperlink w:anchor="_Toc55913771" w:history="1">
        <w:r w:rsidRPr="00033F22">
          <w:rPr>
            <w:rStyle w:val="Hiperpovezava"/>
            <w:noProof/>
          </w:rPr>
          <w:t>Slika 20: Število kmetijskih gospodarstev po tipu kmetovanja od leta 2007, 2010, 2013, 2016</w:t>
        </w:r>
        <w:r>
          <w:rPr>
            <w:noProof/>
            <w:webHidden/>
          </w:rPr>
          <w:tab/>
        </w:r>
        <w:r>
          <w:rPr>
            <w:noProof/>
            <w:webHidden/>
          </w:rPr>
          <w:fldChar w:fldCharType="begin"/>
        </w:r>
        <w:r>
          <w:rPr>
            <w:noProof/>
            <w:webHidden/>
          </w:rPr>
          <w:instrText xml:space="preserve"> PAGEREF _Toc55913771 \h </w:instrText>
        </w:r>
        <w:r>
          <w:rPr>
            <w:noProof/>
            <w:webHidden/>
          </w:rPr>
        </w:r>
        <w:r>
          <w:rPr>
            <w:noProof/>
            <w:webHidden/>
          </w:rPr>
          <w:fldChar w:fldCharType="separate"/>
        </w:r>
        <w:r w:rsidR="00ED2796">
          <w:rPr>
            <w:noProof/>
            <w:webHidden/>
          </w:rPr>
          <w:t>48</w:t>
        </w:r>
        <w:r>
          <w:rPr>
            <w:noProof/>
            <w:webHidden/>
          </w:rPr>
          <w:fldChar w:fldCharType="end"/>
        </w:r>
      </w:hyperlink>
    </w:p>
    <w:p w14:paraId="3369E299" w14:textId="7B526744" w:rsidR="003F4427" w:rsidRDefault="003F4427">
      <w:pPr>
        <w:pStyle w:val="Kazaloslik"/>
        <w:tabs>
          <w:tab w:val="right" w:leader="dot" w:pos="9062"/>
        </w:tabs>
        <w:rPr>
          <w:rFonts w:asciiTheme="minorHAnsi" w:eastAsiaTheme="minorEastAsia" w:hAnsiTheme="minorHAnsi"/>
          <w:noProof/>
          <w:sz w:val="22"/>
          <w:lang w:eastAsia="sl-SI"/>
        </w:rPr>
      </w:pPr>
      <w:hyperlink w:anchor="_Toc55913772" w:history="1">
        <w:r w:rsidRPr="00033F22">
          <w:rPr>
            <w:rStyle w:val="Hiperpovezava"/>
            <w:noProof/>
          </w:rPr>
          <w:t>Slika 21: Ekonomska velikost kmetijskih gospodarstev v EUR po tipu kmetovanja od leta 2007, 2010, 2013, 2016</w:t>
        </w:r>
        <w:r>
          <w:rPr>
            <w:noProof/>
            <w:webHidden/>
          </w:rPr>
          <w:tab/>
        </w:r>
        <w:r>
          <w:rPr>
            <w:noProof/>
            <w:webHidden/>
          </w:rPr>
          <w:fldChar w:fldCharType="begin"/>
        </w:r>
        <w:r>
          <w:rPr>
            <w:noProof/>
            <w:webHidden/>
          </w:rPr>
          <w:instrText xml:space="preserve"> PAGEREF _Toc55913772 \h </w:instrText>
        </w:r>
        <w:r>
          <w:rPr>
            <w:noProof/>
            <w:webHidden/>
          </w:rPr>
        </w:r>
        <w:r>
          <w:rPr>
            <w:noProof/>
            <w:webHidden/>
          </w:rPr>
          <w:fldChar w:fldCharType="separate"/>
        </w:r>
        <w:r w:rsidR="00ED2796">
          <w:rPr>
            <w:noProof/>
            <w:webHidden/>
          </w:rPr>
          <w:t>49</w:t>
        </w:r>
        <w:r>
          <w:rPr>
            <w:noProof/>
            <w:webHidden/>
          </w:rPr>
          <w:fldChar w:fldCharType="end"/>
        </w:r>
      </w:hyperlink>
    </w:p>
    <w:p w14:paraId="0026C7A6" w14:textId="65886FE4" w:rsidR="003F4427" w:rsidRDefault="003F4427">
      <w:pPr>
        <w:pStyle w:val="Kazaloslik"/>
        <w:tabs>
          <w:tab w:val="right" w:leader="dot" w:pos="9062"/>
        </w:tabs>
        <w:rPr>
          <w:rFonts w:asciiTheme="minorHAnsi" w:eastAsiaTheme="minorEastAsia" w:hAnsiTheme="minorHAnsi"/>
          <w:noProof/>
          <w:sz w:val="22"/>
          <w:lang w:eastAsia="sl-SI"/>
        </w:rPr>
      </w:pPr>
      <w:hyperlink w:anchor="_Toc55913773" w:history="1">
        <w:r w:rsidRPr="00033F22">
          <w:rPr>
            <w:rStyle w:val="Hiperpovezava"/>
            <w:noProof/>
          </w:rPr>
          <w:t xml:space="preserve">Slika 22: Primerjava deležev števila kmetij po tipih kmetovanja za leto 2016 med Slovenijo in EU-28 </w:t>
        </w:r>
        <w:r>
          <w:rPr>
            <w:noProof/>
            <w:webHidden/>
          </w:rPr>
          <w:tab/>
        </w:r>
        <w:r>
          <w:rPr>
            <w:noProof/>
            <w:webHidden/>
          </w:rPr>
          <w:fldChar w:fldCharType="begin"/>
        </w:r>
        <w:r>
          <w:rPr>
            <w:noProof/>
            <w:webHidden/>
          </w:rPr>
          <w:instrText xml:space="preserve"> PAGEREF _Toc55913773 \h </w:instrText>
        </w:r>
        <w:r>
          <w:rPr>
            <w:noProof/>
            <w:webHidden/>
          </w:rPr>
        </w:r>
        <w:r>
          <w:rPr>
            <w:noProof/>
            <w:webHidden/>
          </w:rPr>
          <w:fldChar w:fldCharType="separate"/>
        </w:r>
        <w:r w:rsidR="00ED2796">
          <w:rPr>
            <w:noProof/>
            <w:webHidden/>
          </w:rPr>
          <w:t>50</w:t>
        </w:r>
        <w:r>
          <w:rPr>
            <w:noProof/>
            <w:webHidden/>
          </w:rPr>
          <w:fldChar w:fldCharType="end"/>
        </w:r>
      </w:hyperlink>
    </w:p>
    <w:p w14:paraId="6AC5EA64" w14:textId="3A019FFE" w:rsidR="003F4427" w:rsidRDefault="003F4427">
      <w:pPr>
        <w:pStyle w:val="Kazaloslik"/>
        <w:tabs>
          <w:tab w:val="right" w:leader="dot" w:pos="9062"/>
        </w:tabs>
        <w:rPr>
          <w:rFonts w:asciiTheme="minorHAnsi" w:eastAsiaTheme="minorEastAsia" w:hAnsiTheme="minorHAnsi"/>
          <w:noProof/>
          <w:sz w:val="22"/>
          <w:lang w:eastAsia="sl-SI"/>
        </w:rPr>
      </w:pPr>
      <w:hyperlink w:anchor="_Toc55913774" w:history="1">
        <w:r w:rsidRPr="00033F22">
          <w:rPr>
            <w:rStyle w:val="Hiperpovezava"/>
            <w:noProof/>
          </w:rPr>
          <w:t>Slika 23: Št. GVŽ skupaj, delež kmetij brez GVŽ od vseh kmetij za Slovenijo od leta 2005 do 2016</w:t>
        </w:r>
        <w:r>
          <w:rPr>
            <w:noProof/>
            <w:webHidden/>
          </w:rPr>
          <w:tab/>
        </w:r>
        <w:r>
          <w:rPr>
            <w:noProof/>
            <w:webHidden/>
          </w:rPr>
          <w:fldChar w:fldCharType="begin"/>
        </w:r>
        <w:r>
          <w:rPr>
            <w:noProof/>
            <w:webHidden/>
          </w:rPr>
          <w:instrText xml:space="preserve"> PAGEREF _Toc55913774 \h </w:instrText>
        </w:r>
        <w:r>
          <w:rPr>
            <w:noProof/>
            <w:webHidden/>
          </w:rPr>
        </w:r>
        <w:r>
          <w:rPr>
            <w:noProof/>
            <w:webHidden/>
          </w:rPr>
          <w:fldChar w:fldCharType="separate"/>
        </w:r>
        <w:r w:rsidR="00ED2796">
          <w:rPr>
            <w:noProof/>
            <w:webHidden/>
          </w:rPr>
          <w:t>51</w:t>
        </w:r>
        <w:r>
          <w:rPr>
            <w:noProof/>
            <w:webHidden/>
          </w:rPr>
          <w:fldChar w:fldCharType="end"/>
        </w:r>
      </w:hyperlink>
    </w:p>
    <w:p w14:paraId="45BDFC49" w14:textId="663D8E03" w:rsidR="003F4427" w:rsidRDefault="003F4427">
      <w:pPr>
        <w:pStyle w:val="Kazaloslik"/>
        <w:tabs>
          <w:tab w:val="right" w:leader="dot" w:pos="9062"/>
        </w:tabs>
        <w:rPr>
          <w:rFonts w:asciiTheme="minorHAnsi" w:eastAsiaTheme="minorEastAsia" w:hAnsiTheme="minorHAnsi"/>
          <w:noProof/>
          <w:sz w:val="22"/>
          <w:lang w:eastAsia="sl-SI"/>
        </w:rPr>
      </w:pPr>
      <w:hyperlink w:anchor="_Toc55913775" w:history="1">
        <w:r w:rsidRPr="00033F22">
          <w:rPr>
            <w:rStyle w:val="Hiperpovezava"/>
            <w:noProof/>
          </w:rPr>
          <w:t>Slika 24:</w:t>
        </w:r>
        <w:r w:rsidRPr="00033F22">
          <w:rPr>
            <w:rStyle w:val="Hiperpovezava"/>
            <w:rFonts w:eastAsia="Calibri"/>
            <w:noProof/>
          </w:rPr>
          <w:t xml:space="preserve"> Skupna površina in setvena struktura njiv</w:t>
        </w:r>
        <w:r>
          <w:rPr>
            <w:noProof/>
            <w:webHidden/>
          </w:rPr>
          <w:tab/>
        </w:r>
        <w:r>
          <w:rPr>
            <w:noProof/>
            <w:webHidden/>
          </w:rPr>
          <w:fldChar w:fldCharType="begin"/>
        </w:r>
        <w:r>
          <w:rPr>
            <w:noProof/>
            <w:webHidden/>
          </w:rPr>
          <w:instrText xml:space="preserve"> PAGEREF _Toc55913775 \h </w:instrText>
        </w:r>
        <w:r>
          <w:rPr>
            <w:noProof/>
            <w:webHidden/>
          </w:rPr>
        </w:r>
        <w:r>
          <w:rPr>
            <w:noProof/>
            <w:webHidden/>
          </w:rPr>
          <w:fldChar w:fldCharType="separate"/>
        </w:r>
        <w:r w:rsidR="00ED2796">
          <w:rPr>
            <w:noProof/>
            <w:webHidden/>
          </w:rPr>
          <w:t>53</w:t>
        </w:r>
        <w:r>
          <w:rPr>
            <w:noProof/>
            <w:webHidden/>
          </w:rPr>
          <w:fldChar w:fldCharType="end"/>
        </w:r>
      </w:hyperlink>
    </w:p>
    <w:p w14:paraId="24844B6C" w14:textId="159C71ED" w:rsidR="003F4427" w:rsidRDefault="003F4427">
      <w:pPr>
        <w:pStyle w:val="Kazaloslik"/>
        <w:tabs>
          <w:tab w:val="right" w:leader="dot" w:pos="9062"/>
        </w:tabs>
        <w:rPr>
          <w:rFonts w:asciiTheme="minorHAnsi" w:eastAsiaTheme="minorEastAsia" w:hAnsiTheme="minorHAnsi"/>
          <w:noProof/>
          <w:sz w:val="22"/>
          <w:lang w:eastAsia="sl-SI"/>
        </w:rPr>
      </w:pPr>
      <w:hyperlink w:anchor="_Toc55913776" w:history="1">
        <w:r w:rsidRPr="00033F22">
          <w:rPr>
            <w:rStyle w:val="Hiperpovezava"/>
            <w:noProof/>
          </w:rPr>
          <w:t>Slika 25: Vložek dela na kmetijskih gospodarstvih, Slovenija, 2016</w:t>
        </w:r>
        <w:r>
          <w:rPr>
            <w:noProof/>
            <w:webHidden/>
          </w:rPr>
          <w:tab/>
        </w:r>
        <w:r>
          <w:rPr>
            <w:noProof/>
            <w:webHidden/>
          </w:rPr>
          <w:fldChar w:fldCharType="begin"/>
        </w:r>
        <w:r>
          <w:rPr>
            <w:noProof/>
            <w:webHidden/>
          </w:rPr>
          <w:instrText xml:space="preserve"> PAGEREF _Toc55913776 \h </w:instrText>
        </w:r>
        <w:r>
          <w:rPr>
            <w:noProof/>
            <w:webHidden/>
          </w:rPr>
        </w:r>
        <w:r>
          <w:rPr>
            <w:noProof/>
            <w:webHidden/>
          </w:rPr>
          <w:fldChar w:fldCharType="separate"/>
        </w:r>
        <w:r w:rsidR="00ED2796">
          <w:rPr>
            <w:noProof/>
            <w:webHidden/>
          </w:rPr>
          <w:t>54</w:t>
        </w:r>
        <w:r>
          <w:rPr>
            <w:noProof/>
            <w:webHidden/>
          </w:rPr>
          <w:fldChar w:fldCharType="end"/>
        </w:r>
      </w:hyperlink>
    </w:p>
    <w:p w14:paraId="024E2BFB" w14:textId="698E5305" w:rsidR="003F4427" w:rsidRDefault="003F4427">
      <w:pPr>
        <w:pStyle w:val="Kazaloslik"/>
        <w:tabs>
          <w:tab w:val="right" w:leader="dot" w:pos="9062"/>
        </w:tabs>
        <w:rPr>
          <w:rFonts w:asciiTheme="minorHAnsi" w:eastAsiaTheme="minorEastAsia" w:hAnsiTheme="minorHAnsi"/>
          <w:noProof/>
          <w:sz w:val="22"/>
          <w:lang w:eastAsia="sl-SI"/>
        </w:rPr>
      </w:pPr>
      <w:hyperlink w:anchor="_Toc55913777" w:history="1">
        <w:r w:rsidRPr="00033F22">
          <w:rPr>
            <w:rStyle w:val="Hiperpovezava"/>
            <w:noProof/>
          </w:rPr>
          <w:t>Slika 26: Vložek dela na kmetijskih gospodarstvih, glede na izvor delovne sile, v PDM po letih, Slovenija</w:t>
        </w:r>
        <w:r>
          <w:rPr>
            <w:noProof/>
            <w:webHidden/>
          </w:rPr>
          <w:tab/>
        </w:r>
        <w:r>
          <w:rPr>
            <w:noProof/>
            <w:webHidden/>
          </w:rPr>
          <w:fldChar w:fldCharType="begin"/>
        </w:r>
        <w:r>
          <w:rPr>
            <w:noProof/>
            <w:webHidden/>
          </w:rPr>
          <w:instrText xml:space="preserve"> PAGEREF _Toc55913777 \h </w:instrText>
        </w:r>
        <w:r>
          <w:rPr>
            <w:noProof/>
            <w:webHidden/>
          </w:rPr>
        </w:r>
        <w:r>
          <w:rPr>
            <w:noProof/>
            <w:webHidden/>
          </w:rPr>
          <w:fldChar w:fldCharType="separate"/>
        </w:r>
        <w:r w:rsidR="00ED2796">
          <w:rPr>
            <w:noProof/>
            <w:webHidden/>
          </w:rPr>
          <w:t>54</w:t>
        </w:r>
        <w:r>
          <w:rPr>
            <w:noProof/>
            <w:webHidden/>
          </w:rPr>
          <w:fldChar w:fldCharType="end"/>
        </w:r>
      </w:hyperlink>
    </w:p>
    <w:p w14:paraId="0BF9E313" w14:textId="5A2B0125" w:rsidR="003F4427" w:rsidRDefault="003F4427">
      <w:pPr>
        <w:pStyle w:val="Kazaloslik"/>
        <w:tabs>
          <w:tab w:val="right" w:leader="dot" w:pos="9062"/>
        </w:tabs>
        <w:rPr>
          <w:rFonts w:asciiTheme="minorHAnsi" w:eastAsiaTheme="minorEastAsia" w:hAnsiTheme="minorHAnsi"/>
          <w:noProof/>
          <w:sz w:val="22"/>
          <w:lang w:eastAsia="sl-SI"/>
        </w:rPr>
      </w:pPr>
      <w:hyperlink w:anchor="_Toc55913778" w:history="1">
        <w:r w:rsidRPr="00033F22">
          <w:rPr>
            <w:rStyle w:val="Hiperpovezava"/>
            <w:noProof/>
          </w:rPr>
          <w:t>Slika 27: Starostna struktura v kmetijstvu EU-28</w:t>
        </w:r>
        <w:r>
          <w:rPr>
            <w:noProof/>
            <w:webHidden/>
          </w:rPr>
          <w:tab/>
        </w:r>
        <w:r>
          <w:rPr>
            <w:noProof/>
            <w:webHidden/>
          </w:rPr>
          <w:fldChar w:fldCharType="begin"/>
        </w:r>
        <w:r>
          <w:rPr>
            <w:noProof/>
            <w:webHidden/>
          </w:rPr>
          <w:instrText xml:space="preserve"> PAGEREF _Toc55913778 \h </w:instrText>
        </w:r>
        <w:r>
          <w:rPr>
            <w:noProof/>
            <w:webHidden/>
          </w:rPr>
        </w:r>
        <w:r>
          <w:rPr>
            <w:noProof/>
            <w:webHidden/>
          </w:rPr>
          <w:fldChar w:fldCharType="separate"/>
        </w:r>
        <w:r w:rsidR="00ED2796">
          <w:rPr>
            <w:noProof/>
            <w:webHidden/>
          </w:rPr>
          <w:t>59</w:t>
        </w:r>
        <w:r>
          <w:rPr>
            <w:noProof/>
            <w:webHidden/>
          </w:rPr>
          <w:fldChar w:fldCharType="end"/>
        </w:r>
      </w:hyperlink>
    </w:p>
    <w:p w14:paraId="0C890DCD" w14:textId="75705F65" w:rsidR="003F4427" w:rsidRDefault="003F4427">
      <w:pPr>
        <w:pStyle w:val="Kazaloslik"/>
        <w:tabs>
          <w:tab w:val="right" w:leader="dot" w:pos="9062"/>
        </w:tabs>
        <w:rPr>
          <w:rFonts w:asciiTheme="minorHAnsi" w:eastAsiaTheme="minorEastAsia" w:hAnsiTheme="minorHAnsi"/>
          <w:noProof/>
          <w:sz w:val="22"/>
          <w:lang w:eastAsia="sl-SI"/>
        </w:rPr>
      </w:pPr>
      <w:hyperlink w:anchor="_Toc55913779" w:history="1">
        <w:r w:rsidRPr="00033F22">
          <w:rPr>
            <w:rStyle w:val="Hiperpovezava"/>
            <w:noProof/>
          </w:rPr>
          <w:t>Slika 28: Število molznih krav in povprečna mlečnost</w:t>
        </w:r>
        <w:r>
          <w:rPr>
            <w:noProof/>
            <w:webHidden/>
          </w:rPr>
          <w:tab/>
        </w:r>
        <w:r>
          <w:rPr>
            <w:noProof/>
            <w:webHidden/>
          </w:rPr>
          <w:fldChar w:fldCharType="begin"/>
        </w:r>
        <w:r>
          <w:rPr>
            <w:noProof/>
            <w:webHidden/>
          </w:rPr>
          <w:instrText xml:space="preserve"> PAGEREF _Toc55913779 \h </w:instrText>
        </w:r>
        <w:r>
          <w:rPr>
            <w:noProof/>
            <w:webHidden/>
          </w:rPr>
        </w:r>
        <w:r>
          <w:rPr>
            <w:noProof/>
            <w:webHidden/>
          </w:rPr>
          <w:fldChar w:fldCharType="separate"/>
        </w:r>
        <w:r w:rsidR="00ED2796">
          <w:rPr>
            <w:noProof/>
            <w:webHidden/>
          </w:rPr>
          <w:t>64</w:t>
        </w:r>
        <w:r>
          <w:rPr>
            <w:noProof/>
            <w:webHidden/>
          </w:rPr>
          <w:fldChar w:fldCharType="end"/>
        </w:r>
      </w:hyperlink>
    </w:p>
    <w:p w14:paraId="00E316EE" w14:textId="2D751814" w:rsidR="003F4427" w:rsidRDefault="003F4427">
      <w:pPr>
        <w:pStyle w:val="Kazaloslik"/>
        <w:tabs>
          <w:tab w:val="right" w:leader="dot" w:pos="9062"/>
        </w:tabs>
        <w:rPr>
          <w:rFonts w:asciiTheme="minorHAnsi" w:eastAsiaTheme="minorEastAsia" w:hAnsiTheme="minorHAnsi"/>
          <w:noProof/>
          <w:sz w:val="22"/>
          <w:lang w:eastAsia="sl-SI"/>
        </w:rPr>
      </w:pPr>
      <w:hyperlink w:anchor="_Toc55913780" w:history="1">
        <w:r w:rsidRPr="00033F22">
          <w:rPr>
            <w:rStyle w:val="Hiperpovezava"/>
            <w:noProof/>
          </w:rPr>
          <w:t>Slika 31: Število in prirast prašičev (2007–2019)</w:t>
        </w:r>
        <w:r>
          <w:rPr>
            <w:noProof/>
            <w:webHidden/>
          </w:rPr>
          <w:tab/>
        </w:r>
        <w:r>
          <w:rPr>
            <w:noProof/>
            <w:webHidden/>
          </w:rPr>
          <w:fldChar w:fldCharType="begin"/>
        </w:r>
        <w:r>
          <w:rPr>
            <w:noProof/>
            <w:webHidden/>
          </w:rPr>
          <w:instrText xml:space="preserve"> PAGEREF _Toc55913780 \h </w:instrText>
        </w:r>
        <w:r>
          <w:rPr>
            <w:noProof/>
            <w:webHidden/>
          </w:rPr>
        </w:r>
        <w:r>
          <w:rPr>
            <w:noProof/>
            <w:webHidden/>
          </w:rPr>
          <w:fldChar w:fldCharType="separate"/>
        </w:r>
        <w:r w:rsidR="00ED2796">
          <w:rPr>
            <w:noProof/>
            <w:webHidden/>
          </w:rPr>
          <w:t>71</w:t>
        </w:r>
        <w:r>
          <w:rPr>
            <w:noProof/>
            <w:webHidden/>
          </w:rPr>
          <w:fldChar w:fldCharType="end"/>
        </w:r>
      </w:hyperlink>
    </w:p>
    <w:p w14:paraId="22F36C27" w14:textId="5371A458" w:rsidR="003F4427" w:rsidRDefault="003F4427">
      <w:pPr>
        <w:pStyle w:val="Kazaloslik"/>
        <w:tabs>
          <w:tab w:val="right" w:leader="dot" w:pos="9062"/>
        </w:tabs>
        <w:rPr>
          <w:rFonts w:asciiTheme="minorHAnsi" w:eastAsiaTheme="minorEastAsia" w:hAnsiTheme="minorHAnsi"/>
          <w:noProof/>
          <w:sz w:val="22"/>
          <w:lang w:eastAsia="sl-SI"/>
        </w:rPr>
      </w:pPr>
      <w:hyperlink w:anchor="_Toc55913781" w:history="1">
        <w:r w:rsidRPr="00033F22">
          <w:rPr>
            <w:rStyle w:val="Hiperpovezava"/>
            <w:noProof/>
          </w:rPr>
          <w:t>Slika 32: Osnovni ekonomski kazalniki pri pitanju prašičev (indeks; povprečje 2014–2018 = 100)</w:t>
        </w:r>
        <w:r>
          <w:rPr>
            <w:noProof/>
            <w:webHidden/>
          </w:rPr>
          <w:tab/>
        </w:r>
        <w:r>
          <w:rPr>
            <w:noProof/>
            <w:webHidden/>
          </w:rPr>
          <w:fldChar w:fldCharType="begin"/>
        </w:r>
        <w:r>
          <w:rPr>
            <w:noProof/>
            <w:webHidden/>
          </w:rPr>
          <w:instrText xml:space="preserve"> PAGEREF _Toc55913781 \h </w:instrText>
        </w:r>
        <w:r>
          <w:rPr>
            <w:noProof/>
            <w:webHidden/>
          </w:rPr>
        </w:r>
        <w:r>
          <w:rPr>
            <w:noProof/>
            <w:webHidden/>
          </w:rPr>
          <w:fldChar w:fldCharType="separate"/>
        </w:r>
        <w:r w:rsidR="00ED2796">
          <w:rPr>
            <w:noProof/>
            <w:webHidden/>
          </w:rPr>
          <w:t>72</w:t>
        </w:r>
        <w:r>
          <w:rPr>
            <w:noProof/>
            <w:webHidden/>
          </w:rPr>
          <w:fldChar w:fldCharType="end"/>
        </w:r>
      </w:hyperlink>
    </w:p>
    <w:p w14:paraId="6F88CFE0" w14:textId="19FC8EF7" w:rsidR="003F4427" w:rsidRDefault="003F4427">
      <w:pPr>
        <w:pStyle w:val="Kazaloslik"/>
        <w:tabs>
          <w:tab w:val="right" w:leader="dot" w:pos="9062"/>
        </w:tabs>
        <w:rPr>
          <w:rFonts w:asciiTheme="minorHAnsi" w:eastAsiaTheme="minorEastAsia" w:hAnsiTheme="minorHAnsi"/>
          <w:noProof/>
          <w:sz w:val="22"/>
          <w:lang w:eastAsia="sl-SI"/>
        </w:rPr>
      </w:pPr>
      <w:hyperlink w:anchor="_Toc55913782" w:history="1">
        <w:r w:rsidRPr="00033F22">
          <w:rPr>
            <w:rStyle w:val="Hiperpovezava"/>
            <w:noProof/>
          </w:rPr>
          <w:t>Slika 33: Število drobnice in prirast (2007–2019)</w:t>
        </w:r>
        <w:r>
          <w:rPr>
            <w:noProof/>
            <w:webHidden/>
          </w:rPr>
          <w:tab/>
        </w:r>
        <w:r>
          <w:rPr>
            <w:noProof/>
            <w:webHidden/>
          </w:rPr>
          <w:fldChar w:fldCharType="begin"/>
        </w:r>
        <w:r>
          <w:rPr>
            <w:noProof/>
            <w:webHidden/>
          </w:rPr>
          <w:instrText xml:space="preserve"> PAGEREF _Toc55913782 \h </w:instrText>
        </w:r>
        <w:r>
          <w:rPr>
            <w:noProof/>
            <w:webHidden/>
          </w:rPr>
        </w:r>
        <w:r>
          <w:rPr>
            <w:noProof/>
            <w:webHidden/>
          </w:rPr>
          <w:fldChar w:fldCharType="separate"/>
        </w:r>
        <w:r w:rsidR="00ED2796">
          <w:rPr>
            <w:noProof/>
            <w:webHidden/>
          </w:rPr>
          <w:t>78</w:t>
        </w:r>
        <w:r>
          <w:rPr>
            <w:noProof/>
            <w:webHidden/>
          </w:rPr>
          <w:fldChar w:fldCharType="end"/>
        </w:r>
      </w:hyperlink>
    </w:p>
    <w:p w14:paraId="6E9BB7E9" w14:textId="2AAC44B9" w:rsidR="003F4427" w:rsidRDefault="003F4427">
      <w:pPr>
        <w:pStyle w:val="Kazaloslik"/>
        <w:tabs>
          <w:tab w:val="right" w:leader="dot" w:pos="9062"/>
        </w:tabs>
        <w:rPr>
          <w:rFonts w:asciiTheme="minorHAnsi" w:eastAsiaTheme="minorEastAsia" w:hAnsiTheme="minorHAnsi"/>
          <w:noProof/>
          <w:sz w:val="22"/>
          <w:lang w:eastAsia="sl-SI"/>
        </w:rPr>
      </w:pPr>
      <w:hyperlink w:anchor="_Toc55913783" w:history="1">
        <w:r w:rsidRPr="00033F22">
          <w:rPr>
            <w:rStyle w:val="Hiperpovezava"/>
            <w:noProof/>
          </w:rPr>
          <w:t>Slika 34: Osnovni ekonomski kazalniki pri reji jagnjet (indeks; povprečje 2014–2018 = 100)</w:t>
        </w:r>
        <w:r>
          <w:rPr>
            <w:noProof/>
            <w:webHidden/>
          </w:rPr>
          <w:tab/>
        </w:r>
        <w:r>
          <w:rPr>
            <w:noProof/>
            <w:webHidden/>
          </w:rPr>
          <w:fldChar w:fldCharType="begin"/>
        </w:r>
        <w:r>
          <w:rPr>
            <w:noProof/>
            <w:webHidden/>
          </w:rPr>
          <w:instrText xml:space="preserve"> PAGEREF _Toc55913783 \h </w:instrText>
        </w:r>
        <w:r>
          <w:rPr>
            <w:noProof/>
            <w:webHidden/>
          </w:rPr>
        </w:r>
        <w:r>
          <w:rPr>
            <w:noProof/>
            <w:webHidden/>
          </w:rPr>
          <w:fldChar w:fldCharType="separate"/>
        </w:r>
        <w:r w:rsidR="00ED2796">
          <w:rPr>
            <w:noProof/>
            <w:webHidden/>
          </w:rPr>
          <w:t>79</w:t>
        </w:r>
        <w:r>
          <w:rPr>
            <w:noProof/>
            <w:webHidden/>
          </w:rPr>
          <w:fldChar w:fldCharType="end"/>
        </w:r>
      </w:hyperlink>
    </w:p>
    <w:p w14:paraId="66EB6971" w14:textId="6602D7D8" w:rsidR="003F4427" w:rsidRDefault="003F4427">
      <w:pPr>
        <w:pStyle w:val="Kazaloslik"/>
        <w:tabs>
          <w:tab w:val="right" w:leader="dot" w:pos="9062"/>
        </w:tabs>
        <w:rPr>
          <w:rFonts w:asciiTheme="minorHAnsi" w:eastAsiaTheme="minorEastAsia" w:hAnsiTheme="minorHAnsi"/>
          <w:noProof/>
          <w:sz w:val="22"/>
          <w:lang w:eastAsia="sl-SI"/>
        </w:rPr>
      </w:pPr>
      <w:hyperlink w:anchor="_Toc55913784" w:history="1">
        <w:r w:rsidRPr="00033F22">
          <w:rPr>
            <w:rStyle w:val="Hiperpovezava"/>
            <w:noProof/>
          </w:rPr>
          <w:t>Slika 35: Površina zelenjadnic (ha) za tržne in netržne pridelovalce (2007-2019)</w:t>
        </w:r>
        <w:r>
          <w:rPr>
            <w:noProof/>
            <w:webHidden/>
          </w:rPr>
          <w:tab/>
        </w:r>
        <w:r>
          <w:rPr>
            <w:noProof/>
            <w:webHidden/>
          </w:rPr>
          <w:fldChar w:fldCharType="begin"/>
        </w:r>
        <w:r>
          <w:rPr>
            <w:noProof/>
            <w:webHidden/>
          </w:rPr>
          <w:instrText xml:space="preserve"> PAGEREF _Toc55913784 \h </w:instrText>
        </w:r>
        <w:r>
          <w:rPr>
            <w:noProof/>
            <w:webHidden/>
          </w:rPr>
        </w:r>
        <w:r>
          <w:rPr>
            <w:noProof/>
            <w:webHidden/>
          </w:rPr>
          <w:fldChar w:fldCharType="separate"/>
        </w:r>
        <w:r w:rsidR="00ED2796">
          <w:rPr>
            <w:noProof/>
            <w:webHidden/>
          </w:rPr>
          <w:t>90</w:t>
        </w:r>
        <w:r>
          <w:rPr>
            <w:noProof/>
            <w:webHidden/>
          </w:rPr>
          <w:fldChar w:fldCharType="end"/>
        </w:r>
      </w:hyperlink>
    </w:p>
    <w:p w14:paraId="7039015E" w14:textId="4FD3956F" w:rsidR="003F4427" w:rsidRDefault="003F4427">
      <w:pPr>
        <w:pStyle w:val="Kazaloslik"/>
        <w:tabs>
          <w:tab w:val="right" w:leader="dot" w:pos="9062"/>
        </w:tabs>
        <w:rPr>
          <w:rFonts w:asciiTheme="minorHAnsi" w:eastAsiaTheme="minorEastAsia" w:hAnsiTheme="minorHAnsi"/>
          <w:noProof/>
          <w:sz w:val="22"/>
          <w:lang w:eastAsia="sl-SI"/>
        </w:rPr>
      </w:pPr>
      <w:hyperlink w:anchor="_Toc55913785" w:history="1">
        <w:r w:rsidRPr="00033F22">
          <w:rPr>
            <w:rStyle w:val="Hiperpovezava"/>
            <w:noProof/>
          </w:rPr>
          <w:t>Slika 36: Pridelek zelenjadnic (t) pri tržnih in netržnih pridelovalcih (2007-2019)</w:t>
        </w:r>
        <w:r>
          <w:rPr>
            <w:noProof/>
            <w:webHidden/>
          </w:rPr>
          <w:tab/>
        </w:r>
        <w:r>
          <w:rPr>
            <w:noProof/>
            <w:webHidden/>
          </w:rPr>
          <w:fldChar w:fldCharType="begin"/>
        </w:r>
        <w:r>
          <w:rPr>
            <w:noProof/>
            <w:webHidden/>
          </w:rPr>
          <w:instrText xml:space="preserve"> PAGEREF _Toc55913785 \h </w:instrText>
        </w:r>
        <w:r>
          <w:rPr>
            <w:noProof/>
            <w:webHidden/>
          </w:rPr>
        </w:r>
        <w:r>
          <w:rPr>
            <w:noProof/>
            <w:webHidden/>
          </w:rPr>
          <w:fldChar w:fldCharType="separate"/>
        </w:r>
        <w:r w:rsidR="00ED2796">
          <w:rPr>
            <w:noProof/>
            <w:webHidden/>
          </w:rPr>
          <w:t>90</w:t>
        </w:r>
        <w:r>
          <w:rPr>
            <w:noProof/>
            <w:webHidden/>
          </w:rPr>
          <w:fldChar w:fldCharType="end"/>
        </w:r>
      </w:hyperlink>
    </w:p>
    <w:p w14:paraId="55F673E0" w14:textId="6188EEFB" w:rsidR="003F4427" w:rsidRDefault="003F4427">
      <w:pPr>
        <w:pStyle w:val="Kazaloslik"/>
        <w:tabs>
          <w:tab w:val="right" w:leader="dot" w:pos="9062"/>
        </w:tabs>
        <w:rPr>
          <w:rFonts w:asciiTheme="minorHAnsi" w:eastAsiaTheme="minorEastAsia" w:hAnsiTheme="minorHAnsi"/>
          <w:noProof/>
          <w:sz w:val="22"/>
          <w:lang w:eastAsia="sl-SI"/>
        </w:rPr>
      </w:pPr>
      <w:hyperlink w:anchor="_Toc55913786" w:history="1">
        <w:r w:rsidRPr="00033F22">
          <w:rPr>
            <w:rStyle w:val="Hiperpovezava"/>
            <w:noProof/>
          </w:rPr>
          <w:t xml:space="preserve">Slika 37: </w:t>
        </w:r>
        <w:r w:rsidRPr="00033F22">
          <w:rPr>
            <w:rStyle w:val="Hiperpovezava"/>
            <w:rFonts w:eastAsia="Calibri"/>
            <w:noProof/>
            <w:lang w:eastAsia="en-GB"/>
          </w:rPr>
          <w:t>Pridelava in poraba zelenjave (v 1000 t, ekvivalent sveže zelenjave)</w:t>
        </w:r>
        <w:r>
          <w:rPr>
            <w:noProof/>
            <w:webHidden/>
          </w:rPr>
          <w:tab/>
        </w:r>
        <w:r>
          <w:rPr>
            <w:noProof/>
            <w:webHidden/>
          </w:rPr>
          <w:fldChar w:fldCharType="begin"/>
        </w:r>
        <w:r>
          <w:rPr>
            <w:noProof/>
            <w:webHidden/>
          </w:rPr>
          <w:instrText xml:space="preserve"> PAGEREF _Toc55913786 \h </w:instrText>
        </w:r>
        <w:r>
          <w:rPr>
            <w:noProof/>
            <w:webHidden/>
          </w:rPr>
        </w:r>
        <w:r>
          <w:rPr>
            <w:noProof/>
            <w:webHidden/>
          </w:rPr>
          <w:fldChar w:fldCharType="separate"/>
        </w:r>
        <w:r w:rsidR="00ED2796">
          <w:rPr>
            <w:noProof/>
            <w:webHidden/>
          </w:rPr>
          <w:t>91</w:t>
        </w:r>
        <w:r>
          <w:rPr>
            <w:noProof/>
            <w:webHidden/>
          </w:rPr>
          <w:fldChar w:fldCharType="end"/>
        </w:r>
      </w:hyperlink>
    </w:p>
    <w:p w14:paraId="6AC8349C" w14:textId="3B31463B" w:rsidR="003F4427" w:rsidRDefault="003F4427">
      <w:pPr>
        <w:pStyle w:val="Kazaloslik"/>
        <w:tabs>
          <w:tab w:val="right" w:leader="dot" w:pos="9062"/>
        </w:tabs>
        <w:rPr>
          <w:rFonts w:asciiTheme="minorHAnsi" w:eastAsiaTheme="minorEastAsia" w:hAnsiTheme="minorHAnsi"/>
          <w:noProof/>
          <w:sz w:val="22"/>
          <w:lang w:eastAsia="sl-SI"/>
        </w:rPr>
      </w:pPr>
      <w:hyperlink w:anchor="_Toc55913787" w:history="1">
        <w:r w:rsidRPr="00033F22">
          <w:rPr>
            <w:rStyle w:val="Hiperpovezava"/>
            <w:noProof/>
          </w:rPr>
          <w:t xml:space="preserve">Slika 38: </w:t>
        </w:r>
        <w:r w:rsidRPr="00033F22">
          <w:rPr>
            <w:rStyle w:val="Hiperpovezava"/>
            <w:rFonts w:eastAsia="Times New Roman" w:cs="Arial"/>
            <w:noProof/>
          </w:rPr>
          <w:t>Površine (ha) vrtnin na prostem in v zaščitenem prostoru vključene v ekološko pridelavo</w:t>
        </w:r>
        <w:r>
          <w:rPr>
            <w:noProof/>
            <w:webHidden/>
          </w:rPr>
          <w:tab/>
        </w:r>
        <w:r>
          <w:rPr>
            <w:noProof/>
            <w:webHidden/>
          </w:rPr>
          <w:fldChar w:fldCharType="begin"/>
        </w:r>
        <w:r>
          <w:rPr>
            <w:noProof/>
            <w:webHidden/>
          </w:rPr>
          <w:instrText xml:space="preserve"> PAGEREF _Toc55913787 \h </w:instrText>
        </w:r>
        <w:r>
          <w:rPr>
            <w:noProof/>
            <w:webHidden/>
          </w:rPr>
        </w:r>
        <w:r>
          <w:rPr>
            <w:noProof/>
            <w:webHidden/>
          </w:rPr>
          <w:fldChar w:fldCharType="separate"/>
        </w:r>
        <w:r w:rsidR="00ED2796">
          <w:rPr>
            <w:noProof/>
            <w:webHidden/>
          </w:rPr>
          <w:t>91</w:t>
        </w:r>
        <w:r>
          <w:rPr>
            <w:noProof/>
            <w:webHidden/>
          </w:rPr>
          <w:fldChar w:fldCharType="end"/>
        </w:r>
      </w:hyperlink>
    </w:p>
    <w:p w14:paraId="1D973584" w14:textId="3D96FDDF" w:rsidR="003F4427" w:rsidRDefault="003F4427">
      <w:pPr>
        <w:pStyle w:val="Kazaloslik"/>
        <w:tabs>
          <w:tab w:val="right" w:leader="dot" w:pos="9062"/>
        </w:tabs>
        <w:rPr>
          <w:rFonts w:asciiTheme="minorHAnsi" w:eastAsiaTheme="minorEastAsia" w:hAnsiTheme="minorHAnsi"/>
          <w:noProof/>
          <w:sz w:val="22"/>
          <w:lang w:eastAsia="sl-SI"/>
        </w:rPr>
      </w:pPr>
      <w:hyperlink w:anchor="_Toc55913788" w:history="1">
        <w:r w:rsidRPr="00033F22">
          <w:rPr>
            <w:rStyle w:val="Hiperpovezava"/>
            <w:noProof/>
          </w:rPr>
          <w:t>Slika 39: Površine (ha) vključene v integrirano pridelavo zelenjadnic na prostem in v zaščitenem prostoru</w:t>
        </w:r>
        <w:r>
          <w:rPr>
            <w:noProof/>
            <w:webHidden/>
          </w:rPr>
          <w:tab/>
        </w:r>
        <w:r>
          <w:rPr>
            <w:noProof/>
            <w:webHidden/>
          </w:rPr>
          <w:fldChar w:fldCharType="begin"/>
        </w:r>
        <w:r>
          <w:rPr>
            <w:noProof/>
            <w:webHidden/>
          </w:rPr>
          <w:instrText xml:space="preserve"> PAGEREF _Toc55913788 \h </w:instrText>
        </w:r>
        <w:r>
          <w:rPr>
            <w:noProof/>
            <w:webHidden/>
          </w:rPr>
        </w:r>
        <w:r>
          <w:rPr>
            <w:noProof/>
            <w:webHidden/>
          </w:rPr>
          <w:fldChar w:fldCharType="separate"/>
        </w:r>
        <w:r w:rsidR="00ED2796">
          <w:rPr>
            <w:noProof/>
            <w:webHidden/>
          </w:rPr>
          <w:t>92</w:t>
        </w:r>
        <w:r>
          <w:rPr>
            <w:noProof/>
            <w:webHidden/>
          </w:rPr>
          <w:fldChar w:fldCharType="end"/>
        </w:r>
      </w:hyperlink>
    </w:p>
    <w:p w14:paraId="4CECD1B5" w14:textId="6F10E562" w:rsidR="003F4427" w:rsidRDefault="003F4427">
      <w:pPr>
        <w:pStyle w:val="Kazaloslik"/>
        <w:tabs>
          <w:tab w:val="right" w:leader="dot" w:pos="9062"/>
        </w:tabs>
        <w:rPr>
          <w:rFonts w:asciiTheme="minorHAnsi" w:eastAsiaTheme="minorEastAsia" w:hAnsiTheme="minorHAnsi"/>
          <w:noProof/>
          <w:sz w:val="22"/>
          <w:lang w:eastAsia="sl-SI"/>
        </w:rPr>
      </w:pPr>
      <w:hyperlink w:anchor="_Toc55913789" w:history="1">
        <w:r w:rsidRPr="00033F22">
          <w:rPr>
            <w:rStyle w:val="Hiperpovezava"/>
            <w:noProof/>
          </w:rPr>
          <w:t>Slika 40: Pridelovalne površine z zelišči, dišavnicami in zdravilnimi rastlinam (2000-2019)</w:t>
        </w:r>
        <w:r>
          <w:rPr>
            <w:noProof/>
            <w:webHidden/>
          </w:rPr>
          <w:tab/>
        </w:r>
        <w:r>
          <w:rPr>
            <w:noProof/>
            <w:webHidden/>
          </w:rPr>
          <w:fldChar w:fldCharType="begin"/>
        </w:r>
        <w:r>
          <w:rPr>
            <w:noProof/>
            <w:webHidden/>
          </w:rPr>
          <w:instrText xml:space="preserve"> PAGEREF _Toc55913789 \h </w:instrText>
        </w:r>
        <w:r>
          <w:rPr>
            <w:noProof/>
            <w:webHidden/>
          </w:rPr>
        </w:r>
        <w:r>
          <w:rPr>
            <w:noProof/>
            <w:webHidden/>
          </w:rPr>
          <w:fldChar w:fldCharType="separate"/>
        </w:r>
        <w:r w:rsidR="00ED2796">
          <w:rPr>
            <w:noProof/>
            <w:webHidden/>
          </w:rPr>
          <w:t>96</w:t>
        </w:r>
        <w:r>
          <w:rPr>
            <w:noProof/>
            <w:webHidden/>
          </w:rPr>
          <w:fldChar w:fldCharType="end"/>
        </w:r>
      </w:hyperlink>
    </w:p>
    <w:p w14:paraId="3435F4E8" w14:textId="17D6D89B" w:rsidR="003F4427" w:rsidRDefault="003F4427">
      <w:pPr>
        <w:pStyle w:val="Kazaloslik"/>
        <w:tabs>
          <w:tab w:val="right" w:leader="dot" w:pos="9062"/>
        </w:tabs>
        <w:rPr>
          <w:rFonts w:asciiTheme="minorHAnsi" w:eastAsiaTheme="minorEastAsia" w:hAnsiTheme="minorHAnsi"/>
          <w:noProof/>
          <w:sz w:val="22"/>
          <w:lang w:eastAsia="sl-SI"/>
        </w:rPr>
      </w:pPr>
      <w:hyperlink w:anchor="_Toc55913790" w:history="1">
        <w:r w:rsidRPr="00033F22">
          <w:rPr>
            <w:rStyle w:val="Hiperpovezava"/>
            <w:noProof/>
          </w:rPr>
          <w:t>Slika 41: Število kmetijskih gospodarstev (KMG), ki pridelujejo zelišča, dišavnice in zdravilne rastline</w:t>
        </w:r>
        <w:r>
          <w:rPr>
            <w:noProof/>
            <w:webHidden/>
          </w:rPr>
          <w:tab/>
        </w:r>
        <w:r>
          <w:rPr>
            <w:noProof/>
            <w:webHidden/>
          </w:rPr>
          <w:fldChar w:fldCharType="begin"/>
        </w:r>
        <w:r>
          <w:rPr>
            <w:noProof/>
            <w:webHidden/>
          </w:rPr>
          <w:instrText xml:space="preserve"> PAGEREF _Toc55913790 \h </w:instrText>
        </w:r>
        <w:r>
          <w:rPr>
            <w:noProof/>
            <w:webHidden/>
          </w:rPr>
        </w:r>
        <w:r>
          <w:rPr>
            <w:noProof/>
            <w:webHidden/>
          </w:rPr>
          <w:fldChar w:fldCharType="separate"/>
        </w:r>
        <w:r w:rsidR="00ED2796">
          <w:rPr>
            <w:noProof/>
            <w:webHidden/>
          </w:rPr>
          <w:t>96</w:t>
        </w:r>
        <w:r>
          <w:rPr>
            <w:noProof/>
            <w:webHidden/>
          </w:rPr>
          <w:fldChar w:fldCharType="end"/>
        </w:r>
      </w:hyperlink>
    </w:p>
    <w:p w14:paraId="15012E31" w14:textId="48966CD0" w:rsidR="003F4427" w:rsidRDefault="003F4427">
      <w:pPr>
        <w:pStyle w:val="Kazaloslik"/>
        <w:tabs>
          <w:tab w:val="right" w:leader="dot" w:pos="9062"/>
        </w:tabs>
        <w:rPr>
          <w:rFonts w:asciiTheme="minorHAnsi" w:eastAsiaTheme="minorEastAsia" w:hAnsiTheme="minorHAnsi"/>
          <w:noProof/>
          <w:sz w:val="22"/>
          <w:lang w:eastAsia="sl-SI"/>
        </w:rPr>
      </w:pPr>
      <w:hyperlink w:anchor="_Toc55913791" w:history="1">
        <w:r w:rsidRPr="00033F22">
          <w:rPr>
            <w:rStyle w:val="Hiperpovezava"/>
            <w:noProof/>
          </w:rPr>
          <w:t>Slika 42: Površina in pridelek sadja (2007–2019)</w:t>
        </w:r>
        <w:r>
          <w:rPr>
            <w:noProof/>
            <w:webHidden/>
          </w:rPr>
          <w:tab/>
        </w:r>
        <w:r>
          <w:rPr>
            <w:noProof/>
            <w:webHidden/>
          </w:rPr>
          <w:fldChar w:fldCharType="begin"/>
        </w:r>
        <w:r>
          <w:rPr>
            <w:noProof/>
            <w:webHidden/>
          </w:rPr>
          <w:instrText xml:space="preserve"> PAGEREF _Toc55913791 \h </w:instrText>
        </w:r>
        <w:r>
          <w:rPr>
            <w:noProof/>
            <w:webHidden/>
          </w:rPr>
        </w:r>
        <w:r>
          <w:rPr>
            <w:noProof/>
            <w:webHidden/>
          </w:rPr>
          <w:fldChar w:fldCharType="separate"/>
        </w:r>
        <w:r w:rsidR="00ED2796">
          <w:rPr>
            <w:noProof/>
            <w:webHidden/>
          </w:rPr>
          <w:t>98</w:t>
        </w:r>
        <w:r>
          <w:rPr>
            <w:noProof/>
            <w:webHidden/>
          </w:rPr>
          <w:fldChar w:fldCharType="end"/>
        </w:r>
      </w:hyperlink>
    </w:p>
    <w:p w14:paraId="6955D355" w14:textId="23FC4F17" w:rsidR="003F4427" w:rsidRDefault="003F4427">
      <w:pPr>
        <w:pStyle w:val="Kazaloslik"/>
        <w:tabs>
          <w:tab w:val="right" w:leader="dot" w:pos="9062"/>
        </w:tabs>
        <w:rPr>
          <w:rFonts w:asciiTheme="minorHAnsi" w:eastAsiaTheme="minorEastAsia" w:hAnsiTheme="minorHAnsi"/>
          <w:noProof/>
          <w:sz w:val="22"/>
          <w:lang w:eastAsia="sl-SI"/>
        </w:rPr>
      </w:pPr>
      <w:hyperlink w:anchor="_Toc55913792" w:history="1">
        <w:r w:rsidRPr="00033F22">
          <w:rPr>
            <w:rStyle w:val="Hiperpovezava"/>
            <w:noProof/>
          </w:rPr>
          <w:t xml:space="preserve">Slika 43: </w:t>
        </w:r>
        <w:r w:rsidRPr="00033F22">
          <w:rPr>
            <w:rStyle w:val="Hiperpovezava"/>
            <w:rFonts w:eastAsia="Times New Roman" w:cs="Arial"/>
            <w:noProof/>
            <w:lang w:eastAsia="en-GB"/>
          </w:rPr>
          <w:t>Deleži pokritosti sadovnjakov z mrežami proti toči oz. z namakalnimi sistemi (v %)</w:t>
        </w:r>
        <w:r>
          <w:rPr>
            <w:noProof/>
            <w:webHidden/>
          </w:rPr>
          <w:tab/>
        </w:r>
        <w:r>
          <w:rPr>
            <w:noProof/>
            <w:webHidden/>
          </w:rPr>
          <w:fldChar w:fldCharType="begin"/>
        </w:r>
        <w:r>
          <w:rPr>
            <w:noProof/>
            <w:webHidden/>
          </w:rPr>
          <w:instrText xml:space="preserve"> PAGEREF _Toc55913792 \h </w:instrText>
        </w:r>
        <w:r>
          <w:rPr>
            <w:noProof/>
            <w:webHidden/>
          </w:rPr>
        </w:r>
        <w:r>
          <w:rPr>
            <w:noProof/>
            <w:webHidden/>
          </w:rPr>
          <w:fldChar w:fldCharType="separate"/>
        </w:r>
        <w:r w:rsidR="00ED2796">
          <w:rPr>
            <w:noProof/>
            <w:webHidden/>
          </w:rPr>
          <w:t>98</w:t>
        </w:r>
        <w:r>
          <w:rPr>
            <w:noProof/>
            <w:webHidden/>
          </w:rPr>
          <w:fldChar w:fldCharType="end"/>
        </w:r>
      </w:hyperlink>
    </w:p>
    <w:p w14:paraId="1C99534D" w14:textId="50FD5222" w:rsidR="003F4427" w:rsidRDefault="003F4427">
      <w:pPr>
        <w:pStyle w:val="Kazaloslik"/>
        <w:tabs>
          <w:tab w:val="right" w:leader="dot" w:pos="9062"/>
        </w:tabs>
        <w:rPr>
          <w:rFonts w:asciiTheme="minorHAnsi" w:eastAsiaTheme="minorEastAsia" w:hAnsiTheme="minorHAnsi"/>
          <w:noProof/>
          <w:sz w:val="22"/>
          <w:lang w:eastAsia="sl-SI"/>
        </w:rPr>
      </w:pPr>
      <w:hyperlink w:anchor="_Toc55913793" w:history="1">
        <w:r w:rsidRPr="00033F22">
          <w:rPr>
            <w:rStyle w:val="Hiperpovezava"/>
            <w:noProof/>
          </w:rPr>
          <w:t xml:space="preserve">Slika 44: </w:t>
        </w:r>
        <w:r w:rsidRPr="00033F22">
          <w:rPr>
            <w:rStyle w:val="Hiperpovezava"/>
            <w:rFonts w:cs="Arial"/>
            <w:noProof/>
          </w:rPr>
          <w:t xml:space="preserve">Starostna struktura sadovnjakov (ha) v letih (jablana, hruška, oreh, </w:t>
        </w:r>
        <w:r w:rsidRPr="00033F22">
          <w:rPr>
            <w:rStyle w:val="Hiperpovezava"/>
            <w:noProof/>
          </w:rPr>
          <w:t>češnja</w:t>
        </w:r>
        <w:r w:rsidRPr="00033F22">
          <w:rPr>
            <w:rStyle w:val="Hiperpovezava"/>
            <w:rFonts w:cs="Arial"/>
            <w:noProof/>
          </w:rPr>
          <w:t>)</w:t>
        </w:r>
        <w:r>
          <w:rPr>
            <w:noProof/>
            <w:webHidden/>
          </w:rPr>
          <w:tab/>
        </w:r>
        <w:r>
          <w:rPr>
            <w:noProof/>
            <w:webHidden/>
          </w:rPr>
          <w:fldChar w:fldCharType="begin"/>
        </w:r>
        <w:r>
          <w:rPr>
            <w:noProof/>
            <w:webHidden/>
          </w:rPr>
          <w:instrText xml:space="preserve"> PAGEREF _Toc55913793 \h </w:instrText>
        </w:r>
        <w:r>
          <w:rPr>
            <w:noProof/>
            <w:webHidden/>
          </w:rPr>
        </w:r>
        <w:r>
          <w:rPr>
            <w:noProof/>
            <w:webHidden/>
          </w:rPr>
          <w:fldChar w:fldCharType="separate"/>
        </w:r>
        <w:r w:rsidR="00ED2796">
          <w:rPr>
            <w:noProof/>
            <w:webHidden/>
          </w:rPr>
          <w:t>99</w:t>
        </w:r>
        <w:r>
          <w:rPr>
            <w:noProof/>
            <w:webHidden/>
          </w:rPr>
          <w:fldChar w:fldCharType="end"/>
        </w:r>
      </w:hyperlink>
    </w:p>
    <w:p w14:paraId="411D6845" w14:textId="64DD7681" w:rsidR="003F4427" w:rsidRDefault="003F4427">
      <w:pPr>
        <w:pStyle w:val="Kazaloslik"/>
        <w:tabs>
          <w:tab w:val="right" w:leader="dot" w:pos="9062"/>
        </w:tabs>
        <w:rPr>
          <w:rFonts w:asciiTheme="minorHAnsi" w:eastAsiaTheme="minorEastAsia" w:hAnsiTheme="minorHAnsi"/>
          <w:noProof/>
          <w:sz w:val="22"/>
          <w:lang w:eastAsia="sl-SI"/>
        </w:rPr>
      </w:pPr>
      <w:hyperlink w:anchor="_Toc55913794" w:history="1">
        <w:r w:rsidRPr="00033F22">
          <w:rPr>
            <w:rStyle w:val="Hiperpovezava"/>
            <w:noProof/>
          </w:rPr>
          <w:t>Slika 45: Osnovni ekonomski kazalci pri pridelavi jabolk (indeks, povprečje 2014–2018 = 100)</w:t>
        </w:r>
        <w:r>
          <w:rPr>
            <w:noProof/>
            <w:webHidden/>
          </w:rPr>
          <w:tab/>
        </w:r>
        <w:r>
          <w:rPr>
            <w:noProof/>
            <w:webHidden/>
          </w:rPr>
          <w:fldChar w:fldCharType="begin"/>
        </w:r>
        <w:r>
          <w:rPr>
            <w:noProof/>
            <w:webHidden/>
          </w:rPr>
          <w:instrText xml:space="preserve"> PAGEREF _Toc55913794 \h </w:instrText>
        </w:r>
        <w:r>
          <w:rPr>
            <w:noProof/>
            <w:webHidden/>
          </w:rPr>
        </w:r>
        <w:r>
          <w:rPr>
            <w:noProof/>
            <w:webHidden/>
          </w:rPr>
          <w:fldChar w:fldCharType="separate"/>
        </w:r>
        <w:r w:rsidR="00ED2796">
          <w:rPr>
            <w:noProof/>
            <w:webHidden/>
          </w:rPr>
          <w:t>100</w:t>
        </w:r>
        <w:r>
          <w:rPr>
            <w:noProof/>
            <w:webHidden/>
          </w:rPr>
          <w:fldChar w:fldCharType="end"/>
        </w:r>
      </w:hyperlink>
    </w:p>
    <w:p w14:paraId="2035FADB" w14:textId="7D8BAEEE" w:rsidR="003F4427" w:rsidRDefault="003F4427">
      <w:pPr>
        <w:pStyle w:val="Kazaloslik"/>
        <w:tabs>
          <w:tab w:val="right" w:leader="dot" w:pos="9062"/>
        </w:tabs>
        <w:rPr>
          <w:rFonts w:asciiTheme="minorHAnsi" w:eastAsiaTheme="minorEastAsia" w:hAnsiTheme="minorHAnsi"/>
          <w:noProof/>
          <w:sz w:val="22"/>
          <w:lang w:eastAsia="sl-SI"/>
        </w:rPr>
      </w:pPr>
      <w:hyperlink w:anchor="_Toc55913795" w:history="1">
        <w:r w:rsidRPr="00033F22">
          <w:rPr>
            <w:rStyle w:val="Hiperpovezava"/>
            <w:noProof/>
          </w:rPr>
          <w:t>Slika 46: Površina oljčnikov in št. KMG</w:t>
        </w:r>
        <w:r>
          <w:rPr>
            <w:noProof/>
            <w:webHidden/>
          </w:rPr>
          <w:tab/>
        </w:r>
        <w:r>
          <w:rPr>
            <w:noProof/>
            <w:webHidden/>
          </w:rPr>
          <w:fldChar w:fldCharType="begin"/>
        </w:r>
        <w:r>
          <w:rPr>
            <w:noProof/>
            <w:webHidden/>
          </w:rPr>
          <w:instrText xml:space="preserve"> PAGEREF _Toc55913795 \h </w:instrText>
        </w:r>
        <w:r>
          <w:rPr>
            <w:noProof/>
            <w:webHidden/>
          </w:rPr>
        </w:r>
        <w:r>
          <w:rPr>
            <w:noProof/>
            <w:webHidden/>
          </w:rPr>
          <w:fldChar w:fldCharType="separate"/>
        </w:r>
        <w:r w:rsidR="00ED2796">
          <w:rPr>
            <w:noProof/>
            <w:webHidden/>
          </w:rPr>
          <w:t>109</w:t>
        </w:r>
        <w:r>
          <w:rPr>
            <w:noProof/>
            <w:webHidden/>
          </w:rPr>
          <w:fldChar w:fldCharType="end"/>
        </w:r>
      </w:hyperlink>
    </w:p>
    <w:p w14:paraId="51E56A97" w14:textId="3B4E1331" w:rsidR="003F4427" w:rsidRDefault="003F4427">
      <w:pPr>
        <w:pStyle w:val="Kazaloslik"/>
        <w:tabs>
          <w:tab w:val="right" w:leader="dot" w:pos="9062"/>
        </w:tabs>
        <w:rPr>
          <w:rFonts w:asciiTheme="minorHAnsi" w:eastAsiaTheme="minorEastAsia" w:hAnsiTheme="minorHAnsi"/>
          <w:noProof/>
          <w:sz w:val="22"/>
          <w:lang w:eastAsia="sl-SI"/>
        </w:rPr>
      </w:pPr>
      <w:hyperlink w:anchor="_Toc55913796" w:history="1">
        <w:r w:rsidRPr="00033F22">
          <w:rPr>
            <w:rStyle w:val="Hiperpovezava"/>
            <w:noProof/>
          </w:rPr>
          <w:t>Slika 47: Pridelek oljk</w:t>
        </w:r>
        <w:r>
          <w:rPr>
            <w:noProof/>
            <w:webHidden/>
          </w:rPr>
          <w:tab/>
        </w:r>
        <w:r>
          <w:rPr>
            <w:noProof/>
            <w:webHidden/>
          </w:rPr>
          <w:fldChar w:fldCharType="begin"/>
        </w:r>
        <w:r>
          <w:rPr>
            <w:noProof/>
            <w:webHidden/>
          </w:rPr>
          <w:instrText xml:space="preserve"> PAGEREF _Toc55913796 \h </w:instrText>
        </w:r>
        <w:r>
          <w:rPr>
            <w:noProof/>
            <w:webHidden/>
          </w:rPr>
        </w:r>
        <w:r>
          <w:rPr>
            <w:noProof/>
            <w:webHidden/>
          </w:rPr>
          <w:fldChar w:fldCharType="separate"/>
        </w:r>
        <w:r w:rsidR="00ED2796">
          <w:rPr>
            <w:noProof/>
            <w:webHidden/>
          </w:rPr>
          <w:t>110</w:t>
        </w:r>
        <w:r>
          <w:rPr>
            <w:noProof/>
            <w:webHidden/>
          </w:rPr>
          <w:fldChar w:fldCharType="end"/>
        </w:r>
      </w:hyperlink>
    </w:p>
    <w:p w14:paraId="6937042F" w14:textId="51F29ECD" w:rsidR="003F4427" w:rsidRDefault="003F4427">
      <w:pPr>
        <w:pStyle w:val="Kazaloslik"/>
        <w:tabs>
          <w:tab w:val="right" w:leader="dot" w:pos="9062"/>
        </w:tabs>
        <w:rPr>
          <w:rFonts w:asciiTheme="minorHAnsi" w:eastAsiaTheme="minorEastAsia" w:hAnsiTheme="minorHAnsi"/>
          <w:noProof/>
          <w:sz w:val="22"/>
          <w:lang w:eastAsia="sl-SI"/>
        </w:rPr>
      </w:pPr>
      <w:hyperlink w:anchor="_Toc55913797" w:history="1">
        <w:r w:rsidRPr="00033F22">
          <w:rPr>
            <w:rStyle w:val="Hiperpovezava"/>
            <w:noProof/>
          </w:rPr>
          <w:t>Slika 48: Proizvodnja oljčnega olja</w:t>
        </w:r>
        <w:r>
          <w:rPr>
            <w:noProof/>
            <w:webHidden/>
          </w:rPr>
          <w:tab/>
        </w:r>
        <w:r>
          <w:rPr>
            <w:noProof/>
            <w:webHidden/>
          </w:rPr>
          <w:fldChar w:fldCharType="begin"/>
        </w:r>
        <w:r>
          <w:rPr>
            <w:noProof/>
            <w:webHidden/>
          </w:rPr>
          <w:instrText xml:space="preserve"> PAGEREF _Toc55913797 \h </w:instrText>
        </w:r>
        <w:r>
          <w:rPr>
            <w:noProof/>
            <w:webHidden/>
          </w:rPr>
        </w:r>
        <w:r>
          <w:rPr>
            <w:noProof/>
            <w:webHidden/>
          </w:rPr>
          <w:fldChar w:fldCharType="separate"/>
        </w:r>
        <w:r w:rsidR="00ED2796">
          <w:rPr>
            <w:noProof/>
            <w:webHidden/>
          </w:rPr>
          <w:t>110</w:t>
        </w:r>
        <w:r>
          <w:rPr>
            <w:noProof/>
            <w:webHidden/>
          </w:rPr>
          <w:fldChar w:fldCharType="end"/>
        </w:r>
      </w:hyperlink>
    </w:p>
    <w:p w14:paraId="7EA87D66" w14:textId="4B55145F" w:rsidR="003F4427" w:rsidRDefault="003F4427">
      <w:pPr>
        <w:pStyle w:val="Kazaloslik"/>
        <w:tabs>
          <w:tab w:val="right" w:leader="dot" w:pos="9062"/>
        </w:tabs>
        <w:rPr>
          <w:rFonts w:asciiTheme="minorHAnsi" w:eastAsiaTheme="minorEastAsia" w:hAnsiTheme="minorHAnsi"/>
          <w:noProof/>
          <w:sz w:val="22"/>
          <w:lang w:eastAsia="sl-SI"/>
        </w:rPr>
      </w:pPr>
      <w:hyperlink w:anchor="_Toc55913798" w:history="1">
        <w:r w:rsidRPr="00033F22">
          <w:rPr>
            <w:rStyle w:val="Hiperpovezava"/>
            <w:noProof/>
          </w:rPr>
          <w:t>Slika 49: Površina oljčnikov z ekološko pridelavo (ha)</w:t>
        </w:r>
        <w:r>
          <w:rPr>
            <w:noProof/>
            <w:webHidden/>
          </w:rPr>
          <w:tab/>
        </w:r>
        <w:r>
          <w:rPr>
            <w:noProof/>
            <w:webHidden/>
          </w:rPr>
          <w:fldChar w:fldCharType="begin"/>
        </w:r>
        <w:r>
          <w:rPr>
            <w:noProof/>
            <w:webHidden/>
          </w:rPr>
          <w:instrText xml:space="preserve"> PAGEREF _Toc55913798 \h </w:instrText>
        </w:r>
        <w:r>
          <w:rPr>
            <w:noProof/>
            <w:webHidden/>
          </w:rPr>
        </w:r>
        <w:r>
          <w:rPr>
            <w:noProof/>
            <w:webHidden/>
          </w:rPr>
          <w:fldChar w:fldCharType="separate"/>
        </w:r>
        <w:r w:rsidR="00ED2796">
          <w:rPr>
            <w:noProof/>
            <w:webHidden/>
          </w:rPr>
          <w:t>111</w:t>
        </w:r>
        <w:r>
          <w:rPr>
            <w:noProof/>
            <w:webHidden/>
          </w:rPr>
          <w:fldChar w:fldCharType="end"/>
        </w:r>
      </w:hyperlink>
    </w:p>
    <w:p w14:paraId="20DFBBB3" w14:textId="593F11F4" w:rsidR="003F4427" w:rsidRDefault="003F4427">
      <w:pPr>
        <w:pStyle w:val="Kazaloslik"/>
        <w:tabs>
          <w:tab w:val="right" w:leader="dot" w:pos="9062"/>
        </w:tabs>
        <w:rPr>
          <w:rFonts w:asciiTheme="minorHAnsi" w:eastAsiaTheme="minorEastAsia" w:hAnsiTheme="minorHAnsi"/>
          <w:noProof/>
          <w:sz w:val="22"/>
          <w:lang w:eastAsia="sl-SI"/>
        </w:rPr>
      </w:pPr>
      <w:hyperlink w:anchor="_Toc55913799" w:history="1">
        <w:r w:rsidRPr="00033F22">
          <w:rPr>
            <w:rStyle w:val="Hiperpovezava"/>
            <w:noProof/>
          </w:rPr>
          <w:t>Slika 50: Površina in pridelek hmelja (2007–2019)</w:t>
        </w:r>
        <w:r>
          <w:rPr>
            <w:noProof/>
            <w:webHidden/>
          </w:rPr>
          <w:tab/>
        </w:r>
        <w:r>
          <w:rPr>
            <w:noProof/>
            <w:webHidden/>
          </w:rPr>
          <w:fldChar w:fldCharType="begin"/>
        </w:r>
        <w:r>
          <w:rPr>
            <w:noProof/>
            <w:webHidden/>
          </w:rPr>
          <w:instrText xml:space="preserve"> PAGEREF _Toc55913799 \h </w:instrText>
        </w:r>
        <w:r>
          <w:rPr>
            <w:noProof/>
            <w:webHidden/>
          </w:rPr>
        </w:r>
        <w:r>
          <w:rPr>
            <w:noProof/>
            <w:webHidden/>
          </w:rPr>
          <w:fldChar w:fldCharType="separate"/>
        </w:r>
        <w:r w:rsidR="00ED2796">
          <w:rPr>
            <w:noProof/>
            <w:webHidden/>
          </w:rPr>
          <w:t>114</w:t>
        </w:r>
        <w:r>
          <w:rPr>
            <w:noProof/>
            <w:webHidden/>
          </w:rPr>
          <w:fldChar w:fldCharType="end"/>
        </w:r>
      </w:hyperlink>
    </w:p>
    <w:p w14:paraId="42308F6E" w14:textId="264FB3C9" w:rsidR="003F4427" w:rsidRDefault="003F4427">
      <w:pPr>
        <w:pStyle w:val="Kazaloslik"/>
        <w:tabs>
          <w:tab w:val="right" w:leader="dot" w:pos="9062"/>
        </w:tabs>
        <w:rPr>
          <w:rFonts w:asciiTheme="minorHAnsi" w:eastAsiaTheme="minorEastAsia" w:hAnsiTheme="minorHAnsi"/>
          <w:noProof/>
          <w:sz w:val="22"/>
          <w:lang w:eastAsia="sl-SI"/>
        </w:rPr>
      </w:pPr>
      <w:hyperlink w:anchor="_Toc55913800" w:history="1">
        <w:r w:rsidRPr="00033F22">
          <w:rPr>
            <w:rStyle w:val="Hiperpovezava"/>
            <w:noProof/>
          </w:rPr>
          <w:t>Slika 51: Delež površin semenskih posevkov po skupinah rastlin od 2014–2019 v primerjavi z obdobjem 2009–2013</w:t>
        </w:r>
        <w:r>
          <w:rPr>
            <w:noProof/>
            <w:webHidden/>
          </w:rPr>
          <w:tab/>
        </w:r>
        <w:r>
          <w:rPr>
            <w:noProof/>
            <w:webHidden/>
          </w:rPr>
          <w:fldChar w:fldCharType="begin"/>
        </w:r>
        <w:r>
          <w:rPr>
            <w:noProof/>
            <w:webHidden/>
          </w:rPr>
          <w:instrText xml:space="preserve"> PAGEREF _Toc55913800 \h </w:instrText>
        </w:r>
        <w:r>
          <w:rPr>
            <w:noProof/>
            <w:webHidden/>
          </w:rPr>
        </w:r>
        <w:r>
          <w:rPr>
            <w:noProof/>
            <w:webHidden/>
          </w:rPr>
          <w:fldChar w:fldCharType="separate"/>
        </w:r>
        <w:r w:rsidR="00ED2796">
          <w:rPr>
            <w:noProof/>
            <w:webHidden/>
          </w:rPr>
          <w:t>119</w:t>
        </w:r>
        <w:r>
          <w:rPr>
            <w:noProof/>
            <w:webHidden/>
          </w:rPr>
          <w:fldChar w:fldCharType="end"/>
        </w:r>
      </w:hyperlink>
    </w:p>
    <w:p w14:paraId="5BFB3AC9" w14:textId="4E41270C" w:rsidR="003F4427" w:rsidRDefault="003F4427">
      <w:pPr>
        <w:pStyle w:val="Kazaloslik"/>
        <w:tabs>
          <w:tab w:val="right" w:leader="dot" w:pos="9062"/>
        </w:tabs>
        <w:rPr>
          <w:rFonts w:asciiTheme="minorHAnsi" w:eastAsiaTheme="minorEastAsia" w:hAnsiTheme="minorHAnsi"/>
          <w:noProof/>
          <w:sz w:val="22"/>
          <w:lang w:eastAsia="sl-SI"/>
        </w:rPr>
      </w:pPr>
      <w:hyperlink w:anchor="_Toc55913801" w:history="1">
        <w:r w:rsidRPr="00033F22">
          <w:rPr>
            <w:rStyle w:val="Hiperpovezava"/>
            <w:noProof/>
          </w:rPr>
          <w:t>Slika 52: Obseg pridelave semena žit (2014–2019)</w:t>
        </w:r>
        <w:r>
          <w:rPr>
            <w:noProof/>
            <w:webHidden/>
          </w:rPr>
          <w:tab/>
        </w:r>
        <w:r>
          <w:rPr>
            <w:noProof/>
            <w:webHidden/>
          </w:rPr>
          <w:fldChar w:fldCharType="begin"/>
        </w:r>
        <w:r>
          <w:rPr>
            <w:noProof/>
            <w:webHidden/>
          </w:rPr>
          <w:instrText xml:space="preserve"> PAGEREF _Toc55913801 \h </w:instrText>
        </w:r>
        <w:r>
          <w:rPr>
            <w:noProof/>
            <w:webHidden/>
          </w:rPr>
        </w:r>
        <w:r>
          <w:rPr>
            <w:noProof/>
            <w:webHidden/>
          </w:rPr>
          <w:fldChar w:fldCharType="separate"/>
        </w:r>
        <w:r w:rsidR="00ED2796">
          <w:rPr>
            <w:noProof/>
            <w:webHidden/>
          </w:rPr>
          <w:t>120</w:t>
        </w:r>
        <w:r>
          <w:rPr>
            <w:noProof/>
            <w:webHidden/>
          </w:rPr>
          <w:fldChar w:fldCharType="end"/>
        </w:r>
      </w:hyperlink>
    </w:p>
    <w:p w14:paraId="500B2A54" w14:textId="431C7F3F" w:rsidR="003F4427" w:rsidRDefault="003F4427">
      <w:pPr>
        <w:pStyle w:val="Kazaloslik"/>
        <w:tabs>
          <w:tab w:val="right" w:leader="dot" w:pos="9062"/>
        </w:tabs>
        <w:rPr>
          <w:rFonts w:asciiTheme="minorHAnsi" w:eastAsiaTheme="minorEastAsia" w:hAnsiTheme="minorHAnsi"/>
          <w:noProof/>
          <w:sz w:val="22"/>
          <w:lang w:eastAsia="sl-SI"/>
        </w:rPr>
      </w:pPr>
      <w:hyperlink w:anchor="_Toc55913802" w:history="1">
        <w:r w:rsidRPr="00033F22">
          <w:rPr>
            <w:rStyle w:val="Hiperpovezava"/>
            <w:noProof/>
          </w:rPr>
          <w:t>Slika 53: Potrjeni pridelki semena (v t)</w:t>
        </w:r>
        <w:r>
          <w:rPr>
            <w:noProof/>
            <w:webHidden/>
          </w:rPr>
          <w:tab/>
        </w:r>
        <w:r>
          <w:rPr>
            <w:noProof/>
            <w:webHidden/>
          </w:rPr>
          <w:fldChar w:fldCharType="begin"/>
        </w:r>
        <w:r>
          <w:rPr>
            <w:noProof/>
            <w:webHidden/>
          </w:rPr>
          <w:instrText xml:space="preserve"> PAGEREF _Toc55913802 \h </w:instrText>
        </w:r>
        <w:r>
          <w:rPr>
            <w:noProof/>
            <w:webHidden/>
          </w:rPr>
        </w:r>
        <w:r>
          <w:rPr>
            <w:noProof/>
            <w:webHidden/>
          </w:rPr>
          <w:fldChar w:fldCharType="separate"/>
        </w:r>
        <w:r w:rsidR="00ED2796">
          <w:rPr>
            <w:noProof/>
            <w:webHidden/>
          </w:rPr>
          <w:t>121</w:t>
        </w:r>
        <w:r>
          <w:rPr>
            <w:noProof/>
            <w:webHidden/>
          </w:rPr>
          <w:fldChar w:fldCharType="end"/>
        </w:r>
      </w:hyperlink>
    </w:p>
    <w:p w14:paraId="5763B547" w14:textId="3E1841F7" w:rsidR="003F4427" w:rsidRDefault="003F4427">
      <w:pPr>
        <w:pStyle w:val="Kazaloslik"/>
        <w:tabs>
          <w:tab w:val="right" w:leader="dot" w:pos="9062"/>
        </w:tabs>
        <w:rPr>
          <w:rFonts w:asciiTheme="minorHAnsi" w:eastAsiaTheme="minorEastAsia" w:hAnsiTheme="minorHAnsi"/>
          <w:noProof/>
          <w:sz w:val="22"/>
          <w:lang w:eastAsia="sl-SI"/>
        </w:rPr>
      </w:pPr>
      <w:hyperlink w:anchor="_Toc55913803" w:history="1">
        <w:r w:rsidRPr="00033F22">
          <w:rPr>
            <w:rStyle w:val="Hiperpovezava"/>
            <w:noProof/>
          </w:rPr>
          <w:t>Slika 54: Površine in hektarski pridelki žita (2007–2019)</w:t>
        </w:r>
        <w:r>
          <w:rPr>
            <w:noProof/>
            <w:webHidden/>
          </w:rPr>
          <w:tab/>
        </w:r>
        <w:r>
          <w:rPr>
            <w:noProof/>
            <w:webHidden/>
          </w:rPr>
          <w:fldChar w:fldCharType="begin"/>
        </w:r>
        <w:r>
          <w:rPr>
            <w:noProof/>
            <w:webHidden/>
          </w:rPr>
          <w:instrText xml:space="preserve"> PAGEREF _Toc55913803 \h </w:instrText>
        </w:r>
        <w:r>
          <w:rPr>
            <w:noProof/>
            <w:webHidden/>
          </w:rPr>
        </w:r>
        <w:r>
          <w:rPr>
            <w:noProof/>
            <w:webHidden/>
          </w:rPr>
          <w:fldChar w:fldCharType="separate"/>
        </w:r>
        <w:r w:rsidR="00ED2796">
          <w:rPr>
            <w:noProof/>
            <w:webHidden/>
          </w:rPr>
          <w:t>124</w:t>
        </w:r>
        <w:r>
          <w:rPr>
            <w:noProof/>
            <w:webHidden/>
          </w:rPr>
          <w:fldChar w:fldCharType="end"/>
        </w:r>
      </w:hyperlink>
    </w:p>
    <w:p w14:paraId="272E39B0" w14:textId="0BBCBD37" w:rsidR="003F4427" w:rsidRDefault="003F4427">
      <w:pPr>
        <w:pStyle w:val="Kazaloslik"/>
        <w:tabs>
          <w:tab w:val="right" w:leader="dot" w:pos="9062"/>
        </w:tabs>
        <w:rPr>
          <w:rFonts w:asciiTheme="minorHAnsi" w:eastAsiaTheme="minorEastAsia" w:hAnsiTheme="minorHAnsi"/>
          <w:noProof/>
          <w:sz w:val="22"/>
          <w:lang w:eastAsia="sl-SI"/>
        </w:rPr>
      </w:pPr>
      <w:hyperlink w:anchor="_Toc55913804" w:history="1">
        <w:r w:rsidRPr="00033F22">
          <w:rPr>
            <w:rStyle w:val="Hiperpovezava"/>
            <w:noProof/>
          </w:rPr>
          <w:t>Slika 55: Osnovni ekonomski kazalniki pri pridelavi pšenice (indeks; povprečje 2014–2018 = 100)</w:t>
        </w:r>
        <w:r>
          <w:rPr>
            <w:noProof/>
            <w:webHidden/>
          </w:rPr>
          <w:tab/>
        </w:r>
        <w:r>
          <w:rPr>
            <w:noProof/>
            <w:webHidden/>
          </w:rPr>
          <w:fldChar w:fldCharType="begin"/>
        </w:r>
        <w:r>
          <w:rPr>
            <w:noProof/>
            <w:webHidden/>
          </w:rPr>
          <w:instrText xml:space="preserve"> PAGEREF _Toc55913804 \h </w:instrText>
        </w:r>
        <w:r>
          <w:rPr>
            <w:noProof/>
            <w:webHidden/>
          </w:rPr>
        </w:r>
        <w:r>
          <w:rPr>
            <w:noProof/>
            <w:webHidden/>
          </w:rPr>
          <w:fldChar w:fldCharType="separate"/>
        </w:r>
        <w:r w:rsidR="00ED2796">
          <w:rPr>
            <w:noProof/>
            <w:webHidden/>
          </w:rPr>
          <w:t>126</w:t>
        </w:r>
        <w:r>
          <w:rPr>
            <w:noProof/>
            <w:webHidden/>
          </w:rPr>
          <w:fldChar w:fldCharType="end"/>
        </w:r>
      </w:hyperlink>
    </w:p>
    <w:p w14:paraId="3367E70F" w14:textId="1DD4DC37" w:rsidR="003F4427" w:rsidRDefault="003F4427">
      <w:pPr>
        <w:pStyle w:val="Kazaloslik"/>
        <w:tabs>
          <w:tab w:val="right" w:leader="dot" w:pos="9062"/>
        </w:tabs>
        <w:rPr>
          <w:rFonts w:asciiTheme="minorHAnsi" w:eastAsiaTheme="minorEastAsia" w:hAnsiTheme="minorHAnsi"/>
          <w:noProof/>
          <w:sz w:val="22"/>
          <w:lang w:eastAsia="sl-SI"/>
        </w:rPr>
      </w:pPr>
      <w:hyperlink w:anchor="_Toc55913805" w:history="1">
        <w:r w:rsidRPr="00033F22">
          <w:rPr>
            <w:rStyle w:val="Hiperpovezava"/>
            <w:noProof/>
          </w:rPr>
          <w:t>Slika 56: Osnovni ekonomski kazalniki pri pridelavi koruze za zrnje (indeks; povprečje 2014–2018 = 100)</w:t>
        </w:r>
        <w:r>
          <w:rPr>
            <w:noProof/>
            <w:webHidden/>
          </w:rPr>
          <w:tab/>
        </w:r>
        <w:r>
          <w:rPr>
            <w:noProof/>
            <w:webHidden/>
          </w:rPr>
          <w:fldChar w:fldCharType="begin"/>
        </w:r>
        <w:r>
          <w:rPr>
            <w:noProof/>
            <w:webHidden/>
          </w:rPr>
          <w:instrText xml:space="preserve"> PAGEREF _Toc55913805 \h </w:instrText>
        </w:r>
        <w:r>
          <w:rPr>
            <w:noProof/>
            <w:webHidden/>
          </w:rPr>
        </w:r>
        <w:r>
          <w:rPr>
            <w:noProof/>
            <w:webHidden/>
          </w:rPr>
          <w:fldChar w:fldCharType="separate"/>
        </w:r>
        <w:r w:rsidR="00ED2796">
          <w:rPr>
            <w:noProof/>
            <w:webHidden/>
          </w:rPr>
          <w:t>127</w:t>
        </w:r>
        <w:r>
          <w:rPr>
            <w:noProof/>
            <w:webHidden/>
          </w:rPr>
          <w:fldChar w:fldCharType="end"/>
        </w:r>
      </w:hyperlink>
    </w:p>
    <w:p w14:paraId="34180749" w14:textId="45D2CEBE" w:rsidR="003F4427" w:rsidRDefault="003F4427">
      <w:pPr>
        <w:pStyle w:val="Kazaloslik"/>
        <w:tabs>
          <w:tab w:val="right" w:leader="dot" w:pos="9062"/>
        </w:tabs>
        <w:rPr>
          <w:rFonts w:asciiTheme="minorHAnsi" w:eastAsiaTheme="minorEastAsia" w:hAnsiTheme="minorHAnsi"/>
          <w:noProof/>
          <w:sz w:val="22"/>
          <w:lang w:eastAsia="sl-SI"/>
        </w:rPr>
      </w:pPr>
      <w:hyperlink w:anchor="_Toc55913806" w:history="1">
        <w:r w:rsidRPr="00033F22">
          <w:rPr>
            <w:rStyle w:val="Hiperpovezava"/>
            <w:noProof/>
          </w:rPr>
          <w:t>Slika 57: Osnovni ekonomski kazalniki pri pridelavi krompirja (indeks; povprečje 2014–2018 = 100)</w:t>
        </w:r>
        <w:r>
          <w:rPr>
            <w:noProof/>
            <w:webHidden/>
          </w:rPr>
          <w:tab/>
        </w:r>
        <w:r>
          <w:rPr>
            <w:noProof/>
            <w:webHidden/>
          </w:rPr>
          <w:fldChar w:fldCharType="begin"/>
        </w:r>
        <w:r>
          <w:rPr>
            <w:noProof/>
            <w:webHidden/>
          </w:rPr>
          <w:instrText xml:space="preserve"> PAGEREF _Toc55913806 \h </w:instrText>
        </w:r>
        <w:r>
          <w:rPr>
            <w:noProof/>
            <w:webHidden/>
          </w:rPr>
        </w:r>
        <w:r>
          <w:rPr>
            <w:noProof/>
            <w:webHidden/>
          </w:rPr>
          <w:fldChar w:fldCharType="separate"/>
        </w:r>
        <w:r w:rsidR="00ED2796">
          <w:rPr>
            <w:noProof/>
            <w:webHidden/>
          </w:rPr>
          <w:t>128</w:t>
        </w:r>
        <w:r>
          <w:rPr>
            <w:noProof/>
            <w:webHidden/>
          </w:rPr>
          <w:fldChar w:fldCharType="end"/>
        </w:r>
      </w:hyperlink>
    </w:p>
    <w:p w14:paraId="4FC9CC67" w14:textId="18DC5762" w:rsidR="003E125E" w:rsidRDefault="00DB0D57" w:rsidP="00402A42">
      <w:pPr>
        <w:spacing w:line="360" w:lineRule="auto"/>
        <w:jc w:val="both"/>
      </w:pPr>
      <w:r>
        <w:fldChar w:fldCharType="end"/>
      </w:r>
    </w:p>
    <w:p w14:paraId="0BB35A3F" w14:textId="77777777" w:rsidR="003E125E" w:rsidRDefault="003E125E">
      <w:r>
        <w:br w:type="page"/>
      </w:r>
    </w:p>
    <w:p w14:paraId="7A99D9A8" w14:textId="77777777" w:rsidR="001532FF" w:rsidRDefault="001532FF" w:rsidP="00C760FC">
      <w:pPr>
        <w:jc w:val="both"/>
      </w:pPr>
    </w:p>
    <w:p w14:paraId="7B3FF9C3" w14:textId="77777777" w:rsidR="001532FF" w:rsidRPr="00770611" w:rsidRDefault="001532FF" w:rsidP="00770611">
      <w:pPr>
        <w:pStyle w:val="Naslov1"/>
        <w:numPr>
          <w:ilvl w:val="0"/>
          <w:numId w:val="0"/>
        </w:numPr>
        <w:ind w:left="432" w:hanging="432"/>
        <w:rPr>
          <w:sz w:val="24"/>
          <w:szCs w:val="24"/>
        </w:rPr>
      </w:pPr>
      <w:bookmarkStart w:id="2" w:name="_Toc55912171"/>
      <w:r w:rsidRPr="00770611">
        <w:rPr>
          <w:sz w:val="24"/>
          <w:szCs w:val="24"/>
        </w:rPr>
        <w:t>Kazalo preglednic</w:t>
      </w:r>
      <w:bookmarkEnd w:id="2"/>
    </w:p>
    <w:p w14:paraId="1D914EA9" w14:textId="420D76EC" w:rsidR="003F4427" w:rsidRDefault="00DB0D57">
      <w:pPr>
        <w:pStyle w:val="Kazaloslik"/>
        <w:tabs>
          <w:tab w:val="right" w:leader="dot" w:pos="9062"/>
        </w:tabs>
        <w:rPr>
          <w:rFonts w:asciiTheme="minorHAnsi" w:eastAsiaTheme="minorEastAsia" w:hAnsiTheme="minorHAnsi"/>
          <w:noProof/>
          <w:sz w:val="22"/>
          <w:lang w:eastAsia="sl-SI"/>
        </w:rPr>
      </w:pPr>
      <w:r w:rsidRPr="005617B7">
        <w:rPr>
          <w:rFonts w:cs="Arial"/>
        </w:rPr>
        <w:fldChar w:fldCharType="begin"/>
      </w:r>
      <w:r w:rsidRPr="005617B7">
        <w:rPr>
          <w:rFonts w:cs="Arial"/>
        </w:rPr>
        <w:instrText xml:space="preserve"> TOC \h \z \c "Tabela" </w:instrText>
      </w:r>
      <w:r w:rsidRPr="005617B7">
        <w:rPr>
          <w:rFonts w:cs="Arial"/>
        </w:rPr>
        <w:fldChar w:fldCharType="separate"/>
      </w:r>
      <w:hyperlink w:anchor="_Toc55913712" w:history="1">
        <w:r w:rsidR="003F4427" w:rsidRPr="001F3C26">
          <w:rPr>
            <w:rStyle w:val="Hiperpovezava"/>
            <w:noProof/>
          </w:rPr>
          <w:t>Tabela 1: Splošni in specifični silji Skupne kmetijske politike</w:t>
        </w:r>
        <w:r w:rsidR="003F4427">
          <w:rPr>
            <w:noProof/>
            <w:webHidden/>
          </w:rPr>
          <w:tab/>
        </w:r>
        <w:r w:rsidR="003F4427">
          <w:rPr>
            <w:noProof/>
            <w:webHidden/>
          </w:rPr>
          <w:fldChar w:fldCharType="begin"/>
        </w:r>
        <w:r w:rsidR="003F4427">
          <w:rPr>
            <w:noProof/>
            <w:webHidden/>
          </w:rPr>
          <w:instrText xml:space="preserve"> PAGEREF _Toc55913712 \h </w:instrText>
        </w:r>
        <w:r w:rsidR="003F4427">
          <w:rPr>
            <w:noProof/>
            <w:webHidden/>
          </w:rPr>
        </w:r>
        <w:r w:rsidR="003F4427">
          <w:rPr>
            <w:noProof/>
            <w:webHidden/>
          </w:rPr>
          <w:fldChar w:fldCharType="separate"/>
        </w:r>
        <w:r w:rsidR="00ED2796">
          <w:rPr>
            <w:noProof/>
            <w:webHidden/>
          </w:rPr>
          <w:t>10</w:t>
        </w:r>
        <w:r w:rsidR="003F4427">
          <w:rPr>
            <w:noProof/>
            <w:webHidden/>
          </w:rPr>
          <w:fldChar w:fldCharType="end"/>
        </w:r>
      </w:hyperlink>
    </w:p>
    <w:p w14:paraId="6A83700D" w14:textId="7B3E3189" w:rsidR="003F4427" w:rsidRDefault="003F4427">
      <w:pPr>
        <w:pStyle w:val="Kazaloslik"/>
        <w:tabs>
          <w:tab w:val="right" w:leader="dot" w:pos="9062"/>
        </w:tabs>
        <w:rPr>
          <w:rFonts w:asciiTheme="minorHAnsi" w:eastAsiaTheme="minorEastAsia" w:hAnsiTheme="minorHAnsi"/>
          <w:noProof/>
          <w:sz w:val="22"/>
          <w:lang w:eastAsia="sl-SI"/>
        </w:rPr>
      </w:pPr>
      <w:hyperlink w:anchor="_Toc55913713" w:history="1">
        <w:r w:rsidRPr="001F3C26">
          <w:rPr>
            <w:rStyle w:val="Hiperpovezava"/>
            <w:noProof/>
          </w:rPr>
          <w:t>Tabela 2: Uporabljeni kazalniki stanja v okviru splošnega uvodnega dela</w:t>
        </w:r>
        <w:r>
          <w:rPr>
            <w:noProof/>
            <w:webHidden/>
          </w:rPr>
          <w:tab/>
        </w:r>
        <w:r>
          <w:rPr>
            <w:noProof/>
            <w:webHidden/>
          </w:rPr>
          <w:fldChar w:fldCharType="begin"/>
        </w:r>
        <w:r>
          <w:rPr>
            <w:noProof/>
            <w:webHidden/>
          </w:rPr>
          <w:instrText xml:space="preserve"> PAGEREF _Toc55913713 \h </w:instrText>
        </w:r>
        <w:r>
          <w:rPr>
            <w:noProof/>
            <w:webHidden/>
          </w:rPr>
        </w:r>
        <w:r>
          <w:rPr>
            <w:noProof/>
            <w:webHidden/>
          </w:rPr>
          <w:fldChar w:fldCharType="separate"/>
        </w:r>
        <w:r w:rsidR="00ED2796">
          <w:rPr>
            <w:noProof/>
            <w:webHidden/>
          </w:rPr>
          <w:t>14</w:t>
        </w:r>
        <w:r>
          <w:rPr>
            <w:noProof/>
            <w:webHidden/>
          </w:rPr>
          <w:fldChar w:fldCharType="end"/>
        </w:r>
      </w:hyperlink>
    </w:p>
    <w:p w14:paraId="4F6E8793" w14:textId="2CD62CEE" w:rsidR="003F4427" w:rsidRDefault="003F4427">
      <w:pPr>
        <w:pStyle w:val="Kazaloslik"/>
        <w:tabs>
          <w:tab w:val="right" w:leader="dot" w:pos="9062"/>
        </w:tabs>
        <w:rPr>
          <w:rFonts w:asciiTheme="minorHAnsi" w:eastAsiaTheme="minorEastAsia" w:hAnsiTheme="minorHAnsi"/>
          <w:noProof/>
          <w:sz w:val="22"/>
          <w:lang w:eastAsia="sl-SI"/>
        </w:rPr>
      </w:pPr>
      <w:hyperlink w:anchor="_Toc55913714" w:history="1">
        <w:r w:rsidRPr="001F3C26">
          <w:rPr>
            <w:rStyle w:val="Hiperpovezava"/>
            <w:noProof/>
          </w:rPr>
          <w:t>Tabela 3: Pokrovnost tal v Sloveniji</w:t>
        </w:r>
        <w:r>
          <w:rPr>
            <w:noProof/>
            <w:webHidden/>
          </w:rPr>
          <w:tab/>
        </w:r>
        <w:r>
          <w:rPr>
            <w:noProof/>
            <w:webHidden/>
          </w:rPr>
          <w:fldChar w:fldCharType="begin"/>
        </w:r>
        <w:r>
          <w:rPr>
            <w:noProof/>
            <w:webHidden/>
          </w:rPr>
          <w:instrText xml:space="preserve"> PAGEREF _Toc55913714 \h </w:instrText>
        </w:r>
        <w:r>
          <w:rPr>
            <w:noProof/>
            <w:webHidden/>
          </w:rPr>
        </w:r>
        <w:r>
          <w:rPr>
            <w:noProof/>
            <w:webHidden/>
          </w:rPr>
          <w:fldChar w:fldCharType="separate"/>
        </w:r>
        <w:r w:rsidR="00ED2796">
          <w:rPr>
            <w:noProof/>
            <w:webHidden/>
          </w:rPr>
          <w:t>15</w:t>
        </w:r>
        <w:r>
          <w:rPr>
            <w:noProof/>
            <w:webHidden/>
          </w:rPr>
          <w:fldChar w:fldCharType="end"/>
        </w:r>
      </w:hyperlink>
    </w:p>
    <w:p w14:paraId="5E53FEF9" w14:textId="548D8BCF" w:rsidR="003F4427" w:rsidRDefault="003F4427">
      <w:pPr>
        <w:pStyle w:val="Kazaloslik"/>
        <w:tabs>
          <w:tab w:val="right" w:leader="dot" w:pos="9062"/>
        </w:tabs>
        <w:rPr>
          <w:rFonts w:asciiTheme="minorHAnsi" w:eastAsiaTheme="minorEastAsia" w:hAnsiTheme="minorHAnsi"/>
          <w:noProof/>
          <w:sz w:val="22"/>
          <w:lang w:eastAsia="sl-SI"/>
        </w:rPr>
      </w:pPr>
      <w:hyperlink w:anchor="_Toc55913715" w:history="1">
        <w:r w:rsidRPr="001F3C26">
          <w:rPr>
            <w:rStyle w:val="Hiperpovezava"/>
            <w:noProof/>
          </w:rPr>
          <w:t>Tabela 4: Porazdelitev površine po vrstah regij</w:t>
        </w:r>
        <w:r>
          <w:rPr>
            <w:noProof/>
            <w:webHidden/>
          </w:rPr>
          <w:tab/>
        </w:r>
        <w:r>
          <w:rPr>
            <w:noProof/>
            <w:webHidden/>
          </w:rPr>
          <w:fldChar w:fldCharType="begin"/>
        </w:r>
        <w:r>
          <w:rPr>
            <w:noProof/>
            <w:webHidden/>
          </w:rPr>
          <w:instrText xml:space="preserve"> PAGEREF _Toc55913715 \h </w:instrText>
        </w:r>
        <w:r>
          <w:rPr>
            <w:noProof/>
            <w:webHidden/>
          </w:rPr>
        </w:r>
        <w:r>
          <w:rPr>
            <w:noProof/>
            <w:webHidden/>
          </w:rPr>
          <w:fldChar w:fldCharType="separate"/>
        </w:r>
        <w:r w:rsidR="00ED2796">
          <w:rPr>
            <w:noProof/>
            <w:webHidden/>
          </w:rPr>
          <w:t>17</w:t>
        </w:r>
        <w:r>
          <w:rPr>
            <w:noProof/>
            <w:webHidden/>
          </w:rPr>
          <w:fldChar w:fldCharType="end"/>
        </w:r>
      </w:hyperlink>
    </w:p>
    <w:p w14:paraId="576977DD" w14:textId="173DBBC3" w:rsidR="003F4427" w:rsidRDefault="003F4427">
      <w:pPr>
        <w:pStyle w:val="Kazaloslik"/>
        <w:tabs>
          <w:tab w:val="right" w:leader="dot" w:pos="9062"/>
        </w:tabs>
        <w:rPr>
          <w:rFonts w:asciiTheme="minorHAnsi" w:eastAsiaTheme="minorEastAsia" w:hAnsiTheme="minorHAnsi"/>
          <w:noProof/>
          <w:sz w:val="22"/>
          <w:lang w:eastAsia="sl-SI"/>
        </w:rPr>
      </w:pPr>
      <w:hyperlink w:anchor="_Toc55913716" w:history="1">
        <w:r w:rsidRPr="001F3C26">
          <w:rPr>
            <w:rStyle w:val="Hiperpovezava"/>
            <w:noProof/>
          </w:rPr>
          <w:t>Tabela 5: Prebivalstvo v Sloveniji po regijah</w:t>
        </w:r>
        <w:r>
          <w:rPr>
            <w:noProof/>
            <w:webHidden/>
          </w:rPr>
          <w:tab/>
        </w:r>
        <w:r>
          <w:rPr>
            <w:noProof/>
            <w:webHidden/>
          </w:rPr>
          <w:fldChar w:fldCharType="begin"/>
        </w:r>
        <w:r>
          <w:rPr>
            <w:noProof/>
            <w:webHidden/>
          </w:rPr>
          <w:instrText xml:space="preserve"> PAGEREF _Toc55913716 \h </w:instrText>
        </w:r>
        <w:r>
          <w:rPr>
            <w:noProof/>
            <w:webHidden/>
          </w:rPr>
        </w:r>
        <w:r>
          <w:rPr>
            <w:noProof/>
            <w:webHidden/>
          </w:rPr>
          <w:fldChar w:fldCharType="separate"/>
        </w:r>
        <w:r w:rsidR="00ED2796">
          <w:rPr>
            <w:noProof/>
            <w:webHidden/>
          </w:rPr>
          <w:t>18</w:t>
        </w:r>
        <w:r>
          <w:rPr>
            <w:noProof/>
            <w:webHidden/>
          </w:rPr>
          <w:fldChar w:fldCharType="end"/>
        </w:r>
      </w:hyperlink>
    </w:p>
    <w:p w14:paraId="04283839" w14:textId="0A809CFD" w:rsidR="003F4427" w:rsidRDefault="003F4427">
      <w:pPr>
        <w:pStyle w:val="Kazaloslik"/>
        <w:tabs>
          <w:tab w:val="right" w:leader="dot" w:pos="9062"/>
        </w:tabs>
        <w:rPr>
          <w:rFonts w:asciiTheme="minorHAnsi" w:eastAsiaTheme="minorEastAsia" w:hAnsiTheme="minorHAnsi"/>
          <w:noProof/>
          <w:sz w:val="22"/>
          <w:lang w:eastAsia="sl-SI"/>
        </w:rPr>
      </w:pPr>
      <w:hyperlink w:anchor="_Toc55913717" w:history="1">
        <w:r w:rsidRPr="001F3C26">
          <w:rPr>
            <w:rStyle w:val="Hiperpovezava"/>
            <w:noProof/>
          </w:rPr>
          <w:t>Tabela 6: Gostota prebivalstva v Sloveniji</w:t>
        </w:r>
        <w:r>
          <w:rPr>
            <w:noProof/>
            <w:webHidden/>
          </w:rPr>
          <w:tab/>
        </w:r>
        <w:r>
          <w:rPr>
            <w:noProof/>
            <w:webHidden/>
          </w:rPr>
          <w:fldChar w:fldCharType="begin"/>
        </w:r>
        <w:r>
          <w:rPr>
            <w:noProof/>
            <w:webHidden/>
          </w:rPr>
          <w:instrText xml:space="preserve"> PAGEREF _Toc55913717 \h </w:instrText>
        </w:r>
        <w:r>
          <w:rPr>
            <w:noProof/>
            <w:webHidden/>
          </w:rPr>
        </w:r>
        <w:r>
          <w:rPr>
            <w:noProof/>
            <w:webHidden/>
          </w:rPr>
          <w:fldChar w:fldCharType="separate"/>
        </w:r>
        <w:r w:rsidR="00ED2796">
          <w:rPr>
            <w:noProof/>
            <w:webHidden/>
          </w:rPr>
          <w:t>18</w:t>
        </w:r>
        <w:r>
          <w:rPr>
            <w:noProof/>
            <w:webHidden/>
          </w:rPr>
          <w:fldChar w:fldCharType="end"/>
        </w:r>
      </w:hyperlink>
    </w:p>
    <w:p w14:paraId="16019B81" w14:textId="16690756" w:rsidR="003F4427" w:rsidRDefault="003F4427">
      <w:pPr>
        <w:pStyle w:val="Kazaloslik"/>
        <w:tabs>
          <w:tab w:val="right" w:leader="dot" w:pos="9062"/>
        </w:tabs>
        <w:rPr>
          <w:rFonts w:asciiTheme="minorHAnsi" w:eastAsiaTheme="minorEastAsia" w:hAnsiTheme="minorHAnsi"/>
          <w:noProof/>
          <w:sz w:val="22"/>
          <w:lang w:eastAsia="sl-SI"/>
        </w:rPr>
      </w:pPr>
      <w:hyperlink w:anchor="_Toc55913718" w:history="1">
        <w:r w:rsidRPr="001F3C26">
          <w:rPr>
            <w:rStyle w:val="Hiperpovezava"/>
            <w:noProof/>
          </w:rPr>
          <w:t>Tabela 7: Delež prebivalcev po starostnih razredih</w:t>
        </w:r>
        <w:r>
          <w:rPr>
            <w:noProof/>
            <w:webHidden/>
          </w:rPr>
          <w:tab/>
        </w:r>
        <w:r>
          <w:rPr>
            <w:noProof/>
            <w:webHidden/>
          </w:rPr>
          <w:fldChar w:fldCharType="begin"/>
        </w:r>
        <w:r>
          <w:rPr>
            <w:noProof/>
            <w:webHidden/>
          </w:rPr>
          <w:instrText xml:space="preserve"> PAGEREF _Toc55913718 \h </w:instrText>
        </w:r>
        <w:r>
          <w:rPr>
            <w:noProof/>
            <w:webHidden/>
          </w:rPr>
        </w:r>
        <w:r>
          <w:rPr>
            <w:noProof/>
            <w:webHidden/>
          </w:rPr>
          <w:fldChar w:fldCharType="separate"/>
        </w:r>
        <w:r w:rsidR="00ED2796">
          <w:rPr>
            <w:noProof/>
            <w:webHidden/>
          </w:rPr>
          <w:t>19</w:t>
        </w:r>
        <w:r>
          <w:rPr>
            <w:noProof/>
            <w:webHidden/>
          </w:rPr>
          <w:fldChar w:fldCharType="end"/>
        </w:r>
      </w:hyperlink>
    </w:p>
    <w:p w14:paraId="56B77190" w14:textId="1EB4F1DA" w:rsidR="003F4427" w:rsidRDefault="003F4427">
      <w:pPr>
        <w:pStyle w:val="Kazaloslik"/>
        <w:tabs>
          <w:tab w:val="right" w:leader="dot" w:pos="9062"/>
        </w:tabs>
        <w:rPr>
          <w:rFonts w:asciiTheme="minorHAnsi" w:eastAsiaTheme="minorEastAsia" w:hAnsiTheme="minorHAnsi"/>
          <w:noProof/>
          <w:sz w:val="22"/>
          <w:lang w:eastAsia="sl-SI"/>
        </w:rPr>
      </w:pPr>
      <w:hyperlink w:anchor="_Toc55913719" w:history="1">
        <w:r w:rsidRPr="001F3C26">
          <w:rPr>
            <w:rStyle w:val="Hiperpovezava"/>
            <w:noProof/>
          </w:rPr>
          <w:t>Tabela 8: Starostna struktura prebivalstva v Sloveniji</w:t>
        </w:r>
        <w:r>
          <w:rPr>
            <w:noProof/>
            <w:webHidden/>
          </w:rPr>
          <w:tab/>
        </w:r>
        <w:r>
          <w:rPr>
            <w:noProof/>
            <w:webHidden/>
          </w:rPr>
          <w:fldChar w:fldCharType="begin"/>
        </w:r>
        <w:r>
          <w:rPr>
            <w:noProof/>
            <w:webHidden/>
          </w:rPr>
          <w:instrText xml:space="preserve"> PAGEREF _Toc55913719 \h </w:instrText>
        </w:r>
        <w:r>
          <w:rPr>
            <w:noProof/>
            <w:webHidden/>
          </w:rPr>
        </w:r>
        <w:r>
          <w:rPr>
            <w:noProof/>
            <w:webHidden/>
          </w:rPr>
          <w:fldChar w:fldCharType="separate"/>
        </w:r>
        <w:r w:rsidR="00ED2796">
          <w:rPr>
            <w:noProof/>
            <w:webHidden/>
          </w:rPr>
          <w:t>19</w:t>
        </w:r>
        <w:r>
          <w:rPr>
            <w:noProof/>
            <w:webHidden/>
          </w:rPr>
          <w:fldChar w:fldCharType="end"/>
        </w:r>
      </w:hyperlink>
    </w:p>
    <w:p w14:paraId="568C8903" w14:textId="3B374D41" w:rsidR="003F4427" w:rsidRDefault="003F4427">
      <w:pPr>
        <w:pStyle w:val="Kazaloslik"/>
        <w:tabs>
          <w:tab w:val="right" w:leader="dot" w:pos="9062"/>
        </w:tabs>
        <w:rPr>
          <w:rFonts w:asciiTheme="minorHAnsi" w:eastAsiaTheme="minorEastAsia" w:hAnsiTheme="minorHAnsi"/>
          <w:noProof/>
          <w:sz w:val="22"/>
          <w:lang w:eastAsia="sl-SI"/>
        </w:rPr>
      </w:pPr>
      <w:hyperlink w:anchor="_Toc55913720" w:history="1">
        <w:r w:rsidRPr="001F3C26">
          <w:rPr>
            <w:rStyle w:val="Hiperpovezava"/>
            <w:noProof/>
          </w:rPr>
          <w:t>Tabela 9: Pregled gospodarskih gibanj 2014–2019</w:t>
        </w:r>
        <w:r>
          <w:rPr>
            <w:noProof/>
            <w:webHidden/>
          </w:rPr>
          <w:tab/>
        </w:r>
        <w:r>
          <w:rPr>
            <w:noProof/>
            <w:webHidden/>
          </w:rPr>
          <w:fldChar w:fldCharType="begin"/>
        </w:r>
        <w:r>
          <w:rPr>
            <w:noProof/>
            <w:webHidden/>
          </w:rPr>
          <w:instrText xml:space="preserve"> PAGEREF _Toc55913720 \h </w:instrText>
        </w:r>
        <w:r>
          <w:rPr>
            <w:noProof/>
            <w:webHidden/>
          </w:rPr>
        </w:r>
        <w:r>
          <w:rPr>
            <w:noProof/>
            <w:webHidden/>
          </w:rPr>
          <w:fldChar w:fldCharType="separate"/>
        </w:r>
        <w:r w:rsidR="00ED2796">
          <w:rPr>
            <w:noProof/>
            <w:webHidden/>
          </w:rPr>
          <w:t>21</w:t>
        </w:r>
        <w:r>
          <w:rPr>
            <w:noProof/>
            <w:webHidden/>
          </w:rPr>
          <w:fldChar w:fldCharType="end"/>
        </w:r>
      </w:hyperlink>
    </w:p>
    <w:p w14:paraId="687120EA" w14:textId="130FB7A9" w:rsidR="003F4427" w:rsidRDefault="003F4427">
      <w:pPr>
        <w:pStyle w:val="Kazaloslik"/>
        <w:tabs>
          <w:tab w:val="right" w:leader="dot" w:pos="9062"/>
        </w:tabs>
        <w:rPr>
          <w:rFonts w:asciiTheme="minorHAnsi" w:eastAsiaTheme="minorEastAsia" w:hAnsiTheme="minorHAnsi"/>
          <w:noProof/>
          <w:sz w:val="22"/>
          <w:lang w:eastAsia="sl-SI"/>
        </w:rPr>
      </w:pPr>
      <w:hyperlink w:anchor="_Toc55913721" w:history="1">
        <w:r w:rsidRPr="001F3C26">
          <w:rPr>
            <w:rStyle w:val="Hiperpovezava"/>
            <w:noProof/>
          </w:rPr>
          <w:t>Tabela 10: BDP na prebivalca</w:t>
        </w:r>
        <w:r>
          <w:rPr>
            <w:noProof/>
            <w:webHidden/>
          </w:rPr>
          <w:tab/>
        </w:r>
        <w:r>
          <w:rPr>
            <w:noProof/>
            <w:webHidden/>
          </w:rPr>
          <w:fldChar w:fldCharType="begin"/>
        </w:r>
        <w:r>
          <w:rPr>
            <w:noProof/>
            <w:webHidden/>
          </w:rPr>
          <w:instrText xml:space="preserve"> PAGEREF _Toc55913721 \h </w:instrText>
        </w:r>
        <w:r>
          <w:rPr>
            <w:noProof/>
            <w:webHidden/>
          </w:rPr>
        </w:r>
        <w:r>
          <w:rPr>
            <w:noProof/>
            <w:webHidden/>
          </w:rPr>
          <w:fldChar w:fldCharType="separate"/>
        </w:r>
        <w:r w:rsidR="00ED2796">
          <w:rPr>
            <w:noProof/>
            <w:webHidden/>
          </w:rPr>
          <w:t>22</w:t>
        </w:r>
        <w:r>
          <w:rPr>
            <w:noProof/>
            <w:webHidden/>
          </w:rPr>
          <w:fldChar w:fldCharType="end"/>
        </w:r>
      </w:hyperlink>
    </w:p>
    <w:p w14:paraId="57088F44" w14:textId="36B320ED" w:rsidR="003F4427" w:rsidRDefault="003F4427">
      <w:pPr>
        <w:pStyle w:val="Kazaloslik"/>
        <w:tabs>
          <w:tab w:val="right" w:leader="dot" w:pos="9062"/>
        </w:tabs>
        <w:rPr>
          <w:rFonts w:asciiTheme="minorHAnsi" w:eastAsiaTheme="minorEastAsia" w:hAnsiTheme="minorHAnsi"/>
          <w:noProof/>
          <w:sz w:val="22"/>
          <w:lang w:eastAsia="sl-SI"/>
        </w:rPr>
      </w:pPr>
      <w:hyperlink w:anchor="_Toc55913722" w:history="1">
        <w:r w:rsidRPr="001F3C26">
          <w:rPr>
            <w:rStyle w:val="Hiperpovezava"/>
            <w:noProof/>
          </w:rPr>
          <w:t>Tabela 11: Bruto dodana vrednost</w:t>
        </w:r>
        <w:r>
          <w:rPr>
            <w:noProof/>
            <w:webHidden/>
          </w:rPr>
          <w:tab/>
        </w:r>
        <w:r>
          <w:rPr>
            <w:noProof/>
            <w:webHidden/>
          </w:rPr>
          <w:fldChar w:fldCharType="begin"/>
        </w:r>
        <w:r>
          <w:rPr>
            <w:noProof/>
            <w:webHidden/>
          </w:rPr>
          <w:instrText xml:space="preserve"> PAGEREF _Toc55913722 \h </w:instrText>
        </w:r>
        <w:r>
          <w:rPr>
            <w:noProof/>
            <w:webHidden/>
          </w:rPr>
        </w:r>
        <w:r>
          <w:rPr>
            <w:noProof/>
            <w:webHidden/>
          </w:rPr>
          <w:fldChar w:fldCharType="separate"/>
        </w:r>
        <w:r w:rsidR="00ED2796">
          <w:rPr>
            <w:noProof/>
            <w:webHidden/>
          </w:rPr>
          <w:t>23</w:t>
        </w:r>
        <w:r>
          <w:rPr>
            <w:noProof/>
            <w:webHidden/>
          </w:rPr>
          <w:fldChar w:fldCharType="end"/>
        </w:r>
      </w:hyperlink>
    </w:p>
    <w:p w14:paraId="7E6D10DF" w14:textId="3ADA719A" w:rsidR="003F4427" w:rsidRDefault="003F4427">
      <w:pPr>
        <w:pStyle w:val="Kazaloslik"/>
        <w:tabs>
          <w:tab w:val="right" w:leader="dot" w:pos="9062"/>
        </w:tabs>
        <w:rPr>
          <w:rFonts w:asciiTheme="minorHAnsi" w:eastAsiaTheme="minorEastAsia" w:hAnsiTheme="minorHAnsi"/>
          <w:noProof/>
          <w:sz w:val="22"/>
          <w:lang w:eastAsia="sl-SI"/>
        </w:rPr>
      </w:pPr>
      <w:hyperlink w:anchor="_Toc55913723" w:history="1">
        <w:r w:rsidRPr="001F3C26">
          <w:rPr>
            <w:rStyle w:val="Hiperpovezava"/>
            <w:noProof/>
          </w:rPr>
          <w:t>Tabela 12: Stopnja zaposlenosti</w:t>
        </w:r>
        <w:r>
          <w:rPr>
            <w:noProof/>
            <w:webHidden/>
          </w:rPr>
          <w:tab/>
        </w:r>
        <w:r>
          <w:rPr>
            <w:noProof/>
            <w:webHidden/>
          </w:rPr>
          <w:fldChar w:fldCharType="begin"/>
        </w:r>
        <w:r>
          <w:rPr>
            <w:noProof/>
            <w:webHidden/>
          </w:rPr>
          <w:instrText xml:space="preserve"> PAGEREF _Toc55913723 \h </w:instrText>
        </w:r>
        <w:r>
          <w:rPr>
            <w:noProof/>
            <w:webHidden/>
          </w:rPr>
        </w:r>
        <w:r>
          <w:rPr>
            <w:noProof/>
            <w:webHidden/>
          </w:rPr>
          <w:fldChar w:fldCharType="separate"/>
        </w:r>
        <w:r w:rsidR="00ED2796">
          <w:rPr>
            <w:noProof/>
            <w:webHidden/>
          </w:rPr>
          <w:t>25</w:t>
        </w:r>
        <w:r>
          <w:rPr>
            <w:noProof/>
            <w:webHidden/>
          </w:rPr>
          <w:fldChar w:fldCharType="end"/>
        </w:r>
      </w:hyperlink>
    </w:p>
    <w:p w14:paraId="392D2DCD" w14:textId="150851B2" w:rsidR="003F4427" w:rsidRDefault="003F4427">
      <w:pPr>
        <w:pStyle w:val="Kazaloslik"/>
        <w:tabs>
          <w:tab w:val="right" w:leader="dot" w:pos="9062"/>
        </w:tabs>
        <w:rPr>
          <w:rFonts w:asciiTheme="minorHAnsi" w:eastAsiaTheme="minorEastAsia" w:hAnsiTheme="minorHAnsi"/>
          <w:noProof/>
          <w:sz w:val="22"/>
          <w:lang w:eastAsia="sl-SI"/>
        </w:rPr>
      </w:pPr>
      <w:hyperlink w:anchor="_Toc55913724" w:history="1">
        <w:r w:rsidRPr="001F3C26">
          <w:rPr>
            <w:rStyle w:val="Hiperpovezava"/>
            <w:noProof/>
          </w:rPr>
          <w:t>Tabela 13: Zaposlovanje po sektorjih</w:t>
        </w:r>
        <w:r>
          <w:rPr>
            <w:noProof/>
            <w:webHidden/>
          </w:rPr>
          <w:tab/>
        </w:r>
        <w:r>
          <w:rPr>
            <w:noProof/>
            <w:webHidden/>
          </w:rPr>
          <w:fldChar w:fldCharType="begin"/>
        </w:r>
        <w:r>
          <w:rPr>
            <w:noProof/>
            <w:webHidden/>
          </w:rPr>
          <w:instrText xml:space="preserve"> PAGEREF _Toc55913724 \h </w:instrText>
        </w:r>
        <w:r>
          <w:rPr>
            <w:noProof/>
            <w:webHidden/>
          </w:rPr>
        </w:r>
        <w:r>
          <w:rPr>
            <w:noProof/>
            <w:webHidden/>
          </w:rPr>
          <w:fldChar w:fldCharType="separate"/>
        </w:r>
        <w:r w:rsidR="00ED2796">
          <w:rPr>
            <w:noProof/>
            <w:webHidden/>
          </w:rPr>
          <w:t>26</w:t>
        </w:r>
        <w:r>
          <w:rPr>
            <w:noProof/>
            <w:webHidden/>
          </w:rPr>
          <w:fldChar w:fldCharType="end"/>
        </w:r>
      </w:hyperlink>
    </w:p>
    <w:p w14:paraId="1542F5CE" w14:textId="6989D201" w:rsidR="003F4427" w:rsidRDefault="003F4427">
      <w:pPr>
        <w:pStyle w:val="Kazaloslik"/>
        <w:tabs>
          <w:tab w:val="right" w:leader="dot" w:pos="9062"/>
        </w:tabs>
        <w:rPr>
          <w:rFonts w:asciiTheme="minorHAnsi" w:eastAsiaTheme="minorEastAsia" w:hAnsiTheme="minorHAnsi"/>
          <w:noProof/>
          <w:sz w:val="22"/>
          <w:lang w:eastAsia="sl-SI"/>
        </w:rPr>
      </w:pPr>
      <w:hyperlink w:anchor="_Toc55913725" w:history="1">
        <w:r w:rsidRPr="001F3C26">
          <w:rPr>
            <w:rStyle w:val="Hiperpovezava"/>
            <w:noProof/>
          </w:rPr>
          <w:t>Tabela 14: Povprečna stopnja registrirane brezposelnosti</w:t>
        </w:r>
        <w:r>
          <w:rPr>
            <w:noProof/>
            <w:webHidden/>
          </w:rPr>
          <w:tab/>
        </w:r>
        <w:r>
          <w:rPr>
            <w:noProof/>
            <w:webHidden/>
          </w:rPr>
          <w:fldChar w:fldCharType="begin"/>
        </w:r>
        <w:r>
          <w:rPr>
            <w:noProof/>
            <w:webHidden/>
          </w:rPr>
          <w:instrText xml:space="preserve"> PAGEREF _Toc55913725 \h </w:instrText>
        </w:r>
        <w:r>
          <w:rPr>
            <w:noProof/>
            <w:webHidden/>
          </w:rPr>
        </w:r>
        <w:r>
          <w:rPr>
            <w:noProof/>
            <w:webHidden/>
          </w:rPr>
          <w:fldChar w:fldCharType="separate"/>
        </w:r>
        <w:r w:rsidR="00ED2796">
          <w:rPr>
            <w:noProof/>
            <w:webHidden/>
          </w:rPr>
          <w:t>28</w:t>
        </w:r>
        <w:r>
          <w:rPr>
            <w:noProof/>
            <w:webHidden/>
          </w:rPr>
          <w:fldChar w:fldCharType="end"/>
        </w:r>
      </w:hyperlink>
    </w:p>
    <w:p w14:paraId="44DC9BA1" w14:textId="29AB6BF1" w:rsidR="003F4427" w:rsidRDefault="003F4427">
      <w:pPr>
        <w:pStyle w:val="Kazaloslik"/>
        <w:tabs>
          <w:tab w:val="right" w:leader="dot" w:pos="9062"/>
        </w:tabs>
        <w:rPr>
          <w:rFonts w:asciiTheme="minorHAnsi" w:eastAsiaTheme="minorEastAsia" w:hAnsiTheme="minorHAnsi"/>
          <w:noProof/>
          <w:sz w:val="22"/>
          <w:lang w:eastAsia="sl-SI"/>
        </w:rPr>
      </w:pPr>
      <w:hyperlink w:anchor="_Toc55913726" w:history="1">
        <w:r w:rsidRPr="001F3C26">
          <w:rPr>
            <w:rStyle w:val="Hiperpovezava"/>
            <w:noProof/>
          </w:rPr>
          <w:t>Tabela 15: Stopnja brezposelnosti</w:t>
        </w:r>
        <w:r>
          <w:rPr>
            <w:noProof/>
            <w:webHidden/>
          </w:rPr>
          <w:tab/>
        </w:r>
        <w:r>
          <w:rPr>
            <w:noProof/>
            <w:webHidden/>
          </w:rPr>
          <w:fldChar w:fldCharType="begin"/>
        </w:r>
        <w:r>
          <w:rPr>
            <w:noProof/>
            <w:webHidden/>
          </w:rPr>
          <w:instrText xml:space="preserve"> PAGEREF _Toc55913726 \h </w:instrText>
        </w:r>
        <w:r>
          <w:rPr>
            <w:noProof/>
            <w:webHidden/>
          </w:rPr>
        </w:r>
        <w:r>
          <w:rPr>
            <w:noProof/>
            <w:webHidden/>
          </w:rPr>
          <w:fldChar w:fldCharType="separate"/>
        </w:r>
        <w:r w:rsidR="00ED2796">
          <w:rPr>
            <w:noProof/>
            <w:webHidden/>
          </w:rPr>
          <w:t>28</w:t>
        </w:r>
        <w:r>
          <w:rPr>
            <w:noProof/>
            <w:webHidden/>
          </w:rPr>
          <w:fldChar w:fldCharType="end"/>
        </w:r>
      </w:hyperlink>
    </w:p>
    <w:p w14:paraId="5E4B4761" w14:textId="58626BD0" w:rsidR="003F4427" w:rsidRDefault="003F4427">
      <w:pPr>
        <w:pStyle w:val="Kazaloslik"/>
        <w:tabs>
          <w:tab w:val="right" w:leader="dot" w:pos="9062"/>
        </w:tabs>
        <w:rPr>
          <w:rFonts w:asciiTheme="minorHAnsi" w:eastAsiaTheme="minorEastAsia" w:hAnsiTheme="minorHAnsi"/>
          <w:noProof/>
          <w:sz w:val="22"/>
          <w:lang w:eastAsia="sl-SI"/>
        </w:rPr>
      </w:pPr>
      <w:hyperlink w:anchor="_Toc55913727" w:history="1">
        <w:r w:rsidRPr="001F3C26">
          <w:rPr>
            <w:rStyle w:val="Hiperpovezava"/>
            <w:noProof/>
          </w:rPr>
          <w:t>Tabela 16: Stopnja tveganja revščine</w:t>
        </w:r>
        <w:r>
          <w:rPr>
            <w:noProof/>
            <w:webHidden/>
          </w:rPr>
          <w:tab/>
        </w:r>
        <w:r>
          <w:rPr>
            <w:noProof/>
            <w:webHidden/>
          </w:rPr>
          <w:fldChar w:fldCharType="begin"/>
        </w:r>
        <w:r>
          <w:rPr>
            <w:noProof/>
            <w:webHidden/>
          </w:rPr>
          <w:instrText xml:space="preserve"> PAGEREF _Toc55913727 \h </w:instrText>
        </w:r>
        <w:r>
          <w:rPr>
            <w:noProof/>
            <w:webHidden/>
          </w:rPr>
        </w:r>
        <w:r>
          <w:rPr>
            <w:noProof/>
            <w:webHidden/>
          </w:rPr>
          <w:fldChar w:fldCharType="separate"/>
        </w:r>
        <w:r w:rsidR="00ED2796">
          <w:rPr>
            <w:noProof/>
            <w:webHidden/>
          </w:rPr>
          <w:t>30</w:t>
        </w:r>
        <w:r>
          <w:rPr>
            <w:noProof/>
            <w:webHidden/>
          </w:rPr>
          <w:fldChar w:fldCharType="end"/>
        </w:r>
      </w:hyperlink>
    </w:p>
    <w:p w14:paraId="08FE308E" w14:textId="687E79AC" w:rsidR="003F4427" w:rsidRDefault="003F4427">
      <w:pPr>
        <w:pStyle w:val="Kazaloslik"/>
        <w:tabs>
          <w:tab w:val="right" w:leader="dot" w:pos="9062"/>
        </w:tabs>
        <w:rPr>
          <w:rFonts w:asciiTheme="minorHAnsi" w:eastAsiaTheme="minorEastAsia" w:hAnsiTheme="minorHAnsi"/>
          <w:noProof/>
          <w:sz w:val="22"/>
          <w:lang w:eastAsia="sl-SI"/>
        </w:rPr>
      </w:pPr>
      <w:hyperlink w:anchor="_Toc55913728" w:history="1">
        <w:r w:rsidRPr="001F3C26">
          <w:rPr>
            <w:rStyle w:val="Hiperpovezava"/>
            <w:noProof/>
          </w:rPr>
          <w:t>Tabela 17: Stopnja revščine</w:t>
        </w:r>
        <w:r>
          <w:rPr>
            <w:noProof/>
            <w:webHidden/>
          </w:rPr>
          <w:tab/>
        </w:r>
        <w:r>
          <w:rPr>
            <w:noProof/>
            <w:webHidden/>
          </w:rPr>
          <w:fldChar w:fldCharType="begin"/>
        </w:r>
        <w:r>
          <w:rPr>
            <w:noProof/>
            <w:webHidden/>
          </w:rPr>
          <w:instrText xml:space="preserve"> PAGEREF _Toc55913728 \h </w:instrText>
        </w:r>
        <w:r>
          <w:rPr>
            <w:noProof/>
            <w:webHidden/>
          </w:rPr>
        </w:r>
        <w:r>
          <w:rPr>
            <w:noProof/>
            <w:webHidden/>
          </w:rPr>
          <w:fldChar w:fldCharType="separate"/>
        </w:r>
        <w:r w:rsidR="00ED2796">
          <w:rPr>
            <w:noProof/>
            <w:webHidden/>
          </w:rPr>
          <w:t>30</w:t>
        </w:r>
        <w:r>
          <w:rPr>
            <w:noProof/>
            <w:webHidden/>
          </w:rPr>
          <w:fldChar w:fldCharType="end"/>
        </w:r>
      </w:hyperlink>
    </w:p>
    <w:p w14:paraId="1A9962AC" w14:textId="66BF9499" w:rsidR="003F4427" w:rsidRDefault="003F4427">
      <w:pPr>
        <w:pStyle w:val="Kazaloslik"/>
        <w:tabs>
          <w:tab w:val="right" w:leader="dot" w:pos="9062"/>
        </w:tabs>
        <w:rPr>
          <w:rFonts w:asciiTheme="minorHAnsi" w:eastAsiaTheme="minorEastAsia" w:hAnsiTheme="minorHAnsi"/>
          <w:noProof/>
          <w:sz w:val="22"/>
          <w:lang w:eastAsia="sl-SI"/>
        </w:rPr>
      </w:pPr>
      <w:hyperlink w:anchor="_Toc55913729" w:history="1">
        <w:r w:rsidRPr="001F3C26">
          <w:rPr>
            <w:rStyle w:val="Hiperpovezava"/>
            <w:noProof/>
          </w:rPr>
          <w:t>Tabela 18: Bruto dodana vrednost kmetijstva 2010–2019</w:t>
        </w:r>
        <w:r>
          <w:rPr>
            <w:noProof/>
            <w:webHidden/>
          </w:rPr>
          <w:tab/>
        </w:r>
        <w:r>
          <w:rPr>
            <w:noProof/>
            <w:webHidden/>
          </w:rPr>
          <w:fldChar w:fldCharType="begin"/>
        </w:r>
        <w:r>
          <w:rPr>
            <w:noProof/>
            <w:webHidden/>
          </w:rPr>
          <w:instrText xml:space="preserve"> PAGEREF _Toc55913729 \h </w:instrText>
        </w:r>
        <w:r>
          <w:rPr>
            <w:noProof/>
            <w:webHidden/>
          </w:rPr>
        </w:r>
        <w:r>
          <w:rPr>
            <w:noProof/>
            <w:webHidden/>
          </w:rPr>
          <w:fldChar w:fldCharType="separate"/>
        </w:r>
        <w:r w:rsidR="00ED2796">
          <w:rPr>
            <w:noProof/>
            <w:webHidden/>
          </w:rPr>
          <w:t>33</w:t>
        </w:r>
        <w:r>
          <w:rPr>
            <w:noProof/>
            <w:webHidden/>
          </w:rPr>
          <w:fldChar w:fldCharType="end"/>
        </w:r>
      </w:hyperlink>
    </w:p>
    <w:p w14:paraId="096B24F9" w14:textId="50527486" w:rsidR="003F4427" w:rsidRDefault="003F4427">
      <w:pPr>
        <w:pStyle w:val="Kazaloslik"/>
        <w:tabs>
          <w:tab w:val="right" w:leader="dot" w:pos="9062"/>
        </w:tabs>
        <w:rPr>
          <w:rFonts w:asciiTheme="minorHAnsi" w:eastAsiaTheme="minorEastAsia" w:hAnsiTheme="minorHAnsi"/>
          <w:noProof/>
          <w:sz w:val="22"/>
          <w:lang w:eastAsia="sl-SI"/>
        </w:rPr>
      </w:pPr>
      <w:hyperlink w:anchor="_Toc55913730" w:history="1">
        <w:r w:rsidRPr="001F3C26">
          <w:rPr>
            <w:rStyle w:val="Hiperpovezava"/>
            <w:noProof/>
          </w:rPr>
          <w:t>Tabela 19: Intenzivnost kmetovanja v KZU, ki jih upravljajo KMG z nizko, srednjo in visoko vhodno intenzivnostjo</w:t>
        </w:r>
        <w:r>
          <w:rPr>
            <w:noProof/>
            <w:webHidden/>
          </w:rPr>
          <w:tab/>
        </w:r>
        <w:r>
          <w:rPr>
            <w:noProof/>
            <w:webHidden/>
          </w:rPr>
          <w:fldChar w:fldCharType="begin"/>
        </w:r>
        <w:r>
          <w:rPr>
            <w:noProof/>
            <w:webHidden/>
          </w:rPr>
          <w:instrText xml:space="preserve"> PAGEREF _Toc55913730 \h </w:instrText>
        </w:r>
        <w:r>
          <w:rPr>
            <w:noProof/>
            <w:webHidden/>
          </w:rPr>
        </w:r>
        <w:r>
          <w:rPr>
            <w:noProof/>
            <w:webHidden/>
          </w:rPr>
          <w:fldChar w:fldCharType="separate"/>
        </w:r>
        <w:r w:rsidR="00ED2796">
          <w:rPr>
            <w:noProof/>
            <w:webHidden/>
          </w:rPr>
          <w:t>38</w:t>
        </w:r>
        <w:r>
          <w:rPr>
            <w:noProof/>
            <w:webHidden/>
          </w:rPr>
          <w:fldChar w:fldCharType="end"/>
        </w:r>
      </w:hyperlink>
    </w:p>
    <w:p w14:paraId="6E7618AE" w14:textId="58DFE68D" w:rsidR="003F4427" w:rsidRDefault="003F4427">
      <w:pPr>
        <w:pStyle w:val="Kazaloslik"/>
        <w:tabs>
          <w:tab w:val="right" w:leader="dot" w:pos="9062"/>
        </w:tabs>
        <w:rPr>
          <w:rFonts w:asciiTheme="minorHAnsi" w:eastAsiaTheme="minorEastAsia" w:hAnsiTheme="minorHAnsi"/>
          <w:noProof/>
          <w:sz w:val="22"/>
          <w:lang w:eastAsia="sl-SI"/>
        </w:rPr>
      </w:pPr>
      <w:hyperlink w:anchor="_Toc55913731" w:history="1">
        <w:r w:rsidRPr="001F3C26">
          <w:rPr>
            <w:rStyle w:val="Hiperpovezava"/>
            <w:noProof/>
          </w:rPr>
          <w:t>Tabela 20: Delež GERK KZU po posameznih območjih OMD</w:t>
        </w:r>
        <w:r>
          <w:rPr>
            <w:noProof/>
            <w:webHidden/>
          </w:rPr>
          <w:tab/>
        </w:r>
        <w:r>
          <w:rPr>
            <w:noProof/>
            <w:webHidden/>
          </w:rPr>
          <w:fldChar w:fldCharType="begin"/>
        </w:r>
        <w:r>
          <w:rPr>
            <w:noProof/>
            <w:webHidden/>
          </w:rPr>
          <w:instrText xml:space="preserve"> PAGEREF _Toc55913731 \h </w:instrText>
        </w:r>
        <w:r>
          <w:rPr>
            <w:noProof/>
            <w:webHidden/>
          </w:rPr>
        </w:r>
        <w:r>
          <w:rPr>
            <w:noProof/>
            <w:webHidden/>
          </w:rPr>
          <w:fldChar w:fldCharType="separate"/>
        </w:r>
        <w:r w:rsidR="00ED2796">
          <w:rPr>
            <w:noProof/>
            <w:webHidden/>
          </w:rPr>
          <w:t>39</w:t>
        </w:r>
        <w:r>
          <w:rPr>
            <w:noProof/>
            <w:webHidden/>
          </w:rPr>
          <w:fldChar w:fldCharType="end"/>
        </w:r>
      </w:hyperlink>
    </w:p>
    <w:p w14:paraId="439DBC34" w14:textId="337357C2" w:rsidR="003F4427" w:rsidRDefault="003F4427">
      <w:pPr>
        <w:pStyle w:val="Kazaloslik"/>
        <w:tabs>
          <w:tab w:val="right" w:leader="dot" w:pos="9062"/>
        </w:tabs>
        <w:rPr>
          <w:rFonts w:asciiTheme="minorHAnsi" w:eastAsiaTheme="minorEastAsia" w:hAnsiTheme="minorHAnsi"/>
          <w:noProof/>
          <w:sz w:val="22"/>
          <w:lang w:eastAsia="sl-SI"/>
        </w:rPr>
      </w:pPr>
      <w:hyperlink w:anchor="_Toc55913732" w:history="1">
        <w:r w:rsidRPr="001F3C26">
          <w:rPr>
            <w:rStyle w:val="Hiperpovezava"/>
            <w:noProof/>
          </w:rPr>
          <w:t>Tabela 21: Skupna površina OMD v RS in površina GERK KZU na OMD za leto 2019 (v ha),</w:t>
        </w:r>
        <w:r>
          <w:rPr>
            <w:noProof/>
            <w:webHidden/>
          </w:rPr>
          <w:tab/>
        </w:r>
        <w:r>
          <w:rPr>
            <w:noProof/>
            <w:webHidden/>
          </w:rPr>
          <w:fldChar w:fldCharType="begin"/>
        </w:r>
        <w:r>
          <w:rPr>
            <w:noProof/>
            <w:webHidden/>
          </w:rPr>
          <w:instrText xml:space="preserve"> PAGEREF _Toc55913732 \h </w:instrText>
        </w:r>
        <w:r>
          <w:rPr>
            <w:noProof/>
            <w:webHidden/>
          </w:rPr>
        </w:r>
        <w:r>
          <w:rPr>
            <w:noProof/>
            <w:webHidden/>
          </w:rPr>
          <w:fldChar w:fldCharType="separate"/>
        </w:r>
        <w:r w:rsidR="00ED2796">
          <w:rPr>
            <w:noProof/>
            <w:webHidden/>
          </w:rPr>
          <w:t>39</w:t>
        </w:r>
        <w:r>
          <w:rPr>
            <w:noProof/>
            <w:webHidden/>
          </w:rPr>
          <w:fldChar w:fldCharType="end"/>
        </w:r>
      </w:hyperlink>
    </w:p>
    <w:p w14:paraId="1549ED70" w14:textId="25296280" w:rsidR="003F4427" w:rsidRDefault="003F4427">
      <w:pPr>
        <w:pStyle w:val="Kazaloslik"/>
        <w:tabs>
          <w:tab w:val="right" w:leader="dot" w:pos="9062"/>
        </w:tabs>
        <w:rPr>
          <w:rFonts w:asciiTheme="minorHAnsi" w:eastAsiaTheme="minorEastAsia" w:hAnsiTheme="minorHAnsi"/>
          <w:noProof/>
          <w:sz w:val="22"/>
          <w:lang w:eastAsia="sl-SI"/>
        </w:rPr>
      </w:pPr>
      <w:hyperlink w:anchor="_Toc55913733" w:history="1">
        <w:r w:rsidRPr="001F3C26">
          <w:rPr>
            <w:rStyle w:val="Hiperpovezava"/>
            <w:noProof/>
          </w:rPr>
          <w:t>Tabela 22: Velikost kmetijskih gospodarstev glede na KZU in standardni prihodek</w:t>
        </w:r>
        <w:r>
          <w:rPr>
            <w:noProof/>
            <w:webHidden/>
          </w:rPr>
          <w:tab/>
        </w:r>
        <w:r>
          <w:rPr>
            <w:noProof/>
            <w:webHidden/>
          </w:rPr>
          <w:fldChar w:fldCharType="begin"/>
        </w:r>
        <w:r>
          <w:rPr>
            <w:noProof/>
            <w:webHidden/>
          </w:rPr>
          <w:instrText xml:space="preserve"> PAGEREF _Toc55913733 \h </w:instrText>
        </w:r>
        <w:r>
          <w:rPr>
            <w:noProof/>
            <w:webHidden/>
          </w:rPr>
        </w:r>
        <w:r>
          <w:rPr>
            <w:noProof/>
            <w:webHidden/>
          </w:rPr>
          <w:fldChar w:fldCharType="separate"/>
        </w:r>
        <w:r w:rsidR="00ED2796">
          <w:rPr>
            <w:noProof/>
            <w:webHidden/>
          </w:rPr>
          <w:t>45</w:t>
        </w:r>
        <w:r>
          <w:rPr>
            <w:noProof/>
            <w:webHidden/>
          </w:rPr>
          <w:fldChar w:fldCharType="end"/>
        </w:r>
      </w:hyperlink>
    </w:p>
    <w:p w14:paraId="50268D4C" w14:textId="0D40D240" w:rsidR="003F4427" w:rsidRDefault="003F4427">
      <w:pPr>
        <w:pStyle w:val="Kazaloslik"/>
        <w:tabs>
          <w:tab w:val="right" w:leader="dot" w:pos="9062"/>
        </w:tabs>
        <w:rPr>
          <w:rFonts w:asciiTheme="minorHAnsi" w:eastAsiaTheme="minorEastAsia" w:hAnsiTheme="minorHAnsi"/>
          <w:noProof/>
          <w:sz w:val="22"/>
          <w:lang w:eastAsia="sl-SI"/>
        </w:rPr>
      </w:pPr>
      <w:hyperlink w:anchor="_Toc55913734" w:history="1">
        <w:r w:rsidRPr="001F3C26">
          <w:rPr>
            <w:rStyle w:val="Hiperpovezava"/>
            <w:noProof/>
          </w:rPr>
          <w:t>Tabela 23: Število živali in število KMG po kategorijah živali</w:t>
        </w:r>
        <w:r>
          <w:rPr>
            <w:noProof/>
            <w:webHidden/>
          </w:rPr>
          <w:tab/>
        </w:r>
        <w:r>
          <w:rPr>
            <w:noProof/>
            <w:webHidden/>
          </w:rPr>
          <w:fldChar w:fldCharType="begin"/>
        </w:r>
        <w:r>
          <w:rPr>
            <w:noProof/>
            <w:webHidden/>
          </w:rPr>
          <w:instrText xml:space="preserve"> PAGEREF _Toc55913734 \h </w:instrText>
        </w:r>
        <w:r>
          <w:rPr>
            <w:noProof/>
            <w:webHidden/>
          </w:rPr>
        </w:r>
        <w:r>
          <w:rPr>
            <w:noProof/>
            <w:webHidden/>
          </w:rPr>
          <w:fldChar w:fldCharType="separate"/>
        </w:r>
        <w:r w:rsidR="00ED2796">
          <w:rPr>
            <w:noProof/>
            <w:webHidden/>
          </w:rPr>
          <w:t>52</w:t>
        </w:r>
        <w:r>
          <w:rPr>
            <w:noProof/>
            <w:webHidden/>
          </w:rPr>
          <w:fldChar w:fldCharType="end"/>
        </w:r>
      </w:hyperlink>
    </w:p>
    <w:p w14:paraId="72076B82" w14:textId="327731E1" w:rsidR="003F4427" w:rsidRDefault="003F4427">
      <w:pPr>
        <w:pStyle w:val="Kazaloslik"/>
        <w:tabs>
          <w:tab w:val="right" w:leader="dot" w:pos="9062"/>
        </w:tabs>
        <w:rPr>
          <w:rFonts w:asciiTheme="minorHAnsi" w:eastAsiaTheme="minorEastAsia" w:hAnsiTheme="minorHAnsi"/>
          <w:noProof/>
          <w:sz w:val="22"/>
          <w:lang w:eastAsia="sl-SI"/>
        </w:rPr>
      </w:pPr>
      <w:hyperlink w:anchor="_Toc55913735" w:history="1">
        <w:r w:rsidRPr="001F3C26">
          <w:rPr>
            <w:rStyle w:val="Hiperpovezava"/>
            <w:noProof/>
          </w:rPr>
          <w:t>Tabela 24: Vložek dela na kmetijskih gospodarstvih glede na izvor, po letih, Slovenija</w:t>
        </w:r>
        <w:r>
          <w:rPr>
            <w:noProof/>
            <w:webHidden/>
          </w:rPr>
          <w:tab/>
        </w:r>
        <w:r>
          <w:rPr>
            <w:noProof/>
            <w:webHidden/>
          </w:rPr>
          <w:fldChar w:fldCharType="begin"/>
        </w:r>
        <w:r>
          <w:rPr>
            <w:noProof/>
            <w:webHidden/>
          </w:rPr>
          <w:instrText xml:space="preserve"> PAGEREF _Toc55913735 \h </w:instrText>
        </w:r>
        <w:r>
          <w:rPr>
            <w:noProof/>
            <w:webHidden/>
          </w:rPr>
        </w:r>
        <w:r>
          <w:rPr>
            <w:noProof/>
            <w:webHidden/>
          </w:rPr>
          <w:fldChar w:fldCharType="separate"/>
        </w:r>
        <w:r w:rsidR="00ED2796">
          <w:rPr>
            <w:noProof/>
            <w:webHidden/>
          </w:rPr>
          <w:t>55</w:t>
        </w:r>
        <w:r>
          <w:rPr>
            <w:noProof/>
            <w:webHidden/>
          </w:rPr>
          <w:fldChar w:fldCharType="end"/>
        </w:r>
      </w:hyperlink>
    </w:p>
    <w:p w14:paraId="21B43E55" w14:textId="13759882" w:rsidR="003F4427" w:rsidRDefault="003F4427">
      <w:pPr>
        <w:pStyle w:val="Kazaloslik"/>
        <w:tabs>
          <w:tab w:val="right" w:leader="dot" w:pos="9062"/>
        </w:tabs>
        <w:rPr>
          <w:rFonts w:asciiTheme="minorHAnsi" w:eastAsiaTheme="minorEastAsia" w:hAnsiTheme="minorHAnsi"/>
          <w:noProof/>
          <w:sz w:val="22"/>
          <w:lang w:eastAsia="sl-SI"/>
        </w:rPr>
      </w:pPr>
      <w:hyperlink w:anchor="_Toc55913736" w:history="1">
        <w:r w:rsidRPr="001F3C26">
          <w:rPr>
            <w:rStyle w:val="Hiperpovezava"/>
            <w:noProof/>
          </w:rPr>
          <w:t>Tabela 25: Družinska delovna sila po spolu, po letih, Slovenija</w:t>
        </w:r>
        <w:r>
          <w:rPr>
            <w:noProof/>
            <w:webHidden/>
          </w:rPr>
          <w:tab/>
        </w:r>
        <w:r>
          <w:rPr>
            <w:noProof/>
            <w:webHidden/>
          </w:rPr>
          <w:fldChar w:fldCharType="begin"/>
        </w:r>
        <w:r>
          <w:rPr>
            <w:noProof/>
            <w:webHidden/>
          </w:rPr>
          <w:instrText xml:space="preserve"> PAGEREF _Toc55913736 \h </w:instrText>
        </w:r>
        <w:r>
          <w:rPr>
            <w:noProof/>
            <w:webHidden/>
          </w:rPr>
        </w:r>
        <w:r>
          <w:rPr>
            <w:noProof/>
            <w:webHidden/>
          </w:rPr>
          <w:fldChar w:fldCharType="separate"/>
        </w:r>
        <w:r w:rsidR="00ED2796">
          <w:rPr>
            <w:noProof/>
            <w:webHidden/>
          </w:rPr>
          <w:t>56</w:t>
        </w:r>
        <w:r>
          <w:rPr>
            <w:noProof/>
            <w:webHidden/>
          </w:rPr>
          <w:fldChar w:fldCharType="end"/>
        </w:r>
      </w:hyperlink>
    </w:p>
    <w:p w14:paraId="1AC81022" w14:textId="3EA308C5" w:rsidR="003F4427" w:rsidRDefault="003F4427">
      <w:pPr>
        <w:pStyle w:val="Kazaloslik"/>
        <w:tabs>
          <w:tab w:val="right" w:leader="dot" w:pos="9062"/>
        </w:tabs>
        <w:rPr>
          <w:rFonts w:asciiTheme="minorHAnsi" w:eastAsiaTheme="minorEastAsia" w:hAnsiTheme="minorHAnsi"/>
          <w:noProof/>
          <w:sz w:val="22"/>
          <w:lang w:eastAsia="sl-SI"/>
        </w:rPr>
      </w:pPr>
      <w:hyperlink w:anchor="_Toc55913737" w:history="1">
        <w:r w:rsidRPr="001F3C26">
          <w:rPr>
            <w:rStyle w:val="Hiperpovezava"/>
            <w:noProof/>
          </w:rPr>
          <w:t>Tabela 26: Kmetijska izobrazba nosilcev KMG, v št. oseb, za leta 2005, 2010 in 2016</w:t>
        </w:r>
        <w:r>
          <w:rPr>
            <w:noProof/>
            <w:webHidden/>
          </w:rPr>
          <w:tab/>
        </w:r>
        <w:r>
          <w:rPr>
            <w:noProof/>
            <w:webHidden/>
          </w:rPr>
          <w:fldChar w:fldCharType="begin"/>
        </w:r>
        <w:r>
          <w:rPr>
            <w:noProof/>
            <w:webHidden/>
          </w:rPr>
          <w:instrText xml:space="preserve"> PAGEREF _Toc55913737 \h </w:instrText>
        </w:r>
        <w:r>
          <w:rPr>
            <w:noProof/>
            <w:webHidden/>
          </w:rPr>
        </w:r>
        <w:r>
          <w:rPr>
            <w:noProof/>
            <w:webHidden/>
          </w:rPr>
          <w:fldChar w:fldCharType="separate"/>
        </w:r>
        <w:r w:rsidR="00ED2796">
          <w:rPr>
            <w:noProof/>
            <w:webHidden/>
          </w:rPr>
          <w:t>57</w:t>
        </w:r>
        <w:r>
          <w:rPr>
            <w:noProof/>
            <w:webHidden/>
          </w:rPr>
          <w:fldChar w:fldCharType="end"/>
        </w:r>
      </w:hyperlink>
    </w:p>
    <w:p w14:paraId="081FA63F" w14:textId="435F56AA" w:rsidR="003F4427" w:rsidRDefault="003F4427">
      <w:pPr>
        <w:pStyle w:val="Kazaloslik"/>
        <w:tabs>
          <w:tab w:val="right" w:leader="dot" w:pos="9062"/>
        </w:tabs>
        <w:rPr>
          <w:rFonts w:asciiTheme="minorHAnsi" w:eastAsiaTheme="minorEastAsia" w:hAnsiTheme="minorHAnsi"/>
          <w:noProof/>
          <w:sz w:val="22"/>
          <w:lang w:eastAsia="sl-SI"/>
        </w:rPr>
      </w:pPr>
      <w:hyperlink w:anchor="_Toc55913738" w:history="1">
        <w:r w:rsidRPr="001F3C26">
          <w:rPr>
            <w:rStyle w:val="Hiperpovezava"/>
            <w:noProof/>
          </w:rPr>
          <w:t>Tabela 27: Kmetijska izobrazba nosilcev kmetijskih gospodarstev</w:t>
        </w:r>
        <w:r>
          <w:rPr>
            <w:noProof/>
            <w:webHidden/>
          </w:rPr>
          <w:tab/>
        </w:r>
        <w:r>
          <w:rPr>
            <w:noProof/>
            <w:webHidden/>
          </w:rPr>
          <w:fldChar w:fldCharType="begin"/>
        </w:r>
        <w:r>
          <w:rPr>
            <w:noProof/>
            <w:webHidden/>
          </w:rPr>
          <w:instrText xml:space="preserve"> PAGEREF _Toc55913738 \h </w:instrText>
        </w:r>
        <w:r>
          <w:rPr>
            <w:noProof/>
            <w:webHidden/>
          </w:rPr>
        </w:r>
        <w:r>
          <w:rPr>
            <w:noProof/>
            <w:webHidden/>
          </w:rPr>
          <w:fldChar w:fldCharType="separate"/>
        </w:r>
        <w:r w:rsidR="00ED2796">
          <w:rPr>
            <w:noProof/>
            <w:webHidden/>
          </w:rPr>
          <w:t>57</w:t>
        </w:r>
        <w:r>
          <w:rPr>
            <w:noProof/>
            <w:webHidden/>
          </w:rPr>
          <w:fldChar w:fldCharType="end"/>
        </w:r>
      </w:hyperlink>
    </w:p>
    <w:p w14:paraId="413973B6" w14:textId="1B1C27DC" w:rsidR="003F4427" w:rsidRDefault="003F4427">
      <w:pPr>
        <w:pStyle w:val="Kazaloslik"/>
        <w:tabs>
          <w:tab w:val="right" w:leader="dot" w:pos="9062"/>
        </w:tabs>
        <w:rPr>
          <w:rFonts w:asciiTheme="minorHAnsi" w:eastAsiaTheme="minorEastAsia" w:hAnsiTheme="minorHAnsi"/>
          <w:noProof/>
          <w:sz w:val="22"/>
          <w:lang w:eastAsia="sl-SI"/>
        </w:rPr>
      </w:pPr>
      <w:hyperlink w:anchor="_Toc55913739" w:history="1">
        <w:r w:rsidRPr="001F3C26">
          <w:rPr>
            <w:rStyle w:val="Hiperpovezava"/>
            <w:noProof/>
          </w:rPr>
          <w:t>Tabela 28: Splošna izobrazba nosilcev KMG, v št. oseb, za leta 2005, 2010 in 2016</w:t>
        </w:r>
        <w:r>
          <w:rPr>
            <w:noProof/>
            <w:webHidden/>
          </w:rPr>
          <w:tab/>
        </w:r>
        <w:r>
          <w:rPr>
            <w:noProof/>
            <w:webHidden/>
          </w:rPr>
          <w:fldChar w:fldCharType="begin"/>
        </w:r>
        <w:r>
          <w:rPr>
            <w:noProof/>
            <w:webHidden/>
          </w:rPr>
          <w:instrText xml:space="preserve"> PAGEREF _Toc55913739 \h </w:instrText>
        </w:r>
        <w:r>
          <w:rPr>
            <w:noProof/>
            <w:webHidden/>
          </w:rPr>
        </w:r>
        <w:r>
          <w:rPr>
            <w:noProof/>
            <w:webHidden/>
          </w:rPr>
          <w:fldChar w:fldCharType="separate"/>
        </w:r>
        <w:r w:rsidR="00ED2796">
          <w:rPr>
            <w:noProof/>
            <w:webHidden/>
          </w:rPr>
          <w:t>58</w:t>
        </w:r>
        <w:r>
          <w:rPr>
            <w:noProof/>
            <w:webHidden/>
          </w:rPr>
          <w:fldChar w:fldCharType="end"/>
        </w:r>
      </w:hyperlink>
    </w:p>
    <w:p w14:paraId="5418E921" w14:textId="6EE9427B" w:rsidR="003F4427" w:rsidRDefault="003F4427">
      <w:pPr>
        <w:pStyle w:val="Kazaloslik"/>
        <w:tabs>
          <w:tab w:val="right" w:leader="dot" w:pos="9062"/>
        </w:tabs>
        <w:rPr>
          <w:rFonts w:asciiTheme="minorHAnsi" w:eastAsiaTheme="minorEastAsia" w:hAnsiTheme="minorHAnsi"/>
          <w:noProof/>
          <w:sz w:val="22"/>
          <w:lang w:eastAsia="sl-SI"/>
        </w:rPr>
      </w:pPr>
      <w:hyperlink w:anchor="_Toc55913740" w:history="1">
        <w:r w:rsidRPr="001F3C26">
          <w:rPr>
            <w:rStyle w:val="Hiperpovezava"/>
            <w:noProof/>
          </w:rPr>
          <w:t>Tabela 29: Starostna struktura nosilcev kmetijskih gospodarstev</w:t>
        </w:r>
        <w:r>
          <w:rPr>
            <w:noProof/>
            <w:webHidden/>
          </w:rPr>
          <w:tab/>
        </w:r>
        <w:r>
          <w:rPr>
            <w:noProof/>
            <w:webHidden/>
          </w:rPr>
          <w:fldChar w:fldCharType="begin"/>
        </w:r>
        <w:r>
          <w:rPr>
            <w:noProof/>
            <w:webHidden/>
          </w:rPr>
          <w:instrText xml:space="preserve"> PAGEREF _Toc55913740 \h </w:instrText>
        </w:r>
        <w:r>
          <w:rPr>
            <w:noProof/>
            <w:webHidden/>
          </w:rPr>
        </w:r>
        <w:r>
          <w:rPr>
            <w:noProof/>
            <w:webHidden/>
          </w:rPr>
          <w:fldChar w:fldCharType="separate"/>
        </w:r>
        <w:r w:rsidR="00ED2796">
          <w:rPr>
            <w:noProof/>
            <w:webHidden/>
          </w:rPr>
          <w:t>59</w:t>
        </w:r>
        <w:r>
          <w:rPr>
            <w:noProof/>
            <w:webHidden/>
          </w:rPr>
          <w:fldChar w:fldCharType="end"/>
        </w:r>
      </w:hyperlink>
    </w:p>
    <w:p w14:paraId="5AB472ED" w14:textId="25FDFE8C" w:rsidR="003F4427" w:rsidRDefault="003F4427">
      <w:pPr>
        <w:pStyle w:val="Kazaloslik"/>
        <w:tabs>
          <w:tab w:val="right" w:leader="dot" w:pos="9062"/>
        </w:tabs>
        <w:rPr>
          <w:rFonts w:asciiTheme="minorHAnsi" w:eastAsiaTheme="minorEastAsia" w:hAnsiTheme="minorHAnsi"/>
          <w:noProof/>
          <w:sz w:val="22"/>
          <w:lang w:eastAsia="sl-SI"/>
        </w:rPr>
      </w:pPr>
      <w:hyperlink w:anchor="_Toc55913741" w:history="1">
        <w:r w:rsidRPr="001F3C26">
          <w:rPr>
            <w:rStyle w:val="Hiperpovezava"/>
            <w:noProof/>
          </w:rPr>
          <w:t>Tabela 30: Družinska delovna sila (t.j. gospodar in ostali člani gospodinjstva) po starostnih skupinah in letih 2010, 2013 in 2016</w:t>
        </w:r>
        <w:r>
          <w:rPr>
            <w:noProof/>
            <w:webHidden/>
          </w:rPr>
          <w:tab/>
        </w:r>
        <w:r>
          <w:rPr>
            <w:noProof/>
            <w:webHidden/>
          </w:rPr>
          <w:fldChar w:fldCharType="begin"/>
        </w:r>
        <w:r>
          <w:rPr>
            <w:noProof/>
            <w:webHidden/>
          </w:rPr>
          <w:instrText xml:space="preserve"> PAGEREF _Toc55913741 \h </w:instrText>
        </w:r>
        <w:r>
          <w:rPr>
            <w:noProof/>
            <w:webHidden/>
          </w:rPr>
        </w:r>
        <w:r>
          <w:rPr>
            <w:noProof/>
            <w:webHidden/>
          </w:rPr>
          <w:fldChar w:fldCharType="separate"/>
        </w:r>
        <w:r w:rsidR="00ED2796">
          <w:rPr>
            <w:noProof/>
            <w:webHidden/>
          </w:rPr>
          <w:t>60</w:t>
        </w:r>
        <w:r>
          <w:rPr>
            <w:noProof/>
            <w:webHidden/>
          </w:rPr>
          <w:fldChar w:fldCharType="end"/>
        </w:r>
      </w:hyperlink>
    </w:p>
    <w:p w14:paraId="57A9C311" w14:textId="5141B73B" w:rsidR="003F4427" w:rsidRDefault="003F4427">
      <w:pPr>
        <w:pStyle w:val="Kazaloslik"/>
        <w:tabs>
          <w:tab w:val="right" w:leader="dot" w:pos="9062"/>
        </w:tabs>
        <w:rPr>
          <w:rFonts w:asciiTheme="minorHAnsi" w:eastAsiaTheme="minorEastAsia" w:hAnsiTheme="minorHAnsi"/>
          <w:noProof/>
          <w:sz w:val="22"/>
          <w:lang w:eastAsia="sl-SI"/>
        </w:rPr>
      </w:pPr>
      <w:hyperlink w:anchor="_Toc55913742" w:history="1">
        <w:r w:rsidRPr="001F3C26">
          <w:rPr>
            <w:rStyle w:val="Hiperpovezava"/>
            <w:noProof/>
          </w:rPr>
          <w:t>Tabela 31: Stalež goveda v GVŽ</w:t>
        </w:r>
        <w:r>
          <w:rPr>
            <w:noProof/>
            <w:webHidden/>
          </w:rPr>
          <w:tab/>
        </w:r>
        <w:r>
          <w:rPr>
            <w:noProof/>
            <w:webHidden/>
          </w:rPr>
          <w:fldChar w:fldCharType="begin"/>
        </w:r>
        <w:r>
          <w:rPr>
            <w:noProof/>
            <w:webHidden/>
          </w:rPr>
          <w:instrText xml:space="preserve"> PAGEREF _Toc55913742 \h </w:instrText>
        </w:r>
        <w:r>
          <w:rPr>
            <w:noProof/>
            <w:webHidden/>
          </w:rPr>
        </w:r>
        <w:r>
          <w:rPr>
            <w:noProof/>
            <w:webHidden/>
          </w:rPr>
          <w:fldChar w:fldCharType="separate"/>
        </w:r>
        <w:r w:rsidR="00ED2796">
          <w:rPr>
            <w:noProof/>
            <w:webHidden/>
          </w:rPr>
          <w:t>67</w:t>
        </w:r>
        <w:r>
          <w:rPr>
            <w:noProof/>
            <w:webHidden/>
          </w:rPr>
          <w:fldChar w:fldCharType="end"/>
        </w:r>
      </w:hyperlink>
    </w:p>
    <w:p w14:paraId="26AD3C44" w14:textId="075943EB" w:rsidR="003F4427" w:rsidRDefault="003F4427">
      <w:pPr>
        <w:pStyle w:val="Kazaloslik"/>
        <w:tabs>
          <w:tab w:val="right" w:leader="dot" w:pos="9062"/>
        </w:tabs>
        <w:rPr>
          <w:rFonts w:asciiTheme="minorHAnsi" w:eastAsiaTheme="minorEastAsia" w:hAnsiTheme="minorHAnsi"/>
          <w:noProof/>
          <w:sz w:val="22"/>
          <w:lang w:eastAsia="sl-SI"/>
        </w:rPr>
      </w:pPr>
      <w:hyperlink w:anchor="_Toc55913743" w:history="1">
        <w:r w:rsidRPr="001F3C26">
          <w:rPr>
            <w:rStyle w:val="Hiperpovezava"/>
            <w:noProof/>
          </w:rPr>
          <w:t>Tabela 32: DŽ govedo</w:t>
        </w:r>
        <w:r>
          <w:rPr>
            <w:noProof/>
            <w:webHidden/>
          </w:rPr>
          <w:tab/>
        </w:r>
        <w:r>
          <w:rPr>
            <w:noProof/>
            <w:webHidden/>
          </w:rPr>
          <w:fldChar w:fldCharType="begin"/>
        </w:r>
        <w:r>
          <w:rPr>
            <w:noProof/>
            <w:webHidden/>
          </w:rPr>
          <w:instrText xml:space="preserve"> PAGEREF _Toc55913743 \h </w:instrText>
        </w:r>
        <w:r>
          <w:rPr>
            <w:noProof/>
            <w:webHidden/>
          </w:rPr>
        </w:r>
        <w:r>
          <w:rPr>
            <w:noProof/>
            <w:webHidden/>
          </w:rPr>
          <w:fldChar w:fldCharType="separate"/>
        </w:r>
        <w:r w:rsidR="00ED2796">
          <w:rPr>
            <w:noProof/>
            <w:webHidden/>
          </w:rPr>
          <w:t>67</w:t>
        </w:r>
        <w:r>
          <w:rPr>
            <w:noProof/>
            <w:webHidden/>
          </w:rPr>
          <w:fldChar w:fldCharType="end"/>
        </w:r>
      </w:hyperlink>
    </w:p>
    <w:p w14:paraId="5EEDD56B" w14:textId="4364B668" w:rsidR="003F4427" w:rsidRDefault="003F4427">
      <w:pPr>
        <w:pStyle w:val="Kazaloslik"/>
        <w:tabs>
          <w:tab w:val="right" w:leader="dot" w:pos="9062"/>
        </w:tabs>
        <w:rPr>
          <w:rFonts w:asciiTheme="minorHAnsi" w:eastAsiaTheme="minorEastAsia" w:hAnsiTheme="minorHAnsi"/>
          <w:noProof/>
          <w:sz w:val="22"/>
          <w:lang w:eastAsia="sl-SI"/>
        </w:rPr>
      </w:pPr>
      <w:hyperlink w:anchor="_Toc55913744" w:history="1">
        <w:r w:rsidRPr="001F3C26">
          <w:rPr>
            <w:rStyle w:val="Hiperpovezava"/>
            <w:noProof/>
          </w:rPr>
          <w:t>Tabela 33: Število čebelarjev, čebelnjakov in čebeljih družin ter količina pridelanega medu</w:t>
        </w:r>
        <w:r>
          <w:rPr>
            <w:noProof/>
            <w:webHidden/>
          </w:rPr>
          <w:tab/>
        </w:r>
        <w:r>
          <w:rPr>
            <w:noProof/>
            <w:webHidden/>
          </w:rPr>
          <w:fldChar w:fldCharType="begin"/>
        </w:r>
        <w:r>
          <w:rPr>
            <w:noProof/>
            <w:webHidden/>
          </w:rPr>
          <w:instrText xml:space="preserve"> PAGEREF _Toc55913744 \h </w:instrText>
        </w:r>
        <w:r>
          <w:rPr>
            <w:noProof/>
            <w:webHidden/>
          </w:rPr>
        </w:r>
        <w:r>
          <w:rPr>
            <w:noProof/>
            <w:webHidden/>
          </w:rPr>
          <w:fldChar w:fldCharType="separate"/>
        </w:r>
        <w:r w:rsidR="00ED2796">
          <w:rPr>
            <w:noProof/>
            <w:webHidden/>
          </w:rPr>
          <w:t>82</w:t>
        </w:r>
        <w:r>
          <w:rPr>
            <w:noProof/>
            <w:webHidden/>
          </w:rPr>
          <w:fldChar w:fldCharType="end"/>
        </w:r>
      </w:hyperlink>
    </w:p>
    <w:p w14:paraId="6521461B" w14:textId="3A588A76" w:rsidR="003F4427" w:rsidRDefault="003F4427">
      <w:pPr>
        <w:pStyle w:val="Kazaloslik"/>
        <w:tabs>
          <w:tab w:val="right" w:leader="dot" w:pos="9062"/>
        </w:tabs>
        <w:rPr>
          <w:rFonts w:asciiTheme="minorHAnsi" w:eastAsiaTheme="minorEastAsia" w:hAnsiTheme="minorHAnsi"/>
          <w:noProof/>
          <w:sz w:val="22"/>
          <w:lang w:eastAsia="sl-SI"/>
        </w:rPr>
      </w:pPr>
      <w:hyperlink w:anchor="_Toc55913745" w:history="1">
        <w:r w:rsidRPr="001F3C26">
          <w:rPr>
            <w:rStyle w:val="Hiperpovezava"/>
            <w:noProof/>
          </w:rPr>
          <w:t>Tabela 34: Število kmetijskih gospodarstev ter osnovna in pridelovalna površina zelenjadnic pri tržnih pridelovalcih za leta 2010, 2013, 2016 in 2019</w:t>
        </w:r>
        <w:r>
          <w:rPr>
            <w:noProof/>
            <w:webHidden/>
          </w:rPr>
          <w:tab/>
        </w:r>
        <w:r>
          <w:rPr>
            <w:noProof/>
            <w:webHidden/>
          </w:rPr>
          <w:fldChar w:fldCharType="begin"/>
        </w:r>
        <w:r>
          <w:rPr>
            <w:noProof/>
            <w:webHidden/>
          </w:rPr>
          <w:instrText xml:space="preserve"> PAGEREF _Toc55913745 \h </w:instrText>
        </w:r>
        <w:r>
          <w:rPr>
            <w:noProof/>
            <w:webHidden/>
          </w:rPr>
        </w:r>
        <w:r>
          <w:rPr>
            <w:noProof/>
            <w:webHidden/>
          </w:rPr>
          <w:fldChar w:fldCharType="separate"/>
        </w:r>
        <w:r w:rsidR="00ED2796">
          <w:rPr>
            <w:noProof/>
            <w:webHidden/>
          </w:rPr>
          <w:t>89</w:t>
        </w:r>
        <w:r>
          <w:rPr>
            <w:noProof/>
            <w:webHidden/>
          </w:rPr>
          <w:fldChar w:fldCharType="end"/>
        </w:r>
      </w:hyperlink>
    </w:p>
    <w:p w14:paraId="488B6AA7" w14:textId="20B614DA" w:rsidR="003F4427" w:rsidRDefault="003F4427">
      <w:pPr>
        <w:pStyle w:val="Kazaloslik"/>
        <w:tabs>
          <w:tab w:val="right" w:leader="dot" w:pos="9062"/>
        </w:tabs>
        <w:rPr>
          <w:rFonts w:asciiTheme="minorHAnsi" w:eastAsiaTheme="minorEastAsia" w:hAnsiTheme="minorHAnsi"/>
          <w:noProof/>
          <w:sz w:val="22"/>
          <w:lang w:eastAsia="sl-SI"/>
        </w:rPr>
      </w:pPr>
      <w:hyperlink w:anchor="_Toc55913746" w:history="1">
        <w:r w:rsidRPr="001F3C26">
          <w:rPr>
            <w:rStyle w:val="Hiperpovezava"/>
            <w:noProof/>
          </w:rPr>
          <w:t>Tabela 35: Podatek o površinah vinogradov po letih (ha)</w:t>
        </w:r>
        <w:r>
          <w:rPr>
            <w:noProof/>
            <w:webHidden/>
          </w:rPr>
          <w:tab/>
        </w:r>
        <w:r>
          <w:rPr>
            <w:noProof/>
            <w:webHidden/>
          </w:rPr>
          <w:fldChar w:fldCharType="begin"/>
        </w:r>
        <w:r>
          <w:rPr>
            <w:noProof/>
            <w:webHidden/>
          </w:rPr>
          <w:instrText xml:space="preserve"> PAGEREF _Toc55913746 \h </w:instrText>
        </w:r>
        <w:r>
          <w:rPr>
            <w:noProof/>
            <w:webHidden/>
          </w:rPr>
        </w:r>
        <w:r>
          <w:rPr>
            <w:noProof/>
            <w:webHidden/>
          </w:rPr>
          <w:fldChar w:fldCharType="separate"/>
        </w:r>
        <w:r w:rsidR="00ED2796">
          <w:rPr>
            <w:noProof/>
            <w:webHidden/>
          </w:rPr>
          <w:t>104</w:t>
        </w:r>
        <w:r>
          <w:rPr>
            <w:noProof/>
            <w:webHidden/>
          </w:rPr>
          <w:fldChar w:fldCharType="end"/>
        </w:r>
      </w:hyperlink>
    </w:p>
    <w:p w14:paraId="27875146" w14:textId="3F4C66C7" w:rsidR="003F4427" w:rsidRDefault="003F4427">
      <w:pPr>
        <w:pStyle w:val="Kazaloslik"/>
        <w:tabs>
          <w:tab w:val="right" w:leader="dot" w:pos="9062"/>
        </w:tabs>
        <w:rPr>
          <w:rFonts w:asciiTheme="minorHAnsi" w:eastAsiaTheme="minorEastAsia" w:hAnsiTheme="minorHAnsi"/>
          <w:noProof/>
          <w:sz w:val="22"/>
          <w:lang w:eastAsia="sl-SI"/>
        </w:rPr>
      </w:pPr>
      <w:hyperlink w:anchor="_Toc55913747" w:history="1">
        <w:r w:rsidRPr="001F3C26">
          <w:rPr>
            <w:rStyle w:val="Hiperpovezava"/>
            <w:noProof/>
          </w:rPr>
          <w:t>Tabela 36: Količina pridelka po letih, prijavljena v RPGV (v 1000 litrih)</w:t>
        </w:r>
        <w:r>
          <w:rPr>
            <w:noProof/>
            <w:webHidden/>
          </w:rPr>
          <w:tab/>
        </w:r>
        <w:r>
          <w:rPr>
            <w:noProof/>
            <w:webHidden/>
          </w:rPr>
          <w:fldChar w:fldCharType="begin"/>
        </w:r>
        <w:r>
          <w:rPr>
            <w:noProof/>
            <w:webHidden/>
          </w:rPr>
          <w:instrText xml:space="preserve"> PAGEREF _Toc55913747 \h </w:instrText>
        </w:r>
        <w:r>
          <w:rPr>
            <w:noProof/>
            <w:webHidden/>
          </w:rPr>
        </w:r>
        <w:r>
          <w:rPr>
            <w:noProof/>
            <w:webHidden/>
          </w:rPr>
          <w:fldChar w:fldCharType="separate"/>
        </w:r>
        <w:r w:rsidR="00ED2796">
          <w:rPr>
            <w:noProof/>
            <w:webHidden/>
          </w:rPr>
          <w:t>104</w:t>
        </w:r>
        <w:r>
          <w:rPr>
            <w:noProof/>
            <w:webHidden/>
          </w:rPr>
          <w:fldChar w:fldCharType="end"/>
        </w:r>
      </w:hyperlink>
    </w:p>
    <w:p w14:paraId="0D45C4A6" w14:textId="00B85ACF" w:rsidR="003F4427" w:rsidRDefault="003F4427">
      <w:pPr>
        <w:pStyle w:val="Kazaloslik"/>
        <w:tabs>
          <w:tab w:val="right" w:leader="dot" w:pos="9062"/>
        </w:tabs>
        <w:rPr>
          <w:rFonts w:asciiTheme="minorHAnsi" w:eastAsiaTheme="minorEastAsia" w:hAnsiTheme="minorHAnsi"/>
          <w:noProof/>
          <w:sz w:val="22"/>
          <w:lang w:eastAsia="sl-SI"/>
        </w:rPr>
      </w:pPr>
      <w:hyperlink w:anchor="_Toc55913748" w:history="1">
        <w:r w:rsidRPr="001F3C26">
          <w:rPr>
            <w:rStyle w:val="Hiperpovezava"/>
            <w:noProof/>
          </w:rPr>
          <w:t>Tabela 37: Povprečna cena odkupljenega grozdja</w:t>
        </w:r>
        <w:r>
          <w:rPr>
            <w:noProof/>
            <w:webHidden/>
          </w:rPr>
          <w:tab/>
        </w:r>
        <w:r>
          <w:rPr>
            <w:noProof/>
            <w:webHidden/>
          </w:rPr>
          <w:fldChar w:fldCharType="begin"/>
        </w:r>
        <w:r>
          <w:rPr>
            <w:noProof/>
            <w:webHidden/>
          </w:rPr>
          <w:instrText xml:space="preserve"> PAGEREF _Toc55913748 \h </w:instrText>
        </w:r>
        <w:r>
          <w:rPr>
            <w:noProof/>
            <w:webHidden/>
          </w:rPr>
        </w:r>
        <w:r>
          <w:rPr>
            <w:noProof/>
            <w:webHidden/>
          </w:rPr>
          <w:fldChar w:fldCharType="separate"/>
        </w:r>
        <w:r w:rsidR="00ED2796">
          <w:rPr>
            <w:noProof/>
            <w:webHidden/>
          </w:rPr>
          <w:t>105</w:t>
        </w:r>
        <w:r>
          <w:rPr>
            <w:noProof/>
            <w:webHidden/>
          </w:rPr>
          <w:fldChar w:fldCharType="end"/>
        </w:r>
      </w:hyperlink>
    </w:p>
    <w:p w14:paraId="4895BC17" w14:textId="45F9DE02" w:rsidR="003F4427" w:rsidRDefault="003F4427">
      <w:pPr>
        <w:pStyle w:val="Kazaloslik"/>
        <w:tabs>
          <w:tab w:val="right" w:leader="dot" w:pos="9062"/>
        </w:tabs>
        <w:rPr>
          <w:rFonts w:asciiTheme="minorHAnsi" w:eastAsiaTheme="minorEastAsia" w:hAnsiTheme="minorHAnsi"/>
          <w:noProof/>
          <w:sz w:val="22"/>
          <w:lang w:eastAsia="sl-SI"/>
        </w:rPr>
      </w:pPr>
      <w:hyperlink w:anchor="_Toc55913749" w:history="1">
        <w:r w:rsidRPr="001F3C26">
          <w:rPr>
            <w:rStyle w:val="Hiperpovezava"/>
            <w:noProof/>
          </w:rPr>
          <w:t>Tabela 38: Potrjene površine semenskih posevkov (v ha) od leta 2014 do 2019 po skupinah rastlin v primerjavi s povprečnimi površinami v obdobju 2000–2004 in 2009–2013</w:t>
        </w:r>
        <w:r>
          <w:rPr>
            <w:noProof/>
            <w:webHidden/>
          </w:rPr>
          <w:tab/>
        </w:r>
        <w:r>
          <w:rPr>
            <w:noProof/>
            <w:webHidden/>
          </w:rPr>
          <w:fldChar w:fldCharType="begin"/>
        </w:r>
        <w:r>
          <w:rPr>
            <w:noProof/>
            <w:webHidden/>
          </w:rPr>
          <w:instrText xml:space="preserve"> PAGEREF _Toc55913749 \h </w:instrText>
        </w:r>
        <w:r>
          <w:rPr>
            <w:noProof/>
            <w:webHidden/>
          </w:rPr>
        </w:r>
        <w:r>
          <w:rPr>
            <w:noProof/>
            <w:webHidden/>
          </w:rPr>
          <w:fldChar w:fldCharType="separate"/>
        </w:r>
        <w:r w:rsidR="00ED2796">
          <w:rPr>
            <w:noProof/>
            <w:webHidden/>
          </w:rPr>
          <w:t>118</w:t>
        </w:r>
        <w:r>
          <w:rPr>
            <w:noProof/>
            <w:webHidden/>
          </w:rPr>
          <w:fldChar w:fldCharType="end"/>
        </w:r>
      </w:hyperlink>
    </w:p>
    <w:p w14:paraId="335DA981" w14:textId="6D5DD6F6" w:rsidR="003F4427" w:rsidRDefault="003F4427">
      <w:pPr>
        <w:pStyle w:val="Kazaloslik"/>
        <w:tabs>
          <w:tab w:val="right" w:leader="dot" w:pos="9062"/>
        </w:tabs>
        <w:rPr>
          <w:rFonts w:asciiTheme="minorHAnsi" w:eastAsiaTheme="minorEastAsia" w:hAnsiTheme="minorHAnsi"/>
          <w:noProof/>
          <w:sz w:val="22"/>
          <w:lang w:eastAsia="sl-SI"/>
        </w:rPr>
      </w:pPr>
      <w:hyperlink w:anchor="_Toc55913750" w:history="1">
        <w:r w:rsidRPr="001F3C26">
          <w:rPr>
            <w:rStyle w:val="Hiperpovezava"/>
            <w:noProof/>
          </w:rPr>
          <w:t>Tabela 39: Delež uradno pridelanega domačega semena v Sloveniji</w:t>
        </w:r>
        <w:r>
          <w:rPr>
            <w:noProof/>
            <w:webHidden/>
          </w:rPr>
          <w:tab/>
        </w:r>
        <w:r>
          <w:rPr>
            <w:noProof/>
            <w:webHidden/>
          </w:rPr>
          <w:fldChar w:fldCharType="begin"/>
        </w:r>
        <w:r>
          <w:rPr>
            <w:noProof/>
            <w:webHidden/>
          </w:rPr>
          <w:instrText xml:space="preserve"> PAGEREF _Toc55913750 \h </w:instrText>
        </w:r>
        <w:r>
          <w:rPr>
            <w:noProof/>
            <w:webHidden/>
          </w:rPr>
        </w:r>
        <w:r>
          <w:rPr>
            <w:noProof/>
            <w:webHidden/>
          </w:rPr>
          <w:fldChar w:fldCharType="separate"/>
        </w:r>
        <w:r w:rsidR="00ED2796">
          <w:rPr>
            <w:noProof/>
            <w:webHidden/>
          </w:rPr>
          <w:t>121</w:t>
        </w:r>
        <w:r>
          <w:rPr>
            <w:noProof/>
            <w:webHidden/>
          </w:rPr>
          <w:fldChar w:fldCharType="end"/>
        </w:r>
      </w:hyperlink>
    </w:p>
    <w:p w14:paraId="2B3C89F7" w14:textId="2DB41B85" w:rsidR="003F4427" w:rsidRDefault="003F4427">
      <w:pPr>
        <w:pStyle w:val="Kazaloslik"/>
        <w:tabs>
          <w:tab w:val="right" w:leader="dot" w:pos="9062"/>
        </w:tabs>
        <w:rPr>
          <w:rFonts w:asciiTheme="minorHAnsi" w:eastAsiaTheme="minorEastAsia" w:hAnsiTheme="minorHAnsi"/>
          <w:noProof/>
          <w:sz w:val="22"/>
          <w:lang w:eastAsia="sl-SI"/>
        </w:rPr>
      </w:pPr>
      <w:hyperlink w:anchor="_Toc55913751" w:history="1">
        <w:r w:rsidRPr="001F3C26">
          <w:rPr>
            <w:rStyle w:val="Hiperpovezava"/>
            <w:noProof/>
          </w:rPr>
          <w:t>Tabela 40: Izvoz in uvoz žita v obliki zrnja (2015–2019)</w:t>
        </w:r>
        <w:r>
          <w:rPr>
            <w:noProof/>
            <w:webHidden/>
          </w:rPr>
          <w:tab/>
        </w:r>
        <w:r>
          <w:rPr>
            <w:noProof/>
            <w:webHidden/>
          </w:rPr>
          <w:fldChar w:fldCharType="begin"/>
        </w:r>
        <w:r>
          <w:rPr>
            <w:noProof/>
            <w:webHidden/>
          </w:rPr>
          <w:instrText xml:space="preserve"> PAGEREF _Toc55913751 \h </w:instrText>
        </w:r>
        <w:r>
          <w:rPr>
            <w:noProof/>
            <w:webHidden/>
          </w:rPr>
        </w:r>
        <w:r>
          <w:rPr>
            <w:noProof/>
            <w:webHidden/>
          </w:rPr>
          <w:fldChar w:fldCharType="separate"/>
        </w:r>
        <w:r w:rsidR="00ED2796">
          <w:rPr>
            <w:noProof/>
            <w:webHidden/>
          </w:rPr>
          <w:t>125</w:t>
        </w:r>
        <w:r>
          <w:rPr>
            <w:noProof/>
            <w:webHidden/>
          </w:rPr>
          <w:fldChar w:fldCharType="end"/>
        </w:r>
      </w:hyperlink>
    </w:p>
    <w:p w14:paraId="0918D8E8" w14:textId="4C8582E0" w:rsidR="001532FF" w:rsidRPr="005617B7" w:rsidRDefault="00DB0D57" w:rsidP="00C760FC">
      <w:pPr>
        <w:jc w:val="both"/>
        <w:rPr>
          <w:rFonts w:cs="Arial"/>
        </w:rPr>
      </w:pPr>
      <w:r w:rsidRPr="005617B7">
        <w:rPr>
          <w:rFonts w:cs="Arial"/>
        </w:rPr>
        <w:fldChar w:fldCharType="end"/>
      </w:r>
    </w:p>
    <w:p w14:paraId="2A95DC74" w14:textId="77777777" w:rsidR="001532FF" w:rsidRDefault="001532FF" w:rsidP="00C760FC">
      <w:pPr>
        <w:jc w:val="both"/>
      </w:pPr>
    </w:p>
    <w:p w14:paraId="765A4E29" w14:textId="342D96CF" w:rsidR="001532FF" w:rsidRPr="00D02084" w:rsidRDefault="00B26CAB" w:rsidP="00B26CAB">
      <w:pPr>
        <w:pStyle w:val="Naslov1"/>
        <w:numPr>
          <w:ilvl w:val="0"/>
          <w:numId w:val="0"/>
        </w:numPr>
        <w:ind w:left="432" w:hanging="432"/>
        <w:rPr>
          <w:szCs w:val="28"/>
        </w:rPr>
      </w:pPr>
      <w:bookmarkStart w:id="3" w:name="_Toc55912172"/>
      <w:r w:rsidRPr="00D02084">
        <w:rPr>
          <w:szCs w:val="28"/>
        </w:rPr>
        <w:t>UVOD</w:t>
      </w:r>
      <w:bookmarkEnd w:id="3"/>
      <w:r w:rsidR="00573840">
        <w:rPr>
          <w:szCs w:val="28"/>
        </w:rPr>
        <w:t xml:space="preserve"> </w:t>
      </w:r>
    </w:p>
    <w:p w14:paraId="01757149" w14:textId="0EDD3F33" w:rsidR="001532FF" w:rsidRPr="00DE12FE" w:rsidRDefault="001532FF" w:rsidP="00DE12FE">
      <w:pPr>
        <w:spacing w:line="360" w:lineRule="auto"/>
        <w:jc w:val="both"/>
        <w:rPr>
          <w:rFonts w:cs="Arial"/>
          <w:szCs w:val="20"/>
        </w:rPr>
      </w:pPr>
      <w:r w:rsidRPr="00DE12FE">
        <w:rPr>
          <w:rFonts w:cs="Arial"/>
          <w:szCs w:val="20"/>
        </w:rPr>
        <w:t xml:space="preserve">Skupna kmetijska politika (SKP) po letu 2020 temelji na treh splošnih in devetih specifičnih ciljih, ki </w:t>
      </w:r>
      <w:r w:rsidR="00632A00" w:rsidRPr="00DE12FE">
        <w:rPr>
          <w:rFonts w:cs="Arial"/>
          <w:szCs w:val="20"/>
        </w:rPr>
        <w:t>so skladni z Evropskim zelenim dogovorom</w:t>
      </w:r>
      <w:r w:rsidR="00D56CC4" w:rsidRPr="00DE12FE">
        <w:rPr>
          <w:rFonts w:cs="Arial"/>
          <w:szCs w:val="20"/>
        </w:rPr>
        <w:t>, Strategijo od vil do vilic in Strategijo o biotski raznovrstnosti.</w:t>
      </w:r>
      <w:r w:rsidR="00632A00" w:rsidRPr="00DE12FE">
        <w:rPr>
          <w:rFonts w:cs="Arial"/>
          <w:szCs w:val="20"/>
        </w:rPr>
        <w:t xml:space="preserve"> </w:t>
      </w:r>
      <w:r w:rsidR="00060FA1">
        <w:rPr>
          <w:rFonts w:cs="Arial"/>
          <w:szCs w:val="20"/>
        </w:rPr>
        <w:t>Cilji so o</w:t>
      </w:r>
      <w:r w:rsidRPr="00DE12FE">
        <w:rPr>
          <w:rFonts w:cs="Arial"/>
          <w:szCs w:val="20"/>
        </w:rPr>
        <w:t>sredotočeni na</w:t>
      </w:r>
      <w:r w:rsidR="00C0215B" w:rsidRPr="00DE12FE">
        <w:rPr>
          <w:rFonts w:cs="Arial"/>
          <w:szCs w:val="20"/>
        </w:rPr>
        <w:t xml:space="preserve"> </w:t>
      </w:r>
      <w:r w:rsidRPr="00DE12FE">
        <w:rPr>
          <w:rFonts w:cs="Arial"/>
          <w:szCs w:val="20"/>
        </w:rPr>
        <w:t xml:space="preserve">gospodarsko uspešnost, odpornost in dohodke kmetij, </w:t>
      </w:r>
      <w:r w:rsidR="00D56CC4" w:rsidRPr="00DE12FE">
        <w:rPr>
          <w:rFonts w:cs="Arial"/>
          <w:szCs w:val="20"/>
        </w:rPr>
        <w:t xml:space="preserve">na </w:t>
      </w:r>
      <w:r w:rsidRPr="00DE12FE">
        <w:rPr>
          <w:rFonts w:cs="Arial"/>
          <w:szCs w:val="20"/>
        </w:rPr>
        <w:t xml:space="preserve">večjo </w:t>
      </w:r>
      <w:proofErr w:type="spellStart"/>
      <w:r w:rsidRPr="00DE12FE">
        <w:rPr>
          <w:rFonts w:cs="Arial"/>
          <w:szCs w:val="20"/>
        </w:rPr>
        <w:t>okoljsko</w:t>
      </w:r>
      <w:proofErr w:type="spellEnd"/>
      <w:r w:rsidRPr="00DE12FE">
        <w:rPr>
          <w:rFonts w:cs="Arial"/>
          <w:szCs w:val="20"/>
        </w:rPr>
        <w:t xml:space="preserve"> in podnebno uspešnost ter </w:t>
      </w:r>
      <w:r w:rsidR="00D56CC4" w:rsidRPr="00DE12FE">
        <w:rPr>
          <w:rFonts w:cs="Arial"/>
          <w:szCs w:val="20"/>
        </w:rPr>
        <w:t>na</w:t>
      </w:r>
      <w:r w:rsidR="00C0215B" w:rsidRPr="00DE12FE">
        <w:rPr>
          <w:rFonts w:cs="Arial"/>
          <w:szCs w:val="20"/>
        </w:rPr>
        <w:t xml:space="preserve"> </w:t>
      </w:r>
      <w:r w:rsidRPr="00DE12FE">
        <w:rPr>
          <w:rFonts w:cs="Arial"/>
          <w:szCs w:val="20"/>
        </w:rPr>
        <w:t>okrepljen socialn</w:t>
      </w:r>
      <w:r w:rsidR="00060FA1">
        <w:rPr>
          <w:rFonts w:cs="Arial"/>
          <w:szCs w:val="20"/>
        </w:rPr>
        <w:t>o</w:t>
      </w:r>
      <w:r w:rsidRPr="00DE12FE">
        <w:rPr>
          <w:rFonts w:cs="Arial"/>
          <w:szCs w:val="20"/>
        </w:rPr>
        <w:t>-ekonomski razvoj podeželskih območij. Poleg tega je zelo pomemben tudi medsektorski cilj spodbujanje znanja, inovacij in digitalizacije v kmetijstvu in na podeželskih območjih.</w:t>
      </w:r>
      <w:r w:rsidR="00CD03C3" w:rsidRPr="00DE12FE">
        <w:rPr>
          <w:szCs w:val="20"/>
        </w:rPr>
        <w:t xml:space="preserve"> </w:t>
      </w:r>
      <w:r w:rsidR="00CD03C3" w:rsidRPr="00DE12FE">
        <w:rPr>
          <w:rFonts w:cs="Arial"/>
          <w:szCs w:val="20"/>
        </w:rPr>
        <w:t>SKP po letu 2020 vključuje tudi odziv na vpliv</w:t>
      </w:r>
      <w:r w:rsidR="00060FA1">
        <w:rPr>
          <w:rFonts w:cs="Arial"/>
          <w:szCs w:val="20"/>
        </w:rPr>
        <w:t>e</w:t>
      </w:r>
      <w:r w:rsidR="00CD03C3" w:rsidRPr="00DE12FE">
        <w:rPr>
          <w:rFonts w:cs="Arial"/>
          <w:szCs w:val="20"/>
        </w:rPr>
        <w:t xml:space="preserve"> krize, ki jo je povzročil izbruh COVID-19.</w:t>
      </w:r>
    </w:p>
    <w:p w14:paraId="218D2A10" w14:textId="5104CCC3" w:rsidR="00060FA1" w:rsidRPr="00C9712F" w:rsidRDefault="00060FA1" w:rsidP="00D52524">
      <w:pPr>
        <w:pStyle w:val="Napis"/>
        <w:spacing w:before="0" w:after="120" w:line="240" w:lineRule="auto"/>
        <w:rPr>
          <w:szCs w:val="20"/>
        </w:rPr>
      </w:pPr>
      <w:bookmarkStart w:id="4" w:name="_Toc55913712"/>
      <w:r w:rsidRPr="00D52524">
        <w:rPr>
          <w:sz w:val="20"/>
          <w:szCs w:val="20"/>
        </w:rPr>
        <w:t xml:space="preserve">Tabela </w:t>
      </w:r>
      <w:r w:rsidRPr="00D52524">
        <w:rPr>
          <w:sz w:val="20"/>
          <w:szCs w:val="20"/>
        </w:rPr>
        <w:fldChar w:fldCharType="begin"/>
      </w:r>
      <w:r w:rsidRPr="00D52524">
        <w:rPr>
          <w:sz w:val="20"/>
          <w:szCs w:val="20"/>
        </w:rPr>
        <w:instrText xml:space="preserve"> SEQ Tabela \* ARABIC </w:instrText>
      </w:r>
      <w:r w:rsidRPr="00D52524">
        <w:rPr>
          <w:sz w:val="20"/>
          <w:szCs w:val="20"/>
        </w:rPr>
        <w:fldChar w:fldCharType="separate"/>
      </w:r>
      <w:r w:rsidR="00DF0D48">
        <w:rPr>
          <w:noProof/>
          <w:sz w:val="20"/>
          <w:szCs w:val="20"/>
        </w:rPr>
        <w:t>1</w:t>
      </w:r>
      <w:r w:rsidRPr="00D52524">
        <w:rPr>
          <w:sz w:val="20"/>
          <w:szCs w:val="20"/>
        </w:rPr>
        <w:fldChar w:fldCharType="end"/>
      </w:r>
      <w:r w:rsidRPr="00D52524">
        <w:rPr>
          <w:sz w:val="20"/>
          <w:szCs w:val="20"/>
        </w:rPr>
        <w:t>: Splošni in specifični silji Skupne kmetijske politike</w:t>
      </w:r>
      <w:bookmarkEnd w:id="4"/>
    </w:p>
    <w:tbl>
      <w:tblPr>
        <w:tblW w:w="8779" w:type="dxa"/>
        <w:tblCellMar>
          <w:left w:w="0" w:type="dxa"/>
          <w:right w:w="0" w:type="dxa"/>
        </w:tblCellMar>
        <w:tblLook w:val="0420" w:firstRow="1" w:lastRow="0" w:firstColumn="0" w:lastColumn="0" w:noHBand="0" w:noVBand="1"/>
      </w:tblPr>
      <w:tblGrid>
        <w:gridCol w:w="2825"/>
        <w:gridCol w:w="2977"/>
        <w:gridCol w:w="2977"/>
      </w:tblGrid>
      <w:tr w:rsidR="0006662C" w:rsidRPr="0006662C" w14:paraId="7ACFE3EA" w14:textId="77777777" w:rsidTr="0006662C">
        <w:trPr>
          <w:trHeight w:val="717"/>
        </w:trPr>
        <w:tc>
          <w:tcPr>
            <w:tcW w:w="2825"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14:paraId="1187B0B3" w14:textId="77777777" w:rsidR="0006662C" w:rsidRPr="0006662C" w:rsidRDefault="0006662C" w:rsidP="0006662C">
            <w:pPr>
              <w:spacing w:after="0" w:line="240" w:lineRule="auto"/>
              <w:rPr>
                <w:rFonts w:eastAsia="Times New Roman" w:cs="Arial"/>
                <w:sz w:val="16"/>
                <w:szCs w:val="16"/>
                <w:lang w:eastAsia="sl-SI"/>
              </w:rPr>
            </w:pPr>
            <w:r w:rsidRPr="0006662C">
              <w:rPr>
                <w:rFonts w:eastAsia="Times New Roman" w:cs="Arial"/>
                <w:b/>
                <w:bCs/>
                <w:color w:val="1E0E01" w:themeColor="accent6" w:themeShade="1A"/>
                <w:kern w:val="24"/>
                <w:sz w:val="16"/>
                <w:szCs w:val="16"/>
                <w:lang w:eastAsia="sl-SI"/>
              </w:rPr>
              <w:t>CILJ: Spodbujanje pametnega, odpornega in raznolikega kmetijskega sektorja, ki zagotavlja prehransko varnost</w:t>
            </w:r>
          </w:p>
        </w:tc>
        <w:tc>
          <w:tcPr>
            <w:tcW w:w="2977"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14:paraId="1D9278D4" w14:textId="77777777" w:rsidR="0006662C" w:rsidRPr="0006662C" w:rsidRDefault="0006662C" w:rsidP="0006662C">
            <w:pPr>
              <w:spacing w:after="0" w:line="240" w:lineRule="auto"/>
              <w:rPr>
                <w:rFonts w:eastAsia="Times New Roman" w:cs="Arial"/>
                <w:sz w:val="16"/>
                <w:szCs w:val="16"/>
                <w:lang w:eastAsia="sl-SI"/>
              </w:rPr>
            </w:pPr>
            <w:r w:rsidRPr="0006662C">
              <w:rPr>
                <w:rFonts w:eastAsia="Times New Roman" w:cs="Arial"/>
                <w:b/>
                <w:bCs/>
                <w:color w:val="1E0E01" w:themeColor="accent6" w:themeShade="1A"/>
                <w:kern w:val="24"/>
                <w:sz w:val="16"/>
                <w:szCs w:val="16"/>
                <w:lang w:eastAsia="sl-SI"/>
              </w:rPr>
              <w:t xml:space="preserve">CILJ: Krepitev skrbi za okolje in podnebnih ukrepov ter prispevanje k doseganju </w:t>
            </w:r>
            <w:proofErr w:type="spellStart"/>
            <w:r w:rsidRPr="0006662C">
              <w:rPr>
                <w:rFonts w:eastAsia="Times New Roman" w:cs="Arial"/>
                <w:b/>
                <w:bCs/>
                <w:color w:val="1E0E01" w:themeColor="accent6" w:themeShade="1A"/>
                <w:kern w:val="24"/>
                <w:sz w:val="16"/>
                <w:szCs w:val="16"/>
                <w:lang w:eastAsia="sl-SI"/>
              </w:rPr>
              <w:t>okoljskih</w:t>
            </w:r>
            <w:proofErr w:type="spellEnd"/>
            <w:r w:rsidRPr="0006662C">
              <w:rPr>
                <w:rFonts w:eastAsia="Times New Roman" w:cs="Arial"/>
                <w:b/>
                <w:bCs/>
                <w:color w:val="1E0E01" w:themeColor="accent6" w:themeShade="1A"/>
                <w:kern w:val="24"/>
                <w:sz w:val="16"/>
                <w:szCs w:val="16"/>
                <w:lang w:eastAsia="sl-SI"/>
              </w:rPr>
              <w:t xml:space="preserve"> in podnebnih ciljev EU</w:t>
            </w:r>
          </w:p>
        </w:tc>
        <w:tc>
          <w:tcPr>
            <w:tcW w:w="2977"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14:paraId="17322C08" w14:textId="77777777" w:rsidR="0006662C" w:rsidRPr="0006662C" w:rsidRDefault="0006662C" w:rsidP="0006662C">
            <w:pPr>
              <w:spacing w:after="0" w:line="240" w:lineRule="auto"/>
              <w:rPr>
                <w:rFonts w:eastAsia="Times New Roman" w:cs="Arial"/>
                <w:sz w:val="16"/>
                <w:szCs w:val="16"/>
                <w:lang w:eastAsia="sl-SI"/>
              </w:rPr>
            </w:pPr>
            <w:r w:rsidRPr="0006662C">
              <w:rPr>
                <w:rFonts w:eastAsia="Times New Roman" w:cs="Arial"/>
                <w:b/>
                <w:bCs/>
                <w:color w:val="1E0E01" w:themeColor="accent6" w:themeShade="1A"/>
                <w:kern w:val="24"/>
                <w:sz w:val="16"/>
                <w:szCs w:val="16"/>
                <w:lang w:eastAsia="sl-SI"/>
              </w:rPr>
              <w:t xml:space="preserve">CILJ: Krepitev </w:t>
            </w:r>
            <w:proofErr w:type="spellStart"/>
            <w:r w:rsidRPr="0006662C">
              <w:rPr>
                <w:rFonts w:eastAsia="Times New Roman" w:cs="Arial"/>
                <w:b/>
                <w:bCs/>
                <w:color w:val="1E0E01" w:themeColor="accent6" w:themeShade="1A"/>
                <w:kern w:val="24"/>
                <w:sz w:val="16"/>
                <w:szCs w:val="16"/>
                <w:lang w:eastAsia="sl-SI"/>
              </w:rPr>
              <w:t>socio</w:t>
            </w:r>
            <w:proofErr w:type="spellEnd"/>
            <w:r w:rsidRPr="0006662C">
              <w:rPr>
                <w:rFonts w:eastAsia="Times New Roman" w:cs="Arial"/>
                <w:b/>
                <w:bCs/>
                <w:color w:val="1E0E01" w:themeColor="accent6" w:themeShade="1A"/>
                <w:kern w:val="24"/>
                <w:sz w:val="16"/>
                <w:szCs w:val="16"/>
                <w:lang w:eastAsia="sl-SI"/>
              </w:rPr>
              <w:t>-ekonomskega razvoja podeželskih območij</w:t>
            </w:r>
          </w:p>
        </w:tc>
      </w:tr>
      <w:tr w:rsidR="0006662C" w:rsidRPr="0006662C" w14:paraId="62AC6C9B" w14:textId="77777777" w:rsidTr="0006662C">
        <w:trPr>
          <w:trHeight w:val="775"/>
        </w:trPr>
        <w:tc>
          <w:tcPr>
            <w:tcW w:w="2825"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14:paraId="146788A0" w14:textId="77777777" w:rsidR="0006662C" w:rsidRPr="0006662C" w:rsidRDefault="0006662C" w:rsidP="0006662C">
            <w:pPr>
              <w:spacing w:after="0" w:line="240" w:lineRule="auto"/>
              <w:rPr>
                <w:rFonts w:eastAsia="Times New Roman" w:cs="Arial"/>
                <w:sz w:val="16"/>
                <w:szCs w:val="16"/>
                <w:lang w:eastAsia="sl-SI"/>
              </w:rPr>
            </w:pPr>
            <w:r w:rsidRPr="0006662C">
              <w:rPr>
                <w:rFonts w:eastAsia="Times New Roman" w:cs="Arial"/>
                <w:color w:val="1E0E01" w:themeColor="accent6" w:themeShade="1A"/>
                <w:kern w:val="24"/>
                <w:sz w:val="16"/>
                <w:szCs w:val="16"/>
                <w:lang w:eastAsia="sl-SI"/>
              </w:rPr>
              <w:t>(1) Podpora vzdržnim dohodkom in odpornosti kmetij po vsem ozemlju EU za povečanje prehranske varnosti</w:t>
            </w:r>
          </w:p>
        </w:tc>
        <w:tc>
          <w:tcPr>
            <w:tcW w:w="2977"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14:paraId="62F120B0" w14:textId="77777777" w:rsidR="0006662C" w:rsidRPr="0006662C" w:rsidRDefault="0006662C" w:rsidP="0006662C">
            <w:pPr>
              <w:spacing w:after="0" w:line="240" w:lineRule="auto"/>
              <w:rPr>
                <w:rFonts w:eastAsia="Times New Roman" w:cs="Arial"/>
                <w:sz w:val="16"/>
                <w:szCs w:val="16"/>
                <w:lang w:eastAsia="sl-SI"/>
              </w:rPr>
            </w:pPr>
            <w:r w:rsidRPr="0006662C">
              <w:rPr>
                <w:rFonts w:eastAsia="Times New Roman" w:cs="Arial"/>
                <w:color w:val="1E0E01" w:themeColor="accent6" w:themeShade="1A"/>
                <w:kern w:val="24"/>
                <w:sz w:val="16"/>
                <w:szCs w:val="16"/>
                <w:lang w:eastAsia="sl-SI"/>
              </w:rPr>
              <w:t>(4) Prispevanje k blažitvi podnebnih sprememb in prilagajanju nanje ter k trajnostnim virom energije</w:t>
            </w:r>
          </w:p>
        </w:tc>
        <w:tc>
          <w:tcPr>
            <w:tcW w:w="2977"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14:paraId="577FF37A" w14:textId="77777777" w:rsidR="0006662C" w:rsidRPr="0006662C" w:rsidRDefault="0006662C" w:rsidP="0006662C">
            <w:pPr>
              <w:spacing w:after="0" w:line="240" w:lineRule="auto"/>
              <w:rPr>
                <w:rFonts w:eastAsia="Times New Roman" w:cs="Arial"/>
                <w:sz w:val="16"/>
                <w:szCs w:val="16"/>
                <w:lang w:eastAsia="sl-SI"/>
              </w:rPr>
            </w:pPr>
            <w:r w:rsidRPr="0006662C">
              <w:rPr>
                <w:rFonts w:eastAsia="Times New Roman" w:cs="Arial"/>
                <w:color w:val="1E0E01" w:themeColor="accent6" w:themeShade="1A"/>
                <w:kern w:val="24"/>
                <w:sz w:val="16"/>
                <w:szCs w:val="16"/>
                <w:lang w:eastAsia="sl-SI"/>
              </w:rPr>
              <w:t>(7) Privabljanje mladih kmetov in spodbujanje razvoja podjetništva na podeželju</w:t>
            </w:r>
          </w:p>
        </w:tc>
      </w:tr>
      <w:tr w:rsidR="0006662C" w:rsidRPr="0006662C" w14:paraId="4FEC5B25" w14:textId="77777777" w:rsidTr="0006662C">
        <w:trPr>
          <w:trHeight w:val="815"/>
        </w:trPr>
        <w:tc>
          <w:tcPr>
            <w:tcW w:w="2825"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14:paraId="0BCF559F" w14:textId="77777777" w:rsidR="0006662C" w:rsidRPr="0006662C" w:rsidRDefault="0006662C" w:rsidP="0006662C">
            <w:pPr>
              <w:spacing w:after="0" w:line="240" w:lineRule="auto"/>
              <w:rPr>
                <w:rFonts w:eastAsia="Times New Roman" w:cs="Arial"/>
                <w:sz w:val="16"/>
                <w:szCs w:val="16"/>
                <w:lang w:eastAsia="sl-SI"/>
              </w:rPr>
            </w:pPr>
            <w:r w:rsidRPr="0006662C">
              <w:rPr>
                <w:rFonts w:eastAsia="Times New Roman" w:cs="Arial"/>
                <w:color w:val="1E0E01" w:themeColor="accent6" w:themeShade="1A"/>
                <w:kern w:val="24"/>
                <w:sz w:val="16"/>
                <w:szCs w:val="16"/>
                <w:lang w:eastAsia="sl-SI"/>
              </w:rPr>
              <w:t>(2) Krepitev tržne usmerjenosti in povečanje konkurenčnosti, tudi z večjim poudarkom na raziskavah, tehnologiji in digitalizaciji</w:t>
            </w:r>
          </w:p>
        </w:tc>
        <w:tc>
          <w:tcPr>
            <w:tcW w:w="2977"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14:paraId="2C146A0A" w14:textId="77777777" w:rsidR="0006662C" w:rsidRPr="0006662C" w:rsidRDefault="0006662C" w:rsidP="0006662C">
            <w:pPr>
              <w:spacing w:after="0" w:line="240" w:lineRule="auto"/>
              <w:rPr>
                <w:rFonts w:eastAsia="Times New Roman" w:cs="Arial"/>
                <w:sz w:val="16"/>
                <w:szCs w:val="16"/>
                <w:lang w:eastAsia="sl-SI"/>
              </w:rPr>
            </w:pPr>
            <w:r w:rsidRPr="0006662C">
              <w:rPr>
                <w:rFonts w:eastAsia="Times New Roman" w:cs="Arial"/>
                <w:color w:val="1E0E01" w:themeColor="accent6" w:themeShade="1A"/>
                <w:kern w:val="24"/>
                <w:sz w:val="16"/>
                <w:szCs w:val="16"/>
                <w:lang w:eastAsia="sl-SI"/>
              </w:rPr>
              <w:t>(5) Spodbujanje trajnostnega razvoja in učinkovitega upravljanja naravnih virov, kot so voda, zemlja in zrak</w:t>
            </w:r>
          </w:p>
        </w:tc>
        <w:tc>
          <w:tcPr>
            <w:tcW w:w="2977"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14:paraId="2634BABB" w14:textId="77777777" w:rsidR="0006662C" w:rsidRPr="0006662C" w:rsidRDefault="0006662C" w:rsidP="0006662C">
            <w:pPr>
              <w:spacing w:after="0" w:line="240" w:lineRule="auto"/>
              <w:rPr>
                <w:rFonts w:eastAsia="Times New Roman" w:cs="Arial"/>
                <w:sz w:val="16"/>
                <w:szCs w:val="16"/>
                <w:lang w:eastAsia="sl-SI"/>
              </w:rPr>
            </w:pPr>
            <w:r w:rsidRPr="0006662C">
              <w:rPr>
                <w:rFonts w:eastAsia="Times New Roman" w:cs="Arial"/>
                <w:color w:val="1E0E01" w:themeColor="accent6" w:themeShade="1A"/>
                <w:kern w:val="24"/>
                <w:sz w:val="16"/>
                <w:szCs w:val="16"/>
                <w:lang w:eastAsia="sl-SI"/>
              </w:rPr>
              <w:t xml:space="preserve">(8) Spodbujanje zaposlovanja, rasti, socialne vključenosti in lokalnega razvoja na podeželskih območjih, vključno z </w:t>
            </w:r>
            <w:proofErr w:type="spellStart"/>
            <w:r w:rsidRPr="0006662C">
              <w:rPr>
                <w:rFonts w:eastAsia="Times New Roman" w:cs="Arial"/>
                <w:color w:val="1E0E01" w:themeColor="accent6" w:themeShade="1A"/>
                <w:kern w:val="24"/>
                <w:sz w:val="16"/>
                <w:szCs w:val="16"/>
                <w:lang w:eastAsia="sl-SI"/>
              </w:rPr>
              <w:t>biogospod</w:t>
            </w:r>
            <w:proofErr w:type="spellEnd"/>
            <w:r w:rsidRPr="0006662C">
              <w:rPr>
                <w:rFonts w:eastAsia="Times New Roman" w:cs="Arial"/>
                <w:color w:val="1E0E01" w:themeColor="accent6" w:themeShade="1A"/>
                <w:kern w:val="24"/>
                <w:sz w:val="16"/>
                <w:szCs w:val="16"/>
                <w:lang w:eastAsia="sl-SI"/>
              </w:rPr>
              <w:t>. in trajnostnim gozdarstvom</w:t>
            </w:r>
          </w:p>
        </w:tc>
      </w:tr>
      <w:tr w:rsidR="0006662C" w:rsidRPr="0006662C" w14:paraId="5C25C9E8" w14:textId="77777777" w:rsidTr="0006662C">
        <w:trPr>
          <w:trHeight w:val="731"/>
        </w:trPr>
        <w:tc>
          <w:tcPr>
            <w:tcW w:w="2825"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14:paraId="397171A9" w14:textId="77777777" w:rsidR="0006662C" w:rsidRPr="0006662C" w:rsidRDefault="0006662C" w:rsidP="0006662C">
            <w:pPr>
              <w:spacing w:after="0" w:line="240" w:lineRule="auto"/>
              <w:rPr>
                <w:rFonts w:eastAsia="Times New Roman" w:cs="Arial"/>
                <w:sz w:val="16"/>
                <w:szCs w:val="16"/>
                <w:lang w:eastAsia="sl-SI"/>
              </w:rPr>
            </w:pPr>
            <w:r w:rsidRPr="0006662C">
              <w:rPr>
                <w:rFonts w:eastAsia="Times New Roman" w:cs="Arial"/>
                <w:color w:val="1E0E01" w:themeColor="accent6" w:themeShade="1A"/>
                <w:kern w:val="24"/>
                <w:sz w:val="16"/>
                <w:szCs w:val="16"/>
                <w:lang w:eastAsia="sl-SI"/>
              </w:rPr>
              <w:t>3) Izboljšanje položaja kmetov v verigah vrednosti</w:t>
            </w:r>
          </w:p>
        </w:tc>
        <w:tc>
          <w:tcPr>
            <w:tcW w:w="2977"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14:paraId="5022245B" w14:textId="77777777" w:rsidR="0006662C" w:rsidRPr="0006662C" w:rsidRDefault="0006662C" w:rsidP="0006662C">
            <w:pPr>
              <w:spacing w:after="0" w:line="240" w:lineRule="auto"/>
              <w:rPr>
                <w:rFonts w:eastAsia="Times New Roman" w:cs="Arial"/>
                <w:sz w:val="16"/>
                <w:szCs w:val="16"/>
                <w:lang w:eastAsia="sl-SI"/>
              </w:rPr>
            </w:pPr>
            <w:r w:rsidRPr="0006662C">
              <w:rPr>
                <w:rFonts w:eastAsia="Times New Roman" w:cs="Arial"/>
                <w:color w:val="1E0E01" w:themeColor="accent6" w:themeShade="1A"/>
                <w:kern w:val="24"/>
                <w:sz w:val="16"/>
                <w:szCs w:val="16"/>
                <w:lang w:eastAsia="sl-SI"/>
              </w:rPr>
              <w:t>(6) Prispevanje k varstvu biotske raznolikosti, krepitev ekosistemskih storitev ter ohranjanje habitatov in krajine</w:t>
            </w:r>
          </w:p>
        </w:tc>
        <w:tc>
          <w:tcPr>
            <w:tcW w:w="2977"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14:paraId="48D9873B" w14:textId="77777777" w:rsidR="0006662C" w:rsidRPr="0006662C" w:rsidRDefault="0006662C" w:rsidP="0006662C">
            <w:pPr>
              <w:spacing w:after="0" w:line="240" w:lineRule="auto"/>
              <w:rPr>
                <w:rFonts w:eastAsia="Times New Roman" w:cs="Arial"/>
                <w:sz w:val="16"/>
                <w:szCs w:val="16"/>
                <w:lang w:eastAsia="sl-SI"/>
              </w:rPr>
            </w:pPr>
            <w:r w:rsidRPr="0006662C">
              <w:rPr>
                <w:rFonts w:eastAsia="Times New Roman" w:cs="Arial"/>
                <w:color w:val="1E0E01" w:themeColor="accent6" w:themeShade="1A"/>
                <w:kern w:val="24"/>
                <w:sz w:val="16"/>
                <w:szCs w:val="16"/>
                <w:lang w:eastAsia="sl-SI"/>
              </w:rPr>
              <w:t>(9) Izboljšanje odziva kmetijstva EU na zahteve družbe v zvezi z hrano in zdravjem, vključno z varno, hranljivo in trajnostno hrano, ter dobrobiti živali</w:t>
            </w:r>
          </w:p>
        </w:tc>
      </w:tr>
      <w:tr w:rsidR="0006662C" w:rsidRPr="0006662C" w14:paraId="47BE55EF" w14:textId="77777777" w:rsidTr="0006662C">
        <w:trPr>
          <w:trHeight w:val="106"/>
        </w:trPr>
        <w:tc>
          <w:tcPr>
            <w:tcW w:w="8779" w:type="dxa"/>
            <w:gridSpan w:val="3"/>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14:paraId="30BFC391" w14:textId="77777777" w:rsidR="0006662C" w:rsidRPr="0006662C" w:rsidRDefault="0006662C" w:rsidP="0006662C">
            <w:pPr>
              <w:spacing w:after="0" w:line="240" w:lineRule="auto"/>
              <w:jc w:val="center"/>
              <w:rPr>
                <w:rFonts w:eastAsia="Times New Roman" w:cs="Arial"/>
                <w:sz w:val="16"/>
                <w:szCs w:val="16"/>
                <w:lang w:eastAsia="sl-SI"/>
              </w:rPr>
            </w:pPr>
            <w:r w:rsidRPr="0006662C">
              <w:rPr>
                <w:rFonts w:eastAsia="Times New Roman" w:cs="Arial"/>
                <w:b/>
                <w:bCs/>
                <w:color w:val="1E0E01" w:themeColor="accent6" w:themeShade="1A"/>
                <w:kern w:val="24"/>
                <w:sz w:val="16"/>
                <w:szCs w:val="16"/>
                <w:lang w:eastAsia="sl-SI"/>
              </w:rPr>
              <w:t>Spodbujanje znanja, inovacij in digitalizacije v kmetijstvu in na podeželskih območjih</w:t>
            </w:r>
          </w:p>
        </w:tc>
      </w:tr>
    </w:tbl>
    <w:p w14:paraId="6BF39DDE" w14:textId="77777777" w:rsidR="00B76038" w:rsidRDefault="00B76038" w:rsidP="00C760FC">
      <w:pPr>
        <w:jc w:val="both"/>
        <w:rPr>
          <w:rFonts w:cs="Arial"/>
        </w:rPr>
      </w:pPr>
    </w:p>
    <w:p w14:paraId="7BFC4B00" w14:textId="77777777" w:rsidR="00F750E5" w:rsidRPr="00DE12FE" w:rsidRDefault="002A1FC2" w:rsidP="00DE12FE">
      <w:pPr>
        <w:spacing w:line="360" w:lineRule="auto"/>
        <w:jc w:val="both"/>
        <w:rPr>
          <w:rFonts w:cs="Arial"/>
          <w:szCs w:val="20"/>
        </w:rPr>
      </w:pPr>
      <w:r w:rsidRPr="00DE12FE">
        <w:rPr>
          <w:rFonts w:cs="Arial"/>
          <w:szCs w:val="20"/>
        </w:rPr>
        <w:t xml:space="preserve">Za doseganje </w:t>
      </w:r>
      <w:r w:rsidR="00277122" w:rsidRPr="00DE12FE">
        <w:rPr>
          <w:rFonts w:cs="Arial"/>
          <w:szCs w:val="20"/>
        </w:rPr>
        <w:t>omenjenih</w:t>
      </w:r>
      <w:r w:rsidRPr="00DE12FE">
        <w:rPr>
          <w:rFonts w:cs="Arial"/>
          <w:szCs w:val="20"/>
        </w:rPr>
        <w:t xml:space="preserve"> ciljev </w:t>
      </w:r>
      <w:r w:rsidR="000D7A25" w:rsidRPr="00DE12FE">
        <w:rPr>
          <w:rFonts w:cs="Arial"/>
          <w:szCs w:val="20"/>
        </w:rPr>
        <w:t xml:space="preserve">in izzivov </w:t>
      </w:r>
      <w:r w:rsidRPr="00DE12FE">
        <w:rPr>
          <w:rFonts w:cs="Arial"/>
          <w:szCs w:val="20"/>
        </w:rPr>
        <w:t xml:space="preserve">države članice pripravijo </w:t>
      </w:r>
      <w:r w:rsidR="00140D91" w:rsidRPr="00DE12FE">
        <w:rPr>
          <w:rFonts w:cs="Arial"/>
          <w:szCs w:val="20"/>
        </w:rPr>
        <w:t>Strateški načrt SKP 2021−2027</w:t>
      </w:r>
      <w:r w:rsidRPr="00DE12FE">
        <w:rPr>
          <w:rFonts w:cs="Arial"/>
          <w:szCs w:val="20"/>
        </w:rPr>
        <w:t xml:space="preserve">, ki ga </w:t>
      </w:r>
      <w:r w:rsidR="00140D91" w:rsidRPr="00DE12FE">
        <w:rPr>
          <w:rFonts w:cs="Arial"/>
          <w:szCs w:val="20"/>
        </w:rPr>
        <w:t xml:space="preserve"> </w:t>
      </w:r>
      <w:r w:rsidRPr="00DE12FE">
        <w:rPr>
          <w:rFonts w:cs="Arial"/>
          <w:szCs w:val="20"/>
        </w:rPr>
        <w:t>pregleda in odobri Evropska komisija. Strateški načrt SKP 2021−2027 združuje večino instrumentov podpore SKP, ki se financirajo iz Evropskega kmetijskega jamstvenega sklada (EKJS), v</w:t>
      </w:r>
      <w:r w:rsidR="00551CE9" w:rsidRPr="00DE12FE">
        <w:rPr>
          <w:rFonts w:cs="Arial"/>
          <w:szCs w:val="20"/>
        </w:rPr>
        <w:t>ključno s sektorskimi programi</w:t>
      </w:r>
      <w:r w:rsidR="00A02DFA" w:rsidRPr="00DE12FE">
        <w:rPr>
          <w:rFonts w:cs="Arial"/>
          <w:szCs w:val="20"/>
        </w:rPr>
        <w:t>,</w:t>
      </w:r>
      <w:r w:rsidR="00551CE9" w:rsidRPr="00DE12FE">
        <w:rPr>
          <w:rFonts w:cs="Arial"/>
          <w:szCs w:val="20"/>
        </w:rPr>
        <w:t xml:space="preserve"> </w:t>
      </w:r>
      <w:r w:rsidRPr="00DE12FE">
        <w:rPr>
          <w:rFonts w:cs="Arial"/>
          <w:szCs w:val="20"/>
        </w:rPr>
        <w:t>in Evropskega kmetijskega sklada za razvoj podeželja (EKSRP).</w:t>
      </w:r>
      <w:r w:rsidR="00F676FD" w:rsidRPr="00DE12FE">
        <w:rPr>
          <w:rFonts w:cs="Arial"/>
          <w:szCs w:val="20"/>
        </w:rPr>
        <w:t xml:space="preserve"> </w:t>
      </w:r>
    </w:p>
    <w:p w14:paraId="18D63ADC" w14:textId="77777777" w:rsidR="006E1BC7" w:rsidRPr="00DE12FE" w:rsidRDefault="006E1BC7" w:rsidP="00DE12FE">
      <w:pPr>
        <w:spacing w:line="360" w:lineRule="auto"/>
        <w:jc w:val="both"/>
        <w:rPr>
          <w:rFonts w:cs="Arial"/>
          <w:szCs w:val="20"/>
        </w:rPr>
      </w:pPr>
      <w:r w:rsidRPr="00DE12FE">
        <w:rPr>
          <w:rFonts w:cs="Arial"/>
          <w:szCs w:val="20"/>
        </w:rPr>
        <w:t>Podlaga za pripravo Strateškega načrta SKP 2021−2027 so naslednje uredbe EU:</w:t>
      </w:r>
    </w:p>
    <w:p w14:paraId="6D9CC723" w14:textId="77777777" w:rsidR="006E1BC7" w:rsidRPr="00DE12FE" w:rsidRDefault="006E1BC7" w:rsidP="00DE12FE">
      <w:pPr>
        <w:pStyle w:val="Odstavekseznama"/>
        <w:numPr>
          <w:ilvl w:val="0"/>
          <w:numId w:val="1"/>
        </w:numPr>
        <w:spacing w:line="360" w:lineRule="auto"/>
        <w:ind w:left="714" w:hanging="357"/>
        <w:jc w:val="both"/>
        <w:rPr>
          <w:rFonts w:cs="Arial"/>
          <w:szCs w:val="20"/>
        </w:rPr>
      </w:pPr>
      <w:r w:rsidRPr="00DE12FE">
        <w:rPr>
          <w:rFonts w:cs="Arial"/>
          <w:szCs w:val="20"/>
        </w:rPr>
        <w:t xml:space="preserve">Uredba Evropskega parlamenta in Sveta o določitvi pravil o podpori za strateške načrte, ki jih pripravijo države članice v okviru skupne kmetijske politike (strateški načrti SKP) in se financirajo iz Evropskega kmetijskega jamstvenega sklada (EKJS) in Evropskega kmetijskega sklada za razvoj podeželja (EKSRP) ter o razveljavitvi Uredbe (EU) št. 1305/2013 Evropskega parlamenta in Sveta in Uredbe (EU) št. 1307/2013 </w:t>
      </w:r>
      <w:r w:rsidR="00551CE9" w:rsidRPr="00DE12FE">
        <w:rPr>
          <w:rFonts w:cs="Arial"/>
          <w:szCs w:val="20"/>
        </w:rPr>
        <w:t>Evropskega parlamenta in Sveta</w:t>
      </w:r>
      <w:r w:rsidRPr="00DE12FE">
        <w:rPr>
          <w:rFonts w:cs="Arial"/>
          <w:szCs w:val="20"/>
        </w:rPr>
        <w:t>;</w:t>
      </w:r>
    </w:p>
    <w:p w14:paraId="329072EA" w14:textId="77777777" w:rsidR="006E1BC7" w:rsidRPr="00DE12FE" w:rsidRDefault="006E1BC7" w:rsidP="00DE12FE">
      <w:pPr>
        <w:pStyle w:val="Odstavekseznama"/>
        <w:numPr>
          <w:ilvl w:val="0"/>
          <w:numId w:val="1"/>
        </w:numPr>
        <w:spacing w:line="360" w:lineRule="auto"/>
        <w:ind w:left="714" w:hanging="357"/>
        <w:jc w:val="both"/>
        <w:rPr>
          <w:rFonts w:cs="Arial"/>
          <w:szCs w:val="20"/>
        </w:rPr>
      </w:pPr>
      <w:r w:rsidRPr="00DE12FE">
        <w:rPr>
          <w:rFonts w:cs="Arial"/>
          <w:szCs w:val="20"/>
        </w:rPr>
        <w:t>Uredba Evropskega parlamenta in Sveta o financiranju, upravljanju in spremljanju skupne kmetijske politike ter razveljav</w:t>
      </w:r>
      <w:r w:rsidR="00551CE9" w:rsidRPr="00DE12FE">
        <w:rPr>
          <w:rFonts w:cs="Arial"/>
          <w:szCs w:val="20"/>
        </w:rPr>
        <w:t>itvi Uredbe (EU) št. 1306/2013</w:t>
      </w:r>
      <w:r w:rsidRPr="00DE12FE">
        <w:rPr>
          <w:rFonts w:cs="Arial"/>
          <w:szCs w:val="20"/>
        </w:rPr>
        <w:t>;</w:t>
      </w:r>
    </w:p>
    <w:p w14:paraId="6A9555BE" w14:textId="77777777" w:rsidR="00551CE9" w:rsidRPr="00DE12FE" w:rsidRDefault="006E1BC7" w:rsidP="00DE12FE">
      <w:pPr>
        <w:pStyle w:val="Odstavekseznama"/>
        <w:numPr>
          <w:ilvl w:val="0"/>
          <w:numId w:val="1"/>
        </w:numPr>
        <w:spacing w:line="360" w:lineRule="auto"/>
        <w:ind w:left="714" w:hanging="357"/>
        <w:jc w:val="both"/>
        <w:rPr>
          <w:rFonts w:cs="Arial"/>
          <w:szCs w:val="20"/>
        </w:rPr>
      </w:pPr>
      <w:r w:rsidRPr="00DE12FE">
        <w:rPr>
          <w:rFonts w:cs="Arial"/>
          <w:szCs w:val="20"/>
        </w:rPr>
        <w:lastRenderedPageBreak/>
        <w:t xml:space="preserve">Uredba Evropskega parlamenta in Sveta o spremembi uredb (EU) št. 1308/2013 Evropskega parlamenta in Sveta o vzpostavitvi skupne ureditve trgov kmetijskih proizvodov, (EU) št. 151/2012 o shemah kakovosti kmetijskih proizvodov in živil, (EU) št. 251/2014 o opredelitvi, opisu, predstavitvi, označevanju in zaščiti geografskih označb aromatiziranih vinskih proizvodov, (EU) št. 228/2013 o posebnih ukrepih za kmetijstvo v najbolj oddaljenih regijah Unije in (EU) št. 229/2013 o posebnih ukrepih za kmetijstvo v </w:t>
      </w:r>
      <w:r w:rsidR="00551CE9" w:rsidRPr="00DE12FE">
        <w:rPr>
          <w:rFonts w:cs="Arial"/>
          <w:szCs w:val="20"/>
        </w:rPr>
        <w:t>korist manjših egejskih otokov</w:t>
      </w:r>
      <w:r w:rsidRPr="00DE12FE">
        <w:rPr>
          <w:rFonts w:cs="Arial"/>
          <w:szCs w:val="20"/>
        </w:rPr>
        <w:t>.</w:t>
      </w:r>
    </w:p>
    <w:p w14:paraId="7E0758F3" w14:textId="7A8EA9A9" w:rsidR="00514FEE" w:rsidRPr="00DE12FE" w:rsidRDefault="00551CE9" w:rsidP="00DE12FE">
      <w:pPr>
        <w:spacing w:line="360" w:lineRule="auto"/>
        <w:jc w:val="both"/>
        <w:rPr>
          <w:rFonts w:cs="Arial"/>
          <w:szCs w:val="20"/>
        </w:rPr>
      </w:pPr>
      <w:r w:rsidRPr="00DE12FE">
        <w:rPr>
          <w:rFonts w:cs="Arial"/>
          <w:szCs w:val="20"/>
        </w:rPr>
        <w:t>Slovenija je pripravila en</w:t>
      </w:r>
      <w:r w:rsidR="00D92520" w:rsidRPr="00DE12FE">
        <w:rPr>
          <w:rFonts w:cs="Arial"/>
          <w:szCs w:val="20"/>
        </w:rPr>
        <w:t>ovit</w:t>
      </w:r>
      <w:r w:rsidRPr="00DE12FE">
        <w:rPr>
          <w:rFonts w:cs="Arial"/>
          <w:szCs w:val="20"/>
        </w:rPr>
        <w:t xml:space="preserve"> Strateški načrt SKP 2021−2027 za celotno ozemlje RS. </w:t>
      </w:r>
      <w:r w:rsidR="00291659" w:rsidRPr="00DE12FE">
        <w:rPr>
          <w:rFonts w:cs="Arial"/>
          <w:szCs w:val="20"/>
        </w:rPr>
        <w:t xml:space="preserve">Analiza SWOT je pripravljena za </w:t>
      </w:r>
      <w:r w:rsidR="00C646B1" w:rsidRPr="00DE12FE">
        <w:rPr>
          <w:rFonts w:cs="Arial"/>
          <w:szCs w:val="20"/>
        </w:rPr>
        <w:t>vsak specifični cilj</w:t>
      </w:r>
      <w:r w:rsidR="00D3285A" w:rsidRPr="00DE12FE">
        <w:rPr>
          <w:rFonts w:cs="Arial"/>
          <w:szCs w:val="20"/>
        </w:rPr>
        <w:t>, so pa v nekaterih primerih vsebine zelo prepletene med posameznimi cilji</w:t>
      </w:r>
      <w:r w:rsidR="00C646B1" w:rsidRPr="00DE12FE">
        <w:rPr>
          <w:rFonts w:cs="Arial"/>
          <w:szCs w:val="20"/>
        </w:rPr>
        <w:t>.</w:t>
      </w:r>
      <w:r w:rsidR="009D621B" w:rsidRPr="00DE12FE">
        <w:rPr>
          <w:rFonts w:cs="Arial"/>
          <w:szCs w:val="20"/>
        </w:rPr>
        <w:t xml:space="preserve"> </w:t>
      </w:r>
      <w:r w:rsidR="00C646B1" w:rsidRPr="00DE12FE">
        <w:rPr>
          <w:rFonts w:cs="Arial"/>
          <w:szCs w:val="20"/>
        </w:rPr>
        <w:t>Temelji na celovitem,</w:t>
      </w:r>
      <w:r w:rsidR="00291659" w:rsidRPr="00DE12FE">
        <w:rPr>
          <w:rFonts w:cs="Arial"/>
          <w:szCs w:val="20"/>
        </w:rPr>
        <w:t xml:space="preserve"> sp</w:t>
      </w:r>
      <w:r w:rsidR="00C646B1" w:rsidRPr="00DE12FE">
        <w:rPr>
          <w:rFonts w:cs="Arial"/>
          <w:szCs w:val="20"/>
        </w:rPr>
        <w:t xml:space="preserve">lošnem opisu </w:t>
      </w:r>
      <w:r w:rsidR="00B76B01" w:rsidRPr="00DE12FE">
        <w:rPr>
          <w:rFonts w:cs="Arial"/>
          <w:szCs w:val="20"/>
        </w:rPr>
        <w:t>trenutnega stanja v RS</w:t>
      </w:r>
      <w:r w:rsidR="00EB0FE3" w:rsidRPr="00DE12FE">
        <w:rPr>
          <w:rFonts w:cs="Arial"/>
          <w:szCs w:val="20"/>
        </w:rPr>
        <w:t xml:space="preserve">, </w:t>
      </w:r>
      <w:r w:rsidR="00291659" w:rsidRPr="00DE12FE">
        <w:rPr>
          <w:rFonts w:cs="Arial"/>
          <w:szCs w:val="20"/>
        </w:rPr>
        <w:t xml:space="preserve">na skupnih kazalnikih </w:t>
      </w:r>
      <w:r w:rsidR="00B76B01" w:rsidRPr="00DE12FE">
        <w:rPr>
          <w:rFonts w:cs="Arial"/>
          <w:szCs w:val="20"/>
        </w:rPr>
        <w:t>stanja</w:t>
      </w:r>
      <w:r w:rsidR="004B45CB" w:rsidRPr="00DE12FE">
        <w:rPr>
          <w:rFonts w:cs="Arial"/>
          <w:szCs w:val="20"/>
        </w:rPr>
        <w:t>, ki jih je določila EK</w:t>
      </w:r>
      <w:r w:rsidR="00291659" w:rsidRPr="00DE12FE">
        <w:rPr>
          <w:rFonts w:cs="Arial"/>
          <w:szCs w:val="20"/>
        </w:rPr>
        <w:t xml:space="preserve"> ter drugih najnovejših kvantitativnih in kvalitativnih informacijah, kot so študije, </w:t>
      </w:r>
      <w:r w:rsidR="00B76B01" w:rsidRPr="00DE12FE">
        <w:rPr>
          <w:rFonts w:cs="Arial"/>
          <w:szCs w:val="20"/>
        </w:rPr>
        <w:t>vrednotenja</w:t>
      </w:r>
      <w:r w:rsidR="00291659" w:rsidRPr="00DE12FE">
        <w:rPr>
          <w:rFonts w:cs="Arial"/>
          <w:szCs w:val="20"/>
        </w:rPr>
        <w:t>, sektorske analize ter izkušnje iz preteklosti.</w:t>
      </w:r>
      <w:r w:rsidR="00F750E5" w:rsidRPr="00DE12FE">
        <w:rPr>
          <w:rFonts w:cs="Arial"/>
          <w:szCs w:val="20"/>
        </w:rPr>
        <w:t xml:space="preserve"> Na podlagi podatkov in dokazov iz analize SWOT so za vsak specifični cilj opredeljene potrebe,</w:t>
      </w:r>
      <w:r w:rsidR="00F90423" w:rsidRPr="00DE12FE">
        <w:rPr>
          <w:rFonts w:cs="Arial"/>
          <w:szCs w:val="20"/>
        </w:rPr>
        <w:t xml:space="preserve"> ne glede na to, ali jih S</w:t>
      </w:r>
      <w:r w:rsidR="00F750E5" w:rsidRPr="00DE12FE">
        <w:rPr>
          <w:rFonts w:cs="Arial"/>
          <w:szCs w:val="20"/>
        </w:rPr>
        <w:t xml:space="preserve">trateški načrt SKP </w:t>
      </w:r>
      <w:r w:rsidR="00F90423" w:rsidRPr="00DE12FE">
        <w:rPr>
          <w:rFonts w:cs="Arial"/>
          <w:szCs w:val="20"/>
        </w:rPr>
        <w:t xml:space="preserve">2021−2027 </w:t>
      </w:r>
      <w:r w:rsidR="00305E9D" w:rsidRPr="00DE12FE">
        <w:rPr>
          <w:rFonts w:cs="Arial"/>
          <w:szCs w:val="20"/>
        </w:rPr>
        <w:t>naslavlja</w:t>
      </w:r>
      <w:r w:rsidR="00F750E5" w:rsidRPr="00DE12FE">
        <w:rPr>
          <w:rFonts w:cs="Arial"/>
          <w:szCs w:val="20"/>
        </w:rPr>
        <w:t xml:space="preserve"> ali ne. Potrebe bodo naknadno tudi </w:t>
      </w:r>
      <w:proofErr w:type="spellStart"/>
      <w:r w:rsidR="00F750E5" w:rsidRPr="00DE12FE">
        <w:rPr>
          <w:rFonts w:cs="Arial"/>
          <w:szCs w:val="20"/>
        </w:rPr>
        <w:t>prioritizirane</w:t>
      </w:r>
      <w:proofErr w:type="spellEnd"/>
      <w:r w:rsidR="00F750E5" w:rsidRPr="00DE12FE">
        <w:rPr>
          <w:rFonts w:cs="Arial"/>
          <w:szCs w:val="20"/>
        </w:rPr>
        <w:t xml:space="preserve">, postopek še poteka. </w:t>
      </w:r>
      <w:r w:rsidR="00E35797" w:rsidRPr="00DE12FE">
        <w:rPr>
          <w:rFonts w:cs="Arial"/>
          <w:szCs w:val="20"/>
        </w:rPr>
        <w:t xml:space="preserve">Na podlagi </w:t>
      </w:r>
      <w:r w:rsidR="00291659" w:rsidRPr="00DE12FE">
        <w:rPr>
          <w:rFonts w:cs="Arial"/>
          <w:szCs w:val="20"/>
        </w:rPr>
        <w:t xml:space="preserve">analize SWOT in ocene potreb </w:t>
      </w:r>
      <w:r w:rsidR="008C0CD4" w:rsidRPr="00DE12FE">
        <w:rPr>
          <w:rFonts w:cs="Arial"/>
          <w:szCs w:val="20"/>
        </w:rPr>
        <w:t>bo</w:t>
      </w:r>
      <w:r w:rsidR="00E35797" w:rsidRPr="00DE12FE">
        <w:rPr>
          <w:rFonts w:cs="Arial"/>
          <w:szCs w:val="20"/>
        </w:rPr>
        <w:t xml:space="preserve"> pripravljena </w:t>
      </w:r>
      <w:r w:rsidR="00F750E5" w:rsidRPr="00DE12FE">
        <w:rPr>
          <w:rFonts w:cs="Arial"/>
          <w:szCs w:val="20"/>
        </w:rPr>
        <w:t>intervencijska</w:t>
      </w:r>
      <w:r w:rsidR="00291659" w:rsidRPr="00DE12FE">
        <w:rPr>
          <w:rFonts w:cs="Arial"/>
          <w:szCs w:val="20"/>
        </w:rPr>
        <w:t xml:space="preserve"> strategij</w:t>
      </w:r>
      <w:r w:rsidR="00F750E5" w:rsidRPr="00DE12FE">
        <w:rPr>
          <w:rFonts w:cs="Arial"/>
          <w:szCs w:val="20"/>
        </w:rPr>
        <w:t>a</w:t>
      </w:r>
      <w:r w:rsidR="002F4407">
        <w:rPr>
          <w:rFonts w:cs="Arial"/>
          <w:szCs w:val="20"/>
        </w:rPr>
        <w:t>,</w:t>
      </w:r>
      <w:r w:rsidR="00291659" w:rsidRPr="00DE12FE">
        <w:rPr>
          <w:rFonts w:cs="Arial"/>
          <w:szCs w:val="20"/>
        </w:rPr>
        <w:t xml:space="preserve"> v kateri </w:t>
      </w:r>
      <w:r w:rsidR="003D0B41" w:rsidRPr="00DE12FE">
        <w:rPr>
          <w:rFonts w:cs="Arial"/>
          <w:szCs w:val="20"/>
        </w:rPr>
        <w:t>bodo</w:t>
      </w:r>
      <w:r w:rsidR="00B03217" w:rsidRPr="00DE12FE">
        <w:rPr>
          <w:rFonts w:cs="Arial"/>
          <w:szCs w:val="20"/>
        </w:rPr>
        <w:t xml:space="preserve"> določene</w:t>
      </w:r>
      <w:r w:rsidR="00291659" w:rsidRPr="00DE12FE">
        <w:rPr>
          <w:rFonts w:cs="Arial"/>
          <w:szCs w:val="20"/>
        </w:rPr>
        <w:t xml:space="preserve"> </w:t>
      </w:r>
      <w:r w:rsidR="0006662C" w:rsidRPr="00DE12FE">
        <w:rPr>
          <w:rFonts w:cs="Arial"/>
          <w:szCs w:val="20"/>
        </w:rPr>
        <w:t xml:space="preserve">intervencije, </w:t>
      </w:r>
      <w:r w:rsidR="00F750E5" w:rsidRPr="00DE12FE">
        <w:rPr>
          <w:rFonts w:cs="Arial"/>
          <w:szCs w:val="20"/>
        </w:rPr>
        <w:t>ciljne vrednosti in mejniki</w:t>
      </w:r>
      <w:r w:rsidR="00291659" w:rsidRPr="00DE12FE">
        <w:rPr>
          <w:rFonts w:cs="Arial"/>
          <w:szCs w:val="20"/>
        </w:rPr>
        <w:t xml:space="preserve"> </w:t>
      </w:r>
      <w:r w:rsidR="00F750E5" w:rsidRPr="00DE12FE">
        <w:rPr>
          <w:rFonts w:cs="Arial"/>
          <w:szCs w:val="20"/>
        </w:rPr>
        <w:t>za doseganje specifičnih ciljev.</w:t>
      </w:r>
      <w:r w:rsidR="00514FEE" w:rsidRPr="00DE12FE">
        <w:rPr>
          <w:rFonts w:cs="Arial"/>
          <w:szCs w:val="20"/>
        </w:rPr>
        <w:t xml:space="preserve"> </w:t>
      </w:r>
    </w:p>
    <w:p w14:paraId="7AEC56F0" w14:textId="58CE3DC6" w:rsidR="0049775F" w:rsidRPr="00DE12FE" w:rsidRDefault="0049775F" w:rsidP="00DE12FE">
      <w:pPr>
        <w:spacing w:line="360" w:lineRule="auto"/>
        <w:jc w:val="both"/>
        <w:rPr>
          <w:rFonts w:cs="Arial"/>
          <w:szCs w:val="20"/>
        </w:rPr>
      </w:pPr>
      <w:r w:rsidRPr="00DE12FE">
        <w:rPr>
          <w:rFonts w:cs="Arial"/>
          <w:szCs w:val="20"/>
        </w:rPr>
        <w:t>Strateški načrt SKP 2021−2027 vključuje zaveze i</w:t>
      </w:r>
      <w:r w:rsidR="002F4407">
        <w:rPr>
          <w:rFonts w:cs="Arial"/>
          <w:szCs w:val="20"/>
        </w:rPr>
        <w:t>z</w:t>
      </w:r>
      <w:r w:rsidRPr="00DE12FE">
        <w:rPr>
          <w:rFonts w:cs="Arial"/>
          <w:szCs w:val="20"/>
        </w:rPr>
        <w:t xml:space="preserve"> evropske </w:t>
      </w:r>
      <w:proofErr w:type="spellStart"/>
      <w:r w:rsidRPr="00DE12FE">
        <w:rPr>
          <w:rFonts w:cs="Arial"/>
          <w:szCs w:val="20"/>
        </w:rPr>
        <w:t>okoljske</w:t>
      </w:r>
      <w:proofErr w:type="spellEnd"/>
      <w:r w:rsidRPr="00DE12FE">
        <w:rPr>
          <w:rFonts w:cs="Arial"/>
          <w:szCs w:val="20"/>
        </w:rPr>
        <w:t xml:space="preserve"> zakonodaje </w:t>
      </w:r>
      <w:r w:rsidR="00B07890" w:rsidRPr="00DE12FE">
        <w:rPr>
          <w:rFonts w:cs="Arial"/>
          <w:szCs w:val="20"/>
        </w:rPr>
        <w:t xml:space="preserve">(iz priloge XI </w:t>
      </w:r>
      <w:r w:rsidR="009053B0" w:rsidRPr="00DE12FE">
        <w:rPr>
          <w:rFonts w:cs="Arial"/>
          <w:szCs w:val="20"/>
        </w:rPr>
        <w:t>U</w:t>
      </w:r>
      <w:r w:rsidR="00B07890" w:rsidRPr="00DE12FE">
        <w:rPr>
          <w:rFonts w:cs="Arial"/>
          <w:szCs w:val="20"/>
        </w:rPr>
        <w:t xml:space="preserve">redbe o strateškem načrtovanju) </w:t>
      </w:r>
      <w:r w:rsidRPr="00DE12FE">
        <w:rPr>
          <w:rFonts w:cs="Arial"/>
          <w:szCs w:val="20"/>
        </w:rPr>
        <w:t xml:space="preserve">in se dopolnjuje z Nacionalnim energetsko podnebnim načrtom. </w:t>
      </w:r>
    </w:p>
    <w:p w14:paraId="57D02E58" w14:textId="77777777" w:rsidR="00AB247D" w:rsidRPr="00DE12FE" w:rsidRDefault="008005EF" w:rsidP="00DE12FE">
      <w:pPr>
        <w:spacing w:line="360" w:lineRule="auto"/>
        <w:jc w:val="both"/>
        <w:rPr>
          <w:rFonts w:cs="Arial"/>
          <w:szCs w:val="20"/>
        </w:rPr>
      </w:pPr>
      <w:r w:rsidRPr="00DE12FE">
        <w:rPr>
          <w:rFonts w:cs="Arial"/>
          <w:szCs w:val="20"/>
        </w:rPr>
        <w:t>Vsebinsko usmeritev in p</w:t>
      </w:r>
      <w:r w:rsidR="00FC115D" w:rsidRPr="00DE12FE">
        <w:rPr>
          <w:rFonts w:cs="Arial"/>
          <w:szCs w:val="20"/>
        </w:rPr>
        <w:t xml:space="preserve">odlago za pripravo </w:t>
      </w:r>
      <w:r w:rsidR="00514FEE" w:rsidRPr="00DE12FE">
        <w:rPr>
          <w:rFonts w:cs="Arial"/>
          <w:szCs w:val="20"/>
        </w:rPr>
        <w:t>S</w:t>
      </w:r>
      <w:r w:rsidR="00FC115D" w:rsidRPr="00DE12FE">
        <w:rPr>
          <w:rFonts w:cs="Arial"/>
          <w:szCs w:val="20"/>
        </w:rPr>
        <w:t>trateškega</w:t>
      </w:r>
      <w:r w:rsidR="00514FEE" w:rsidRPr="00DE12FE">
        <w:rPr>
          <w:rFonts w:cs="Arial"/>
          <w:szCs w:val="20"/>
        </w:rPr>
        <w:t xml:space="preserve"> načrt</w:t>
      </w:r>
      <w:r w:rsidR="00FC115D" w:rsidRPr="00DE12FE">
        <w:rPr>
          <w:rFonts w:cs="Arial"/>
          <w:szCs w:val="20"/>
        </w:rPr>
        <w:t>a</w:t>
      </w:r>
      <w:r w:rsidR="00514FEE" w:rsidRPr="00DE12FE">
        <w:rPr>
          <w:rFonts w:cs="Arial"/>
          <w:szCs w:val="20"/>
        </w:rPr>
        <w:t xml:space="preserve"> SKP 2021−2027</w:t>
      </w:r>
      <w:r w:rsidR="00FC115D" w:rsidRPr="00DE12FE">
        <w:rPr>
          <w:rFonts w:cs="Arial"/>
          <w:szCs w:val="20"/>
        </w:rPr>
        <w:t xml:space="preserve"> predstavlja Resolucija o nacionalnem programu o strateških usmeritvah razvoja slovenskega kmetijstva in živilstva »</w:t>
      </w:r>
      <w:r w:rsidR="00FC115D" w:rsidRPr="00DE12FE">
        <w:rPr>
          <w:rFonts w:cs="Arial"/>
          <w:i/>
          <w:szCs w:val="20"/>
        </w:rPr>
        <w:t>Naša hrana, podeželje in naravni viri od leta 2021</w:t>
      </w:r>
      <w:r w:rsidR="00FC115D" w:rsidRPr="00DE12FE">
        <w:rPr>
          <w:rFonts w:cs="Arial"/>
          <w:szCs w:val="20"/>
        </w:rPr>
        <w:t xml:space="preserve">«, ki jo je </w:t>
      </w:r>
      <w:r w:rsidR="00514FEE" w:rsidRPr="00DE12FE">
        <w:rPr>
          <w:rFonts w:cs="Arial"/>
          <w:szCs w:val="20"/>
        </w:rPr>
        <w:t xml:space="preserve">Državni zbor RS </w:t>
      </w:r>
      <w:r w:rsidR="00FC115D" w:rsidRPr="00DE12FE">
        <w:rPr>
          <w:rFonts w:cs="Arial"/>
          <w:szCs w:val="20"/>
        </w:rPr>
        <w:t>sprejel 29. januarja 2020 in opredeljuje temeljni</w:t>
      </w:r>
      <w:r w:rsidR="00514FEE" w:rsidRPr="00DE12FE">
        <w:rPr>
          <w:rFonts w:cs="Arial"/>
          <w:szCs w:val="20"/>
        </w:rPr>
        <w:t xml:space="preserve"> strateški okvir delovanja kme</w:t>
      </w:r>
      <w:r w:rsidR="00FC115D" w:rsidRPr="00DE12FE">
        <w:rPr>
          <w:rFonts w:cs="Arial"/>
          <w:szCs w:val="20"/>
        </w:rPr>
        <w:t>t</w:t>
      </w:r>
      <w:r w:rsidR="00AB247D" w:rsidRPr="00DE12FE">
        <w:rPr>
          <w:rFonts w:cs="Arial"/>
          <w:szCs w:val="20"/>
        </w:rPr>
        <w:t>ijstva, živilstva in podeželja. Ključne prioritete slovenskega kmetijstva, ki izhajajo iz Resolucije so naslednje:</w:t>
      </w:r>
    </w:p>
    <w:p w14:paraId="688EDB3B" w14:textId="77777777" w:rsidR="00AB247D" w:rsidRPr="00DE12FE" w:rsidRDefault="00AB247D" w:rsidP="00DE12FE">
      <w:pPr>
        <w:pStyle w:val="Odstavekseznama"/>
        <w:numPr>
          <w:ilvl w:val="0"/>
          <w:numId w:val="2"/>
        </w:numPr>
        <w:spacing w:line="360" w:lineRule="auto"/>
        <w:ind w:left="714" w:hanging="357"/>
        <w:jc w:val="both"/>
        <w:rPr>
          <w:rFonts w:cs="Arial"/>
          <w:szCs w:val="20"/>
        </w:rPr>
      </w:pPr>
      <w:r w:rsidRPr="00DE12FE">
        <w:rPr>
          <w:rFonts w:cs="Arial"/>
          <w:szCs w:val="20"/>
        </w:rPr>
        <w:t>Znanje, kreativnost, inovativnost, ustrezne pridelovalne tehnologije ter sodobna in konkurenčna živilskopredelovalna industrija, ki temelji na podjetniških pristopih in tržni naravnanosti. Kmetijsko gospodarstvo naj bo dolgoročno povezano v lokalne ali večje verige vrednosti, ob sočasni aktivni vpetosti v proces izmenjave  Potrebno je tudi prepoznavanje ter premostitev vrzeli pri krepitvi pomena znanja in njegovega prenosa v prakso med vsemi deležniki verige preskrbe s hrano.</w:t>
      </w:r>
    </w:p>
    <w:p w14:paraId="4B7D4A8A" w14:textId="77777777" w:rsidR="00AB247D" w:rsidRPr="00DE12FE" w:rsidRDefault="00AB247D" w:rsidP="00DE12FE">
      <w:pPr>
        <w:pStyle w:val="Odstavekseznama"/>
        <w:numPr>
          <w:ilvl w:val="0"/>
          <w:numId w:val="2"/>
        </w:numPr>
        <w:spacing w:line="360" w:lineRule="auto"/>
        <w:ind w:left="714" w:hanging="357"/>
        <w:jc w:val="both"/>
        <w:rPr>
          <w:rFonts w:cs="Arial"/>
          <w:szCs w:val="20"/>
        </w:rPr>
      </w:pPr>
      <w:r w:rsidRPr="00DE12FE">
        <w:rPr>
          <w:rFonts w:cs="Arial"/>
          <w:szCs w:val="20"/>
        </w:rPr>
        <w:t>Varstvo okolja in narave mora postati prednost in ne ovira gospodarjenja. Gre namreč za del pristopa k dodajanju vrednosti proizvodom in za spodbudo diverzifikaciji dejavnosti na podeželju.</w:t>
      </w:r>
    </w:p>
    <w:p w14:paraId="20A15D63" w14:textId="77777777" w:rsidR="00AB247D" w:rsidRPr="00DE12FE" w:rsidRDefault="00AB247D" w:rsidP="00DE12FE">
      <w:pPr>
        <w:pStyle w:val="Odstavekseznama"/>
        <w:numPr>
          <w:ilvl w:val="0"/>
          <w:numId w:val="2"/>
        </w:numPr>
        <w:spacing w:line="360" w:lineRule="auto"/>
        <w:ind w:left="714" w:hanging="357"/>
        <w:jc w:val="both"/>
        <w:rPr>
          <w:rFonts w:cs="Arial"/>
          <w:szCs w:val="20"/>
        </w:rPr>
      </w:pPr>
      <w:r w:rsidRPr="00DE12FE">
        <w:rPr>
          <w:rFonts w:cs="Arial"/>
          <w:szCs w:val="20"/>
        </w:rPr>
        <w:t>Za obdelano Slovenijo bo potrebno spodbujati dualno kmetijstvo – tako velika kmetijska gospodarstva, ki temeljijo na ekonomiji obsega in zagotavljajo tržno zanimive količine hrane, kot tudi manjše, v večini samooskrbne kmetije, ki pa so neločljiv del našega prostora. Skrbijo za vitalno ter obdelano podeželje.</w:t>
      </w:r>
    </w:p>
    <w:p w14:paraId="69885CDA" w14:textId="77777777" w:rsidR="00AB247D" w:rsidRPr="00DE12FE" w:rsidRDefault="00AB247D" w:rsidP="00DE12FE">
      <w:pPr>
        <w:pStyle w:val="Odstavekseznama"/>
        <w:numPr>
          <w:ilvl w:val="0"/>
          <w:numId w:val="2"/>
        </w:numPr>
        <w:spacing w:line="360" w:lineRule="auto"/>
        <w:ind w:left="714" w:hanging="357"/>
        <w:jc w:val="both"/>
        <w:rPr>
          <w:rFonts w:cs="Arial"/>
          <w:szCs w:val="20"/>
        </w:rPr>
      </w:pPr>
      <w:r w:rsidRPr="00DE12FE">
        <w:rPr>
          <w:rFonts w:cs="Arial"/>
          <w:szCs w:val="20"/>
        </w:rPr>
        <w:lastRenderedPageBreak/>
        <w:t xml:space="preserve">Nujno je iskanje sinergij in celostni pristop na področju finančne, </w:t>
      </w:r>
      <w:proofErr w:type="spellStart"/>
      <w:r w:rsidRPr="00DE12FE">
        <w:rPr>
          <w:rFonts w:cs="Arial"/>
          <w:szCs w:val="20"/>
        </w:rPr>
        <w:t>okoljske</w:t>
      </w:r>
      <w:proofErr w:type="spellEnd"/>
      <w:r w:rsidRPr="00DE12FE">
        <w:rPr>
          <w:rFonts w:cs="Arial"/>
          <w:szCs w:val="20"/>
        </w:rPr>
        <w:t>, prostorske, regionalno razvojne, gospodarske, infrastrukturne, socialne, zdravstvene, znanstveno-izobraževalne ter drugih politik.</w:t>
      </w:r>
    </w:p>
    <w:p w14:paraId="2F5F18BF" w14:textId="77777777" w:rsidR="00514FEE" w:rsidRPr="00DE12FE" w:rsidRDefault="00267AE4" w:rsidP="00DE12FE">
      <w:pPr>
        <w:spacing w:line="360" w:lineRule="auto"/>
        <w:jc w:val="both"/>
        <w:rPr>
          <w:rFonts w:cs="Arial"/>
          <w:szCs w:val="20"/>
        </w:rPr>
      </w:pPr>
      <w:r w:rsidRPr="00DE12FE">
        <w:rPr>
          <w:rFonts w:cs="Arial"/>
          <w:szCs w:val="20"/>
        </w:rPr>
        <w:t>Priprava Strateškega načrta SKP 2021−2027 poteka v tesnem sodelovanju s strokovnjaki, upravnimi organi, socialnimi partnerji, nevladnimi organizacijami in ostalimi zainteresiranimi deležniki.</w:t>
      </w:r>
      <w:r w:rsidR="00131F81" w:rsidRPr="00DE12FE">
        <w:rPr>
          <w:rFonts w:cs="Arial"/>
          <w:szCs w:val="20"/>
        </w:rPr>
        <w:t xml:space="preserve"> Ves čas programiranja poteka intenzivno sodelovanje tudi z EK. </w:t>
      </w:r>
    </w:p>
    <w:p w14:paraId="6E453365" w14:textId="2C050177" w:rsidR="001532FF" w:rsidRPr="00E01FCF" w:rsidRDefault="0083573D" w:rsidP="00DE12FE">
      <w:pPr>
        <w:spacing w:line="360" w:lineRule="auto"/>
        <w:jc w:val="both"/>
        <w:rPr>
          <w:rFonts w:cs="Arial"/>
        </w:rPr>
      </w:pPr>
      <w:r w:rsidRPr="00DE12FE">
        <w:rPr>
          <w:rFonts w:cs="Arial"/>
          <w:szCs w:val="20"/>
        </w:rPr>
        <w:t>Za Strateški načrt SKP 2021−2027 se izvaja tudi celovita presoja vplivov njegove izvedbe na okolje</w:t>
      </w:r>
      <w:r w:rsidR="002F4407">
        <w:rPr>
          <w:rFonts w:cs="Arial"/>
          <w:szCs w:val="20"/>
        </w:rPr>
        <w:t>,</w:t>
      </w:r>
      <w:r w:rsidRPr="00DE12FE">
        <w:rPr>
          <w:rFonts w:cs="Arial"/>
          <w:szCs w:val="20"/>
        </w:rPr>
        <w:t xml:space="preserve"> s katero se ugotovijo in ocenijo vplivi na okolje ter vključenost zahtev varstva okolja, ohranjanja narave, varstva človekovega zdravja in kulturne dediščine</w:t>
      </w:r>
      <w:r w:rsidR="009C1B15">
        <w:rPr>
          <w:rFonts w:cs="Arial"/>
          <w:szCs w:val="20"/>
        </w:rPr>
        <w:t xml:space="preserve">. MOP </w:t>
      </w:r>
      <w:r w:rsidR="009C1B15" w:rsidRPr="009C1B15">
        <w:rPr>
          <w:rFonts w:cs="Arial"/>
          <w:szCs w:val="20"/>
        </w:rPr>
        <w:t xml:space="preserve">na podlagi osnutka strateškega načrta, </w:t>
      </w:r>
      <w:proofErr w:type="spellStart"/>
      <w:r w:rsidR="009C1B15" w:rsidRPr="009C1B15">
        <w:rPr>
          <w:rFonts w:cs="Arial"/>
          <w:szCs w:val="20"/>
        </w:rPr>
        <w:t>okoljskega</w:t>
      </w:r>
      <w:proofErr w:type="spellEnd"/>
      <w:r w:rsidR="009C1B15" w:rsidRPr="009C1B15">
        <w:rPr>
          <w:rFonts w:cs="Arial"/>
          <w:szCs w:val="20"/>
        </w:rPr>
        <w:t xml:space="preserve"> poročila in njegove revizije pripravi pisno mnenje o sprejemljivosti vplivov strateškega načrta</w:t>
      </w:r>
      <w:r w:rsidRPr="00DE12FE">
        <w:rPr>
          <w:rFonts w:cs="Arial"/>
          <w:szCs w:val="20"/>
        </w:rPr>
        <w:t>.</w:t>
      </w:r>
      <w:r w:rsidR="00E01FCF">
        <w:rPr>
          <w:rFonts w:cs="Arial"/>
        </w:rPr>
        <w:br w:type="page"/>
      </w:r>
    </w:p>
    <w:p w14:paraId="6FD1ABFD" w14:textId="77777777" w:rsidR="00C760FC" w:rsidRDefault="00FE416E" w:rsidP="00C760FC">
      <w:pPr>
        <w:pStyle w:val="Naslov1"/>
      </w:pPr>
      <w:bookmarkStart w:id="5" w:name="_Toc55912173"/>
      <w:r>
        <w:lastRenderedPageBreak/>
        <w:t>SPLOŠNE ZNAČILNOSTI SLOVENIJE IN SLOVENSKEGA KMETIJSTVA</w:t>
      </w:r>
      <w:bookmarkEnd w:id="5"/>
    </w:p>
    <w:p w14:paraId="59C00451" w14:textId="77777777" w:rsidR="00A87852" w:rsidRDefault="00A87852" w:rsidP="00F57BE2">
      <w:pPr>
        <w:pStyle w:val="Naslov2"/>
        <w:ind w:left="578" w:hanging="578"/>
        <w:rPr>
          <w:rFonts w:eastAsia="Calibri"/>
        </w:rPr>
      </w:pPr>
      <w:bookmarkStart w:id="6" w:name="_Toc55912174"/>
      <w:r w:rsidRPr="00A87852">
        <w:rPr>
          <w:rFonts w:eastAsia="Calibri"/>
        </w:rPr>
        <w:t>Povzetek</w:t>
      </w:r>
      <w:bookmarkEnd w:id="6"/>
    </w:p>
    <w:p w14:paraId="704D5AB6" w14:textId="35739DEF" w:rsidR="00DE7804" w:rsidRPr="00EC7A83" w:rsidRDefault="0018588D" w:rsidP="00DE12FE">
      <w:pPr>
        <w:pStyle w:val="Napis"/>
        <w:spacing w:after="120" w:line="360" w:lineRule="auto"/>
        <w:jc w:val="both"/>
        <w:rPr>
          <w:sz w:val="20"/>
          <w:szCs w:val="20"/>
        </w:rPr>
      </w:pPr>
      <w:r w:rsidRPr="008D6E8F">
        <w:rPr>
          <w:sz w:val="20"/>
          <w:szCs w:val="20"/>
        </w:rPr>
        <w:t>Slovenija se uvršča med manjše evropske države, tako po površini, kot tudi po številu prebivalstva.</w:t>
      </w:r>
      <w:r w:rsidR="008701DE" w:rsidRPr="008D6E8F">
        <w:rPr>
          <w:sz w:val="20"/>
          <w:szCs w:val="20"/>
        </w:rPr>
        <w:t xml:space="preserve"> </w:t>
      </w:r>
      <w:r w:rsidR="008D6E8F">
        <w:rPr>
          <w:sz w:val="20"/>
          <w:szCs w:val="20"/>
        </w:rPr>
        <w:t>R</w:t>
      </w:r>
      <w:r w:rsidR="008701DE" w:rsidRPr="008D6E8F">
        <w:rPr>
          <w:sz w:val="20"/>
          <w:szCs w:val="20"/>
        </w:rPr>
        <w:t xml:space="preserve">azdeljena </w:t>
      </w:r>
      <w:r w:rsidR="008D6E8F">
        <w:rPr>
          <w:sz w:val="20"/>
          <w:szCs w:val="20"/>
        </w:rPr>
        <w:t xml:space="preserve">je </w:t>
      </w:r>
      <w:r w:rsidR="008701DE" w:rsidRPr="008D6E8F">
        <w:rPr>
          <w:sz w:val="20"/>
          <w:szCs w:val="20"/>
        </w:rPr>
        <w:t>na 2 kohezijski regiji (Vzhodna Slovenija, Zahodna Slovenija), 12 statističnih regij, 212 občin in 5.978 naselij.</w:t>
      </w:r>
      <w:r w:rsidR="00D70CA4" w:rsidRPr="008D6E8F">
        <w:rPr>
          <w:sz w:val="20"/>
          <w:szCs w:val="20"/>
        </w:rPr>
        <w:t xml:space="preserve"> </w:t>
      </w:r>
      <w:r w:rsidR="008A6028">
        <w:rPr>
          <w:sz w:val="20"/>
          <w:szCs w:val="20"/>
        </w:rPr>
        <w:t>Gl</w:t>
      </w:r>
      <w:r w:rsidR="008A6028" w:rsidRPr="008D6E8F">
        <w:rPr>
          <w:sz w:val="20"/>
          <w:szCs w:val="20"/>
        </w:rPr>
        <w:t xml:space="preserve">ede na tipologijo OECD </w:t>
      </w:r>
      <w:r w:rsidR="008A6028">
        <w:rPr>
          <w:sz w:val="20"/>
          <w:szCs w:val="20"/>
        </w:rPr>
        <w:t>so v Sloveniji</w:t>
      </w:r>
      <w:r w:rsidR="007E01CC">
        <w:rPr>
          <w:sz w:val="20"/>
          <w:szCs w:val="20"/>
        </w:rPr>
        <w:t xml:space="preserve"> vmesne (</w:t>
      </w:r>
      <w:r w:rsidR="00D70CA4" w:rsidRPr="008D6E8F">
        <w:rPr>
          <w:sz w:val="20"/>
          <w:szCs w:val="20"/>
        </w:rPr>
        <w:t xml:space="preserve">27,2 %) in podeželske regije (72,8 %).  </w:t>
      </w:r>
      <w:r w:rsidR="008701DE" w:rsidRPr="008D6E8F">
        <w:rPr>
          <w:sz w:val="20"/>
          <w:szCs w:val="20"/>
        </w:rPr>
        <w:t>Več kot polovico kopnega ozemlja Slovenije pokriva</w:t>
      </w:r>
      <w:r w:rsidR="002F4407">
        <w:rPr>
          <w:sz w:val="20"/>
          <w:szCs w:val="20"/>
        </w:rPr>
        <w:t>jo</w:t>
      </w:r>
      <w:r w:rsidR="008701DE" w:rsidRPr="008D6E8F">
        <w:rPr>
          <w:sz w:val="20"/>
          <w:szCs w:val="20"/>
        </w:rPr>
        <w:t xml:space="preserve"> gozdovi, 34 % površja pa je namenjenega pretežno kmetijstvu. </w:t>
      </w:r>
      <w:r w:rsidR="0001708D" w:rsidRPr="008D6E8F">
        <w:rPr>
          <w:sz w:val="20"/>
          <w:szCs w:val="20"/>
        </w:rPr>
        <w:t>Za Slovenijo je značilna razpršena in redka poselitev in veliko število majhnih naselij. Slovenija ima danes star demografski režim z nizko rodnostjo in smrtnostjo.</w:t>
      </w:r>
      <w:r w:rsidR="009E4871">
        <w:rPr>
          <w:sz w:val="20"/>
          <w:szCs w:val="20"/>
        </w:rPr>
        <w:t xml:space="preserve"> </w:t>
      </w:r>
      <w:r w:rsidR="0001708D" w:rsidRPr="008D6E8F">
        <w:rPr>
          <w:sz w:val="20"/>
          <w:szCs w:val="20"/>
        </w:rPr>
        <w:t xml:space="preserve">Z okrepljeno gospodarsko rastjo </w:t>
      </w:r>
      <w:r w:rsidR="002F4407">
        <w:rPr>
          <w:sz w:val="20"/>
          <w:szCs w:val="20"/>
        </w:rPr>
        <w:t xml:space="preserve">je </w:t>
      </w:r>
      <w:r w:rsidR="0001708D" w:rsidRPr="008D6E8F">
        <w:rPr>
          <w:sz w:val="20"/>
          <w:szCs w:val="20"/>
        </w:rPr>
        <w:t xml:space="preserve">Slovenija </w:t>
      </w:r>
      <w:r w:rsidR="002F4407">
        <w:rPr>
          <w:sz w:val="20"/>
          <w:szCs w:val="20"/>
        </w:rPr>
        <w:t xml:space="preserve">v obdobju </w:t>
      </w:r>
      <w:r w:rsidR="0001708D" w:rsidRPr="008D6E8F">
        <w:rPr>
          <w:sz w:val="20"/>
          <w:szCs w:val="20"/>
        </w:rPr>
        <w:t>2016</w:t>
      </w:r>
      <w:r w:rsidR="002F4407" w:rsidRPr="003A266F">
        <w:rPr>
          <w:sz w:val="20"/>
          <w:szCs w:val="20"/>
        </w:rPr>
        <w:t>–</w:t>
      </w:r>
      <w:r w:rsidR="002F4407">
        <w:rPr>
          <w:sz w:val="20"/>
          <w:szCs w:val="20"/>
        </w:rPr>
        <w:t>2018</w:t>
      </w:r>
      <w:r w:rsidR="0001708D" w:rsidRPr="008D6E8F">
        <w:rPr>
          <w:sz w:val="20"/>
          <w:szCs w:val="20"/>
        </w:rPr>
        <w:t xml:space="preserve"> zmanjš</w:t>
      </w:r>
      <w:r w:rsidR="002F4407">
        <w:rPr>
          <w:sz w:val="20"/>
          <w:szCs w:val="20"/>
        </w:rPr>
        <w:t xml:space="preserve">evala </w:t>
      </w:r>
      <w:r w:rsidR="0001708D" w:rsidRPr="008D6E8F">
        <w:rPr>
          <w:sz w:val="20"/>
          <w:szCs w:val="20"/>
        </w:rPr>
        <w:t>zaostanek v gospodarski razvitosti za povprečjem EU, vendar ostaja vrzel na področju produktivnosti visoka.</w:t>
      </w:r>
      <w:r w:rsidR="003A266F">
        <w:rPr>
          <w:sz w:val="20"/>
          <w:szCs w:val="20"/>
        </w:rPr>
        <w:t xml:space="preserve"> </w:t>
      </w:r>
      <w:r w:rsidR="0001708D" w:rsidRPr="008D6E8F">
        <w:rPr>
          <w:sz w:val="20"/>
          <w:szCs w:val="20"/>
        </w:rPr>
        <w:t xml:space="preserve">Izobrazba prebivalstva je razmeroma visoka, </w:t>
      </w:r>
      <w:r w:rsidR="00DE7804">
        <w:rPr>
          <w:sz w:val="20"/>
          <w:szCs w:val="20"/>
        </w:rPr>
        <w:t>vendar vse večji izziv</w:t>
      </w:r>
      <w:r w:rsidR="00DE7804" w:rsidRPr="00DE7804">
        <w:rPr>
          <w:sz w:val="20"/>
          <w:szCs w:val="20"/>
        </w:rPr>
        <w:t xml:space="preserve"> </w:t>
      </w:r>
      <w:r w:rsidR="00DE7804">
        <w:rPr>
          <w:sz w:val="20"/>
          <w:szCs w:val="20"/>
        </w:rPr>
        <w:t>predstavlja zagotavljanje</w:t>
      </w:r>
      <w:r w:rsidR="00DE7804" w:rsidRPr="00DE7804">
        <w:rPr>
          <w:sz w:val="20"/>
          <w:szCs w:val="20"/>
        </w:rPr>
        <w:t xml:space="preserve"> ustreznih znanj in spretnosti.</w:t>
      </w:r>
      <w:r w:rsidR="00DE7804">
        <w:rPr>
          <w:sz w:val="20"/>
          <w:szCs w:val="20"/>
        </w:rPr>
        <w:t xml:space="preserve"> </w:t>
      </w:r>
      <w:r w:rsidR="00A06E44" w:rsidRPr="00A06E44">
        <w:rPr>
          <w:sz w:val="20"/>
          <w:szCs w:val="20"/>
        </w:rPr>
        <w:t>Visoka gospodarska rast je omogočila rast zaposlenosti</w:t>
      </w:r>
      <w:r w:rsidR="00A06E44">
        <w:rPr>
          <w:sz w:val="20"/>
          <w:szCs w:val="20"/>
        </w:rPr>
        <w:t xml:space="preserve">, kazalniki </w:t>
      </w:r>
      <w:r w:rsidR="00A06E44" w:rsidRPr="009C1B15">
        <w:rPr>
          <w:sz w:val="20"/>
          <w:szCs w:val="20"/>
        </w:rPr>
        <w:t>socialne</w:t>
      </w:r>
      <w:r w:rsidR="009A0073" w:rsidRPr="009C1B15">
        <w:rPr>
          <w:sz w:val="20"/>
          <w:szCs w:val="20"/>
        </w:rPr>
        <w:t xml:space="preserve"> </w:t>
      </w:r>
      <w:r w:rsidR="002F4407" w:rsidRPr="009C1B15">
        <w:rPr>
          <w:sz w:val="20"/>
          <w:szCs w:val="20"/>
        </w:rPr>
        <w:t>izključenosti in dohodkovne neenakost</w:t>
      </w:r>
      <w:r w:rsidR="009A0073" w:rsidRPr="009C1B15">
        <w:rPr>
          <w:sz w:val="20"/>
          <w:szCs w:val="20"/>
        </w:rPr>
        <w:t>i</w:t>
      </w:r>
      <w:r w:rsidR="002F4407">
        <w:rPr>
          <w:sz w:val="20"/>
          <w:szCs w:val="20"/>
        </w:rPr>
        <w:t xml:space="preserve"> </w:t>
      </w:r>
      <w:r w:rsidR="00A06E44" w:rsidRPr="00A06E44">
        <w:rPr>
          <w:sz w:val="20"/>
          <w:szCs w:val="20"/>
        </w:rPr>
        <w:t>pa so se po vrnili na razmeroma ugodne ravni pred letom 2008</w:t>
      </w:r>
      <w:r w:rsidR="00794DCA">
        <w:rPr>
          <w:sz w:val="20"/>
          <w:szCs w:val="20"/>
        </w:rPr>
        <w:t>.</w:t>
      </w:r>
      <w:r w:rsidR="00D142F6" w:rsidRPr="00D142F6">
        <w:t xml:space="preserve"> </w:t>
      </w:r>
      <w:r w:rsidR="00D142F6" w:rsidRPr="00D142F6">
        <w:rPr>
          <w:sz w:val="20"/>
          <w:szCs w:val="20"/>
        </w:rPr>
        <w:t>Bruto domači proiz</w:t>
      </w:r>
      <w:r w:rsidR="00D142F6">
        <w:rPr>
          <w:sz w:val="20"/>
          <w:szCs w:val="20"/>
        </w:rPr>
        <w:t xml:space="preserve">vod na prebivalca </w:t>
      </w:r>
      <w:r w:rsidR="00D142F6" w:rsidRPr="00D142F6">
        <w:rPr>
          <w:sz w:val="20"/>
          <w:szCs w:val="20"/>
        </w:rPr>
        <w:t>je let</w:t>
      </w:r>
      <w:r w:rsidR="00D142F6">
        <w:rPr>
          <w:sz w:val="20"/>
          <w:szCs w:val="20"/>
        </w:rPr>
        <w:t>a 2018 znašal 87 % povprečja EU.</w:t>
      </w:r>
      <w:r w:rsidR="00EC7A83" w:rsidRPr="00EC7A83">
        <w:t xml:space="preserve"> </w:t>
      </w:r>
      <w:r w:rsidR="00EC7A83" w:rsidRPr="00EC7A83">
        <w:rPr>
          <w:sz w:val="20"/>
          <w:szCs w:val="20"/>
        </w:rPr>
        <w:t>V letu 2019 je bila v Sloven</w:t>
      </w:r>
      <w:r w:rsidR="00EC7A83">
        <w:rPr>
          <w:sz w:val="20"/>
          <w:szCs w:val="20"/>
        </w:rPr>
        <w:t>iji stopnja zaposlenosti 76,4 %, kar je nad povprečjem EU.</w:t>
      </w:r>
      <w:r w:rsidR="00EC7A83" w:rsidRPr="00EC7A83">
        <w:t xml:space="preserve"> </w:t>
      </w:r>
      <w:r w:rsidR="00EC7A83" w:rsidRPr="00EC7A83">
        <w:rPr>
          <w:sz w:val="20"/>
          <w:szCs w:val="20"/>
        </w:rPr>
        <w:t>Stopnja tveganja revščine na podeželju je bila po podatkih Eurostata v Sloveniji med leti 2005 in 2015 okrog 20 %, v letu 2018 pa je padla na 16,6 %.</w:t>
      </w:r>
    </w:p>
    <w:p w14:paraId="132D61AB" w14:textId="5E626E2A" w:rsidR="00DE7804" w:rsidRDefault="00D142F6" w:rsidP="003A266F">
      <w:pPr>
        <w:pStyle w:val="Napis"/>
        <w:spacing w:after="120" w:line="360" w:lineRule="auto"/>
        <w:jc w:val="both"/>
        <w:rPr>
          <w:sz w:val="20"/>
          <w:szCs w:val="20"/>
        </w:rPr>
      </w:pPr>
      <w:r>
        <w:rPr>
          <w:sz w:val="20"/>
          <w:szCs w:val="20"/>
        </w:rPr>
        <w:t>K</w:t>
      </w:r>
      <w:r w:rsidRPr="00D142F6">
        <w:rPr>
          <w:sz w:val="20"/>
          <w:szCs w:val="20"/>
        </w:rPr>
        <w:t xml:space="preserve">metijstvo skupaj z lovstvom, gozdarstvom in ribištvom </w:t>
      </w:r>
      <w:r>
        <w:rPr>
          <w:sz w:val="20"/>
          <w:szCs w:val="20"/>
        </w:rPr>
        <w:t xml:space="preserve">je </w:t>
      </w:r>
      <w:r w:rsidRPr="00D142F6">
        <w:rPr>
          <w:sz w:val="20"/>
          <w:szCs w:val="20"/>
        </w:rPr>
        <w:t xml:space="preserve">leta 2019 k skupni ustvarjeni dodani vrednosti prispevalo 2,3 %, </w:t>
      </w:r>
      <w:r>
        <w:rPr>
          <w:sz w:val="20"/>
          <w:szCs w:val="20"/>
        </w:rPr>
        <w:t>k skupni zaposlenosti pa 6,9 %</w:t>
      </w:r>
      <w:r w:rsidRPr="00D142F6">
        <w:rPr>
          <w:sz w:val="20"/>
          <w:szCs w:val="20"/>
        </w:rPr>
        <w:t>. Delež zaposlenih v kmetijstvu ima trend upadanja in se tako iz leta v leto zmanjšuje.</w:t>
      </w:r>
      <w:r w:rsidR="00644158" w:rsidRPr="00644158">
        <w:t xml:space="preserve"> </w:t>
      </w:r>
      <w:r w:rsidR="00644158">
        <w:rPr>
          <w:sz w:val="20"/>
          <w:szCs w:val="20"/>
        </w:rPr>
        <w:t>V</w:t>
      </w:r>
      <w:r w:rsidR="00644158" w:rsidRPr="00644158">
        <w:rPr>
          <w:sz w:val="20"/>
          <w:szCs w:val="20"/>
        </w:rPr>
        <w:t xml:space="preserve"> Sloveniji </w:t>
      </w:r>
      <w:r w:rsidR="00644158">
        <w:rPr>
          <w:sz w:val="20"/>
          <w:szCs w:val="20"/>
        </w:rPr>
        <w:t xml:space="preserve">je, glede na primerjavo EU, </w:t>
      </w:r>
      <w:r w:rsidR="00644158" w:rsidRPr="00644158">
        <w:rPr>
          <w:sz w:val="20"/>
          <w:szCs w:val="20"/>
        </w:rPr>
        <w:t>delež trajnega travinja bistveno večji, delež o</w:t>
      </w:r>
      <w:r w:rsidR="00644158">
        <w:rPr>
          <w:sz w:val="20"/>
          <w:szCs w:val="20"/>
        </w:rPr>
        <w:t>rnih površin bistveno manjši,</w:t>
      </w:r>
      <w:r w:rsidR="00644158" w:rsidRPr="00644158">
        <w:rPr>
          <w:sz w:val="20"/>
          <w:szCs w:val="20"/>
        </w:rPr>
        <w:t xml:space="preserve"> delež nasadov </w:t>
      </w:r>
      <w:r w:rsidR="00644158">
        <w:rPr>
          <w:sz w:val="20"/>
          <w:szCs w:val="20"/>
        </w:rPr>
        <w:t>pa primerljiv.</w:t>
      </w:r>
      <w:r w:rsidR="00644158" w:rsidRPr="00644158">
        <w:rPr>
          <w:sz w:val="20"/>
          <w:szCs w:val="20"/>
        </w:rPr>
        <w:t xml:space="preserve"> </w:t>
      </w:r>
      <w:r w:rsidR="00352788" w:rsidRPr="00352788">
        <w:rPr>
          <w:sz w:val="20"/>
          <w:szCs w:val="20"/>
        </w:rPr>
        <w:t>Slove</w:t>
      </w:r>
      <w:r w:rsidR="00352788">
        <w:rPr>
          <w:sz w:val="20"/>
          <w:szCs w:val="20"/>
        </w:rPr>
        <w:t>nija ima med vsemi članicami EU</w:t>
      </w:r>
      <w:r w:rsidR="00352788" w:rsidRPr="00352788">
        <w:rPr>
          <w:sz w:val="20"/>
          <w:szCs w:val="20"/>
        </w:rPr>
        <w:t xml:space="preserve"> enega najvišjih deležev kmetijskih zemljišč v uporabi na območjih z omejenimi možnostmi za kmetijsko dejavnost (OMD)</w:t>
      </w:r>
      <w:r w:rsidR="00352788">
        <w:rPr>
          <w:sz w:val="20"/>
          <w:szCs w:val="20"/>
        </w:rPr>
        <w:t>, in sicer kar 80 %.</w:t>
      </w:r>
      <w:r w:rsidR="00DF7CA9" w:rsidRPr="00DF7CA9">
        <w:rPr>
          <w:sz w:val="20"/>
          <w:szCs w:val="20"/>
        </w:rPr>
        <w:t xml:space="preserve"> Po podatkih zadnjega strukturnega raziskovanja kmetijstva v letu 2016 se nadaljuje trend zmanjševanja števila kmetijskih gospodarstev</w:t>
      </w:r>
      <w:r w:rsidR="00CD4328" w:rsidRPr="00CD4328">
        <w:rPr>
          <w:sz w:val="20"/>
          <w:szCs w:val="20"/>
        </w:rPr>
        <w:t xml:space="preserve">. </w:t>
      </w:r>
      <w:r w:rsidR="00DF7CA9">
        <w:rPr>
          <w:sz w:val="20"/>
          <w:szCs w:val="20"/>
        </w:rPr>
        <w:t>P</w:t>
      </w:r>
      <w:r w:rsidR="00DF7CA9" w:rsidRPr="00DF7CA9">
        <w:rPr>
          <w:sz w:val="20"/>
          <w:szCs w:val="20"/>
        </w:rPr>
        <w:t xml:space="preserve">ovprečno </w:t>
      </w:r>
      <w:r w:rsidR="00DF7CA9">
        <w:rPr>
          <w:sz w:val="20"/>
          <w:szCs w:val="20"/>
        </w:rPr>
        <w:t>veliko kmetijsko gospodarstvo</w:t>
      </w:r>
      <w:r w:rsidR="00DF7CA9" w:rsidRPr="00DF7CA9">
        <w:rPr>
          <w:sz w:val="20"/>
          <w:szCs w:val="20"/>
        </w:rPr>
        <w:t xml:space="preserve"> v Sloveniji </w:t>
      </w:r>
      <w:r w:rsidR="00DF7CA9">
        <w:rPr>
          <w:sz w:val="20"/>
          <w:szCs w:val="20"/>
        </w:rPr>
        <w:t xml:space="preserve">obdeluje 6,9 ha kmetijskih zemljišč in redi 6,0 GVŽ </w:t>
      </w:r>
      <w:r w:rsidR="00DF7CA9" w:rsidRPr="00DF7CA9">
        <w:rPr>
          <w:sz w:val="20"/>
          <w:szCs w:val="20"/>
        </w:rPr>
        <w:t>ter gospodarili s povprečno 5,6 ha gozda.</w:t>
      </w:r>
      <w:r w:rsidR="0066676E" w:rsidRPr="0066676E">
        <w:t xml:space="preserve"> </w:t>
      </w:r>
      <w:r w:rsidR="0066676E" w:rsidRPr="0066676E">
        <w:rPr>
          <w:sz w:val="20"/>
          <w:szCs w:val="20"/>
        </w:rPr>
        <w:t>Slovenija ima v primerjavi z EU–28 še vedno zelo neugodno velikostno strukturo kmetijskih gospodarstev.</w:t>
      </w:r>
      <w:r w:rsidR="00B44927" w:rsidRPr="00B44927">
        <w:t xml:space="preserve"> </w:t>
      </w:r>
      <w:r w:rsidR="00B44927" w:rsidRPr="00B44927">
        <w:rPr>
          <w:sz w:val="20"/>
          <w:szCs w:val="20"/>
        </w:rPr>
        <w:t xml:space="preserve">Povprečna starost gospodarja upravitelja kmetijskega </w:t>
      </w:r>
      <w:r w:rsidR="00B44927" w:rsidRPr="00B44927">
        <w:rPr>
          <w:sz w:val="20"/>
          <w:szCs w:val="20"/>
        </w:rPr>
        <w:lastRenderedPageBreak/>
        <w:t>gospodarstva je v Sloveniji v letu 2016 znašala 57 let, kar kaže na izrazito neugodno starostno strukturo v kmetijstvu</w:t>
      </w:r>
      <w:r w:rsidR="00EC5133">
        <w:rPr>
          <w:sz w:val="20"/>
          <w:szCs w:val="20"/>
        </w:rPr>
        <w:t>.</w:t>
      </w:r>
    </w:p>
    <w:p w14:paraId="60618483" w14:textId="4FCED430" w:rsidR="000A4B51" w:rsidRPr="00796825" w:rsidRDefault="00502576" w:rsidP="00C75FB1">
      <w:pPr>
        <w:pStyle w:val="Napis"/>
        <w:keepLines/>
        <w:spacing w:before="0" w:after="120" w:line="240" w:lineRule="auto"/>
        <w:rPr>
          <w:sz w:val="20"/>
          <w:szCs w:val="20"/>
        </w:rPr>
      </w:pPr>
      <w:bookmarkStart w:id="7" w:name="_Toc55913713"/>
      <w:r>
        <w:rPr>
          <w:sz w:val="20"/>
          <w:szCs w:val="20"/>
        </w:rPr>
        <w:t>Tabela</w:t>
      </w:r>
      <w:r w:rsidR="000A4B51" w:rsidRPr="00796825">
        <w:rPr>
          <w:sz w:val="20"/>
          <w:szCs w:val="20"/>
        </w:rPr>
        <w:t xml:space="preserve"> </w:t>
      </w:r>
      <w:r w:rsidR="000A4B51" w:rsidRPr="00796825">
        <w:rPr>
          <w:sz w:val="20"/>
          <w:szCs w:val="20"/>
        </w:rPr>
        <w:fldChar w:fldCharType="begin"/>
      </w:r>
      <w:r w:rsidR="000A4B51" w:rsidRPr="00796825">
        <w:rPr>
          <w:sz w:val="20"/>
          <w:szCs w:val="20"/>
        </w:rPr>
        <w:instrText xml:space="preserve"> SEQ Tabela \* ARABIC </w:instrText>
      </w:r>
      <w:r w:rsidR="000A4B51" w:rsidRPr="00796825">
        <w:rPr>
          <w:sz w:val="20"/>
          <w:szCs w:val="20"/>
        </w:rPr>
        <w:fldChar w:fldCharType="separate"/>
      </w:r>
      <w:r w:rsidR="00DF0D48">
        <w:rPr>
          <w:noProof/>
          <w:sz w:val="20"/>
          <w:szCs w:val="20"/>
        </w:rPr>
        <w:t>2</w:t>
      </w:r>
      <w:r w:rsidR="000A4B51" w:rsidRPr="00796825">
        <w:rPr>
          <w:sz w:val="20"/>
          <w:szCs w:val="20"/>
        </w:rPr>
        <w:fldChar w:fldCharType="end"/>
      </w:r>
      <w:r w:rsidR="000A4B51" w:rsidRPr="00796825">
        <w:rPr>
          <w:sz w:val="20"/>
          <w:szCs w:val="20"/>
        </w:rPr>
        <w:t>: Uporabljeni kazalniki stanja</w:t>
      </w:r>
      <w:r w:rsidR="000A4B51">
        <w:rPr>
          <w:sz w:val="20"/>
          <w:szCs w:val="20"/>
        </w:rPr>
        <w:t xml:space="preserve"> v okviru splošnega uvodnega dela</w:t>
      </w:r>
      <w:bookmarkEnd w:id="7"/>
    </w:p>
    <w:tbl>
      <w:tblPr>
        <w:tblStyle w:val="Tabelamrea"/>
        <w:tblW w:w="0" w:type="auto"/>
        <w:tblLook w:val="04A0" w:firstRow="1" w:lastRow="0" w:firstColumn="1" w:lastColumn="0" w:noHBand="0" w:noVBand="1"/>
      </w:tblPr>
      <w:tblGrid>
        <w:gridCol w:w="2486"/>
        <w:gridCol w:w="1934"/>
        <w:gridCol w:w="4359"/>
      </w:tblGrid>
      <w:tr w:rsidR="00FE416E" w:rsidRPr="00C9160B" w14:paraId="5242B52C" w14:textId="77777777" w:rsidTr="00502576">
        <w:tc>
          <w:tcPr>
            <w:tcW w:w="2486" w:type="dxa"/>
            <w:shd w:val="clear" w:color="auto" w:fill="92D050"/>
          </w:tcPr>
          <w:p w14:paraId="18256E15" w14:textId="77777777" w:rsidR="00FE416E" w:rsidRPr="00C9160B" w:rsidRDefault="00FE416E" w:rsidP="00C75FB1">
            <w:pPr>
              <w:keepNext/>
              <w:keepLines/>
              <w:jc w:val="both"/>
              <w:rPr>
                <w:rFonts w:cs="Arial"/>
                <w:b/>
                <w:szCs w:val="20"/>
              </w:rPr>
            </w:pPr>
            <w:r w:rsidRPr="00C9160B">
              <w:rPr>
                <w:rFonts w:cs="Arial"/>
                <w:b/>
                <w:szCs w:val="20"/>
              </w:rPr>
              <w:t>Področje</w:t>
            </w:r>
          </w:p>
        </w:tc>
        <w:tc>
          <w:tcPr>
            <w:tcW w:w="1934" w:type="dxa"/>
            <w:shd w:val="clear" w:color="auto" w:fill="92D050"/>
          </w:tcPr>
          <w:p w14:paraId="6EFCE2F5" w14:textId="77777777" w:rsidR="00FE416E" w:rsidRPr="00C9160B" w:rsidRDefault="00FE416E" w:rsidP="00C75FB1">
            <w:pPr>
              <w:keepNext/>
              <w:keepLines/>
              <w:jc w:val="both"/>
              <w:rPr>
                <w:rFonts w:cs="Arial"/>
                <w:b/>
                <w:szCs w:val="20"/>
              </w:rPr>
            </w:pPr>
            <w:r w:rsidRPr="00C9160B">
              <w:rPr>
                <w:rFonts w:cs="Arial"/>
                <w:b/>
                <w:szCs w:val="20"/>
              </w:rPr>
              <w:t>Oznaka kazalnika PMEF</w:t>
            </w:r>
          </w:p>
        </w:tc>
        <w:tc>
          <w:tcPr>
            <w:tcW w:w="4359" w:type="dxa"/>
            <w:shd w:val="clear" w:color="auto" w:fill="92D050"/>
          </w:tcPr>
          <w:p w14:paraId="769BCE35" w14:textId="77777777" w:rsidR="00FE416E" w:rsidRPr="00C9160B" w:rsidRDefault="00FE416E" w:rsidP="00C75FB1">
            <w:pPr>
              <w:keepNext/>
              <w:keepLines/>
              <w:jc w:val="both"/>
              <w:rPr>
                <w:rFonts w:cs="Arial"/>
                <w:b/>
                <w:szCs w:val="20"/>
              </w:rPr>
            </w:pPr>
            <w:r w:rsidRPr="00C9160B">
              <w:rPr>
                <w:rFonts w:cs="Arial"/>
                <w:b/>
                <w:szCs w:val="20"/>
              </w:rPr>
              <w:t>Kazalnik PMEF</w:t>
            </w:r>
          </w:p>
        </w:tc>
      </w:tr>
      <w:tr w:rsidR="00E44110" w:rsidRPr="00C9160B" w14:paraId="7A384262" w14:textId="77777777" w:rsidTr="00491B36">
        <w:tc>
          <w:tcPr>
            <w:tcW w:w="2486" w:type="dxa"/>
            <w:vMerge w:val="restart"/>
          </w:tcPr>
          <w:p w14:paraId="642D44CE" w14:textId="77777777" w:rsidR="00E44110" w:rsidRPr="00C9160B" w:rsidRDefault="00E44110" w:rsidP="00C75FB1">
            <w:pPr>
              <w:keepNext/>
              <w:keepLines/>
              <w:rPr>
                <w:rFonts w:eastAsia="Arial" w:cs="Arial"/>
                <w:color w:val="000000"/>
                <w:szCs w:val="20"/>
              </w:rPr>
            </w:pPr>
            <w:r w:rsidRPr="00C9160B">
              <w:rPr>
                <w:rFonts w:eastAsia="Arial" w:cs="Arial"/>
                <w:color w:val="000000"/>
                <w:szCs w:val="20"/>
              </w:rPr>
              <w:t>Prebivalstvo</w:t>
            </w:r>
          </w:p>
        </w:tc>
        <w:tc>
          <w:tcPr>
            <w:tcW w:w="1934" w:type="dxa"/>
          </w:tcPr>
          <w:p w14:paraId="37B57B49" w14:textId="77777777" w:rsidR="00E44110" w:rsidRPr="00C9160B" w:rsidRDefault="00E44110" w:rsidP="00C75FB1">
            <w:pPr>
              <w:keepNext/>
              <w:keepLines/>
              <w:rPr>
                <w:rFonts w:eastAsia="Arial" w:cs="Arial"/>
                <w:color w:val="000000"/>
                <w:szCs w:val="20"/>
              </w:rPr>
            </w:pPr>
            <w:r w:rsidRPr="00C9160B">
              <w:rPr>
                <w:rFonts w:eastAsia="Arial" w:cs="Arial"/>
                <w:color w:val="000000"/>
                <w:szCs w:val="20"/>
              </w:rPr>
              <w:t xml:space="preserve">C.01 </w:t>
            </w:r>
          </w:p>
        </w:tc>
        <w:tc>
          <w:tcPr>
            <w:tcW w:w="4359" w:type="dxa"/>
          </w:tcPr>
          <w:p w14:paraId="4847814D" w14:textId="77777777" w:rsidR="00E44110" w:rsidRPr="00C9160B" w:rsidRDefault="00E44110" w:rsidP="00C75FB1">
            <w:pPr>
              <w:keepNext/>
              <w:keepLines/>
              <w:rPr>
                <w:rFonts w:eastAsia="Arial" w:cs="Arial"/>
                <w:color w:val="000000"/>
                <w:szCs w:val="20"/>
              </w:rPr>
            </w:pPr>
            <w:r w:rsidRPr="00C9160B">
              <w:rPr>
                <w:rFonts w:eastAsia="Arial" w:cs="Arial"/>
                <w:color w:val="000000"/>
                <w:szCs w:val="20"/>
              </w:rPr>
              <w:t>Število prebivalcev</w:t>
            </w:r>
          </w:p>
        </w:tc>
      </w:tr>
      <w:tr w:rsidR="00E44110" w:rsidRPr="00C9160B" w14:paraId="05CCFD27" w14:textId="77777777" w:rsidTr="00491B36">
        <w:tc>
          <w:tcPr>
            <w:tcW w:w="2486" w:type="dxa"/>
            <w:vMerge/>
          </w:tcPr>
          <w:p w14:paraId="5B579A84" w14:textId="77777777" w:rsidR="00E44110" w:rsidRPr="00C9160B" w:rsidRDefault="00E44110" w:rsidP="00F42F8F">
            <w:pPr>
              <w:keepNext/>
              <w:keepLines/>
              <w:rPr>
                <w:rFonts w:eastAsia="Arial" w:cs="Arial"/>
                <w:color w:val="000000"/>
                <w:szCs w:val="20"/>
              </w:rPr>
            </w:pPr>
          </w:p>
        </w:tc>
        <w:tc>
          <w:tcPr>
            <w:tcW w:w="1934" w:type="dxa"/>
          </w:tcPr>
          <w:p w14:paraId="4ACFAFF7" w14:textId="77777777" w:rsidR="00E44110" w:rsidRPr="00C9160B" w:rsidRDefault="00E44110" w:rsidP="00F42F8F">
            <w:pPr>
              <w:keepNext/>
              <w:keepLines/>
              <w:rPr>
                <w:rFonts w:eastAsia="Arial" w:cs="Arial"/>
                <w:color w:val="000000"/>
                <w:szCs w:val="20"/>
              </w:rPr>
            </w:pPr>
            <w:r w:rsidRPr="00C9160B">
              <w:rPr>
                <w:rFonts w:eastAsia="Arial" w:cs="Arial"/>
                <w:color w:val="000000"/>
                <w:szCs w:val="20"/>
              </w:rPr>
              <w:t xml:space="preserve">C.02 </w:t>
            </w:r>
          </w:p>
        </w:tc>
        <w:tc>
          <w:tcPr>
            <w:tcW w:w="4359" w:type="dxa"/>
          </w:tcPr>
          <w:p w14:paraId="1C9E73CB" w14:textId="77777777" w:rsidR="00E44110" w:rsidRPr="00C9160B" w:rsidRDefault="00E44110" w:rsidP="00F42F8F">
            <w:pPr>
              <w:keepNext/>
              <w:keepLines/>
              <w:rPr>
                <w:rFonts w:eastAsia="Arial" w:cs="Arial"/>
                <w:color w:val="000000"/>
                <w:szCs w:val="20"/>
              </w:rPr>
            </w:pPr>
            <w:r w:rsidRPr="00C9160B">
              <w:rPr>
                <w:rFonts w:eastAsia="Arial" w:cs="Arial"/>
                <w:color w:val="000000"/>
                <w:szCs w:val="20"/>
              </w:rPr>
              <w:t>Gostota prebivalstva</w:t>
            </w:r>
          </w:p>
        </w:tc>
      </w:tr>
      <w:tr w:rsidR="00E44110" w:rsidRPr="00C9160B" w14:paraId="751EA125" w14:textId="77777777" w:rsidTr="00491B36">
        <w:tc>
          <w:tcPr>
            <w:tcW w:w="2486" w:type="dxa"/>
            <w:vMerge/>
          </w:tcPr>
          <w:p w14:paraId="241882CF" w14:textId="77777777" w:rsidR="00E44110" w:rsidRPr="00C9160B" w:rsidRDefault="00E44110" w:rsidP="00F42F8F">
            <w:pPr>
              <w:keepNext/>
              <w:keepLines/>
              <w:rPr>
                <w:rFonts w:eastAsia="Arial" w:cs="Arial"/>
                <w:color w:val="000000"/>
                <w:szCs w:val="20"/>
              </w:rPr>
            </w:pPr>
          </w:p>
        </w:tc>
        <w:tc>
          <w:tcPr>
            <w:tcW w:w="1934" w:type="dxa"/>
          </w:tcPr>
          <w:p w14:paraId="5B5EF72B" w14:textId="77777777" w:rsidR="00E44110" w:rsidRPr="00C9160B" w:rsidRDefault="00E44110" w:rsidP="00F42F8F">
            <w:pPr>
              <w:keepNext/>
              <w:keepLines/>
              <w:rPr>
                <w:rFonts w:eastAsia="Arial" w:cs="Arial"/>
                <w:color w:val="000000"/>
                <w:szCs w:val="20"/>
              </w:rPr>
            </w:pPr>
            <w:r w:rsidRPr="00C9160B">
              <w:rPr>
                <w:rFonts w:eastAsia="Arial" w:cs="Arial"/>
                <w:color w:val="000000"/>
                <w:szCs w:val="20"/>
              </w:rPr>
              <w:t xml:space="preserve">C.03 </w:t>
            </w:r>
          </w:p>
        </w:tc>
        <w:tc>
          <w:tcPr>
            <w:tcW w:w="4359" w:type="dxa"/>
          </w:tcPr>
          <w:p w14:paraId="653D20C2" w14:textId="77777777" w:rsidR="00E44110" w:rsidRPr="00C9160B" w:rsidRDefault="00E44110" w:rsidP="00F42F8F">
            <w:pPr>
              <w:keepNext/>
              <w:keepLines/>
              <w:rPr>
                <w:rFonts w:eastAsia="Arial" w:cs="Arial"/>
                <w:color w:val="000000"/>
                <w:szCs w:val="20"/>
              </w:rPr>
            </w:pPr>
            <w:r w:rsidRPr="00C9160B">
              <w:rPr>
                <w:rFonts w:eastAsia="Arial" w:cs="Arial"/>
                <w:color w:val="000000"/>
                <w:szCs w:val="20"/>
              </w:rPr>
              <w:t>Starostna struktura prebivalstva</w:t>
            </w:r>
          </w:p>
        </w:tc>
      </w:tr>
      <w:tr w:rsidR="00E44110" w:rsidRPr="00C9160B" w14:paraId="06035469" w14:textId="77777777" w:rsidTr="00491B36">
        <w:tc>
          <w:tcPr>
            <w:tcW w:w="2486" w:type="dxa"/>
            <w:vMerge w:val="restart"/>
          </w:tcPr>
          <w:p w14:paraId="3318ED25" w14:textId="77777777" w:rsidR="00E44110" w:rsidRPr="00C9160B" w:rsidRDefault="00E44110" w:rsidP="00C75FB1">
            <w:pPr>
              <w:keepNext/>
              <w:keepLines/>
              <w:rPr>
                <w:rFonts w:eastAsia="Arial" w:cs="Arial"/>
                <w:color w:val="000000"/>
                <w:szCs w:val="20"/>
              </w:rPr>
            </w:pPr>
            <w:r w:rsidRPr="00C9160B">
              <w:rPr>
                <w:rFonts w:eastAsia="Arial" w:cs="Arial"/>
                <w:color w:val="000000"/>
                <w:szCs w:val="20"/>
              </w:rPr>
              <w:t>Površina</w:t>
            </w:r>
          </w:p>
        </w:tc>
        <w:tc>
          <w:tcPr>
            <w:tcW w:w="1934" w:type="dxa"/>
          </w:tcPr>
          <w:p w14:paraId="5E4E8313" w14:textId="77777777" w:rsidR="00E44110" w:rsidRPr="00C9160B" w:rsidRDefault="00E44110" w:rsidP="00C75FB1">
            <w:pPr>
              <w:keepNext/>
              <w:keepLines/>
              <w:rPr>
                <w:rFonts w:eastAsia="Arial" w:cs="Arial"/>
                <w:color w:val="000000"/>
                <w:szCs w:val="20"/>
              </w:rPr>
            </w:pPr>
            <w:r w:rsidRPr="00C9160B">
              <w:rPr>
                <w:rFonts w:eastAsia="Arial" w:cs="Arial"/>
                <w:color w:val="000000"/>
                <w:szCs w:val="20"/>
              </w:rPr>
              <w:t>C.04</w:t>
            </w:r>
          </w:p>
        </w:tc>
        <w:tc>
          <w:tcPr>
            <w:tcW w:w="4359" w:type="dxa"/>
          </w:tcPr>
          <w:p w14:paraId="0507598E" w14:textId="77777777" w:rsidR="00E44110" w:rsidRPr="00C9160B" w:rsidRDefault="00E44110" w:rsidP="00C75FB1">
            <w:pPr>
              <w:keepNext/>
              <w:keepLines/>
              <w:rPr>
                <w:rFonts w:eastAsia="Arial" w:cs="Arial"/>
                <w:color w:val="000000"/>
                <w:szCs w:val="20"/>
              </w:rPr>
            </w:pPr>
            <w:r w:rsidRPr="00C9160B">
              <w:rPr>
                <w:rFonts w:eastAsia="Arial" w:cs="Arial"/>
                <w:color w:val="000000"/>
                <w:szCs w:val="20"/>
              </w:rPr>
              <w:t>Celotna površina</w:t>
            </w:r>
          </w:p>
        </w:tc>
      </w:tr>
      <w:tr w:rsidR="00E44110" w:rsidRPr="00C9160B" w14:paraId="68AFE729" w14:textId="77777777" w:rsidTr="00491B36">
        <w:tc>
          <w:tcPr>
            <w:tcW w:w="2486" w:type="dxa"/>
            <w:vMerge/>
          </w:tcPr>
          <w:p w14:paraId="48C9FFFC" w14:textId="77777777" w:rsidR="00E44110" w:rsidRPr="00C9160B" w:rsidRDefault="00E44110" w:rsidP="00F42F8F">
            <w:pPr>
              <w:keepNext/>
              <w:keepLines/>
              <w:rPr>
                <w:rFonts w:cs="Arial"/>
                <w:szCs w:val="20"/>
              </w:rPr>
            </w:pPr>
          </w:p>
        </w:tc>
        <w:tc>
          <w:tcPr>
            <w:tcW w:w="1934" w:type="dxa"/>
          </w:tcPr>
          <w:p w14:paraId="086E3719" w14:textId="77777777" w:rsidR="00E44110" w:rsidRPr="00C9160B" w:rsidRDefault="00E44110" w:rsidP="00F42F8F">
            <w:pPr>
              <w:keepNext/>
              <w:keepLines/>
              <w:rPr>
                <w:rFonts w:cs="Arial"/>
                <w:szCs w:val="20"/>
              </w:rPr>
            </w:pPr>
            <w:r w:rsidRPr="00C9160B">
              <w:rPr>
                <w:rFonts w:cs="Arial"/>
                <w:szCs w:val="20"/>
              </w:rPr>
              <w:t>C.05</w:t>
            </w:r>
          </w:p>
        </w:tc>
        <w:tc>
          <w:tcPr>
            <w:tcW w:w="4359" w:type="dxa"/>
          </w:tcPr>
          <w:p w14:paraId="074477AD" w14:textId="77777777" w:rsidR="00E44110" w:rsidRPr="00C9160B" w:rsidRDefault="00E44110" w:rsidP="00F42F8F">
            <w:pPr>
              <w:keepNext/>
              <w:keepLines/>
              <w:rPr>
                <w:rFonts w:cs="Arial"/>
                <w:szCs w:val="20"/>
              </w:rPr>
            </w:pPr>
            <w:proofErr w:type="spellStart"/>
            <w:r w:rsidRPr="00C9160B">
              <w:rPr>
                <w:rFonts w:cs="Arial"/>
                <w:szCs w:val="20"/>
              </w:rPr>
              <w:t>Pokrovnost</w:t>
            </w:r>
            <w:proofErr w:type="spellEnd"/>
            <w:r w:rsidRPr="00C9160B">
              <w:rPr>
                <w:rFonts w:cs="Arial"/>
                <w:szCs w:val="20"/>
              </w:rPr>
              <w:t xml:space="preserve"> tal</w:t>
            </w:r>
          </w:p>
        </w:tc>
      </w:tr>
      <w:tr w:rsidR="00E44110" w:rsidRPr="00C9160B" w14:paraId="4C49AEC3" w14:textId="77777777" w:rsidTr="00491B36">
        <w:tc>
          <w:tcPr>
            <w:tcW w:w="2486" w:type="dxa"/>
            <w:vMerge w:val="restart"/>
          </w:tcPr>
          <w:p w14:paraId="3F43FC64" w14:textId="77777777" w:rsidR="00E44110" w:rsidRPr="00C9160B" w:rsidRDefault="00E44110" w:rsidP="00C75FB1">
            <w:pPr>
              <w:keepNext/>
              <w:keepLines/>
              <w:rPr>
                <w:rFonts w:cs="Arial"/>
                <w:szCs w:val="20"/>
              </w:rPr>
            </w:pPr>
            <w:r w:rsidRPr="00C9160B">
              <w:rPr>
                <w:rFonts w:cs="Arial"/>
                <w:szCs w:val="20"/>
              </w:rPr>
              <w:t>Trg dela</w:t>
            </w:r>
          </w:p>
        </w:tc>
        <w:tc>
          <w:tcPr>
            <w:tcW w:w="1934" w:type="dxa"/>
          </w:tcPr>
          <w:p w14:paraId="2E3662C5" w14:textId="77777777" w:rsidR="00E44110" w:rsidRPr="00C9160B" w:rsidRDefault="00E44110" w:rsidP="00C75FB1">
            <w:pPr>
              <w:keepNext/>
              <w:keepLines/>
              <w:rPr>
                <w:rFonts w:cs="Arial"/>
                <w:szCs w:val="20"/>
              </w:rPr>
            </w:pPr>
            <w:r w:rsidRPr="00C9160B">
              <w:rPr>
                <w:rFonts w:cs="Arial"/>
                <w:szCs w:val="20"/>
              </w:rPr>
              <w:t>C.06 (I.22)</w:t>
            </w:r>
          </w:p>
        </w:tc>
        <w:tc>
          <w:tcPr>
            <w:tcW w:w="4359" w:type="dxa"/>
          </w:tcPr>
          <w:p w14:paraId="7777DC41" w14:textId="77777777" w:rsidR="00E44110" w:rsidRPr="00C9160B" w:rsidRDefault="00E44110" w:rsidP="00C75FB1">
            <w:pPr>
              <w:keepNext/>
              <w:keepLines/>
              <w:rPr>
                <w:rFonts w:cs="Arial"/>
                <w:szCs w:val="20"/>
              </w:rPr>
            </w:pPr>
            <w:r w:rsidRPr="00C9160B">
              <w:rPr>
                <w:rFonts w:cs="Arial"/>
                <w:szCs w:val="20"/>
              </w:rPr>
              <w:t>Stopnja zaposlenosti</w:t>
            </w:r>
          </w:p>
        </w:tc>
      </w:tr>
      <w:tr w:rsidR="00E44110" w:rsidRPr="00C9160B" w14:paraId="7F2EDFE1" w14:textId="77777777" w:rsidTr="00491B36">
        <w:tc>
          <w:tcPr>
            <w:tcW w:w="2486" w:type="dxa"/>
            <w:vMerge/>
          </w:tcPr>
          <w:p w14:paraId="41C24023" w14:textId="77777777" w:rsidR="00E44110" w:rsidRPr="00C9160B" w:rsidRDefault="00E44110" w:rsidP="00F42F8F">
            <w:pPr>
              <w:keepNext/>
              <w:keepLines/>
              <w:rPr>
                <w:rFonts w:cs="Arial"/>
                <w:szCs w:val="20"/>
              </w:rPr>
            </w:pPr>
          </w:p>
        </w:tc>
        <w:tc>
          <w:tcPr>
            <w:tcW w:w="1934" w:type="dxa"/>
          </w:tcPr>
          <w:p w14:paraId="54235BA0" w14:textId="77777777" w:rsidR="00E44110" w:rsidRPr="00C9160B" w:rsidRDefault="00E44110" w:rsidP="00F42F8F">
            <w:pPr>
              <w:keepNext/>
              <w:keepLines/>
              <w:rPr>
                <w:rFonts w:cs="Arial"/>
                <w:szCs w:val="20"/>
              </w:rPr>
            </w:pPr>
            <w:r w:rsidRPr="00C9160B">
              <w:rPr>
                <w:rFonts w:cs="Arial"/>
                <w:szCs w:val="20"/>
              </w:rPr>
              <w:t xml:space="preserve">C.07 </w:t>
            </w:r>
          </w:p>
        </w:tc>
        <w:tc>
          <w:tcPr>
            <w:tcW w:w="4359" w:type="dxa"/>
          </w:tcPr>
          <w:p w14:paraId="6B7EEBF4" w14:textId="77777777" w:rsidR="00E44110" w:rsidRPr="00C9160B" w:rsidRDefault="00E44110" w:rsidP="00F42F8F">
            <w:pPr>
              <w:keepNext/>
              <w:keepLines/>
              <w:rPr>
                <w:rFonts w:cs="Arial"/>
                <w:szCs w:val="20"/>
              </w:rPr>
            </w:pPr>
            <w:r w:rsidRPr="00C9160B">
              <w:rPr>
                <w:rFonts w:cs="Arial"/>
                <w:szCs w:val="20"/>
              </w:rPr>
              <w:t>Stopnja brezposelnosti</w:t>
            </w:r>
          </w:p>
        </w:tc>
      </w:tr>
      <w:tr w:rsidR="00E44110" w:rsidRPr="00C9160B" w14:paraId="7031DEBD" w14:textId="77777777" w:rsidTr="00491B36">
        <w:tc>
          <w:tcPr>
            <w:tcW w:w="2486" w:type="dxa"/>
            <w:vMerge/>
          </w:tcPr>
          <w:p w14:paraId="444FBED6" w14:textId="77777777" w:rsidR="00E44110" w:rsidRPr="00C9160B" w:rsidRDefault="00E44110" w:rsidP="00F42F8F">
            <w:pPr>
              <w:keepNext/>
              <w:keepLines/>
              <w:rPr>
                <w:rFonts w:cs="Arial"/>
                <w:szCs w:val="20"/>
              </w:rPr>
            </w:pPr>
          </w:p>
        </w:tc>
        <w:tc>
          <w:tcPr>
            <w:tcW w:w="1934" w:type="dxa"/>
          </w:tcPr>
          <w:p w14:paraId="4258FA93" w14:textId="77777777" w:rsidR="00E44110" w:rsidRPr="00C9160B" w:rsidRDefault="00E44110" w:rsidP="00F42F8F">
            <w:pPr>
              <w:keepNext/>
              <w:keepLines/>
              <w:rPr>
                <w:rFonts w:cs="Arial"/>
                <w:szCs w:val="20"/>
              </w:rPr>
            </w:pPr>
            <w:r w:rsidRPr="00C9160B">
              <w:rPr>
                <w:rFonts w:cs="Arial"/>
                <w:szCs w:val="20"/>
              </w:rPr>
              <w:t xml:space="preserve">C.08 </w:t>
            </w:r>
          </w:p>
        </w:tc>
        <w:tc>
          <w:tcPr>
            <w:tcW w:w="4359" w:type="dxa"/>
          </w:tcPr>
          <w:p w14:paraId="6A91A348" w14:textId="77777777" w:rsidR="00E44110" w:rsidRPr="00C9160B" w:rsidRDefault="00E44110" w:rsidP="00F42F8F">
            <w:pPr>
              <w:keepNext/>
              <w:keepLines/>
              <w:rPr>
                <w:rFonts w:cs="Arial"/>
                <w:szCs w:val="20"/>
              </w:rPr>
            </w:pPr>
            <w:r w:rsidRPr="00C9160B">
              <w:rPr>
                <w:rFonts w:cs="Arial"/>
                <w:szCs w:val="20"/>
              </w:rPr>
              <w:t>Zaposlovanje</w:t>
            </w:r>
          </w:p>
        </w:tc>
      </w:tr>
      <w:tr w:rsidR="00E44110" w:rsidRPr="00C9160B" w14:paraId="5AEEC254" w14:textId="77777777" w:rsidTr="00491B36">
        <w:tc>
          <w:tcPr>
            <w:tcW w:w="2486" w:type="dxa"/>
            <w:vMerge w:val="restart"/>
          </w:tcPr>
          <w:p w14:paraId="443AF3D8" w14:textId="77777777" w:rsidR="00E44110" w:rsidRPr="00C9160B" w:rsidRDefault="00E44110" w:rsidP="00C75FB1">
            <w:pPr>
              <w:keepNext/>
              <w:keepLines/>
              <w:rPr>
                <w:rFonts w:cs="Arial"/>
                <w:szCs w:val="20"/>
              </w:rPr>
            </w:pPr>
            <w:r w:rsidRPr="00C9160B">
              <w:rPr>
                <w:rFonts w:cs="Arial"/>
                <w:szCs w:val="20"/>
              </w:rPr>
              <w:t>Gospodarstvo</w:t>
            </w:r>
          </w:p>
        </w:tc>
        <w:tc>
          <w:tcPr>
            <w:tcW w:w="1934" w:type="dxa"/>
          </w:tcPr>
          <w:p w14:paraId="24A970A0" w14:textId="77777777" w:rsidR="00E44110" w:rsidRPr="00C9160B" w:rsidRDefault="00E44110" w:rsidP="00C75FB1">
            <w:pPr>
              <w:keepNext/>
              <w:keepLines/>
              <w:rPr>
                <w:rFonts w:cs="Arial"/>
                <w:szCs w:val="20"/>
              </w:rPr>
            </w:pPr>
            <w:r w:rsidRPr="00C9160B">
              <w:rPr>
                <w:rFonts w:cs="Arial"/>
                <w:szCs w:val="20"/>
              </w:rPr>
              <w:t>C.09 (I.23)</w:t>
            </w:r>
          </w:p>
        </w:tc>
        <w:tc>
          <w:tcPr>
            <w:tcW w:w="4359" w:type="dxa"/>
          </w:tcPr>
          <w:p w14:paraId="135264B9" w14:textId="77777777" w:rsidR="00E44110" w:rsidRPr="00C9160B" w:rsidRDefault="00E44110" w:rsidP="00C75FB1">
            <w:pPr>
              <w:keepNext/>
              <w:keepLines/>
              <w:rPr>
                <w:rFonts w:cs="Arial"/>
                <w:szCs w:val="20"/>
              </w:rPr>
            </w:pPr>
            <w:r w:rsidRPr="00C9160B">
              <w:rPr>
                <w:rFonts w:cs="Arial"/>
                <w:szCs w:val="20"/>
              </w:rPr>
              <w:t>BDP na prebivalca</w:t>
            </w:r>
          </w:p>
        </w:tc>
      </w:tr>
      <w:tr w:rsidR="00E44110" w:rsidRPr="00C9160B" w14:paraId="53F888B0" w14:textId="77777777" w:rsidTr="00491B36">
        <w:tc>
          <w:tcPr>
            <w:tcW w:w="2486" w:type="dxa"/>
            <w:vMerge/>
          </w:tcPr>
          <w:p w14:paraId="14A20867" w14:textId="77777777" w:rsidR="00E44110" w:rsidRPr="00C9160B" w:rsidRDefault="00E44110" w:rsidP="00F42F8F">
            <w:pPr>
              <w:keepNext/>
              <w:keepLines/>
              <w:rPr>
                <w:rFonts w:cs="Arial"/>
                <w:szCs w:val="20"/>
              </w:rPr>
            </w:pPr>
          </w:p>
        </w:tc>
        <w:tc>
          <w:tcPr>
            <w:tcW w:w="1934" w:type="dxa"/>
          </w:tcPr>
          <w:p w14:paraId="272922DF" w14:textId="77777777" w:rsidR="00E44110" w:rsidRPr="00C9160B" w:rsidRDefault="00E44110" w:rsidP="00F42F8F">
            <w:pPr>
              <w:keepNext/>
              <w:keepLines/>
              <w:rPr>
                <w:rFonts w:cs="Arial"/>
                <w:szCs w:val="20"/>
              </w:rPr>
            </w:pPr>
            <w:r w:rsidRPr="00C9160B">
              <w:rPr>
                <w:rFonts w:cs="Arial"/>
                <w:szCs w:val="20"/>
              </w:rPr>
              <w:t xml:space="preserve">C.11 </w:t>
            </w:r>
          </w:p>
        </w:tc>
        <w:tc>
          <w:tcPr>
            <w:tcW w:w="4359" w:type="dxa"/>
          </w:tcPr>
          <w:p w14:paraId="702B9B7A" w14:textId="77777777" w:rsidR="00E44110" w:rsidRPr="00C9160B" w:rsidRDefault="00E44110" w:rsidP="00F42F8F">
            <w:pPr>
              <w:keepNext/>
              <w:keepLines/>
              <w:rPr>
                <w:rFonts w:cs="Arial"/>
                <w:szCs w:val="20"/>
              </w:rPr>
            </w:pPr>
            <w:r w:rsidRPr="00C9160B">
              <w:rPr>
                <w:rFonts w:cs="Arial"/>
                <w:szCs w:val="20"/>
              </w:rPr>
              <w:t>Bruto dodana vrednost</w:t>
            </w:r>
          </w:p>
        </w:tc>
      </w:tr>
      <w:tr w:rsidR="00E44110" w:rsidRPr="00C9160B" w14:paraId="59E4B5BD" w14:textId="77777777" w:rsidTr="00491B36">
        <w:tc>
          <w:tcPr>
            <w:tcW w:w="2486" w:type="dxa"/>
            <w:vMerge w:val="restart"/>
          </w:tcPr>
          <w:p w14:paraId="00A09B0A" w14:textId="77777777" w:rsidR="00E44110" w:rsidRPr="00C9160B" w:rsidRDefault="00E44110" w:rsidP="00C75FB1">
            <w:pPr>
              <w:keepNext/>
              <w:keepLines/>
              <w:rPr>
                <w:rFonts w:cs="Arial"/>
                <w:szCs w:val="20"/>
              </w:rPr>
            </w:pPr>
            <w:r w:rsidRPr="00C9160B">
              <w:rPr>
                <w:rFonts w:cs="Arial"/>
                <w:szCs w:val="20"/>
              </w:rPr>
              <w:t>Kmetijska gospodarstva in kmetje</w:t>
            </w:r>
          </w:p>
        </w:tc>
        <w:tc>
          <w:tcPr>
            <w:tcW w:w="1934" w:type="dxa"/>
          </w:tcPr>
          <w:p w14:paraId="2C686C9B" w14:textId="77777777" w:rsidR="00E44110" w:rsidRPr="00C9160B" w:rsidRDefault="00E44110" w:rsidP="00C75FB1">
            <w:pPr>
              <w:keepNext/>
              <w:keepLines/>
              <w:rPr>
                <w:rFonts w:cs="Arial"/>
                <w:szCs w:val="20"/>
              </w:rPr>
            </w:pPr>
            <w:r w:rsidRPr="00C9160B">
              <w:rPr>
                <w:rFonts w:cs="Arial"/>
                <w:szCs w:val="20"/>
              </w:rPr>
              <w:t xml:space="preserve">C.12 </w:t>
            </w:r>
          </w:p>
        </w:tc>
        <w:tc>
          <w:tcPr>
            <w:tcW w:w="4359" w:type="dxa"/>
          </w:tcPr>
          <w:p w14:paraId="3D1B42F6" w14:textId="77777777" w:rsidR="00E44110" w:rsidRPr="00C9160B" w:rsidRDefault="00E44110" w:rsidP="00C75FB1">
            <w:pPr>
              <w:keepNext/>
              <w:keepLines/>
              <w:rPr>
                <w:rFonts w:cs="Arial"/>
                <w:szCs w:val="20"/>
              </w:rPr>
            </w:pPr>
            <w:r w:rsidRPr="00C9160B">
              <w:rPr>
                <w:rFonts w:cs="Arial"/>
                <w:szCs w:val="20"/>
              </w:rPr>
              <w:t>Kmetijska gospodarstva (kmetije)</w:t>
            </w:r>
          </w:p>
        </w:tc>
      </w:tr>
      <w:tr w:rsidR="00E44110" w:rsidRPr="00C9160B" w14:paraId="0FD20BB2" w14:textId="77777777" w:rsidTr="00491B36">
        <w:tc>
          <w:tcPr>
            <w:tcW w:w="2486" w:type="dxa"/>
            <w:vMerge/>
          </w:tcPr>
          <w:p w14:paraId="361CF811" w14:textId="77777777" w:rsidR="00E44110" w:rsidRPr="00C9160B" w:rsidRDefault="00E44110" w:rsidP="00F42F8F">
            <w:pPr>
              <w:keepNext/>
              <w:keepLines/>
              <w:rPr>
                <w:rFonts w:cs="Arial"/>
                <w:szCs w:val="20"/>
              </w:rPr>
            </w:pPr>
          </w:p>
        </w:tc>
        <w:tc>
          <w:tcPr>
            <w:tcW w:w="1934" w:type="dxa"/>
          </w:tcPr>
          <w:p w14:paraId="106566F1" w14:textId="77777777" w:rsidR="00E44110" w:rsidRPr="00C9160B" w:rsidRDefault="00E44110" w:rsidP="00F42F8F">
            <w:pPr>
              <w:keepNext/>
              <w:keepLines/>
              <w:rPr>
                <w:rFonts w:cs="Arial"/>
                <w:szCs w:val="20"/>
              </w:rPr>
            </w:pPr>
            <w:r w:rsidRPr="00C9160B">
              <w:rPr>
                <w:rFonts w:cs="Arial"/>
                <w:szCs w:val="20"/>
              </w:rPr>
              <w:t xml:space="preserve">C.13 </w:t>
            </w:r>
          </w:p>
        </w:tc>
        <w:tc>
          <w:tcPr>
            <w:tcW w:w="4359" w:type="dxa"/>
          </w:tcPr>
          <w:p w14:paraId="1D2AD8F6" w14:textId="77777777" w:rsidR="00E44110" w:rsidRPr="00C9160B" w:rsidRDefault="00E44110" w:rsidP="00F42F8F">
            <w:pPr>
              <w:keepNext/>
              <w:keepLines/>
              <w:rPr>
                <w:rFonts w:cs="Arial"/>
                <w:szCs w:val="20"/>
              </w:rPr>
            </w:pPr>
            <w:r w:rsidRPr="00C9160B">
              <w:rPr>
                <w:rFonts w:cs="Arial"/>
                <w:szCs w:val="20"/>
              </w:rPr>
              <w:t>Delovna sila na kmetiji</w:t>
            </w:r>
          </w:p>
        </w:tc>
      </w:tr>
      <w:tr w:rsidR="00E44110" w:rsidRPr="00C9160B" w14:paraId="4F3C6711" w14:textId="77777777" w:rsidTr="00491B36">
        <w:tc>
          <w:tcPr>
            <w:tcW w:w="2486" w:type="dxa"/>
            <w:vMerge/>
          </w:tcPr>
          <w:p w14:paraId="0817533B" w14:textId="77777777" w:rsidR="00E44110" w:rsidRPr="00C9160B" w:rsidRDefault="00E44110" w:rsidP="00F42F8F">
            <w:pPr>
              <w:keepNext/>
              <w:keepLines/>
              <w:rPr>
                <w:rFonts w:cs="Arial"/>
                <w:szCs w:val="20"/>
              </w:rPr>
            </w:pPr>
          </w:p>
        </w:tc>
        <w:tc>
          <w:tcPr>
            <w:tcW w:w="1934" w:type="dxa"/>
          </w:tcPr>
          <w:p w14:paraId="01E0AE51" w14:textId="77777777" w:rsidR="00E44110" w:rsidRPr="00C9160B" w:rsidRDefault="00E44110" w:rsidP="00F42F8F">
            <w:pPr>
              <w:keepNext/>
              <w:keepLines/>
              <w:rPr>
                <w:rFonts w:cs="Arial"/>
                <w:szCs w:val="20"/>
              </w:rPr>
            </w:pPr>
            <w:r w:rsidRPr="00C9160B">
              <w:rPr>
                <w:rFonts w:cs="Arial"/>
                <w:szCs w:val="20"/>
              </w:rPr>
              <w:t xml:space="preserve">C.17 </w:t>
            </w:r>
          </w:p>
        </w:tc>
        <w:tc>
          <w:tcPr>
            <w:tcW w:w="4359" w:type="dxa"/>
          </w:tcPr>
          <w:p w14:paraId="238C0F87" w14:textId="77777777" w:rsidR="00E44110" w:rsidRPr="00C9160B" w:rsidRDefault="00E44110" w:rsidP="00F42F8F">
            <w:pPr>
              <w:keepNext/>
              <w:keepLines/>
              <w:rPr>
                <w:rFonts w:cs="Arial"/>
                <w:szCs w:val="20"/>
              </w:rPr>
            </w:pPr>
            <w:r w:rsidRPr="00C9160B">
              <w:rPr>
                <w:rFonts w:cs="Arial"/>
                <w:szCs w:val="20"/>
              </w:rPr>
              <w:t>Kmetijske površine</w:t>
            </w:r>
          </w:p>
        </w:tc>
      </w:tr>
      <w:tr w:rsidR="00E44110" w:rsidRPr="00C9160B" w14:paraId="65FEDED5" w14:textId="77777777" w:rsidTr="00491B36">
        <w:tc>
          <w:tcPr>
            <w:tcW w:w="2486" w:type="dxa"/>
            <w:vMerge w:val="restart"/>
          </w:tcPr>
          <w:p w14:paraId="5B4ACA6B" w14:textId="77777777" w:rsidR="00E44110" w:rsidRPr="00C9160B" w:rsidRDefault="00E44110" w:rsidP="00C75FB1">
            <w:pPr>
              <w:keepNext/>
              <w:keepLines/>
              <w:rPr>
                <w:rFonts w:cs="Arial"/>
                <w:szCs w:val="20"/>
              </w:rPr>
            </w:pPr>
            <w:r w:rsidRPr="00C9160B">
              <w:rPr>
                <w:rFonts w:cs="Arial"/>
                <w:szCs w:val="20"/>
              </w:rPr>
              <w:t>Kmetijska zemljišča</w:t>
            </w:r>
          </w:p>
        </w:tc>
        <w:tc>
          <w:tcPr>
            <w:tcW w:w="1934" w:type="dxa"/>
          </w:tcPr>
          <w:p w14:paraId="5F446381" w14:textId="77777777" w:rsidR="00E44110" w:rsidRPr="00C9160B" w:rsidRDefault="00E44110" w:rsidP="00C75FB1">
            <w:pPr>
              <w:keepNext/>
              <w:keepLines/>
              <w:rPr>
                <w:rFonts w:cs="Arial"/>
                <w:szCs w:val="20"/>
              </w:rPr>
            </w:pPr>
            <w:r w:rsidRPr="00C9160B">
              <w:rPr>
                <w:rFonts w:cs="Arial"/>
                <w:szCs w:val="20"/>
              </w:rPr>
              <w:t xml:space="preserve">C.17 </w:t>
            </w:r>
          </w:p>
        </w:tc>
        <w:tc>
          <w:tcPr>
            <w:tcW w:w="4359" w:type="dxa"/>
          </w:tcPr>
          <w:p w14:paraId="5DAA36A2" w14:textId="77777777" w:rsidR="00E44110" w:rsidRPr="00C9160B" w:rsidRDefault="00E44110" w:rsidP="00C75FB1">
            <w:pPr>
              <w:keepNext/>
              <w:keepLines/>
              <w:rPr>
                <w:rFonts w:cs="Arial"/>
                <w:szCs w:val="20"/>
              </w:rPr>
            </w:pPr>
            <w:r w:rsidRPr="00C9160B">
              <w:rPr>
                <w:rFonts w:cs="Arial"/>
                <w:szCs w:val="20"/>
              </w:rPr>
              <w:t>Kmetijske površine</w:t>
            </w:r>
          </w:p>
        </w:tc>
      </w:tr>
      <w:tr w:rsidR="00E44110" w:rsidRPr="00C9160B" w14:paraId="4635DD3E" w14:textId="77777777" w:rsidTr="00491B36">
        <w:tc>
          <w:tcPr>
            <w:tcW w:w="2486" w:type="dxa"/>
            <w:vMerge/>
          </w:tcPr>
          <w:p w14:paraId="7DB7867D" w14:textId="77777777" w:rsidR="00E44110" w:rsidRPr="00C9160B" w:rsidRDefault="00E44110" w:rsidP="00F42F8F">
            <w:pPr>
              <w:keepNext/>
              <w:keepLines/>
              <w:rPr>
                <w:rFonts w:cs="Arial"/>
                <w:szCs w:val="20"/>
              </w:rPr>
            </w:pPr>
          </w:p>
        </w:tc>
        <w:tc>
          <w:tcPr>
            <w:tcW w:w="1934" w:type="dxa"/>
          </w:tcPr>
          <w:p w14:paraId="04AF65F2" w14:textId="77777777" w:rsidR="00E44110" w:rsidRPr="00C9160B" w:rsidRDefault="00E44110" w:rsidP="00F42F8F">
            <w:pPr>
              <w:keepNext/>
              <w:keepLines/>
              <w:rPr>
                <w:rFonts w:cs="Arial"/>
                <w:szCs w:val="20"/>
              </w:rPr>
            </w:pPr>
            <w:r w:rsidRPr="00C9160B">
              <w:rPr>
                <w:rFonts w:cs="Arial"/>
                <w:szCs w:val="20"/>
              </w:rPr>
              <w:t xml:space="preserve">C.20 </w:t>
            </w:r>
          </w:p>
        </w:tc>
        <w:tc>
          <w:tcPr>
            <w:tcW w:w="4359" w:type="dxa"/>
          </w:tcPr>
          <w:p w14:paraId="57E6A431" w14:textId="77777777" w:rsidR="00E44110" w:rsidRPr="00C9160B" w:rsidRDefault="00E44110" w:rsidP="00F42F8F">
            <w:pPr>
              <w:keepNext/>
              <w:keepLines/>
              <w:rPr>
                <w:rFonts w:cs="Arial"/>
                <w:szCs w:val="20"/>
              </w:rPr>
            </w:pPr>
            <w:r w:rsidRPr="00C9160B">
              <w:rPr>
                <w:rFonts w:cs="Arial"/>
                <w:szCs w:val="20"/>
              </w:rPr>
              <w:t>Območja z naravnimi in drugimi specifičnimi omejitvami</w:t>
            </w:r>
          </w:p>
        </w:tc>
      </w:tr>
    </w:tbl>
    <w:p w14:paraId="0BD77E37" w14:textId="6D7D6136" w:rsidR="00457E23" w:rsidRDefault="00457E23" w:rsidP="00C760FC">
      <w:pPr>
        <w:jc w:val="both"/>
      </w:pPr>
    </w:p>
    <w:p w14:paraId="6511C311" w14:textId="4BBDA4DB" w:rsidR="001532FF" w:rsidRDefault="00302AA2" w:rsidP="00F57BE2">
      <w:pPr>
        <w:pStyle w:val="Naslov2"/>
        <w:ind w:left="578" w:hanging="578"/>
      </w:pPr>
      <w:bookmarkStart w:id="8" w:name="_Toc55912175"/>
      <w:r>
        <w:t>P</w:t>
      </w:r>
      <w:r w:rsidR="00491B36">
        <w:t>ovršina Slovenije</w:t>
      </w:r>
      <w:bookmarkEnd w:id="8"/>
    </w:p>
    <w:p w14:paraId="75756121" w14:textId="77777777" w:rsidR="006C63D5" w:rsidRPr="00DE12FE" w:rsidRDefault="006C63D5" w:rsidP="00DE12FE">
      <w:pPr>
        <w:pStyle w:val="Napis"/>
        <w:spacing w:after="120" w:line="360" w:lineRule="auto"/>
        <w:jc w:val="both"/>
        <w:rPr>
          <w:sz w:val="20"/>
          <w:szCs w:val="20"/>
        </w:rPr>
      </w:pPr>
      <w:r w:rsidRPr="00DE12FE">
        <w:rPr>
          <w:sz w:val="20"/>
          <w:szCs w:val="20"/>
        </w:rPr>
        <w:t xml:space="preserve">Slovenija je država z zemljepisno lego na skrajnem severu </w:t>
      </w:r>
      <w:hyperlink r:id="rId10" w:tooltip="Sredozemlje" w:history="1">
        <w:r w:rsidRPr="00DE12FE">
          <w:rPr>
            <w:sz w:val="20"/>
            <w:szCs w:val="20"/>
          </w:rPr>
          <w:t>Sredozemlja</w:t>
        </w:r>
      </w:hyperlink>
      <w:r w:rsidRPr="00DE12FE">
        <w:rPr>
          <w:sz w:val="20"/>
          <w:szCs w:val="20"/>
        </w:rPr>
        <w:t xml:space="preserve"> in na skrajnem jugu </w:t>
      </w:r>
      <w:hyperlink r:id="rId11" w:tooltip="Srednja Evropa" w:history="1">
        <w:r w:rsidRPr="00DE12FE">
          <w:rPr>
            <w:sz w:val="20"/>
            <w:szCs w:val="20"/>
          </w:rPr>
          <w:t>Srednje Evrope</w:t>
        </w:r>
      </w:hyperlink>
      <w:r w:rsidRPr="00DE12FE">
        <w:rPr>
          <w:sz w:val="20"/>
          <w:szCs w:val="20"/>
        </w:rPr>
        <w:t xml:space="preserve">. Leži na stičišču </w:t>
      </w:r>
      <w:hyperlink r:id="rId12" w:tooltip="Alpski svet" w:history="1">
        <w:r w:rsidRPr="00DE12FE">
          <w:rPr>
            <w:sz w:val="20"/>
            <w:szCs w:val="20"/>
          </w:rPr>
          <w:t>alpskega</w:t>
        </w:r>
      </w:hyperlink>
      <w:r w:rsidRPr="00DE12FE">
        <w:rPr>
          <w:sz w:val="20"/>
          <w:szCs w:val="20"/>
        </w:rPr>
        <w:t xml:space="preserve">, </w:t>
      </w:r>
      <w:hyperlink r:id="rId13" w:tooltip="Sredozemski svet" w:history="1">
        <w:r w:rsidRPr="00DE12FE">
          <w:rPr>
            <w:sz w:val="20"/>
            <w:szCs w:val="20"/>
          </w:rPr>
          <w:t>sredozemskega</w:t>
        </w:r>
      </w:hyperlink>
      <w:r w:rsidRPr="00DE12FE">
        <w:rPr>
          <w:sz w:val="20"/>
          <w:szCs w:val="20"/>
        </w:rPr>
        <w:t xml:space="preserve">, </w:t>
      </w:r>
      <w:hyperlink r:id="rId14" w:tooltip="Panonska nižina" w:history="1">
        <w:r w:rsidRPr="00DE12FE">
          <w:rPr>
            <w:sz w:val="20"/>
            <w:szCs w:val="20"/>
          </w:rPr>
          <w:t>panonskega</w:t>
        </w:r>
      </w:hyperlink>
      <w:r w:rsidRPr="00DE12FE">
        <w:rPr>
          <w:sz w:val="20"/>
          <w:szCs w:val="20"/>
        </w:rPr>
        <w:t xml:space="preserve"> in </w:t>
      </w:r>
      <w:hyperlink r:id="rId15" w:tooltip="Dinarski svet" w:history="1">
        <w:r w:rsidRPr="00DE12FE">
          <w:rPr>
            <w:sz w:val="20"/>
            <w:szCs w:val="20"/>
          </w:rPr>
          <w:t>dinarskega sveta</w:t>
        </w:r>
      </w:hyperlink>
      <w:r w:rsidRPr="00DE12FE">
        <w:rPr>
          <w:sz w:val="20"/>
          <w:szCs w:val="20"/>
        </w:rPr>
        <w:t>. Površina 20.271 km² uvršča Slovenijo med manjše evropske države. Dolžina državne meje znaša 1.382 km, od tega je 921 km kopenske, 413 km rečne in 48 km morske meje.</w:t>
      </w:r>
    </w:p>
    <w:p w14:paraId="331C15CA" w14:textId="46AD53F2" w:rsidR="006C63D5" w:rsidRPr="00DE12FE" w:rsidRDefault="006C63D5" w:rsidP="00DE12FE">
      <w:pPr>
        <w:pStyle w:val="Napis"/>
        <w:spacing w:after="120" w:line="360" w:lineRule="auto"/>
        <w:jc w:val="both"/>
        <w:rPr>
          <w:sz w:val="20"/>
          <w:szCs w:val="20"/>
        </w:rPr>
      </w:pPr>
      <w:r w:rsidRPr="00DE12FE">
        <w:rPr>
          <w:sz w:val="20"/>
          <w:szCs w:val="20"/>
        </w:rPr>
        <w:t xml:space="preserve">Slovenski prostor je prepoznaven po veliki reliefni razgibanosti. Skoraj 90 % površine leži na nadmorski višini nad 300 m, ravninska območja v obliki sklenjenih dolin in kotlin pa predstavljajo le slabih 20 % vsega ozemlja. Zaradi prevladujoče karbonatne kameninske podlage, ustrezne klime in količine padavin, je slovensko površje zaznamovano </w:t>
      </w:r>
      <w:r w:rsidR="00DD132C">
        <w:rPr>
          <w:sz w:val="20"/>
          <w:szCs w:val="20"/>
        </w:rPr>
        <w:t>s</w:t>
      </w:r>
      <w:r w:rsidRPr="00DE12FE">
        <w:rPr>
          <w:sz w:val="20"/>
          <w:szCs w:val="20"/>
        </w:rPr>
        <w:t xml:space="preserve"> kraškimi morfološkimi elementi. Posledice pestrih naravnih razmer neposredno vplivajo na veliko biotsko pestrost, razpršeno poselitev in veliko število majhnih naselij. </w:t>
      </w:r>
    </w:p>
    <w:p w14:paraId="577CC850" w14:textId="77777777" w:rsidR="006C63D5" w:rsidRPr="00DE12FE" w:rsidRDefault="006C63D5" w:rsidP="00DE12FE">
      <w:pPr>
        <w:pStyle w:val="Napis"/>
        <w:spacing w:after="120" w:line="360" w:lineRule="auto"/>
        <w:jc w:val="both"/>
        <w:rPr>
          <w:sz w:val="20"/>
          <w:szCs w:val="20"/>
        </w:rPr>
      </w:pPr>
      <w:r w:rsidRPr="00DE12FE">
        <w:rPr>
          <w:sz w:val="20"/>
          <w:szCs w:val="20"/>
        </w:rPr>
        <w:t>V letu 2018 so več kot polovico kopnega ozemlja Slovenije pokrivali gozdovi (56 %, skupaj z grmičastim gozdom 58 %), drugo - pretežno naravno rastje je zavzemalo dobre 3 %. 34 % površja je namenjenega pretežno kmetijstvu, slabi 4 % so umetne površine, manj kot 1 % pa vodna zemljišča. Slovenija ima stabilen delež kmetijskih površin (34,9 % v letu 2012), ki je nižji kot povprečje EU (45,6 % v letu 2012), in visok delež gozdnih površin (56,4 % v letu 2012), ki je višji kot povprečje EU (31,9 % v letu 2012).</w:t>
      </w:r>
    </w:p>
    <w:p w14:paraId="691D8E69" w14:textId="3F416AAC" w:rsidR="006C63D5" w:rsidRPr="00DE12FE" w:rsidRDefault="006C63D5" w:rsidP="00DE12FE">
      <w:pPr>
        <w:pStyle w:val="Napis"/>
        <w:spacing w:after="120" w:line="360" w:lineRule="auto"/>
        <w:jc w:val="both"/>
        <w:rPr>
          <w:sz w:val="20"/>
          <w:szCs w:val="20"/>
        </w:rPr>
      </w:pPr>
      <w:r w:rsidRPr="00DE12FE">
        <w:rPr>
          <w:sz w:val="20"/>
          <w:szCs w:val="20"/>
        </w:rPr>
        <w:t xml:space="preserve">V obdobjih med 1996 in 2000, 2000 in 2006 ter 2006 in 2012 so bile spremembe </w:t>
      </w:r>
      <w:proofErr w:type="spellStart"/>
      <w:r w:rsidRPr="00DE12FE">
        <w:rPr>
          <w:sz w:val="20"/>
          <w:szCs w:val="20"/>
        </w:rPr>
        <w:t>pokrovnosti</w:t>
      </w:r>
      <w:proofErr w:type="spellEnd"/>
      <w:r w:rsidRPr="00DE12FE">
        <w:rPr>
          <w:sz w:val="20"/>
          <w:szCs w:val="20"/>
        </w:rPr>
        <w:t xml:space="preserve"> in rabe tal razmeroma majhne (zgodile so se na 0,12 %, 0,13 % oz. 0,09 % površja). V zadnjem obdobju</w:t>
      </w:r>
      <w:r w:rsidR="00DD132C">
        <w:rPr>
          <w:sz w:val="20"/>
          <w:szCs w:val="20"/>
        </w:rPr>
        <w:t xml:space="preserve">, </w:t>
      </w:r>
      <w:proofErr w:type="spellStart"/>
      <w:r w:rsidR="00DD132C">
        <w:rPr>
          <w:sz w:val="20"/>
          <w:szCs w:val="20"/>
        </w:rPr>
        <w:t>t.j</w:t>
      </w:r>
      <w:proofErr w:type="spellEnd"/>
      <w:r w:rsidR="00DD132C">
        <w:rPr>
          <w:sz w:val="20"/>
          <w:szCs w:val="20"/>
        </w:rPr>
        <w:t xml:space="preserve">. </w:t>
      </w:r>
      <w:r w:rsidRPr="00DE12FE">
        <w:rPr>
          <w:sz w:val="20"/>
          <w:szCs w:val="20"/>
        </w:rPr>
        <w:t xml:space="preserve"> med </w:t>
      </w:r>
      <w:r w:rsidR="00C75FB1">
        <w:rPr>
          <w:sz w:val="20"/>
          <w:szCs w:val="20"/>
        </w:rPr>
        <w:lastRenderedPageBreak/>
        <w:t xml:space="preserve">leti </w:t>
      </w:r>
      <w:r w:rsidRPr="00DE12FE">
        <w:rPr>
          <w:sz w:val="20"/>
          <w:szCs w:val="20"/>
        </w:rPr>
        <w:t>2012 in 2018</w:t>
      </w:r>
      <w:r w:rsidR="00DD132C">
        <w:rPr>
          <w:sz w:val="20"/>
          <w:szCs w:val="20"/>
        </w:rPr>
        <w:t>,</w:t>
      </w:r>
      <w:r w:rsidRPr="00DE12FE">
        <w:rPr>
          <w:sz w:val="20"/>
          <w:szCs w:val="20"/>
        </w:rPr>
        <w:t xml:space="preserve"> je bilo sprememb nekoliko več (zgodile so se na 0,44 % površja), </w:t>
      </w:r>
      <w:r w:rsidR="00DD132C">
        <w:rPr>
          <w:sz w:val="20"/>
          <w:szCs w:val="20"/>
        </w:rPr>
        <w:t>povezane so</w:t>
      </w:r>
      <w:r w:rsidRPr="00DE12FE">
        <w:rPr>
          <w:sz w:val="20"/>
          <w:szCs w:val="20"/>
        </w:rPr>
        <w:t xml:space="preserve"> večinoma </w:t>
      </w:r>
      <w:r w:rsidR="00DD132C">
        <w:rPr>
          <w:sz w:val="20"/>
          <w:szCs w:val="20"/>
        </w:rPr>
        <w:t>z</w:t>
      </w:r>
      <w:r w:rsidRPr="00DE12FE">
        <w:rPr>
          <w:sz w:val="20"/>
          <w:szCs w:val="20"/>
        </w:rPr>
        <w:t xml:space="preserve"> gospodarjenje</w:t>
      </w:r>
      <w:r w:rsidR="00DD132C">
        <w:rPr>
          <w:sz w:val="20"/>
          <w:szCs w:val="20"/>
        </w:rPr>
        <w:t>m</w:t>
      </w:r>
      <w:r w:rsidRPr="00DE12FE">
        <w:rPr>
          <w:sz w:val="20"/>
          <w:szCs w:val="20"/>
        </w:rPr>
        <w:t xml:space="preserve"> z gozdovi, ki je posledica žledoloma v letu 2014.</w:t>
      </w:r>
      <w:r w:rsidRPr="00DE12FE" w:rsidDel="00555A86">
        <w:rPr>
          <w:sz w:val="20"/>
          <w:szCs w:val="20"/>
        </w:rPr>
        <w:t xml:space="preserve"> </w:t>
      </w:r>
    </w:p>
    <w:p w14:paraId="552CFD4E" w14:textId="2118009C" w:rsidR="00D04447" w:rsidRPr="00D04447" w:rsidRDefault="00D04447" w:rsidP="00D04447">
      <w:pPr>
        <w:pStyle w:val="SCslika"/>
      </w:pPr>
      <w:bookmarkStart w:id="9" w:name="_Ref29886779"/>
      <w:bookmarkStart w:id="10" w:name="_Toc55913752"/>
      <w:r w:rsidRPr="003D6FF8">
        <w:t xml:space="preserve">Slika </w:t>
      </w:r>
      <w:r w:rsidR="007A077E">
        <w:fldChar w:fldCharType="begin"/>
      </w:r>
      <w:r w:rsidR="007A077E">
        <w:instrText xml:space="preserve"> SEQ Slika \* ARABIC </w:instrText>
      </w:r>
      <w:r w:rsidR="007A077E">
        <w:fldChar w:fldCharType="separate"/>
      </w:r>
      <w:r w:rsidR="0040635C">
        <w:t>1</w:t>
      </w:r>
      <w:r w:rsidR="007A077E">
        <w:fldChar w:fldCharType="end"/>
      </w:r>
      <w:bookmarkEnd w:id="9"/>
      <w:r w:rsidRPr="003D6FF8">
        <w:t>: Sestava pokrovnosti in rabe tal v Sloveniji</w:t>
      </w:r>
      <w:bookmarkEnd w:id="10"/>
    </w:p>
    <w:p w14:paraId="2DED3AD2" w14:textId="77777777" w:rsidR="006C63D5" w:rsidRPr="00523DB8" w:rsidRDefault="006C63D5" w:rsidP="00C75FB1">
      <w:pPr>
        <w:keepNext/>
        <w:keepLines/>
        <w:spacing w:before="80" w:after="80"/>
        <w:jc w:val="center"/>
        <w:rPr>
          <w:rFonts w:cs="Arial"/>
          <w:noProof/>
          <w:lang w:eastAsia="sl-SI"/>
        </w:rPr>
      </w:pPr>
      <w:r w:rsidRPr="00523DB8">
        <w:rPr>
          <w:rFonts w:cs="Arial"/>
          <w:noProof/>
          <w:lang w:eastAsia="sl-SI"/>
        </w:rPr>
        <w:drawing>
          <wp:inline distT="0" distB="0" distL="0" distR="0" wp14:anchorId="0BA115FB" wp14:editId="3DD4E705">
            <wp:extent cx="6309995" cy="3584575"/>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9995" cy="3584575"/>
                    </a:xfrm>
                    <a:prstGeom prst="rect">
                      <a:avLst/>
                    </a:prstGeom>
                    <a:noFill/>
                  </pic:spPr>
                </pic:pic>
              </a:graphicData>
            </a:graphic>
          </wp:inline>
        </w:drawing>
      </w:r>
    </w:p>
    <w:p w14:paraId="498E39FD" w14:textId="53B74962" w:rsidR="006C63D5" w:rsidRPr="00706A0F" w:rsidRDefault="00D04447" w:rsidP="00F42F8F">
      <w:pPr>
        <w:spacing w:before="120"/>
        <w:jc w:val="both"/>
        <w:rPr>
          <w:rFonts w:cs="Arial"/>
          <w:sz w:val="16"/>
          <w:szCs w:val="16"/>
        </w:rPr>
      </w:pPr>
      <w:r>
        <w:rPr>
          <w:rFonts w:cs="Arial"/>
          <w:sz w:val="16"/>
          <w:szCs w:val="16"/>
        </w:rPr>
        <w:t xml:space="preserve">Vir: </w:t>
      </w:r>
      <w:r w:rsidRPr="00D04447">
        <w:rPr>
          <w:rFonts w:cs="Arial"/>
          <w:sz w:val="16"/>
          <w:szCs w:val="16"/>
        </w:rPr>
        <w:t xml:space="preserve">CORINE </w:t>
      </w:r>
      <w:proofErr w:type="spellStart"/>
      <w:r w:rsidRPr="00D04447">
        <w:rPr>
          <w:rFonts w:cs="Arial"/>
          <w:sz w:val="16"/>
          <w:szCs w:val="16"/>
        </w:rPr>
        <w:t>Land</w:t>
      </w:r>
      <w:proofErr w:type="spellEnd"/>
      <w:r w:rsidRPr="00D04447">
        <w:rPr>
          <w:rFonts w:cs="Arial"/>
          <w:sz w:val="16"/>
          <w:szCs w:val="16"/>
        </w:rPr>
        <w:t xml:space="preserve"> </w:t>
      </w:r>
      <w:proofErr w:type="spellStart"/>
      <w:r w:rsidRPr="00D04447">
        <w:rPr>
          <w:rFonts w:cs="Arial"/>
          <w:sz w:val="16"/>
          <w:szCs w:val="16"/>
        </w:rPr>
        <w:t>Cover</w:t>
      </w:r>
      <w:proofErr w:type="spellEnd"/>
      <w:r w:rsidRPr="00D04447">
        <w:rPr>
          <w:rFonts w:cs="Arial"/>
          <w:sz w:val="16"/>
          <w:szCs w:val="16"/>
        </w:rPr>
        <w:t xml:space="preserve"> 2018. Ministrstvo za okolje in prostor, Agencija Republike Slovenije za okolje, Geodetska uprava Republike Slovenije, Evropska agencija za okolje (2018)</w:t>
      </w:r>
    </w:p>
    <w:p w14:paraId="70538AEB" w14:textId="050D0011" w:rsidR="006C63D5" w:rsidRPr="003D6FF8" w:rsidRDefault="00C9160B" w:rsidP="00706A0F">
      <w:pPr>
        <w:pStyle w:val="SCPreglednica"/>
      </w:pPr>
      <w:bookmarkStart w:id="11" w:name="_Toc55913714"/>
      <w:r>
        <w:t>Tabela</w:t>
      </w:r>
      <w:r w:rsidR="006C63D5" w:rsidRPr="003D6FF8">
        <w:t xml:space="preserve"> </w:t>
      </w:r>
      <w:r w:rsidR="009C1B15">
        <w:rPr>
          <w:noProof/>
        </w:rPr>
        <w:fldChar w:fldCharType="begin"/>
      </w:r>
      <w:r w:rsidR="009C1B15">
        <w:rPr>
          <w:noProof/>
        </w:rPr>
        <w:instrText xml:space="preserve"> SEQ Tabela \* ARABIC </w:instrText>
      </w:r>
      <w:r w:rsidR="009C1B15">
        <w:rPr>
          <w:noProof/>
        </w:rPr>
        <w:fldChar w:fldCharType="separate"/>
      </w:r>
      <w:r w:rsidR="00DF0D48">
        <w:rPr>
          <w:noProof/>
        </w:rPr>
        <w:t>3</w:t>
      </w:r>
      <w:r w:rsidR="009C1B15">
        <w:rPr>
          <w:noProof/>
        </w:rPr>
        <w:fldChar w:fldCharType="end"/>
      </w:r>
      <w:r w:rsidR="006C63D5" w:rsidRPr="003D6FF8">
        <w:t xml:space="preserve">: </w:t>
      </w:r>
      <w:proofErr w:type="spellStart"/>
      <w:r w:rsidR="006C63D5" w:rsidRPr="003D6FF8">
        <w:t>Pokrovnost</w:t>
      </w:r>
      <w:proofErr w:type="spellEnd"/>
      <w:r w:rsidR="006C63D5" w:rsidRPr="003D6FF8">
        <w:t xml:space="preserve"> tal v Sloveniji</w:t>
      </w:r>
      <w:bookmarkEnd w:id="11"/>
    </w:p>
    <w:tbl>
      <w:tblPr>
        <w:tblW w:w="5000" w:type="pct"/>
        <w:tblCellMar>
          <w:left w:w="70" w:type="dxa"/>
          <w:right w:w="70" w:type="dxa"/>
        </w:tblCellMar>
        <w:tblLook w:val="04A0" w:firstRow="1" w:lastRow="0" w:firstColumn="1" w:lastColumn="0" w:noHBand="0" w:noVBand="1"/>
      </w:tblPr>
      <w:tblGrid>
        <w:gridCol w:w="726"/>
        <w:gridCol w:w="5260"/>
        <w:gridCol w:w="727"/>
        <w:gridCol w:w="803"/>
        <w:gridCol w:w="743"/>
        <w:gridCol w:w="803"/>
      </w:tblGrid>
      <w:tr w:rsidR="006C63D5" w:rsidRPr="00C9160B" w14:paraId="1586D30B" w14:textId="77777777" w:rsidTr="00706A0F">
        <w:trPr>
          <w:trHeight w:val="315"/>
        </w:trPr>
        <w:tc>
          <w:tcPr>
            <w:tcW w:w="401"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0054006" w14:textId="77777777" w:rsidR="006C63D5" w:rsidRPr="00C9160B" w:rsidRDefault="006C63D5" w:rsidP="004167E8">
            <w:pPr>
              <w:rPr>
                <w:rFonts w:cs="Arial"/>
                <w:b/>
                <w:bCs/>
                <w:color w:val="000000"/>
                <w:szCs w:val="20"/>
                <w:lang w:eastAsia="sl-SI"/>
              </w:rPr>
            </w:pPr>
            <w:r w:rsidRPr="00C9160B">
              <w:rPr>
                <w:rFonts w:cs="Arial"/>
                <w:b/>
                <w:bCs/>
                <w:color w:val="000000"/>
                <w:szCs w:val="20"/>
                <w:lang w:eastAsia="sl-SI"/>
              </w:rPr>
              <w:t>C.05</w:t>
            </w:r>
          </w:p>
        </w:tc>
        <w:tc>
          <w:tcPr>
            <w:tcW w:w="2901" w:type="pct"/>
            <w:tcBorders>
              <w:top w:val="single" w:sz="4" w:space="0" w:color="auto"/>
              <w:left w:val="nil"/>
              <w:bottom w:val="single" w:sz="4" w:space="0" w:color="auto"/>
              <w:right w:val="single" w:sz="4" w:space="0" w:color="auto"/>
            </w:tcBorders>
            <w:shd w:val="clear" w:color="000000" w:fill="92D050"/>
            <w:noWrap/>
            <w:vAlign w:val="bottom"/>
            <w:hideMark/>
          </w:tcPr>
          <w:p w14:paraId="7475FA52" w14:textId="77777777" w:rsidR="006C63D5" w:rsidRPr="00C9160B" w:rsidRDefault="006C63D5" w:rsidP="004167E8">
            <w:pPr>
              <w:rPr>
                <w:rFonts w:cs="Arial"/>
                <w:b/>
                <w:bCs/>
                <w:color w:val="000000"/>
                <w:szCs w:val="20"/>
                <w:lang w:eastAsia="sl-SI"/>
              </w:rPr>
            </w:pPr>
            <w:proofErr w:type="spellStart"/>
            <w:r w:rsidRPr="00C9160B">
              <w:rPr>
                <w:rFonts w:cs="Arial"/>
                <w:b/>
                <w:bCs/>
                <w:color w:val="000000"/>
                <w:szCs w:val="20"/>
                <w:lang w:eastAsia="sl-SI"/>
              </w:rPr>
              <w:t>Pokrovnost</w:t>
            </w:r>
            <w:proofErr w:type="spellEnd"/>
            <w:r w:rsidRPr="00C9160B">
              <w:rPr>
                <w:rFonts w:cs="Arial"/>
                <w:b/>
                <w:bCs/>
                <w:color w:val="000000"/>
                <w:szCs w:val="20"/>
                <w:lang w:eastAsia="sl-SI"/>
              </w:rPr>
              <w:t xml:space="preserve"> tal </w:t>
            </w:r>
          </w:p>
        </w:tc>
        <w:tc>
          <w:tcPr>
            <w:tcW w:w="401" w:type="pct"/>
            <w:tcBorders>
              <w:top w:val="single" w:sz="4" w:space="0" w:color="auto"/>
              <w:left w:val="nil"/>
              <w:bottom w:val="single" w:sz="4" w:space="0" w:color="auto"/>
              <w:right w:val="single" w:sz="4" w:space="0" w:color="auto"/>
            </w:tcBorders>
            <w:shd w:val="clear" w:color="000000" w:fill="92D050"/>
            <w:noWrap/>
            <w:vAlign w:val="bottom"/>
            <w:hideMark/>
          </w:tcPr>
          <w:p w14:paraId="6D111B51" w14:textId="77777777" w:rsidR="006C63D5" w:rsidRPr="00C9160B" w:rsidRDefault="006C63D5" w:rsidP="004167E8">
            <w:pPr>
              <w:jc w:val="right"/>
              <w:rPr>
                <w:rFonts w:cs="Arial"/>
                <w:b/>
                <w:bCs/>
                <w:color w:val="000000"/>
                <w:szCs w:val="20"/>
                <w:lang w:eastAsia="sl-SI"/>
              </w:rPr>
            </w:pPr>
            <w:r w:rsidRPr="00C9160B">
              <w:rPr>
                <w:rFonts w:cs="Arial"/>
                <w:b/>
                <w:bCs/>
                <w:color w:val="000000"/>
                <w:szCs w:val="20"/>
                <w:lang w:eastAsia="sl-SI"/>
              </w:rPr>
              <w:t>2000</w:t>
            </w:r>
          </w:p>
        </w:tc>
        <w:tc>
          <w:tcPr>
            <w:tcW w:w="443" w:type="pct"/>
            <w:tcBorders>
              <w:top w:val="single" w:sz="4" w:space="0" w:color="auto"/>
              <w:left w:val="nil"/>
              <w:bottom w:val="single" w:sz="4" w:space="0" w:color="auto"/>
              <w:right w:val="single" w:sz="4" w:space="0" w:color="auto"/>
            </w:tcBorders>
            <w:shd w:val="clear" w:color="000000" w:fill="92D050"/>
            <w:noWrap/>
            <w:vAlign w:val="bottom"/>
            <w:hideMark/>
          </w:tcPr>
          <w:p w14:paraId="4451D242" w14:textId="77777777" w:rsidR="006C63D5" w:rsidRPr="00C9160B" w:rsidRDefault="006C63D5" w:rsidP="004167E8">
            <w:pPr>
              <w:jc w:val="right"/>
              <w:rPr>
                <w:rFonts w:cs="Arial"/>
                <w:b/>
                <w:bCs/>
                <w:color w:val="000000"/>
                <w:szCs w:val="20"/>
                <w:lang w:eastAsia="sl-SI"/>
              </w:rPr>
            </w:pPr>
            <w:r w:rsidRPr="00C9160B">
              <w:rPr>
                <w:rFonts w:cs="Arial"/>
                <w:b/>
                <w:bCs/>
                <w:color w:val="000000"/>
                <w:szCs w:val="20"/>
                <w:lang w:eastAsia="sl-SI"/>
              </w:rPr>
              <w:t>2006</w:t>
            </w:r>
          </w:p>
        </w:tc>
        <w:tc>
          <w:tcPr>
            <w:tcW w:w="410" w:type="pct"/>
            <w:tcBorders>
              <w:top w:val="single" w:sz="4" w:space="0" w:color="auto"/>
              <w:left w:val="nil"/>
              <w:bottom w:val="single" w:sz="4" w:space="0" w:color="auto"/>
              <w:right w:val="single" w:sz="4" w:space="0" w:color="auto"/>
            </w:tcBorders>
            <w:shd w:val="clear" w:color="000000" w:fill="92D050"/>
            <w:noWrap/>
            <w:vAlign w:val="bottom"/>
            <w:hideMark/>
          </w:tcPr>
          <w:p w14:paraId="11FC141B" w14:textId="77777777" w:rsidR="006C63D5" w:rsidRPr="00C9160B" w:rsidRDefault="006C63D5" w:rsidP="004167E8">
            <w:pPr>
              <w:jc w:val="right"/>
              <w:rPr>
                <w:rFonts w:cs="Arial"/>
                <w:b/>
                <w:bCs/>
                <w:color w:val="000000"/>
                <w:szCs w:val="20"/>
                <w:lang w:eastAsia="sl-SI"/>
              </w:rPr>
            </w:pPr>
            <w:r w:rsidRPr="00C9160B">
              <w:rPr>
                <w:rFonts w:cs="Arial"/>
                <w:b/>
                <w:bCs/>
                <w:color w:val="000000"/>
                <w:szCs w:val="20"/>
                <w:lang w:eastAsia="sl-SI"/>
              </w:rPr>
              <w:t>2012</w:t>
            </w:r>
          </w:p>
        </w:tc>
        <w:tc>
          <w:tcPr>
            <w:tcW w:w="443" w:type="pct"/>
            <w:tcBorders>
              <w:top w:val="single" w:sz="4" w:space="0" w:color="auto"/>
              <w:left w:val="nil"/>
              <w:bottom w:val="single" w:sz="4" w:space="0" w:color="auto"/>
              <w:right w:val="single" w:sz="4" w:space="0" w:color="auto"/>
            </w:tcBorders>
            <w:shd w:val="clear" w:color="000000" w:fill="92D050"/>
            <w:noWrap/>
            <w:vAlign w:val="bottom"/>
            <w:hideMark/>
          </w:tcPr>
          <w:p w14:paraId="0E9C1964" w14:textId="77777777" w:rsidR="006C63D5" w:rsidRPr="00C9160B" w:rsidRDefault="006C63D5" w:rsidP="004167E8">
            <w:pPr>
              <w:jc w:val="right"/>
              <w:rPr>
                <w:rFonts w:cs="Arial"/>
                <w:b/>
                <w:bCs/>
                <w:color w:val="000000"/>
                <w:szCs w:val="20"/>
                <w:lang w:eastAsia="sl-SI"/>
              </w:rPr>
            </w:pPr>
            <w:r w:rsidRPr="00C9160B">
              <w:rPr>
                <w:rFonts w:cs="Arial"/>
                <w:b/>
                <w:bCs/>
                <w:color w:val="000000"/>
                <w:szCs w:val="20"/>
                <w:lang w:eastAsia="sl-SI"/>
              </w:rPr>
              <w:t>2018</w:t>
            </w:r>
          </w:p>
        </w:tc>
      </w:tr>
      <w:tr w:rsidR="006C63D5" w:rsidRPr="00C9160B" w14:paraId="59496357" w14:textId="77777777" w:rsidTr="004167E8">
        <w:trPr>
          <w:trHeight w:val="315"/>
        </w:trPr>
        <w:tc>
          <w:tcPr>
            <w:tcW w:w="40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05B0BEF" w14:textId="77777777" w:rsidR="006C63D5" w:rsidRPr="00C9160B" w:rsidRDefault="006C63D5" w:rsidP="004167E8">
            <w:pPr>
              <w:rPr>
                <w:rFonts w:cs="Arial"/>
                <w:color w:val="000000"/>
                <w:szCs w:val="20"/>
                <w:lang w:eastAsia="sl-SI"/>
              </w:rPr>
            </w:pPr>
            <w:r w:rsidRPr="00C9160B">
              <w:rPr>
                <w:rFonts w:cs="Arial"/>
                <w:color w:val="000000"/>
                <w:szCs w:val="20"/>
                <w:lang w:eastAsia="sl-SI"/>
              </w:rPr>
              <w:t> </w:t>
            </w:r>
          </w:p>
        </w:tc>
        <w:tc>
          <w:tcPr>
            <w:tcW w:w="2901" w:type="pct"/>
            <w:tcBorders>
              <w:top w:val="nil"/>
              <w:left w:val="nil"/>
              <w:bottom w:val="single" w:sz="4" w:space="0" w:color="auto"/>
              <w:right w:val="single" w:sz="4" w:space="0" w:color="auto"/>
            </w:tcBorders>
            <w:shd w:val="clear" w:color="auto" w:fill="auto"/>
            <w:vAlign w:val="bottom"/>
            <w:hideMark/>
          </w:tcPr>
          <w:p w14:paraId="6FE5BFD7" w14:textId="77777777" w:rsidR="006C63D5" w:rsidRPr="00C9160B" w:rsidRDefault="006C63D5" w:rsidP="004167E8">
            <w:pPr>
              <w:rPr>
                <w:rFonts w:cs="Arial"/>
                <w:color w:val="000000"/>
                <w:szCs w:val="20"/>
                <w:lang w:eastAsia="sl-SI"/>
              </w:rPr>
            </w:pPr>
            <w:r w:rsidRPr="00C9160B">
              <w:rPr>
                <w:rFonts w:cs="Arial"/>
                <w:color w:val="000000"/>
                <w:szCs w:val="20"/>
                <w:lang w:eastAsia="sl-SI"/>
              </w:rPr>
              <w:t>delež naravnih travišč (%)</w:t>
            </w:r>
          </w:p>
        </w:tc>
        <w:tc>
          <w:tcPr>
            <w:tcW w:w="401" w:type="pct"/>
            <w:tcBorders>
              <w:top w:val="nil"/>
              <w:left w:val="nil"/>
              <w:bottom w:val="single" w:sz="4" w:space="0" w:color="auto"/>
              <w:right w:val="single" w:sz="4" w:space="0" w:color="auto"/>
            </w:tcBorders>
            <w:shd w:val="clear" w:color="000000" w:fill="FFFFFF"/>
            <w:noWrap/>
            <w:vAlign w:val="bottom"/>
            <w:hideMark/>
          </w:tcPr>
          <w:p w14:paraId="5BFD8A39" w14:textId="77777777" w:rsidR="006C63D5" w:rsidRPr="00C9160B" w:rsidRDefault="006C63D5" w:rsidP="004167E8">
            <w:pPr>
              <w:jc w:val="right"/>
              <w:rPr>
                <w:rFonts w:cs="Arial"/>
                <w:color w:val="000000"/>
                <w:szCs w:val="20"/>
                <w:lang w:eastAsia="sl-SI"/>
              </w:rPr>
            </w:pPr>
            <w:r w:rsidRPr="00C9160B">
              <w:rPr>
                <w:rFonts w:cs="Arial"/>
                <w:color w:val="000000"/>
                <w:szCs w:val="20"/>
                <w:lang w:eastAsia="sl-SI"/>
              </w:rPr>
              <w:t>0,97</w:t>
            </w:r>
          </w:p>
        </w:tc>
        <w:tc>
          <w:tcPr>
            <w:tcW w:w="443" w:type="pct"/>
            <w:tcBorders>
              <w:top w:val="nil"/>
              <w:left w:val="nil"/>
              <w:bottom w:val="single" w:sz="4" w:space="0" w:color="auto"/>
              <w:right w:val="single" w:sz="4" w:space="0" w:color="auto"/>
            </w:tcBorders>
            <w:shd w:val="clear" w:color="000000" w:fill="FFFFFF"/>
            <w:noWrap/>
            <w:vAlign w:val="bottom"/>
            <w:hideMark/>
          </w:tcPr>
          <w:p w14:paraId="28AC94EF" w14:textId="77777777" w:rsidR="006C63D5" w:rsidRPr="00C9160B" w:rsidRDefault="006C63D5" w:rsidP="004167E8">
            <w:pPr>
              <w:jc w:val="right"/>
              <w:rPr>
                <w:rFonts w:cs="Arial"/>
                <w:color w:val="000000"/>
                <w:szCs w:val="20"/>
                <w:lang w:eastAsia="sl-SI"/>
              </w:rPr>
            </w:pPr>
            <w:r w:rsidRPr="00C9160B">
              <w:rPr>
                <w:rFonts w:cs="Arial"/>
                <w:color w:val="000000"/>
                <w:szCs w:val="20"/>
                <w:lang w:eastAsia="sl-SI"/>
              </w:rPr>
              <w:t>0,97</w:t>
            </w:r>
          </w:p>
        </w:tc>
        <w:tc>
          <w:tcPr>
            <w:tcW w:w="410" w:type="pct"/>
            <w:tcBorders>
              <w:top w:val="nil"/>
              <w:left w:val="nil"/>
              <w:bottom w:val="single" w:sz="4" w:space="0" w:color="auto"/>
              <w:right w:val="single" w:sz="4" w:space="0" w:color="auto"/>
            </w:tcBorders>
            <w:shd w:val="clear" w:color="000000" w:fill="FFFFFF"/>
            <w:noWrap/>
            <w:vAlign w:val="bottom"/>
            <w:hideMark/>
          </w:tcPr>
          <w:p w14:paraId="7FDA61B2" w14:textId="77777777" w:rsidR="006C63D5" w:rsidRPr="00C9160B" w:rsidRDefault="006C63D5" w:rsidP="004167E8">
            <w:pPr>
              <w:jc w:val="right"/>
              <w:rPr>
                <w:rFonts w:cs="Arial"/>
                <w:color w:val="000000"/>
                <w:szCs w:val="20"/>
                <w:lang w:eastAsia="sl-SI"/>
              </w:rPr>
            </w:pPr>
            <w:r w:rsidRPr="00C9160B">
              <w:rPr>
                <w:rFonts w:cs="Arial"/>
                <w:color w:val="000000"/>
                <w:szCs w:val="20"/>
                <w:lang w:eastAsia="sl-SI"/>
              </w:rPr>
              <w:t>0,97</w:t>
            </w:r>
          </w:p>
        </w:tc>
        <w:tc>
          <w:tcPr>
            <w:tcW w:w="443" w:type="pct"/>
            <w:tcBorders>
              <w:top w:val="nil"/>
              <w:left w:val="nil"/>
              <w:bottom w:val="single" w:sz="4" w:space="0" w:color="auto"/>
              <w:right w:val="single" w:sz="4" w:space="0" w:color="auto"/>
            </w:tcBorders>
            <w:shd w:val="clear" w:color="auto" w:fill="auto"/>
            <w:noWrap/>
            <w:vAlign w:val="bottom"/>
            <w:hideMark/>
          </w:tcPr>
          <w:p w14:paraId="77E2F7CD" w14:textId="77777777" w:rsidR="006C63D5" w:rsidRPr="00C9160B" w:rsidRDefault="006C63D5" w:rsidP="004167E8">
            <w:pPr>
              <w:jc w:val="right"/>
              <w:rPr>
                <w:rFonts w:cs="Arial"/>
                <w:color w:val="000000"/>
                <w:szCs w:val="20"/>
                <w:lang w:eastAsia="sl-SI"/>
              </w:rPr>
            </w:pPr>
            <w:r w:rsidRPr="00C9160B">
              <w:rPr>
                <w:rFonts w:cs="Arial"/>
                <w:color w:val="000000"/>
                <w:szCs w:val="20"/>
                <w:lang w:eastAsia="sl-SI"/>
              </w:rPr>
              <w:t>0,97</w:t>
            </w:r>
          </w:p>
        </w:tc>
      </w:tr>
      <w:tr w:rsidR="006C63D5" w:rsidRPr="00C9160B" w14:paraId="76369C75" w14:textId="77777777" w:rsidTr="004167E8">
        <w:trPr>
          <w:trHeight w:val="315"/>
        </w:trPr>
        <w:tc>
          <w:tcPr>
            <w:tcW w:w="401" w:type="pct"/>
            <w:vMerge/>
            <w:tcBorders>
              <w:top w:val="nil"/>
              <w:left w:val="single" w:sz="4" w:space="0" w:color="auto"/>
              <w:bottom w:val="single" w:sz="4" w:space="0" w:color="auto"/>
              <w:right w:val="single" w:sz="4" w:space="0" w:color="auto"/>
            </w:tcBorders>
            <w:vAlign w:val="center"/>
            <w:hideMark/>
          </w:tcPr>
          <w:p w14:paraId="6F74E1C9" w14:textId="77777777" w:rsidR="006C63D5" w:rsidRPr="00C9160B" w:rsidRDefault="006C63D5" w:rsidP="004167E8">
            <w:pPr>
              <w:rPr>
                <w:rFonts w:cs="Arial"/>
                <w:color w:val="000000"/>
                <w:szCs w:val="20"/>
                <w:lang w:eastAsia="sl-SI"/>
              </w:rPr>
            </w:pPr>
          </w:p>
        </w:tc>
        <w:tc>
          <w:tcPr>
            <w:tcW w:w="2901" w:type="pct"/>
            <w:tcBorders>
              <w:top w:val="nil"/>
              <w:left w:val="nil"/>
              <w:bottom w:val="single" w:sz="4" w:space="0" w:color="auto"/>
              <w:right w:val="single" w:sz="4" w:space="0" w:color="auto"/>
            </w:tcBorders>
            <w:shd w:val="clear" w:color="auto" w:fill="auto"/>
            <w:vAlign w:val="bottom"/>
            <w:hideMark/>
          </w:tcPr>
          <w:p w14:paraId="7206CC69" w14:textId="77777777" w:rsidR="006C63D5" w:rsidRPr="00C9160B" w:rsidRDefault="006C63D5" w:rsidP="004167E8">
            <w:pPr>
              <w:rPr>
                <w:rFonts w:cs="Arial"/>
                <w:color w:val="000000"/>
                <w:szCs w:val="20"/>
                <w:lang w:eastAsia="sl-SI"/>
              </w:rPr>
            </w:pPr>
            <w:r w:rsidRPr="00C9160B">
              <w:rPr>
                <w:rFonts w:cs="Arial"/>
                <w:color w:val="000000"/>
                <w:szCs w:val="20"/>
                <w:lang w:eastAsia="sl-SI"/>
              </w:rPr>
              <w:t>delež kmetijskih površin  (%)</w:t>
            </w:r>
          </w:p>
        </w:tc>
        <w:tc>
          <w:tcPr>
            <w:tcW w:w="401" w:type="pct"/>
            <w:tcBorders>
              <w:top w:val="nil"/>
              <w:left w:val="nil"/>
              <w:bottom w:val="single" w:sz="4" w:space="0" w:color="auto"/>
              <w:right w:val="single" w:sz="4" w:space="0" w:color="auto"/>
            </w:tcBorders>
            <w:shd w:val="clear" w:color="000000" w:fill="FFFFFF"/>
            <w:noWrap/>
            <w:vAlign w:val="bottom"/>
            <w:hideMark/>
          </w:tcPr>
          <w:p w14:paraId="09DCC3AC" w14:textId="77777777" w:rsidR="006C63D5" w:rsidRPr="00C9160B" w:rsidRDefault="006C63D5" w:rsidP="004167E8">
            <w:pPr>
              <w:jc w:val="right"/>
              <w:rPr>
                <w:rFonts w:cs="Arial"/>
                <w:color w:val="000000"/>
                <w:szCs w:val="20"/>
                <w:lang w:eastAsia="sl-SI"/>
              </w:rPr>
            </w:pPr>
            <w:r w:rsidRPr="00C9160B">
              <w:rPr>
                <w:rFonts w:cs="Arial"/>
                <w:color w:val="000000"/>
                <w:szCs w:val="20"/>
                <w:lang w:eastAsia="sl-SI"/>
              </w:rPr>
              <w:t>34,32</w:t>
            </w:r>
          </w:p>
        </w:tc>
        <w:tc>
          <w:tcPr>
            <w:tcW w:w="443" w:type="pct"/>
            <w:tcBorders>
              <w:top w:val="nil"/>
              <w:left w:val="nil"/>
              <w:bottom w:val="single" w:sz="4" w:space="0" w:color="auto"/>
              <w:right w:val="single" w:sz="4" w:space="0" w:color="auto"/>
            </w:tcBorders>
            <w:shd w:val="clear" w:color="000000" w:fill="FFFFFF"/>
            <w:noWrap/>
            <w:vAlign w:val="bottom"/>
            <w:hideMark/>
          </w:tcPr>
          <w:p w14:paraId="754B43C5" w14:textId="77777777" w:rsidR="006C63D5" w:rsidRPr="00C9160B" w:rsidRDefault="006C63D5" w:rsidP="004167E8">
            <w:pPr>
              <w:jc w:val="right"/>
              <w:rPr>
                <w:rFonts w:cs="Arial"/>
                <w:color w:val="000000"/>
                <w:szCs w:val="20"/>
                <w:lang w:eastAsia="sl-SI"/>
              </w:rPr>
            </w:pPr>
            <w:r w:rsidRPr="00C9160B">
              <w:rPr>
                <w:rFonts w:cs="Arial"/>
                <w:color w:val="000000"/>
                <w:szCs w:val="20"/>
                <w:lang w:eastAsia="sl-SI"/>
              </w:rPr>
              <w:t>34,29</w:t>
            </w:r>
          </w:p>
        </w:tc>
        <w:tc>
          <w:tcPr>
            <w:tcW w:w="410" w:type="pct"/>
            <w:tcBorders>
              <w:top w:val="nil"/>
              <w:left w:val="nil"/>
              <w:bottom w:val="single" w:sz="4" w:space="0" w:color="auto"/>
              <w:right w:val="single" w:sz="4" w:space="0" w:color="auto"/>
            </w:tcBorders>
            <w:shd w:val="clear" w:color="000000" w:fill="FFFFFF"/>
            <w:noWrap/>
            <w:vAlign w:val="bottom"/>
            <w:hideMark/>
          </w:tcPr>
          <w:p w14:paraId="6373D5CC" w14:textId="77777777" w:rsidR="006C63D5" w:rsidRPr="00C9160B" w:rsidRDefault="006C63D5" w:rsidP="004167E8">
            <w:pPr>
              <w:jc w:val="right"/>
              <w:rPr>
                <w:rFonts w:cs="Arial"/>
                <w:color w:val="000000"/>
                <w:szCs w:val="20"/>
                <w:lang w:eastAsia="sl-SI"/>
              </w:rPr>
            </w:pPr>
            <w:r w:rsidRPr="00C9160B">
              <w:rPr>
                <w:rFonts w:cs="Arial"/>
                <w:color w:val="000000"/>
                <w:szCs w:val="20"/>
                <w:lang w:eastAsia="sl-SI"/>
              </w:rPr>
              <w:t>34,29</w:t>
            </w:r>
          </w:p>
        </w:tc>
        <w:tc>
          <w:tcPr>
            <w:tcW w:w="443" w:type="pct"/>
            <w:tcBorders>
              <w:top w:val="nil"/>
              <w:left w:val="nil"/>
              <w:bottom w:val="single" w:sz="4" w:space="0" w:color="auto"/>
              <w:right w:val="single" w:sz="4" w:space="0" w:color="auto"/>
            </w:tcBorders>
            <w:shd w:val="clear" w:color="auto" w:fill="auto"/>
            <w:noWrap/>
            <w:vAlign w:val="bottom"/>
            <w:hideMark/>
          </w:tcPr>
          <w:p w14:paraId="6DDDEF6A" w14:textId="77777777" w:rsidR="006C63D5" w:rsidRPr="00C9160B" w:rsidRDefault="006C63D5" w:rsidP="004167E8">
            <w:pPr>
              <w:jc w:val="right"/>
              <w:rPr>
                <w:rFonts w:cs="Arial"/>
                <w:color w:val="000000"/>
                <w:szCs w:val="20"/>
                <w:lang w:eastAsia="sl-SI"/>
              </w:rPr>
            </w:pPr>
            <w:r w:rsidRPr="00C9160B">
              <w:rPr>
                <w:rFonts w:cs="Arial"/>
                <w:color w:val="000000"/>
                <w:szCs w:val="20"/>
                <w:lang w:eastAsia="sl-SI"/>
              </w:rPr>
              <w:t>34,26</w:t>
            </w:r>
          </w:p>
        </w:tc>
      </w:tr>
      <w:tr w:rsidR="006C63D5" w:rsidRPr="00C9160B" w14:paraId="7DA5F4B8" w14:textId="77777777" w:rsidTr="004167E8">
        <w:trPr>
          <w:trHeight w:val="315"/>
        </w:trPr>
        <w:tc>
          <w:tcPr>
            <w:tcW w:w="401" w:type="pct"/>
            <w:vMerge/>
            <w:tcBorders>
              <w:top w:val="nil"/>
              <w:left w:val="single" w:sz="4" w:space="0" w:color="auto"/>
              <w:bottom w:val="single" w:sz="4" w:space="0" w:color="auto"/>
              <w:right w:val="single" w:sz="4" w:space="0" w:color="auto"/>
            </w:tcBorders>
            <w:vAlign w:val="center"/>
            <w:hideMark/>
          </w:tcPr>
          <w:p w14:paraId="281D2486" w14:textId="77777777" w:rsidR="006C63D5" w:rsidRPr="00C9160B" w:rsidRDefault="006C63D5" w:rsidP="004167E8">
            <w:pPr>
              <w:rPr>
                <w:rFonts w:cs="Arial"/>
                <w:color w:val="000000"/>
                <w:szCs w:val="20"/>
                <w:lang w:eastAsia="sl-SI"/>
              </w:rPr>
            </w:pPr>
          </w:p>
        </w:tc>
        <w:tc>
          <w:tcPr>
            <w:tcW w:w="2901" w:type="pct"/>
            <w:tcBorders>
              <w:top w:val="nil"/>
              <w:left w:val="nil"/>
              <w:bottom w:val="single" w:sz="4" w:space="0" w:color="auto"/>
              <w:right w:val="single" w:sz="4" w:space="0" w:color="auto"/>
            </w:tcBorders>
            <w:shd w:val="clear" w:color="auto" w:fill="auto"/>
            <w:vAlign w:val="bottom"/>
            <w:hideMark/>
          </w:tcPr>
          <w:p w14:paraId="010EF170" w14:textId="77777777" w:rsidR="006C63D5" w:rsidRPr="00C9160B" w:rsidRDefault="006C63D5" w:rsidP="004167E8">
            <w:pPr>
              <w:rPr>
                <w:rFonts w:cs="Arial"/>
                <w:color w:val="000000"/>
                <w:szCs w:val="20"/>
                <w:lang w:eastAsia="sl-SI"/>
              </w:rPr>
            </w:pPr>
            <w:r w:rsidRPr="00C9160B">
              <w:rPr>
                <w:rFonts w:cs="Arial"/>
                <w:color w:val="000000"/>
                <w:szCs w:val="20"/>
                <w:lang w:eastAsia="sl-SI"/>
              </w:rPr>
              <w:t>delež umetnih površin  (%)</w:t>
            </w:r>
          </w:p>
        </w:tc>
        <w:tc>
          <w:tcPr>
            <w:tcW w:w="401" w:type="pct"/>
            <w:tcBorders>
              <w:top w:val="nil"/>
              <w:left w:val="nil"/>
              <w:bottom w:val="single" w:sz="4" w:space="0" w:color="auto"/>
              <w:right w:val="single" w:sz="4" w:space="0" w:color="auto"/>
            </w:tcBorders>
            <w:shd w:val="clear" w:color="000000" w:fill="FFFFFF"/>
            <w:noWrap/>
            <w:vAlign w:val="bottom"/>
            <w:hideMark/>
          </w:tcPr>
          <w:p w14:paraId="3551177A" w14:textId="77777777" w:rsidR="006C63D5" w:rsidRPr="00C9160B" w:rsidRDefault="006C63D5" w:rsidP="004167E8">
            <w:pPr>
              <w:jc w:val="right"/>
              <w:rPr>
                <w:rFonts w:cs="Arial"/>
                <w:color w:val="000000"/>
                <w:szCs w:val="20"/>
                <w:lang w:eastAsia="sl-SI"/>
              </w:rPr>
            </w:pPr>
            <w:r w:rsidRPr="00C9160B">
              <w:rPr>
                <w:rFonts w:cs="Arial"/>
                <w:color w:val="000000"/>
                <w:szCs w:val="20"/>
                <w:lang w:eastAsia="sl-SI"/>
              </w:rPr>
              <w:t>3,41</w:t>
            </w:r>
          </w:p>
        </w:tc>
        <w:tc>
          <w:tcPr>
            <w:tcW w:w="443" w:type="pct"/>
            <w:tcBorders>
              <w:top w:val="nil"/>
              <w:left w:val="nil"/>
              <w:bottom w:val="single" w:sz="4" w:space="0" w:color="auto"/>
              <w:right w:val="single" w:sz="4" w:space="0" w:color="auto"/>
            </w:tcBorders>
            <w:shd w:val="clear" w:color="000000" w:fill="FFFFFF"/>
            <w:noWrap/>
            <w:vAlign w:val="bottom"/>
            <w:hideMark/>
          </w:tcPr>
          <w:p w14:paraId="02FE693C" w14:textId="77777777" w:rsidR="006C63D5" w:rsidRPr="00C9160B" w:rsidRDefault="006C63D5" w:rsidP="004167E8">
            <w:pPr>
              <w:jc w:val="right"/>
              <w:rPr>
                <w:rFonts w:cs="Arial"/>
                <w:color w:val="000000"/>
                <w:szCs w:val="20"/>
                <w:lang w:eastAsia="sl-SI"/>
              </w:rPr>
            </w:pPr>
            <w:r w:rsidRPr="00C9160B">
              <w:rPr>
                <w:rFonts w:cs="Arial"/>
                <w:color w:val="000000"/>
                <w:szCs w:val="20"/>
                <w:lang w:eastAsia="sl-SI"/>
              </w:rPr>
              <w:t>3,46</w:t>
            </w:r>
          </w:p>
        </w:tc>
        <w:tc>
          <w:tcPr>
            <w:tcW w:w="410" w:type="pct"/>
            <w:tcBorders>
              <w:top w:val="nil"/>
              <w:left w:val="nil"/>
              <w:bottom w:val="single" w:sz="4" w:space="0" w:color="auto"/>
              <w:right w:val="single" w:sz="4" w:space="0" w:color="auto"/>
            </w:tcBorders>
            <w:shd w:val="clear" w:color="000000" w:fill="FFFFFF"/>
            <w:noWrap/>
            <w:vAlign w:val="bottom"/>
            <w:hideMark/>
          </w:tcPr>
          <w:p w14:paraId="7517CD77" w14:textId="77777777" w:rsidR="006C63D5" w:rsidRPr="00C9160B" w:rsidRDefault="006C63D5" w:rsidP="004167E8">
            <w:pPr>
              <w:jc w:val="right"/>
              <w:rPr>
                <w:rFonts w:cs="Arial"/>
                <w:color w:val="000000"/>
                <w:szCs w:val="20"/>
                <w:lang w:eastAsia="sl-SI"/>
              </w:rPr>
            </w:pPr>
            <w:r w:rsidRPr="00C9160B">
              <w:rPr>
                <w:rFonts w:cs="Arial"/>
                <w:color w:val="000000"/>
                <w:szCs w:val="20"/>
                <w:lang w:eastAsia="sl-SI"/>
              </w:rPr>
              <w:t>2,32</w:t>
            </w:r>
          </w:p>
        </w:tc>
        <w:tc>
          <w:tcPr>
            <w:tcW w:w="443" w:type="pct"/>
            <w:tcBorders>
              <w:top w:val="nil"/>
              <w:left w:val="nil"/>
              <w:bottom w:val="single" w:sz="4" w:space="0" w:color="auto"/>
              <w:right w:val="single" w:sz="4" w:space="0" w:color="auto"/>
            </w:tcBorders>
            <w:shd w:val="clear" w:color="auto" w:fill="auto"/>
            <w:noWrap/>
            <w:vAlign w:val="bottom"/>
            <w:hideMark/>
          </w:tcPr>
          <w:p w14:paraId="2D324C4D" w14:textId="77777777" w:rsidR="006C63D5" w:rsidRPr="00C9160B" w:rsidRDefault="006C63D5" w:rsidP="004167E8">
            <w:pPr>
              <w:jc w:val="right"/>
              <w:rPr>
                <w:rFonts w:cs="Arial"/>
                <w:color w:val="000000"/>
                <w:szCs w:val="20"/>
                <w:lang w:eastAsia="sl-SI"/>
              </w:rPr>
            </w:pPr>
            <w:r w:rsidRPr="00C9160B">
              <w:rPr>
                <w:rFonts w:cs="Arial"/>
                <w:color w:val="000000"/>
                <w:szCs w:val="20"/>
                <w:lang w:eastAsia="sl-SI"/>
              </w:rPr>
              <w:t>3,52</w:t>
            </w:r>
          </w:p>
        </w:tc>
      </w:tr>
      <w:tr w:rsidR="006C63D5" w:rsidRPr="00C9160B" w14:paraId="463BE6BD" w14:textId="77777777" w:rsidTr="004167E8">
        <w:trPr>
          <w:trHeight w:val="315"/>
        </w:trPr>
        <w:tc>
          <w:tcPr>
            <w:tcW w:w="401" w:type="pct"/>
            <w:vMerge/>
            <w:tcBorders>
              <w:top w:val="nil"/>
              <w:left w:val="single" w:sz="4" w:space="0" w:color="auto"/>
              <w:bottom w:val="single" w:sz="4" w:space="0" w:color="auto"/>
              <w:right w:val="single" w:sz="4" w:space="0" w:color="auto"/>
            </w:tcBorders>
            <w:vAlign w:val="center"/>
            <w:hideMark/>
          </w:tcPr>
          <w:p w14:paraId="62AA335F" w14:textId="77777777" w:rsidR="006C63D5" w:rsidRPr="00C9160B" w:rsidRDefault="006C63D5" w:rsidP="004167E8">
            <w:pPr>
              <w:rPr>
                <w:rFonts w:cs="Arial"/>
                <w:color w:val="000000"/>
                <w:szCs w:val="20"/>
                <w:lang w:eastAsia="sl-SI"/>
              </w:rPr>
            </w:pPr>
          </w:p>
        </w:tc>
        <w:tc>
          <w:tcPr>
            <w:tcW w:w="2901" w:type="pct"/>
            <w:tcBorders>
              <w:top w:val="nil"/>
              <w:left w:val="nil"/>
              <w:bottom w:val="single" w:sz="4" w:space="0" w:color="auto"/>
              <w:right w:val="single" w:sz="4" w:space="0" w:color="auto"/>
            </w:tcBorders>
            <w:shd w:val="clear" w:color="auto" w:fill="auto"/>
            <w:vAlign w:val="bottom"/>
            <w:hideMark/>
          </w:tcPr>
          <w:p w14:paraId="3681BF85" w14:textId="77777777" w:rsidR="006C63D5" w:rsidRPr="00C9160B" w:rsidRDefault="006C63D5" w:rsidP="004167E8">
            <w:pPr>
              <w:rPr>
                <w:rFonts w:cs="Arial"/>
                <w:color w:val="000000"/>
                <w:szCs w:val="20"/>
                <w:lang w:eastAsia="sl-SI"/>
              </w:rPr>
            </w:pPr>
            <w:r w:rsidRPr="00C9160B">
              <w:rPr>
                <w:rFonts w:cs="Arial"/>
                <w:color w:val="000000"/>
                <w:szCs w:val="20"/>
                <w:lang w:eastAsia="sl-SI"/>
              </w:rPr>
              <w:t>delež gozdnih površin  (%)</w:t>
            </w:r>
          </w:p>
        </w:tc>
        <w:tc>
          <w:tcPr>
            <w:tcW w:w="401" w:type="pct"/>
            <w:tcBorders>
              <w:top w:val="nil"/>
              <w:left w:val="nil"/>
              <w:bottom w:val="single" w:sz="4" w:space="0" w:color="auto"/>
              <w:right w:val="single" w:sz="4" w:space="0" w:color="auto"/>
            </w:tcBorders>
            <w:shd w:val="clear" w:color="000000" w:fill="FFFFFF"/>
            <w:noWrap/>
            <w:vAlign w:val="bottom"/>
            <w:hideMark/>
          </w:tcPr>
          <w:p w14:paraId="2A9D1C65" w14:textId="77777777" w:rsidR="006C63D5" w:rsidRPr="00C9160B" w:rsidRDefault="006C63D5" w:rsidP="004167E8">
            <w:pPr>
              <w:jc w:val="right"/>
              <w:rPr>
                <w:rFonts w:cs="Arial"/>
                <w:color w:val="000000"/>
                <w:szCs w:val="20"/>
                <w:lang w:eastAsia="sl-SI"/>
              </w:rPr>
            </w:pPr>
            <w:r w:rsidRPr="00C9160B">
              <w:rPr>
                <w:rFonts w:cs="Arial"/>
                <w:color w:val="000000"/>
                <w:szCs w:val="20"/>
                <w:lang w:eastAsia="sl-SI"/>
              </w:rPr>
              <w:t>56,25</w:t>
            </w:r>
          </w:p>
        </w:tc>
        <w:tc>
          <w:tcPr>
            <w:tcW w:w="443" w:type="pct"/>
            <w:tcBorders>
              <w:top w:val="nil"/>
              <w:left w:val="nil"/>
              <w:bottom w:val="single" w:sz="4" w:space="0" w:color="auto"/>
              <w:right w:val="single" w:sz="4" w:space="0" w:color="auto"/>
            </w:tcBorders>
            <w:shd w:val="clear" w:color="000000" w:fill="FFFFFF"/>
            <w:noWrap/>
            <w:vAlign w:val="bottom"/>
            <w:hideMark/>
          </w:tcPr>
          <w:p w14:paraId="685728AE" w14:textId="77777777" w:rsidR="006C63D5" w:rsidRPr="00C9160B" w:rsidRDefault="006C63D5" w:rsidP="004167E8">
            <w:pPr>
              <w:jc w:val="right"/>
              <w:rPr>
                <w:rFonts w:cs="Arial"/>
                <w:color w:val="000000"/>
                <w:szCs w:val="20"/>
                <w:lang w:eastAsia="sl-SI"/>
              </w:rPr>
            </w:pPr>
            <w:r w:rsidRPr="00C9160B">
              <w:rPr>
                <w:rFonts w:cs="Arial"/>
                <w:color w:val="000000"/>
                <w:szCs w:val="20"/>
                <w:lang w:eastAsia="sl-SI"/>
              </w:rPr>
              <w:t>56,15</w:t>
            </w:r>
          </w:p>
        </w:tc>
        <w:tc>
          <w:tcPr>
            <w:tcW w:w="410" w:type="pct"/>
            <w:tcBorders>
              <w:top w:val="nil"/>
              <w:left w:val="nil"/>
              <w:bottom w:val="single" w:sz="4" w:space="0" w:color="auto"/>
              <w:right w:val="single" w:sz="4" w:space="0" w:color="auto"/>
            </w:tcBorders>
            <w:shd w:val="clear" w:color="000000" w:fill="FFFFFF"/>
            <w:noWrap/>
            <w:vAlign w:val="bottom"/>
            <w:hideMark/>
          </w:tcPr>
          <w:p w14:paraId="72C07AD1" w14:textId="77777777" w:rsidR="006C63D5" w:rsidRPr="00C9160B" w:rsidRDefault="006C63D5" w:rsidP="004167E8">
            <w:pPr>
              <w:jc w:val="right"/>
              <w:rPr>
                <w:rFonts w:cs="Arial"/>
                <w:color w:val="000000"/>
                <w:szCs w:val="20"/>
                <w:lang w:eastAsia="sl-SI"/>
              </w:rPr>
            </w:pPr>
            <w:r w:rsidRPr="00C9160B">
              <w:rPr>
                <w:rFonts w:cs="Arial"/>
                <w:color w:val="000000"/>
                <w:szCs w:val="20"/>
                <w:lang w:eastAsia="sl-SI"/>
              </w:rPr>
              <w:t>56,12</w:t>
            </w:r>
          </w:p>
        </w:tc>
        <w:tc>
          <w:tcPr>
            <w:tcW w:w="443" w:type="pct"/>
            <w:tcBorders>
              <w:top w:val="nil"/>
              <w:left w:val="nil"/>
              <w:bottom w:val="single" w:sz="4" w:space="0" w:color="auto"/>
              <w:right w:val="single" w:sz="4" w:space="0" w:color="auto"/>
            </w:tcBorders>
            <w:shd w:val="clear" w:color="auto" w:fill="auto"/>
            <w:noWrap/>
            <w:vAlign w:val="bottom"/>
            <w:hideMark/>
          </w:tcPr>
          <w:p w14:paraId="5D349B6F" w14:textId="77777777" w:rsidR="006C63D5" w:rsidRPr="00C9160B" w:rsidRDefault="006C63D5" w:rsidP="004167E8">
            <w:pPr>
              <w:jc w:val="right"/>
              <w:rPr>
                <w:rFonts w:cs="Arial"/>
                <w:color w:val="000000"/>
                <w:szCs w:val="20"/>
                <w:lang w:eastAsia="sl-SI"/>
              </w:rPr>
            </w:pPr>
            <w:r w:rsidRPr="00C9160B">
              <w:rPr>
                <w:rFonts w:cs="Arial"/>
                <w:color w:val="000000"/>
                <w:szCs w:val="20"/>
                <w:lang w:eastAsia="sl-SI"/>
              </w:rPr>
              <w:t>55,78</w:t>
            </w:r>
          </w:p>
        </w:tc>
      </w:tr>
      <w:tr w:rsidR="006C63D5" w:rsidRPr="00C9160B" w14:paraId="77F742F2" w14:textId="77777777" w:rsidTr="004167E8">
        <w:trPr>
          <w:trHeight w:val="315"/>
        </w:trPr>
        <w:tc>
          <w:tcPr>
            <w:tcW w:w="401" w:type="pct"/>
            <w:vMerge/>
            <w:tcBorders>
              <w:top w:val="nil"/>
              <w:left w:val="single" w:sz="4" w:space="0" w:color="auto"/>
              <w:bottom w:val="single" w:sz="4" w:space="0" w:color="auto"/>
              <w:right w:val="single" w:sz="4" w:space="0" w:color="auto"/>
            </w:tcBorders>
            <w:vAlign w:val="center"/>
            <w:hideMark/>
          </w:tcPr>
          <w:p w14:paraId="030FAC57" w14:textId="77777777" w:rsidR="006C63D5" w:rsidRPr="00C9160B" w:rsidRDefault="006C63D5" w:rsidP="004167E8">
            <w:pPr>
              <w:rPr>
                <w:rFonts w:cs="Arial"/>
                <w:color w:val="000000"/>
                <w:szCs w:val="20"/>
                <w:lang w:eastAsia="sl-SI"/>
              </w:rPr>
            </w:pPr>
          </w:p>
        </w:tc>
        <w:tc>
          <w:tcPr>
            <w:tcW w:w="2901" w:type="pct"/>
            <w:tcBorders>
              <w:top w:val="nil"/>
              <w:left w:val="nil"/>
              <w:bottom w:val="single" w:sz="4" w:space="0" w:color="auto"/>
              <w:right w:val="single" w:sz="4" w:space="0" w:color="auto"/>
            </w:tcBorders>
            <w:shd w:val="clear" w:color="auto" w:fill="auto"/>
            <w:vAlign w:val="bottom"/>
            <w:hideMark/>
          </w:tcPr>
          <w:p w14:paraId="0B534A9E" w14:textId="77777777" w:rsidR="006C63D5" w:rsidRPr="00C9160B" w:rsidRDefault="006C63D5" w:rsidP="004167E8">
            <w:pPr>
              <w:rPr>
                <w:rFonts w:cs="Arial"/>
                <w:color w:val="000000"/>
                <w:szCs w:val="20"/>
                <w:lang w:eastAsia="sl-SI"/>
              </w:rPr>
            </w:pPr>
            <w:r w:rsidRPr="00C9160B">
              <w:rPr>
                <w:rFonts w:cs="Arial"/>
                <w:color w:val="000000"/>
                <w:szCs w:val="20"/>
                <w:lang w:eastAsia="sl-SI"/>
              </w:rPr>
              <w:t>delež prehodnega gozdnega grmičevja  (%)</w:t>
            </w:r>
          </w:p>
        </w:tc>
        <w:tc>
          <w:tcPr>
            <w:tcW w:w="401" w:type="pct"/>
            <w:tcBorders>
              <w:top w:val="nil"/>
              <w:left w:val="nil"/>
              <w:bottom w:val="single" w:sz="4" w:space="0" w:color="auto"/>
              <w:right w:val="single" w:sz="4" w:space="0" w:color="auto"/>
            </w:tcBorders>
            <w:shd w:val="clear" w:color="000000" w:fill="FFFFFF"/>
            <w:noWrap/>
            <w:vAlign w:val="bottom"/>
            <w:hideMark/>
          </w:tcPr>
          <w:p w14:paraId="15624E0B" w14:textId="77777777" w:rsidR="006C63D5" w:rsidRPr="00C9160B" w:rsidRDefault="006C63D5" w:rsidP="004167E8">
            <w:pPr>
              <w:jc w:val="right"/>
              <w:rPr>
                <w:rFonts w:cs="Arial"/>
                <w:color w:val="000000"/>
                <w:szCs w:val="20"/>
                <w:lang w:eastAsia="sl-SI"/>
              </w:rPr>
            </w:pPr>
            <w:r w:rsidRPr="00C9160B">
              <w:rPr>
                <w:rFonts w:cs="Arial"/>
                <w:color w:val="000000"/>
                <w:szCs w:val="20"/>
                <w:lang w:eastAsia="sl-SI"/>
              </w:rPr>
              <w:t>2,17</w:t>
            </w:r>
          </w:p>
        </w:tc>
        <w:tc>
          <w:tcPr>
            <w:tcW w:w="443" w:type="pct"/>
            <w:tcBorders>
              <w:top w:val="nil"/>
              <w:left w:val="nil"/>
              <w:bottom w:val="single" w:sz="4" w:space="0" w:color="auto"/>
              <w:right w:val="single" w:sz="4" w:space="0" w:color="auto"/>
            </w:tcBorders>
            <w:shd w:val="clear" w:color="000000" w:fill="FFFFFF"/>
            <w:noWrap/>
            <w:vAlign w:val="bottom"/>
            <w:hideMark/>
          </w:tcPr>
          <w:p w14:paraId="7758C0C5" w14:textId="77777777" w:rsidR="006C63D5" w:rsidRPr="00C9160B" w:rsidRDefault="006C63D5" w:rsidP="004167E8">
            <w:pPr>
              <w:jc w:val="right"/>
              <w:rPr>
                <w:rFonts w:cs="Arial"/>
                <w:color w:val="000000"/>
                <w:szCs w:val="20"/>
                <w:lang w:eastAsia="sl-SI"/>
              </w:rPr>
            </w:pPr>
            <w:r w:rsidRPr="00C9160B">
              <w:rPr>
                <w:rFonts w:cs="Arial"/>
                <w:color w:val="000000"/>
                <w:szCs w:val="20"/>
                <w:lang w:eastAsia="sl-SI"/>
              </w:rPr>
              <w:t>2,25</w:t>
            </w:r>
          </w:p>
        </w:tc>
        <w:tc>
          <w:tcPr>
            <w:tcW w:w="410" w:type="pct"/>
            <w:tcBorders>
              <w:top w:val="nil"/>
              <w:left w:val="nil"/>
              <w:bottom w:val="single" w:sz="4" w:space="0" w:color="auto"/>
              <w:right w:val="single" w:sz="4" w:space="0" w:color="auto"/>
            </w:tcBorders>
            <w:shd w:val="clear" w:color="000000" w:fill="FFFFFF"/>
            <w:noWrap/>
            <w:vAlign w:val="bottom"/>
            <w:hideMark/>
          </w:tcPr>
          <w:p w14:paraId="22E82CC8" w14:textId="77777777" w:rsidR="006C63D5" w:rsidRPr="00C9160B" w:rsidRDefault="006C63D5" w:rsidP="004167E8">
            <w:pPr>
              <w:jc w:val="right"/>
              <w:rPr>
                <w:rFonts w:cs="Arial"/>
                <w:color w:val="000000"/>
                <w:szCs w:val="20"/>
                <w:lang w:eastAsia="sl-SI"/>
              </w:rPr>
            </w:pPr>
            <w:r w:rsidRPr="00C9160B">
              <w:rPr>
                <w:rFonts w:cs="Arial"/>
                <w:color w:val="000000"/>
                <w:szCs w:val="20"/>
                <w:lang w:eastAsia="sl-SI"/>
              </w:rPr>
              <w:t>2,26</w:t>
            </w:r>
          </w:p>
        </w:tc>
        <w:tc>
          <w:tcPr>
            <w:tcW w:w="443" w:type="pct"/>
            <w:tcBorders>
              <w:top w:val="nil"/>
              <w:left w:val="nil"/>
              <w:bottom w:val="single" w:sz="4" w:space="0" w:color="auto"/>
              <w:right w:val="single" w:sz="4" w:space="0" w:color="auto"/>
            </w:tcBorders>
            <w:shd w:val="clear" w:color="auto" w:fill="auto"/>
            <w:noWrap/>
            <w:vAlign w:val="bottom"/>
            <w:hideMark/>
          </w:tcPr>
          <w:p w14:paraId="400AC368" w14:textId="77777777" w:rsidR="006C63D5" w:rsidRPr="00C9160B" w:rsidRDefault="006C63D5" w:rsidP="004167E8">
            <w:pPr>
              <w:jc w:val="right"/>
              <w:rPr>
                <w:rFonts w:cs="Arial"/>
                <w:color w:val="000000"/>
                <w:szCs w:val="20"/>
                <w:lang w:eastAsia="sl-SI"/>
              </w:rPr>
            </w:pPr>
            <w:r w:rsidRPr="00C9160B">
              <w:rPr>
                <w:rFonts w:cs="Arial"/>
                <w:color w:val="000000"/>
                <w:szCs w:val="20"/>
                <w:lang w:eastAsia="sl-SI"/>
              </w:rPr>
              <w:t>2,58</w:t>
            </w:r>
          </w:p>
        </w:tc>
      </w:tr>
      <w:tr w:rsidR="006C63D5" w:rsidRPr="00C9160B" w14:paraId="30EA3320" w14:textId="77777777" w:rsidTr="004167E8">
        <w:trPr>
          <w:trHeight w:val="315"/>
        </w:trPr>
        <w:tc>
          <w:tcPr>
            <w:tcW w:w="401" w:type="pct"/>
            <w:vMerge/>
            <w:tcBorders>
              <w:top w:val="nil"/>
              <w:left w:val="single" w:sz="4" w:space="0" w:color="auto"/>
              <w:bottom w:val="single" w:sz="4" w:space="0" w:color="auto"/>
              <w:right w:val="single" w:sz="4" w:space="0" w:color="auto"/>
            </w:tcBorders>
            <w:vAlign w:val="center"/>
            <w:hideMark/>
          </w:tcPr>
          <w:p w14:paraId="63D039C5" w14:textId="77777777" w:rsidR="006C63D5" w:rsidRPr="00C9160B" w:rsidRDefault="006C63D5" w:rsidP="004167E8">
            <w:pPr>
              <w:rPr>
                <w:rFonts w:cs="Arial"/>
                <w:color w:val="000000"/>
                <w:szCs w:val="20"/>
                <w:lang w:eastAsia="sl-SI"/>
              </w:rPr>
            </w:pPr>
          </w:p>
        </w:tc>
        <w:tc>
          <w:tcPr>
            <w:tcW w:w="2901" w:type="pct"/>
            <w:tcBorders>
              <w:top w:val="nil"/>
              <w:left w:val="nil"/>
              <w:bottom w:val="single" w:sz="4" w:space="0" w:color="auto"/>
              <w:right w:val="single" w:sz="4" w:space="0" w:color="auto"/>
            </w:tcBorders>
            <w:shd w:val="clear" w:color="auto" w:fill="auto"/>
            <w:vAlign w:val="bottom"/>
            <w:hideMark/>
          </w:tcPr>
          <w:p w14:paraId="46451E25" w14:textId="77777777" w:rsidR="006C63D5" w:rsidRPr="00C9160B" w:rsidRDefault="006C63D5" w:rsidP="004167E8">
            <w:pPr>
              <w:rPr>
                <w:rFonts w:cs="Arial"/>
                <w:color w:val="000000"/>
                <w:szCs w:val="20"/>
                <w:lang w:eastAsia="sl-SI"/>
              </w:rPr>
            </w:pPr>
            <w:r w:rsidRPr="00C9160B">
              <w:rPr>
                <w:rFonts w:cs="Arial"/>
                <w:color w:val="000000"/>
                <w:szCs w:val="20"/>
                <w:lang w:eastAsia="sl-SI"/>
              </w:rPr>
              <w:t>delež naravnih zemljišč  (%)</w:t>
            </w:r>
          </w:p>
        </w:tc>
        <w:tc>
          <w:tcPr>
            <w:tcW w:w="401" w:type="pct"/>
            <w:tcBorders>
              <w:top w:val="nil"/>
              <w:left w:val="nil"/>
              <w:bottom w:val="single" w:sz="4" w:space="0" w:color="auto"/>
              <w:right w:val="single" w:sz="4" w:space="0" w:color="auto"/>
            </w:tcBorders>
            <w:shd w:val="clear" w:color="000000" w:fill="FFFFFF"/>
            <w:noWrap/>
            <w:vAlign w:val="bottom"/>
            <w:hideMark/>
          </w:tcPr>
          <w:p w14:paraId="64A25AA4" w14:textId="77777777" w:rsidR="006C63D5" w:rsidRPr="00C9160B" w:rsidRDefault="006C63D5" w:rsidP="004167E8">
            <w:pPr>
              <w:jc w:val="right"/>
              <w:rPr>
                <w:rFonts w:cs="Arial"/>
                <w:color w:val="000000"/>
                <w:szCs w:val="20"/>
                <w:lang w:eastAsia="sl-SI"/>
              </w:rPr>
            </w:pPr>
            <w:r w:rsidRPr="00C9160B">
              <w:rPr>
                <w:rFonts w:cs="Arial"/>
                <w:color w:val="000000"/>
                <w:szCs w:val="20"/>
                <w:lang w:eastAsia="sl-SI"/>
              </w:rPr>
              <w:t>2,32</w:t>
            </w:r>
          </w:p>
        </w:tc>
        <w:tc>
          <w:tcPr>
            <w:tcW w:w="443" w:type="pct"/>
            <w:tcBorders>
              <w:top w:val="nil"/>
              <w:left w:val="nil"/>
              <w:bottom w:val="single" w:sz="4" w:space="0" w:color="auto"/>
              <w:right w:val="single" w:sz="4" w:space="0" w:color="auto"/>
            </w:tcBorders>
            <w:shd w:val="clear" w:color="000000" w:fill="FFFFFF"/>
            <w:noWrap/>
            <w:vAlign w:val="bottom"/>
            <w:hideMark/>
          </w:tcPr>
          <w:p w14:paraId="437C2051" w14:textId="77777777" w:rsidR="006C63D5" w:rsidRPr="00C9160B" w:rsidRDefault="006C63D5" w:rsidP="004167E8">
            <w:pPr>
              <w:jc w:val="right"/>
              <w:rPr>
                <w:rFonts w:cs="Arial"/>
                <w:color w:val="000000"/>
                <w:szCs w:val="20"/>
                <w:lang w:eastAsia="sl-SI"/>
              </w:rPr>
            </w:pPr>
            <w:r w:rsidRPr="00C9160B">
              <w:rPr>
                <w:rFonts w:cs="Arial"/>
                <w:color w:val="000000"/>
                <w:szCs w:val="20"/>
                <w:lang w:eastAsia="sl-SI"/>
              </w:rPr>
              <w:t>2,32</w:t>
            </w:r>
          </w:p>
        </w:tc>
        <w:tc>
          <w:tcPr>
            <w:tcW w:w="410" w:type="pct"/>
            <w:tcBorders>
              <w:top w:val="nil"/>
              <w:left w:val="nil"/>
              <w:bottom w:val="single" w:sz="4" w:space="0" w:color="auto"/>
              <w:right w:val="single" w:sz="4" w:space="0" w:color="auto"/>
            </w:tcBorders>
            <w:shd w:val="clear" w:color="000000" w:fill="FFFFFF"/>
            <w:noWrap/>
            <w:vAlign w:val="bottom"/>
            <w:hideMark/>
          </w:tcPr>
          <w:p w14:paraId="0BF09BFF" w14:textId="77777777" w:rsidR="006C63D5" w:rsidRPr="00C9160B" w:rsidRDefault="006C63D5" w:rsidP="004167E8">
            <w:pPr>
              <w:jc w:val="right"/>
              <w:rPr>
                <w:rFonts w:cs="Arial"/>
                <w:color w:val="000000"/>
                <w:szCs w:val="20"/>
                <w:lang w:eastAsia="sl-SI"/>
              </w:rPr>
            </w:pPr>
            <w:r w:rsidRPr="00C9160B">
              <w:rPr>
                <w:rFonts w:cs="Arial"/>
                <w:color w:val="000000"/>
                <w:szCs w:val="20"/>
                <w:lang w:eastAsia="sl-SI"/>
              </w:rPr>
              <w:t>3,49</w:t>
            </w:r>
          </w:p>
        </w:tc>
        <w:tc>
          <w:tcPr>
            <w:tcW w:w="443" w:type="pct"/>
            <w:tcBorders>
              <w:top w:val="nil"/>
              <w:left w:val="nil"/>
              <w:bottom w:val="single" w:sz="4" w:space="0" w:color="auto"/>
              <w:right w:val="single" w:sz="4" w:space="0" w:color="auto"/>
            </w:tcBorders>
            <w:shd w:val="clear" w:color="auto" w:fill="auto"/>
            <w:noWrap/>
            <w:vAlign w:val="bottom"/>
            <w:hideMark/>
          </w:tcPr>
          <w:p w14:paraId="289D2D93" w14:textId="77777777" w:rsidR="006C63D5" w:rsidRPr="00C9160B" w:rsidRDefault="006C63D5" w:rsidP="004167E8">
            <w:pPr>
              <w:jc w:val="right"/>
              <w:rPr>
                <w:rFonts w:cs="Arial"/>
                <w:color w:val="000000"/>
                <w:szCs w:val="20"/>
                <w:lang w:eastAsia="sl-SI"/>
              </w:rPr>
            </w:pPr>
            <w:r w:rsidRPr="00C9160B">
              <w:rPr>
                <w:rFonts w:cs="Arial"/>
                <w:color w:val="000000"/>
                <w:szCs w:val="20"/>
                <w:lang w:eastAsia="sl-SI"/>
              </w:rPr>
              <w:t>2,32</w:t>
            </w:r>
          </w:p>
        </w:tc>
      </w:tr>
      <w:tr w:rsidR="006C63D5" w:rsidRPr="00C9160B" w14:paraId="574EEACC" w14:textId="77777777" w:rsidTr="004167E8">
        <w:trPr>
          <w:trHeight w:val="315"/>
        </w:trPr>
        <w:tc>
          <w:tcPr>
            <w:tcW w:w="401" w:type="pct"/>
            <w:vMerge/>
            <w:tcBorders>
              <w:top w:val="nil"/>
              <w:left w:val="single" w:sz="4" w:space="0" w:color="auto"/>
              <w:bottom w:val="single" w:sz="4" w:space="0" w:color="auto"/>
              <w:right w:val="single" w:sz="4" w:space="0" w:color="auto"/>
            </w:tcBorders>
            <w:vAlign w:val="center"/>
            <w:hideMark/>
          </w:tcPr>
          <w:p w14:paraId="23B81A7C" w14:textId="77777777" w:rsidR="006C63D5" w:rsidRPr="00C9160B" w:rsidRDefault="006C63D5" w:rsidP="004167E8">
            <w:pPr>
              <w:rPr>
                <w:rFonts w:cs="Arial"/>
                <w:color w:val="000000"/>
                <w:szCs w:val="20"/>
                <w:lang w:eastAsia="sl-SI"/>
              </w:rPr>
            </w:pPr>
          </w:p>
        </w:tc>
        <w:tc>
          <w:tcPr>
            <w:tcW w:w="2901" w:type="pct"/>
            <w:tcBorders>
              <w:top w:val="nil"/>
              <w:left w:val="nil"/>
              <w:bottom w:val="single" w:sz="4" w:space="0" w:color="auto"/>
              <w:right w:val="single" w:sz="4" w:space="0" w:color="auto"/>
            </w:tcBorders>
            <w:shd w:val="clear" w:color="auto" w:fill="auto"/>
            <w:vAlign w:val="bottom"/>
            <w:hideMark/>
          </w:tcPr>
          <w:p w14:paraId="68DCC1F0" w14:textId="77777777" w:rsidR="006C63D5" w:rsidRPr="00C9160B" w:rsidRDefault="006C63D5" w:rsidP="004167E8">
            <w:pPr>
              <w:rPr>
                <w:rFonts w:cs="Arial"/>
                <w:color w:val="000000"/>
                <w:szCs w:val="20"/>
                <w:lang w:eastAsia="sl-SI"/>
              </w:rPr>
            </w:pPr>
            <w:r w:rsidRPr="00C9160B">
              <w:rPr>
                <w:rFonts w:cs="Arial"/>
                <w:color w:val="000000"/>
                <w:szCs w:val="20"/>
                <w:lang w:eastAsia="sl-SI"/>
              </w:rPr>
              <w:t>delež drugih površin (morje in celinske vode)  (%)</w:t>
            </w:r>
          </w:p>
        </w:tc>
        <w:tc>
          <w:tcPr>
            <w:tcW w:w="401" w:type="pct"/>
            <w:tcBorders>
              <w:top w:val="nil"/>
              <w:left w:val="nil"/>
              <w:bottom w:val="single" w:sz="4" w:space="0" w:color="auto"/>
              <w:right w:val="single" w:sz="4" w:space="0" w:color="auto"/>
            </w:tcBorders>
            <w:shd w:val="clear" w:color="000000" w:fill="FFFFFF"/>
            <w:noWrap/>
            <w:vAlign w:val="bottom"/>
            <w:hideMark/>
          </w:tcPr>
          <w:p w14:paraId="78090B8C" w14:textId="77777777" w:rsidR="006C63D5" w:rsidRPr="00C9160B" w:rsidRDefault="006C63D5" w:rsidP="004167E8">
            <w:pPr>
              <w:jc w:val="right"/>
              <w:rPr>
                <w:rFonts w:cs="Arial"/>
                <w:color w:val="000000"/>
                <w:szCs w:val="20"/>
                <w:lang w:eastAsia="sl-SI"/>
              </w:rPr>
            </w:pPr>
            <w:r w:rsidRPr="00C9160B">
              <w:rPr>
                <w:rFonts w:cs="Arial"/>
                <w:color w:val="000000"/>
                <w:szCs w:val="20"/>
                <w:lang w:eastAsia="sl-SI"/>
              </w:rPr>
              <w:t>0,56</w:t>
            </w:r>
          </w:p>
        </w:tc>
        <w:tc>
          <w:tcPr>
            <w:tcW w:w="443" w:type="pct"/>
            <w:tcBorders>
              <w:top w:val="nil"/>
              <w:left w:val="nil"/>
              <w:bottom w:val="single" w:sz="4" w:space="0" w:color="auto"/>
              <w:right w:val="single" w:sz="4" w:space="0" w:color="auto"/>
            </w:tcBorders>
            <w:shd w:val="clear" w:color="000000" w:fill="FFFFFF"/>
            <w:noWrap/>
            <w:vAlign w:val="bottom"/>
            <w:hideMark/>
          </w:tcPr>
          <w:p w14:paraId="0E0CE144" w14:textId="77777777" w:rsidR="006C63D5" w:rsidRPr="00C9160B" w:rsidRDefault="006C63D5" w:rsidP="004167E8">
            <w:pPr>
              <w:jc w:val="right"/>
              <w:rPr>
                <w:rFonts w:cs="Arial"/>
                <w:color w:val="000000"/>
                <w:szCs w:val="20"/>
                <w:lang w:eastAsia="sl-SI"/>
              </w:rPr>
            </w:pPr>
            <w:r w:rsidRPr="00C9160B">
              <w:rPr>
                <w:rFonts w:cs="Arial"/>
                <w:color w:val="000000"/>
                <w:szCs w:val="20"/>
                <w:lang w:eastAsia="sl-SI"/>
              </w:rPr>
              <w:t>0,57</w:t>
            </w:r>
          </w:p>
        </w:tc>
        <w:tc>
          <w:tcPr>
            <w:tcW w:w="410" w:type="pct"/>
            <w:tcBorders>
              <w:top w:val="nil"/>
              <w:left w:val="nil"/>
              <w:bottom w:val="single" w:sz="4" w:space="0" w:color="auto"/>
              <w:right w:val="single" w:sz="4" w:space="0" w:color="auto"/>
            </w:tcBorders>
            <w:shd w:val="clear" w:color="000000" w:fill="FFFFFF"/>
            <w:noWrap/>
            <w:vAlign w:val="bottom"/>
            <w:hideMark/>
          </w:tcPr>
          <w:p w14:paraId="1F2A944B" w14:textId="77777777" w:rsidR="006C63D5" w:rsidRPr="00C9160B" w:rsidRDefault="006C63D5" w:rsidP="004167E8">
            <w:pPr>
              <w:jc w:val="right"/>
              <w:rPr>
                <w:rFonts w:cs="Arial"/>
                <w:color w:val="000000"/>
                <w:szCs w:val="20"/>
                <w:lang w:eastAsia="sl-SI"/>
              </w:rPr>
            </w:pPr>
            <w:r w:rsidRPr="00C9160B">
              <w:rPr>
                <w:rFonts w:cs="Arial"/>
                <w:color w:val="000000"/>
                <w:szCs w:val="20"/>
                <w:lang w:eastAsia="sl-SI"/>
              </w:rPr>
              <w:t>0,57</w:t>
            </w:r>
          </w:p>
        </w:tc>
        <w:tc>
          <w:tcPr>
            <w:tcW w:w="443" w:type="pct"/>
            <w:tcBorders>
              <w:top w:val="nil"/>
              <w:left w:val="nil"/>
              <w:bottom w:val="single" w:sz="4" w:space="0" w:color="auto"/>
              <w:right w:val="single" w:sz="4" w:space="0" w:color="auto"/>
            </w:tcBorders>
            <w:shd w:val="clear" w:color="auto" w:fill="auto"/>
            <w:noWrap/>
            <w:vAlign w:val="bottom"/>
            <w:hideMark/>
          </w:tcPr>
          <w:p w14:paraId="3F87C9A1" w14:textId="77777777" w:rsidR="006C63D5" w:rsidRPr="00C9160B" w:rsidRDefault="006C63D5" w:rsidP="004167E8">
            <w:pPr>
              <w:jc w:val="right"/>
              <w:rPr>
                <w:rFonts w:cs="Arial"/>
                <w:color w:val="000000"/>
                <w:szCs w:val="20"/>
                <w:lang w:eastAsia="sl-SI"/>
              </w:rPr>
            </w:pPr>
            <w:r w:rsidRPr="00C9160B">
              <w:rPr>
                <w:rFonts w:cs="Arial"/>
                <w:color w:val="000000"/>
                <w:szCs w:val="20"/>
                <w:lang w:eastAsia="sl-SI"/>
              </w:rPr>
              <w:t>0,58</w:t>
            </w:r>
          </w:p>
        </w:tc>
      </w:tr>
    </w:tbl>
    <w:p w14:paraId="09926EA0" w14:textId="50E1511D" w:rsidR="006C63D5" w:rsidRPr="005B1C38" w:rsidRDefault="00C75FB1" w:rsidP="006C63D5">
      <w:pPr>
        <w:spacing w:after="240"/>
        <w:rPr>
          <w:rFonts w:cs="Arial"/>
          <w:sz w:val="16"/>
          <w:szCs w:val="16"/>
        </w:rPr>
      </w:pPr>
      <w:r w:rsidRPr="00F42F8F">
        <w:rPr>
          <w:rFonts w:cs="Arial"/>
          <w:sz w:val="16"/>
          <w:szCs w:val="16"/>
        </w:rPr>
        <w:t xml:space="preserve">Vir: </w:t>
      </w:r>
      <w:r w:rsidR="00A04513" w:rsidRPr="00F42F8F">
        <w:rPr>
          <w:rFonts w:eastAsia="Calibri"/>
          <w:sz w:val="16"/>
          <w:szCs w:val="16"/>
        </w:rPr>
        <w:t>C</w:t>
      </w:r>
      <w:r w:rsidR="00A04513">
        <w:rPr>
          <w:rFonts w:eastAsia="Calibri"/>
          <w:sz w:val="16"/>
          <w:szCs w:val="16"/>
        </w:rPr>
        <w:t>.</w:t>
      </w:r>
      <w:r w:rsidR="00A04513" w:rsidRPr="00F42F8F">
        <w:rPr>
          <w:rFonts w:eastAsia="Calibri"/>
          <w:sz w:val="16"/>
          <w:szCs w:val="16"/>
        </w:rPr>
        <w:t>05</w:t>
      </w:r>
      <w:r w:rsidR="00A04513">
        <w:rPr>
          <w:rFonts w:eastAsia="Calibri"/>
          <w:sz w:val="16"/>
          <w:szCs w:val="16"/>
        </w:rPr>
        <w:t xml:space="preserve"> - </w:t>
      </w:r>
      <w:proofErr w:type="spellStart"/>
      <w:r w:rsidR="0099398F" w:rsidRPr="00F42F8F">
        <w:rPr>
          <w:rFonts w:eastAsia="Calibri"/>
          <w:sz w:val="16"/>
          <w:szCs w:val="16"/>
        </w:rPr>
        <w:t>Dashboard</w:t>
      </w:r>
      <w:proofErr w:type="spellEnd"/>
      <w:r w:rsidR="0099398F" w:rsidRPr="00F42F8F">
        <w:rPr>
          <w:rFonts w:eastAsia="Calibri"/>
          <w:sz w:val="16"/>
          <w:szCs w:val="16"/>
        </w:rPr>
        <w:t xml:space="preserve"> </w:t>
      </w:r>
      <w:proofErr w:type="spellStart"/>
      <w:r w:rsidR="0099398F" w:rsidRPr="00F42F8F">
        <w:rPr>
          <w:rFonts w:eastAsia="Calibri"/>
          <w:sz w:val="16"/>
          <w:szCs w:val="16"/>
        </w:rPr>
        <w:t>Indicators</w:t>
      </w:r>
      <w:proofErr w:type="spellEnd"/>
      <w:r w:rsidR="0099398F" w:rsidRPr="00F42F8F">
        <w:rPr>
          <w:rFonts w:cs="Arial"/>
          <w:sz w:val="16"/>
          <w:szCs w:val="16"/>
        </w:rPr>
        <w:t xml:space="preserve"> (https://agridata.ec.europa.eu/extensions/DashboardIndicators/DataExplorer.html?select=EU27_FLAG,1)</w:t>
      </w:r>
    </w:p>
    <w:p w14:paraId="51AAB3C9" w14:textId="5896D57D" w:rsidR="006C63D5" w:rsidRPr="00DE12FE" w:rsidRDefault="006C63D5" w:rsidP="00DE12FE">
      <w:pPr>
        <w:pStyle w:val="Napis"/>
        <w:spacing w:after="120" w:line="360" w:lineRule="auto"/>
        <w:jc w:val="both"/>
        <w:rPr>
          <w:sz w:val="20"/>
          <w:szCs w:val="20"/>
        </w:rPr>
      </w:pPr>
      <w:r w:rsidRPr="00DE12FE">
        <w:rPr>
          <w:sz w:val="20"/>
          <w:szCs w:val="20"/>
        </w:rPr>
        <w:t xml:space="preserve">Slovenija je razdeljena na </w:t>
      </w:r>
      <w:r w:rsidR="00DD132C">
        <w:rPr>
          <w:sz w:val="20"/>
          <w:szCs w:val="20"/>
        </w:rPr>
        <w:t>dve</w:t>
      </w:r>
      <w:r w:rsidRPr="00DE12FE">
        <w:rPr>
          <w:sz w:val="20"/>
          <w:szCs w:val="20"/>
        </w:rPr>
        <w:t xml:space="preserve"> kohezijski regiji (Vzhodna Slovenija, Zahodna Slovenija), 12 statističnih regij (pomurska, podravska, koroška, savinjska, zasavska, posavska, jugovzhodna Slovenija, </w:t>
      </w:r>
      <w:r w:rsidRPr="00DE12FE">
        <w:rPr>
          <w:sz w:val="20"/>
          <w:szCs w:val="20"/>
        </w:rPr>
        <w:lastRenderedPageBreak/>
        <w:t xml:space="preserve">primorsko-notranjska, osrednjeslovenska, gorenjska, goriška in obalno-kraška), 212 občin in 5.978 naselij. </w:t>
      </w:r>
    </w:p>
    <w:p w14:paraId="3CB3F3E4" w14:textId="0EC12E64" w:rsidR="00706A0F" w:rsidRPr="00706A0F" w:rsidRDefault="00706A0F" w:rsidP="00F57BE2">
      <w:pPr>
        <w:pStyle w:val="SCslika"/>
        <w:rPr>
          <w:b/>
          <w:color w:val="4F81BD" w:themeColor="accent1"/>
        </w:rPr>
      </w:pPr>
      <w:bookmarkStart w:id="12" w:name="_Toc55913753"/>
      <w:r w:rsidRPr="003D6FF8">
        <w:t xml:space="preserve">Slika </w:t>
      </w:r>
      <w:r w:rsidR="007A077E">
        <w:fldChar w:fldCharType="begin"/>
      </w:r>
      <w:r w:rsidR="007A077E">
        <w:instrText xml:space="preserve"> SEQ Slika \* ARABIC </w:instrText>
      </w:r>
      <w:r w:rsidR="007A077E">
        <w:fldChar w:fldCharType="separate"/>
      </w:r>
      <w:r w:rsidR="0040635C">
        <w:t>2</w:t>
      </w:r>
      <w:r w:rsidR="007A077E">
        <w:fldChar w:fldCharType="end"/>
      </w:r>
      <w:r w:rsidRPr="003D6FF8">
        <w:t>: Statistične regije in kohezijski regiji</w:t>
      </w:r>
      <w:bookmarkEnd w:id="12"/>
    </w:p>
    <w:p w14:paraId="1CC000AF" w14:textId="77777777" w:rsidR="006C63D5" w:rsidRPr="007B7035" w:rsidRDefault="006C63D5" w:rsidP="00F57BE2">
      <w:pPr>
        <w:spacing w:after="240"/>
        <w:jc w:val="center"/>
      </w:pPr>
      <w:r w:rsidRPr="007B7035">
        <w:rPr>
          <w:rFonts w:cs="Arial"/>
          <w:noProof/>
          <w:lang w:eastAsia="sl-SI"/>
        </w:rPr>
        <w:drawing>
          <wp:inline distT="0" distB="0" distL="0" distR="0" wp14:anchorId="2BAF846F" wp14:editId="07785318">
            <wp:extent cx="5019679" cy="3503596"/>
            <wp:effectExtent l="0" t="0" r="0" b="1905"/>
            <wp:docPr id="1631865563" name="Slika 163186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65563" name="zemljevid-regije20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27835" cy="3509289"/>
                    </a:xfrm>
                    <a:prstGeom prst="rect">
                      <a:avLst/>
                    </a:prstGeom>
                  </pic:spPr>
                </pic:pic>
              </a:graphicData>
            </a:graphic>
          </wp:inline>
        </w:drawing>
      </w:r>
    </w:p>
    <w:p w14:paraId="16A46969" w14:textId="210C40AD" w:rsidR="006C63D5" w:rsidRPr="00DE12FE" w:rsidRDefault="006C63D5" w:rsidP="00F57BE2">
      <w:pPr>
        <w:pStyle w:val="Napis"/>
        <w:keepNext w:val="0"/>
        <w:spacing w:after="120" w:line="360" w:lineRule="auto"/>
        <w:jc w:val="both"/>
        <w:rPr>
          <w:sz w:val="20"/>
          <w:szCs w:val="20"/>
        </w:rPr>
      </w:pPr>
      <w:r w:rsidRPr="00DE12FE">
        <w:rPr>
          <w:sz w:val="20"/>
          <w:szCs w:val="20"/>
        </w:rPr>
        <w:t>Kohezijska regija Vzhodna Slovenija obsega 12.432 km</w:t>
      </w:r>
      <w:r w:rsidRPr="00F42F8F">
        <w:rPr>
          <w:sz w:val="20"/>
          <w:szCs w:val="20"/>
          <w:vertAlign w:val="superscript"/>
        </w:rPr>
        <w:t>2</w:t>
      </w:r>
      <w:r w:rsidRPr="00DE12FE">
        <w:rPr>
          <w:sz w:val="20"/>
          <w:szCs w:val="20"/>
        </w:rPr>
        <w:t xml:space="preserve">, kar predstavlja 61,3 % površine RS. Sestavlja jo </w:t>
      </w:r>
      <w:r w:rsidR="00DD132C">
        <w:rPr>
          <w:sz w:val="20"/>
          <w:szCs w:val="20"/>
        </w:rPr>
        <w:t>osem</w:t>
      </w:r>
      <w:r w:rsidRPr="00DE12FE">
        <w:rPr>
          <w:sz w:val="20"/>
          <w:szCs w:val="20"/>
        </w:rPr>
        <w:t xml:space="preserve"> statističnih regij (pomurska, podravska, koroška, savinjska, zasavska, posavska, jugovzhodna Slovenija in primorsko–notranjska) oziroma 148 občin. V Vzhodni Sloveniji živi 1.100.012 prebivalcev</w:t>
      </w:r>
      <w:r w:rsidR="00DD132C">
        <w:rPr>
          <w:sz w:val="20"/>
          <w:szCs w:val="20"/>
        </w:rPr>
        <w:t>, kar</w:t>
      </w:r>
      <w:r w:rsidRPr="00DE12FE">
        <w:rPr>
          <w:sz w:val="20"/>
          <w:szCs w:val="20"/>
        </w:rPr>
        <w:t xml:space="preserve"> predstavlja 52,5 % vseh prebivalcev Slovenije.</w:t>
      </w:r>
    </w:p>
    <w:p w14:paraId="3C6C8D21" w14:textId="0B2DE9C1" w:rsidR="006C63D5" w:rsidRPr="00DE12FE" w:rsidRDefault="006C63D5" w:rsidP="00F57BE2">
      <w:pPr>
        <w:pStyle w:val="Napis"/>
        <w:keepNext w:val="0"/>
        <w:spacing w:after="120" w:line="360" w:lineRule="auto"/>
        <w:jc w:val="both"/>
        <w:rPr>
          <w:sz w:val="20"/>
          <w:szCs w:val="20"/>
        </w:rPr>
      </w:pPr>
      <w:r w:rsidRPr="00DE12FE">
        <w:rPr>
          <w:sz w:val="20"/>
          <w:szCs w:val="20"/>
        </w:rPr>
        <w:t>Kohezijska regija Zahodna Slovenija obsega 7.839 km</w:t>
      </w:r>
      <w:r w:rsidRPr="00F42F8F">
        <w:rPr>
          <w:sz w:val="20"/>
          <w:szCs w:val="20"/>
          <w:vertAlign w:val="superscript"/>
        </w:rPr>
        <w:t>2</w:t>
      </w:r>
      <w:r w:rsidRPr="00DE12FE">
        <w:rPr>
          <w:sz w:val="20"/>
          <w:szCs w:val="20"/>
        </w:rPr>
        <w:t xml:space="preserve">, kar predstavlja 38,7 % površine RS. Sestavljajo jo </w:t>
      </w:r>
      <w:r w:rsidR="00DD132C">
        <w:rPr>
          <w:sz w:val="20"/>
          <w:szCs w:val="20"/>
        </w:rPr>
        <w:t>štiri</w:t>
      </w:r>
      <w:r w:rsidRPr="00DE12FE">
        <w:rPr>
          <w:sz w:val="20"/>
          <w:szCs w:val="20"/>
        </w:rPr>
        <w:t xml:space="preserve"> statistične regije (osrednjeslovenska, gorenjska, goriška in obalno–kraška) oziroma 64 občin. V Zahodni Sloveniji živi 995.849 prebivalcev</w:t>
      </w:r>
      <w:r w:rsidR="00DD132C">
        <w:rPr>
          <w:sz w:val="20"/>
          <w:szCs w:val="20"/>
        </w:rPr>
        <w:t>, kar</w:t>
      </w:r>
      <w:r w:rsidRPr="00DE12FE">
        <w:rPr>
          <w:sz w:val="20"/>
          <w:szCs w:val="20"/>
        </w:rPr>
        <w:t xml:space="preserve"> predstavlja 47,5 % vseh prebivalcev Slovenije.</w:t>
      </w:r>
    </w:p>
    <w:p w14:paraId="5AEE43A5" w14:textId="061F5E2C" w:rsidR="006C63D5" w:rsidRPr="00DE12FE" w:rsidRDefault="006C63D5" w:rsidP="00F57BE2">
      <w:pPr>
        <w:pStyle w:val="Napis"/>
        <w:keepNext w:val="0"/>
        <w:spacing w:after="120" w:line="360" w:lineRule="auto"/>
        <w:jc w:val="both"/>
        <w:rPr>
          <w:sz w:val="20"/>
          <w:szCs w:val="20"/>
        </w:rPr>
      </w:pPr>
      <w:r w:rsidRPr="00DE12FE">
        <w:rPr>
          <w:sz w:val="20"/>
          <w:szCs w:val="20"/>
        </w:rPr>
        <w:t xml:space="preserve">Slovenija je glede na odstotek prebivalcev, ki živijo v ruralnih celicah, glede na tipologijo OECD razdeljena na vmesne in podeželske regije. Od tega je 27,2 % vmesnih regij ter 72,8 % podeželskih regij. </w:t>
      </w:r>
    </w:p>
    <w:p w14:paraId="01A6066F" w14:textId="33242E9A" w:rsidR="006C63D5" w:rsidRPr="003D6FF8" w:rsidRDefault="00C9160B" w:rsidP="00C75FB1">
      <w:pPr>
        <w:pStyle w:val="SCPreglednica"/>
        <w:keepNext/>
        <w:keepLines/>
      </w:pPr>
      <w:bookmarkStart w:id="13" w:name="_Toc55913715"/>
      <w:r>
        <w:lastRenderedPageBreak/>
        <w:t>Tabela</w:t>
      </w:r>
      <w:r w:rsidR="006C63D5" w:rsidRPr="003D6FF8">
        <w:t xml:space="preserve"> </w:t>
      </w:r>
      <w:r w:rsidR="0001708D">
        <w:rPr>
          <w:noProof/>
        </w:rPr>
        <w:fldChar w:fldCharType="begin"/>
      </w:r>
      <w:r w:rsidR="0001708D">
        <w:rPr>
          <w:noProof/>
        </w:rPr>
        <w:instrText xml:space="preserve"> SEQ Tabela \* ARABIC </w:instrText>
      </w:r>
      <w:r w:rsidR="0001708D">
        <w:rPr>
          <w:noProof/>
        </w:rPr>
        <w:fldChar w:fldCharType="separate"/>
      </w:r>
      <w:r w:rsidR="00DF0D48">
        <w:rPr>
          <w:noProof/>
        </w:rPr>
        <w:t>4</w:t>
      </w:r>
      <w:r w:rsidR="0001708D">
        <w:rPr>
          <w:noProof/>
        </w:rPr>
        <w:fldChar w:fldCharType="end"/>
      </w:r>
      <w:r w:rsidR="006C63D5" w:rsidRPr="003D6FF8">
        <w:t>: Porazdelitev površine po vrstah regij</w:t>
      </w:r>
      <w:bookmarkEnd w:id="13"/>
    </w:p>
    <w:tbl>
      <w:tblPr>
        <w:tblW w:w="5000" w:type="pct"/>
        <w:tblCellMar>
          <w:left w:w="70" w:type="dxa"/>
          <w:right w:w="70" w:type="dxa"/>
        </w:tblCellMar>
        <w:tblLook w:val="04A0" w:firstRow="1" w:lastRow="0" w:firstColumn="1" w:lastColumn="0" w:noHBand="0" w:noVBand="1"/>
      </w:tblPr>
      <w:tblGrid>
        <w:gridCol w:w="858"/>
        <w:gridCol w:w="6720"/>
        <w:gridCol w:w="1484"/>
      </w:tblGrid>
      <w:tr w:rsidR="00706A0F" w:rsidRPr="00C9160B" w14:paraId="46CDAF5A" w14:textId="77777777" w:rsidTr="00706A0F">
        <w:trPr>
          <w:trHeight w:val="315"/>
        </w:trPr>
        <w:tc>
          <w:tcPr>
            <w:tcW w:w="473"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9517C9B" w14:textId="77777777" w:rsidR="006C63D5" w:rsidRPr="00C9160B" w:rsidRDefault="006C63D5" w:rsidP="00C75FB1">
            <w:pPr>
              <w:keepNext/>
              <w:keepLines/>
              <w:rPr>
                <w:rFonts w:cs="Arial"/>
                <w:b/>
                <w:bCs/>
                <w:color w:val="000000"/>
                <w:szCs w:val="20"/>
                <w:lang w:eastAsia="sl-SI"/>
              </w:rPr>
            </w:pPr>
            <w:r w:rsidRPr="00C9160B">
              <w:rPr>
                <w:rFonts w:cs="Arial"/>
                <w:b/>
                <w:bCs/>
                <w:color w:val="000000"/>
                <w:szCs w:val="20"/>
                <w:lang w:eastAsia="sl-SI"/>
              </w:rPr>
              <w:t>C.04</w:t>
            </w:r>
          </w:p>
        </w:tc>
        <w:tc>
          <w:tcPr>
            <w:tcW w:w="3708" w:type="pct"/>
            <w:tcBorders>
              <w:top w:val="single" w:sz="4" w:space="0" w:color="auto"/>
              <w:left w:val="nil"/>
              <w:bottom w:val="single" w:sz="4" w:space="0" w:color="auto"/>
              <w:right w:val="single" w:sz="4" w:space="0" w:color="auto"/>
            </w:tcBorders>
            <w:shd w:val="clear" w:color="000000" w:fill="92D050"/>
            <w:noWrap/>
            <w:vAlign w:val="bottom"/>
            <w:hideMark/>
          </w:tcPr>
          <w:p w14:paraId="26262D90" w14:textId="77777777" w:rsidR="006C63D5" w:rsidRPr="00C9160B" w:rsidRDefault="006C63D5" w:rsidP="00C75FB1">
            <w:pPr>
              <w:keepNext/>
              <w:keepLines/>
              <w:rPr>
                <w:rFonts w:cs="Arial"/>
                <w:b/>
                <w:bCs/>
                <w:color w:val="000000"/>
                <w:szCs w:val="20"/>
                <w:lang w:eastAsia="sl-SI"/>
              </w:rPr>
            </w:pPr>
            <w:r w:rsidRPr="00C9160B">
              <w:rPr>
                <w:rFonts w:cs="Arial"/>
                <w:b/>
                <w:bCs/>
                <w:color w:val="000000"/>
                <w:szCs w:val="20"/>
                <w:lang w:eastAsia="sl-SI"/>
              </w:rPr>
              <w:t>Celotna površina</w:t>
            </w:r>
          </w:p>
        </w:tc>
        <w:tc>
          <w:tcPr>
            <w:tcW w:w="819" w:type="pct"/>
            <w:tcBorders>
              <w:top w:val="single" w:sz="4" w:space="0" w:color="auto"/>
              <w:left w:val="nil"/>
              <w:bottom w:val="single" w:sz="4" w:space="0" w:color="auto"/>
              <w:right w:val="single" w:sz="4" w:space="0" w:color="auto"/>
            </w:tcBorders>
            <w:shd w:val="clear" w:color="000000" w:fill="92D050"/>
            <w:noWrap/>
            <w:vAlign w:val="center"/>
            <w:hideMark/>
          </w:tcPr>
          <w:p w14:paraId="21AEB7CB" w14:textId="77777777" w:rsidR="006C63D5" w:rsidRPr="00C9160B" w:rsidRDefault="006C63D5" w:rsidP="00C75FB1">
            <w:pPr>
              <w:keepNext/>
              <w:keepLines/>
              <w:jc w:val="center"/>
              <w:rPr>
                <w:rFonts w:cs="Arial"/>
                <w:b/>
                <w:bCs/>
                <w:color w:val="000000"/>
                <w:szCs w:val="20"/>
                <w:lang w:eastAsia="sl-SI"/>
              </w:rPr>
            </w:pPr>
            <w:r w:rsidRPr="00C9160B">
              <w:rPr>
                <w:rFonts w:cs="Arial"/>
                <w:b/>
                <w:bCs/>
                <w:color w:val="000000"/>
                <w:szCs w:val="20"/>
                <w:lang w:eastAsia="sl-SI"/>
              </w:rPr>
              <w:t>2016</w:t>
            </w:r>
          </w:p>
        </w:tc>
      </w:tr>
      <w:tr w:rsidR="006C63D5" w:rsidRPr="00C9160B" w14:paraId="3009644B" w14:textId="77777777" w:rsidTr="00706A0F">
        <w:trPr>
          <w:trHeight w:val="315"/>
        </w:trPr>
        <w:tc>
          <w:tcPr>
            <w:tcW w:w="473"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CE9E8" w14:textId="77777777" w:rsidR="006C63D5" w:rsidRPr="00C9160B" w:rsidRDefault="006C63D5" w:rsidP="00C75FB1">
            <w:pPr>
              <w:keepNext/>
              <w:keepLines/>
              <w:rPr>
                <w:rFonts w:cs="Arial"/>
                <w:color w:val="000000"/>
                <w:szCs w:val="20"/>
                <w:lang w:eastAsia="sl-SI"/>
              </w:rPr>
            </w:pPr>
            <w:r w:rsidRPr="00C9160B">
              <w:rPr>
                <w:rFonts w:cs="Arial"/>
                <w:color w:val="000000"/>
                <w:szCs w:val="20"/>
                <w:lang w:eastAsia="sl-SI"/>
              </w:rPr>
              <w:t> </w:t>
            </w:r>
          </w:p>
        </w:tc>
        <w:tc>
          <w:tcPr>
            <w:tcW w:w="3708" w:type="pct"/>
            <w:tcBorders>
              <w:top w:val="nil"/>
              <w:left w:val="nil"/>
              <w:bottom w:val="single" w:sz="4" w:space="0" w:color="auto"/>
              <w:right w:val="single" w:sz="4" w:space="0" w:color="auto"/>
            </w:tcBorders>
            <w:shd w:val="clear" w:color="auto" w:fill="auto"/>
            <w:noWrap/>
            <w:vAlign w:val="bottom"/>
            <w:hideMark/>
          </w:tcPr>
          <w:p w14:paraId="5F365DCB" w14:textId="77777777" w:rsidR="006C63D5" w:rsidRPr="00C9160B" w:rsidRDefault="006C63D5" w:rsidP="00C75FB1">
            <w:pPr>
              <w:keepNext/>
              <w:keepLines/>
              <w:rPr>
                <w:rFonts w:cs="Arial"/>
                <w:color w:val="000000"/>
                <w:szCs w:val="20"/>
                <w:lang w:eastAsia="sl-SI"/>
              </w:rPr>
            </w:pPr>
            <w:r w:rsidRPr="00C9160B">
              <w:rPr>
                <w:rFonts w:cs="Arial"/>
                <w:color w:val="000000"/>
                <w:szCs w:val="20"/>
                <w:lang w:eastAsia="sl-SI"/>
              </w:rPr>
              <w:t>Porazdelitev površine po vrstah regij - vmesne regije (%)</w:t>
            </w:r>
          </w:p>
        </w:tc>
        <w:tc>
          <w:tcPr>
            <w:tcW w:w="819" w:type="pct"/>
            <w:tcBorders>
              <w:top w:val="nil"/>
              <w:left w:val="nil"/>
              <w:bottom w:val="single" w:sz="4" w:space="0" w:color="auto"/>
              <w:right w:val="single" w:sz="4" w:space="0" w:color="auto"/>
            </w:tcBorders>
            <w:shd w:val="clear" w:color="auto" w:fill="auto"/>
            <w:noWrap/>
            <w:vAlign w:val="center"/>
            <w:hideMark/>
          </w:tcPr>
          <w:p w14:paraId="43B91FE5" w14:textId="77777777" w:rsidR="006C63D5" w:rsidRPr="00C9160B" w:rsidRDefault="006C63D5" w:rsidP="00C75FB1">
            <w:pPr>
              <w:keepNext/>
              <w:keepLines/>
              <w:jc w:val="right"/>
              <w:rPr>
                <w:rFonts w:cs="Arial"/>
                <w:color w:val="000000"/>
                <w:szCs w:val="20"/>
                <w:lang w:eastAsia="sl-SI"/>
              </w:rPr>
            </w:pPr>
            <w:r w:rsidRPr="00C9160B">
              <w:rPr>
                <w:rFonts w:cs="Arial"/>
                <w:color w:val="000000"/>
                <w:szCs w:val="20"/>
                <w:lang w:eastAsia="sl-SI"/>
              </w:rPr>
              <w:t>27,20</w:t>
            </w:r>
          </w:p>
        </w:tc>
      </w:tr>
      <w:tr w:rsidR="00706A0F" w:rsidRPr="00C9160B" w14:paraId="4AA1DD21" w14:textId="77777777" w:rsidTr="00706A0F">
        <w:trPr>
          <w:trHeight w:val="315"/>
        </w:trPr>
        <w:tc>
          <w:tcPr>
            <w:tcW w:w="473" w:type="pct"/>
            <w:vMerge/>
            <w:tcBorders>
              <w:top w:val="single" w:sz="4" w:space="0" w:color="auto"/>
              <w:left w:val="single" w:sz="4" w:space="0" w:color="auto"/>
              <w:bottom w:val="single" w:sz="4" w:space="0" w:color="auto"/>
              <w:right w:val="single" w:sz="4" w:space="0" w:color="auto"/>
            </w:tcBorders>
            <w:vAlign w:val="center"/>
            <w:hideMark/>
          </w:tcPr>
          <w:p w14:paraId="73594B63" w14:textId="77777777" w:rsidR="006C63D5" w:rsidRPr="00C9160B" w:rsidRDefault="006C63D5" w:rsidP="00F42F8F">
            <w:pPr>
              <w:keepNext/>
              <w:keepLines/>
              <w:rPr>
                <w:rFonts w:cs="Arial"/>
                <w:color w:val="000000"/>
                <w:szCs w:val="20"/>
                <w:lang w:eastAsia="sl-SI"/>
              </w:rPr>
            </w:pPr>
          </w:p>
        </w:tc>
        <w:tc>
          <w:tcPr>
            <w:tcW w:w="3708" w:type="pct"/>
            <w:tcBorders>
              <w:top w:val="nil"/>
              <w:left w:val="nil"/>
              <w:bottom w:val="single" w:sz="4" w:space="0" w:color="auto"/>
              <w:right w:val="single" w:sz="4" w:space="0" w:color="auto"/>
            </w:tcBorders>
            <w:shd w:val="clear" w:color="auto" w:fill="auto"/>
            <w:noWrap/>
            <w:vAlign w:val="bottom"/>
            <w:hideMark/>
          </w:tcPr>
          <w:p w14:paraId="43AE135E" w14:textId="77777777" w:rsidR="006C63D5" w:rsidRPr="00C9160B" w:rsidRDefault="006C63D5" w:rsidP="00F42F8F">
            <w:pPr>
              <w:keepNext/>
              <w:keepLines/>
              <w:rPr>
                <w:rFonts w:cs="Arial"/>
                <w:color w:val="000000"/>
                <w:szCs w:val="20"/>
                <w:lang w:eastAsia="sl-SI"/>
              </w:rPr>
            </w:pPr>
            <w:r w:rsidRPr="00C9160B">
              <w:rPr>
                <w:rFonts w:cs="Arial"/>
                <w:color w:val="000000"/>
                <w:szCs w:val="20"/>
                <w:lang w:eastAsia="sl-SI"/>
              </w:rPr>
              <w:t>Porazdelitev površine po vrstah regij - podeželske regije (%)</w:t>
            </w:r>
          </w:p>
        </w:tc>
        <w:tc>
          <w:tcPr>
            <w:tcW w:w="819" w:type="pct"/>
            <w:tcBorders>
              <w:top w:val="nil"/>
              <w:left w:val="nil"/>
              <w:bottom w:val="single" w:sz="4" w:space="0" w:color="auto"/>
              <w:right w:val="single" w:sz="4" w:space="0" w:color="auto"/>
            </w:tcBorders>
            <w:shd w:val="clear" w:color="auto" w:fill="auto"/>
            <w:noWrap/>
            <w:vAlign w:val="center"/>
            <w:hideMark/>
          </w:tcPr>
          <w:p w14:paraId="0829E77A" w14:textId="77777777" w:rsidR="006C63D5" w:rsidRPr="00C9160B" w:rsidRDefault="006C63D5" w:rsidP="00F42F8F">
            <w:pPr>
              <w:keepNext/>
              <w:keepLines/>
              <w:jc w:val="right"/>
              <w:rPr>
                <w:rFonts w:cs="Arial"/>
                <w:color w:val="000000"/>
                <w:szCs w:val="20"/>
                <w:lang w:eastAsia="sl-SI"/>
              </w:rPr>
            </w:pPr>
            <w:r w:rsidRPr="00C9160B">
              <w:rPr>
                <w:rFonts w:cs="Arial"/>
                <w:color w:val="000000"/>
                <w:szCs w:val="20"/>
                <w:lang w:eastAsia="sl-SI"/>
              </w:rPr>
              <w:t>72,80</w:t>
            </w:r>
          </w:p>
        </w:tc>
      </w:tr>
      <w:tr w:rsidR="00706A0F" w:rsidRPr="00C9160B" w14:paraId="3AD148A5" w14:textId="77777777" w:rsidTr="00706A0F">
        <w:trPr>
          <w:trHeight w:val="285"/>
        </w:trPr>
        <w:tc>
          <w:tcPr>
            <w:tcW w:w="473" w:type="pct"/>
            <w:vMerge/>
            <w:tcBorders>
              <w:top w:val="single" w:sz="4" w:space="0" w:color="auto"/>
              <w:left w:val="single" w:sz="4" w:space="0" w:color="auto"/>
              <w:bottom w:val="single" w:sz="4" w:space="0" w:color="auto"/>
              <w:right w:val="single" w:sz="4" w:space="0" w:color="auto"/>
            </w:tcBorders>
            <w:vAlign w:val="center"/>
            <w:hideMark/>
          </w:tcPr>
          <w:p w14:paraId="3EAD2277" w14:textId="77777777" w:rsidR="006C63D5" w:rsidRPr="00C9160B" w:rsidRDefault="006C63D5" w:rsidP="00F42F8F">
            <w:pPr>
              <w:keepNext/>
              <w:keepLines/>
              <w:rPr>
                <w:rFonts w:cs="Arial"/>
                <w:color w:val="000000"/>
                <w:szCs w:val="20"/>
                <w:lang w:eastAsia="sl-SI"/>
              </w:rPr>
            </w:pPr>
          </w:p>
        </w:tc>
        <w:tc>
          <w:tcPr>
            <w:tcW w:w="3708" w:type="pct"/>
            <w:tcBorders>
              <w:top w:val="single" w:sz="4" w:space="0" w:color="auto"/>
              <w:left w:val="nil"/>
              <w:bottom w:val="single" w:sz="4" w:space="0" w:color="auto"/>
              <w:right w:val="single" w:sz="4" w:space="0" w:color="auto"/>
            </w:tcBorders>
            <w:shd w:val="clear" w:color="auto" w:fill="auto"/>
            <w:noWrap/>
            <w:vAlign w:val="bottom"/>
            <w:hideMark/>
          </w:tcPr>
          <w:p w14:paraId="13100327" w14:textId="77777777" w:rsidR="006C63D5" w:rsidRPr="00C9160B" w:rsidRDefault="006C63D5" w:rsidP="00F42F8F">
            <w:pPr>
              <w:keepNext/>
              <w:keepLines/>
              <w:rPr>
                <w:rFonts w:cs="Arial"/>
                <w:color w:val="000000"/>
                <w:szCs w:val="20"/>
                <w:lang w:eastAsia="sl-SI"/>
              </w:rPr>
            </w:pPr>
            <w:r w:rsidRPr="00C9160B">
              <w:rPr>
                <w:rFonts w:cs="Arial"/>
                <w:color w:val="000000"/>
                <w:szCs w:val="20"/>
                <w:lang w:eastAsia="sl-SI"/>
              </w:rPr>
              <w:t>Porazdelitev površine po vrstah regij - urbane regije (%)</w:t>
            </w:r>
          </w:p>
        </w:tc>
        <w:tc>
          <w:tcPr>
            <w:tcW w:w="819" w:type="pct"/>
            <w:tcBorders>
              <w:top w:val="single" w:sz="4" w:space="0" w:color="auto"/>
              <w:left w:val="nil"/>
              <w:bottom w:val="single" w:sz="4" w:space="0" w:color="auto"/>
              <w:right w:val="single" w:sz="4" w:space="0" w:color="auto"/>
            </w:tcBorders>
            <w:shd w:val="clear" w:color="auto" w:fill="auto"/>
            <w:noWrap/>
            <w:vAlign w:val="bottom"/>
            <w:hideMark/>
          </w:tcPr>
          <w:p w14:paraId="6855B36D" w14:textId="77777777" w:rsidR="006C63D5" w:rsidRPr="00C9160B" w:rsidRDefault="006C63D5" w:rsidP="00F42F8F">
            <w:pPr>
              <w:keepNext/>
              <w:keepLines/>
              <w:jc w:val="right"/>
              <w:rPr>
                <w:rFonts w:cs="Arial"/>
                <w:color w:val="000000"/>
                <w:szCs w:val="20"/>
                <w:lang w:eastAsia="sl-SI"/>
              </w:rPr>
            </w:pPr>
            <w:r w:rsidRPr="00C9160B">
              <w:rPr>
                <w:rFonts w:cs="Arial"/>
                <w:color w:val="000000"/>
                <w:szCs w:val="20"/>
                <w:lang w:eastAsia="sl-SI"/>
              </w:rPr>
              <w:t>/</w:t>
            </w:r>
          </w:p>
        </w:tc>
      </w:tr>
      <w:tr w:rsidR="006C63D5" w:rsidRPr="00C9160B" w14:paraId="22B53EE1" w14:textId="77777777" w:rsidTr="00706A0F">
        <w:trPr>
          <w:trHeight w:val="315"/>
        </w:trPr>
        <w:tc>
          <w:tcPr>
            <w:tcW w:w="473" w:type="pct"/>
            <w:vMerge/>
            <w:tcBorders>
              <w:top w:val="single" w:sz="4" w:space="0" w:color="auto"/>
              <w:left w:val="single" w:sz="4" w:space="0" w:color="auto"/>
              <w:bottom w:val="single" w:sz="4" w:space="0" w:color="auto"/>
              <w:right w:val="single" w:sz="4" w:space="0" w:color="auto"/>
            </w:tcBorders>
            <w:vAlign w:val="center"/>
            <w:hideMark/>
          </w:tcPr>
          <w:p w14:paraId="09DCB8F0" w14:textId="77777777" w:rsidR="006C63D5" w:rsidRPr="00C9160B" w:rsidRDefault="006C63D5" w:rsidP="00F42F8F">
            <w:pPr>
              <w:keepNext/>
              <w:keepLines/>
              <w:rPr>
                <w:rFonts w:cs="Arial"/>
                <w:color w:val="000000"/>
                <w:szCs w:val="20"/>
                <w:lang w:eastAsia="sl-SI"/>
              </w:rPr>
            </w:pPr>
          </w:p>
        </w:tc>
        <w:tc>
          <w:tcPr>
            <w:tcW w:w="3708" w:type="pct"/>
            <w:tcBorders>
              <w:top w:val="nil"/>
              <w:left w:val="nil"/>
              <w:bottom w:val="single" w:sz="4" w:space="0" w:color="auto"/>
              <w:right w:val="single" w:sz="4" w:space="0" w:color="auto"/>
            </w:tcBorders>
            <w:shd w:val="clear" w:color="auto" w:fill="auto"/>
            <w:noWrap/>
            <w:vAlign w:val="bottom"/>
            <w:hideMark/>
          </w:tcPr>
          <w:p w14:paraId="73AF7E3D" w14:textId="77777777" w:rsidR="006C63D5" w:rsidRPr="00C9160B" w:rsidRDefault="006C63D5" w:rsidP="00F42F8F">
            <w:pPr>
              <w:keepNext/>
              <w:keepLines/>
              <w:rPr>
                <w:rFonts w:cs="Arial"/>
                <w:color w:val="000000"/>
                <w:szCs w:val="20"/>
                <w:lang w:eastAsia="sl-SI"/>
              </w:rPr>
            </w:pPr>
            <w:r w:rsidRPr="00C9160B">
              <w:rPr>
                <w:rFonts w:cs="Arial"/>
                <w:color w:val="000000"/>
                <w:szCs w:val="20"/>
                <w:lang w:eastAsia="sl-SI"/>
              </w:rPr>
              <w:t>Površina skupaj (km2)</w:t>
            </w:r>
          </w:p>
        </w:tc>
        <w:tc>
          <w:tcPr>
            <w:tcW w:w="819" w:type="pct"/>
            <w:tcBorders>
              <w:top w:val="nil"/>
              <w:left w:val="nil"/>
              <w:bottom w:val="single" w:sz="4" w:space="0" w:color="auto"/>
              <w:right w:val="single" w:sz="4" w:space="0" w:color="auto"/>
            </w:tcBorders>
            <w:shd w:val="clear" w:color="auto" w:fill="auto"/>
            <w:vAlign w:val="center"/>
            <w:hideMark/>
          </w:tcPr>
          <w:p w14:paraId="2E8AED10" w14:textId="77777777" w:rsidR="006C63D5" w:rsidRPr="00C9160B" w:rsidRDefault="006C63D5" w:rsidP="00F42F8F">
            <w:pPr>
              <w:keepNext/>
              <w:keepLines/>
              <w:jc w:val="right"/>
              <w:rPr>
                <w:rFonts w:cs="Arial"/>
                <w:color w:val="000000"/>
                <w:szCs w:val="20"/>
                <w:lang w:eastAsia="sl-SI"/>
              </w:rPr>
            </w:pPr>
            <w:r w:rsidRPr="00C9160B">
              <w:rPr>
                <w:rFonts w:cs="Arial"/>
                <w:color w:val="000000"/>
                <w:szCs w:val="20"/>
                <w:lang w:eastAsia="sl-SI"/>
              </w:rPr>
              <w:t>20.273</w:t>
            </w:r>
          </w:p>
        </w:tc>
      </w:tr>
    </w:tbl>
    <w:p w14:paraId="61E662EB" w14:textId="460ECD40" w:rsidR="00706A0F" w:rsidRPr="005B1C38" w:rsidRDefault="00A04513" w:rsidP="00F42F8F">
      <w:pPr>
        <w:spacing w:after="240"/>
        <w:rPr>
          <w:sz w:val="16"/>
          <w:szCs w:val="16"/>
        </w:rPr>
      </w:pPr>
      <w:r w:rsidRPr="004629B1">
        <w:rPr>
          <w:rFonts w:cs="Arial"/>
          <w:sz w:val="16"/>
          <w:szCs w:val="16"/>
        </w:rPr>
        <w:t xml:space="preserve">Vir: </w:t>
      </w:r>
      <w:r w:rsidRPr="004629B1">
        <w:rPr>
          <w:rFonts w:eastAsia="Calibri"/>
          <w:sz w:val="16"/>
          <w:szCs w:val="16"/>
        </w:rPr>
        <w:t>C</w:t>
      </w:r>
      <w:r>
        <w:rPr>
          <w:rFonts w:eastAsia="Calibri"/>
          <w:sz w:val="16"/>
          <w:szCs w:val="16"/>
        </w:rPr>
        <w:t>.</w:t>
      </w:r>
      <w:r w:rsidRPr="004629B1">
        <w:rPr>
          <w:rFonts w:eastAsia="Calibri"/>
          <w:sz w:val="16"/>
          <w:szCs w:val="16"/>
        </w:rPr>
        <w:t>0</w:t>
      </w:r>
      <w:r>
        <w:rPr>
          <w:rFonts w:eastAsia="Calibri"/>
          <w:sz w:val="16"/>
          <w:szCs w:val="16"/>
        </w:rPr>
        <w:t xml:space="preserve">4 - </w:t>
      </w:r>
      <w:proofErr w:type="spellStart"/>
      <w:r w:rsidRPr="004629B1">
        <w:rPr>
          <w:rFonts w:eastAsia="Calibri"/>
          <w:sz w:val="16"/>
          <w:szCs w:val="16"/>
        </w:rPr>
        <w:t>Dashboard</w:t>
      </w:r>
      <w:proofErr w:type="spellEnd"/>
      <w:r w:rsidRPr="004629B1">
        <w:rPr>
          <w:rFonts w:eastAsia="Calibri"/>
          <w:sz w:val="16"/>
          <w:szCs w:val="16"/>
        </w:rPr>
        <w:t xml:space="preserve"> </w:t>
      </w:r>
      <w:proofErr w:type="spellStart"/>
      <w:r w:rsidRPr="004629B1">
        <w:rPr>
          <w:rFonts w:eastAsia="Calibri"/>
          <w:sz w:val="16"/>
          <w:szCs w:val="16"/>
        </w:rPr>
        <w:t>Indicators</w:t>
      </w:r>
      <w:proofErr w:type="spellEnd"/>
      <w:r w:rsidRPr="004629B1">
        <w:rPr>
          <w:rFonts w:cs="Arial"/>
          <w:sz w:val="16"/>
          <w:szCs w:val="16"/>
        </w:rPr>
        <w:t xml:space="preserve"> (https://agridata.ec.europa.eu/extensions/DashboardIndicators/DataExplorer.html?select=EU27_FLAG,1)</w:t>
      </w:r>
    </w:p>
    <w:p w14:paraId="655A7AFD" w14:textId="77777777" w:rsidR="00C75FB1" w:rsidRDefault="00C75FB1" w:rsidP="00706A0F">
      <w:pPr>
        <w:pStyle w:val="SCslika"/>
      </w:pPr>
    </w:p>
    <w:p w14:paraId="1E39FCD5" w14:textId="27F240FF" w:rsidR="006C63D5" w:rsidRPr="007B7035" w:rsidRDefault="00706A0F" w:rsidP="00F42F8F">
      <w:pPr>
        <w:pStyle w:val="SCslika"/>
        <w:keepNext/>
      </w:pPr>
      <w:bookmarkStart w:id="14" w:name="_Toc55913754"/>
      <w:r w:rsidRPr="003D6FF8">
        <w:t xml:space="preserve">Slika </w:t>
      </w:r>
      <w:r w:rsidR="007A077E">
        <w:fldChar w:fldCharType="begin"/>
      </w:r>
      <w:r w:rsidR="007A077E">
        <w:instrText xml:space="preserve"> SEQ Slika \* ARABIC </w:instrText>
      </w:r>
      <w:r w:rsidR="007A077E">
        <w:fldChar w:fldCharType="separate"/>
      </w:r>
      <w:r w:rsidR="0040635C">
        <w:t>3</w:t>
      </w:r>
      <w:r w:rsidR="007A077E">
        <w:fldChar w:fldCharType="end"/>
      </w:r>
      <w:r>
        <w:t>: Vmesne in podeželske regije</w:t>
      </w:r>
      <w:bookmarkEnd w:id="14"/>
    </w:p>
    <w:p w14:paraId="31A5289C" w14:textId="77777777" w:rsidR="006C63D5" w:rsidRDefault="006C63D5" w:rsidP="00F42F8F">
      <w:pPr>
        <w:keepNext/>
      </w:pPr>
      <w:r w:rsidRPr="00053D7A">
        <w:rPr>
          <w:rFonts w:cs="Arial"/>
          <w:noProof/>
          <w:lang w:eastAsia="sl-SI"/>
        </w:rPr>
        <w:drawing>
          <wp:inline distT="0" distB="0" distL="0" distR="0" wp14:anchorId="2E187F1C" wp14:editId="7CD12245">
            <wp:extent cx="5274644" cy="3573147"/>
            <wp:effectExtent l="0" t="0" r="2540" b="825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2157" t="23545" r="21458" b="15344"/>
                    <a:stretch/>
                  </pic:blipFill>
                  <pic:spPr bwMode="auto">
                    <a:xfrm>
                      <a:off x="0" y="0"/>
                      <a:ext cx="5279996" cy="3576773"/>
                    </a:xfrm>
                    <a:prstGeom prst="rect">
                      <a:avLst/>
                    </a:prstGeom>
                    <a:ln>
                      <a:noFill/>
                    </a:ln>
                    <a:extLst>
                      <a:ext uri="{53640926-AAD7-44D8-BBD7-CCE9431645EC}">
                        <a14:shadowObscured xmlns:a14="http://schemas.microsoft.com/office/drawing/2010/main"/>
                      </a:ext>
                    </a:extLst>
                  </pic:spPr>
                </pic:pic>
              </a:graphicData>
            </a:graphic>
          </wp:inline>
        </w:drawing>
      </w:r>
    </w:p>
    <w:p w14:paraId="2813A91D" w14:textId="071EC1D8" w:rsidR="006C63D5" w:rsidRPr="00706A0F" w:rsidRDefault="006C63D5" w:rsidP="00F42F8F">
      <w:pPr>
        <w:keepNext/>
        <w:spacing w:after="120"/>
        <w:rPr>
          <w:rFonts w:cs="Arial"/>
          <w:bCs/>
          <w:sz w:val="16"/>
          <w:szCs w:val="16"/>
        </w:rPr>
      </w:pPr>
      <w:r w:rsidRPr="00706A0F">
        <w:rPr>
          <w:rFonts w:cs="Arial"/>
          <w:bCs/>
          <w:sz w:val="16"/>
          <w:szCs w:val="16"/>
        </w:rPr>
        <w:t>Vir: SURS (zmerno ruralna regija = vmesna regija; pretežno ruralna regija = podeželska regija)</w:t>
      </w:r>
    </w:p>
    <w:p w14:paraId="569F4B4D" w14:textId="77777777" w:rsidR="00706A0F" w:rsidRDefault="00706A0F" w:rsidP="006C63D5">
      <w:pPr>
        <w:spacing w:after="240"/>
        <w:rPr>
          <w:rFonts w:cs="Arial"/>
        </w:rPr>
      </w:pPr>
    </w:p>
    <w:p w14:paraId="154B791B" w14:textId="085C43BC" w:rsidR="006C63D5" w:rsidRPr="00DE12FE" w:rsidRDefault="006C63D5" w:rsidP="00F57BE2">
      <w:pPr>
        <w:pStyle w:val="Napis"/>
        <w:keepNext w:val="0"/>
        <w:spacing w:after="120" w:line="360" w:lineRule="auto"/>
        <w:jc w:val="both"/>
        <w:rPr>
          <w:sz w:val="20"/>
          <w:szCs w:val="20"/>
        </w:rPr>
      </w:pPr>
      <w:r w:rsidRPr="00DE12FE">
        <w:rPr>
          <w:sz w:val="20"/>
          <w:szCs w:val="20"/>
        </w:rPr>
        <w:t>Le tri statistične regije (osrednjeslovenska, gorenjska in obalno kraška) se uvrščajo v vmesne regije, vse ostale pa sodijo v podeželske regije, zato se celotno ozemlje Slovenije obravnava kot podeželsko. Tudi podatki stopnje urbanizacije po občinah kažejo na ruralnost Slovenije, saj se samo dve slovenski občini uvrščata med gosto naseljena območja, 44 občin se uvršča med območja srednje gostote, 166 občin oziroma več kot 50 % prebivalcev RS pa med redko poseljena območja (Vir: SURS).</w:t>
      </w:r>
    </w:p>
    <w:p w14:paraId="0B71C3CC" w14:textId="5D7F1640" w:rsidR="006C63D5" w:rsidRPr="00DE12FE" w:rsidRDefault="006C63D5" w:rsidP="00F57BE2">
      <w:pPr>
        <w:pStyle w:val="Napis"/>
        <w:keepNext w:val="0"/>
        <w:spacing w:after="120" w:line="360" w:lineRule="auto"/>
        <w:jc w:val="both"/>
        <w:rPr>
          <w:sz w:val="20"/>
          <w:szCs w:val="20"/>
        </w:rPr>
      </w:pPr>
      <w:r w:rsidRPr="00DE12FE">
        <w:rPr>
          <w:sz w:val="20"/>
          <w:szCs w:val="20"/>
        </w:rPr>
        <w:t xml:space="preserve">Za slovensko podeželje kot območje zunaj večjih mest veljajo naslednje značilnosti: manjša gostota prebivalstva, prevladujeta kmetijska in gozdarska dejavnost oziroma raba prostora, </w:t>
      </w:r>
      <w:r w:rsidRPr="00C75FB1">
        <w:rPr>
          <w:sz w:val="20"/>
          <w:szCs w:val="20"/>
        </w:rPr>
        <w:t xml:space="preserve">povezovanje </w:t>
      </w:r>
      <w:r w:rsidR="00C75FB1" w:rsidRPr="00C75FB1">
        <w:rPr>
          <w:sz w:val="20"/>
          <w:szCs w:val="20"/>
        </w:rPr>
        <w:lastRenderedPageBreak/>
        <w:t>ne</w:t>
      </w:r>
      <w:r w:rsidRPr="00C75FB1">
        <w:rPr>
          <w:sz w:val="20"/>
          <w:szCs w:val="20"/>
        </w:rPr>
        <w:t>kmetijskih dejavnosti s kmetijsko pridelavo</w:t>
      </w:r>
      <w:r w:rsidRPr="00DE12FE">
        <w:rPr>
          <w:sz w:val="20"/>
          <w:szCs w:val="20"/>
        </w:rPr>
        <w:t xml:space="preserve"> in kmečkim prebivalstvom, počasnejša prebivalstvena rast, manjša socialna slojevitost, tesnejše vezi med prebivalci in manjša naselja z nižjimi stopnjami centralnosti.</w:t>
      </w:r>
    </w:p>
    <w:p w14:paraId="5E9B9E8E" w14:textId="267A559C" w:rsidR="006C63D5" w:rsidRPr="00706A0F" w:rsidRDefault="006412DC" w:rsidP="00F57BE2">
      <w:pPr>
        <w:pStyle w:val="Naslov2"/>
        <w:ind w:left="578" w:hanging="578"/>
      </w:pPr>
      <w:bookmarkStart w:id="15" w:name="_Toc42067290"/>
      <w:bookmarkStart w:id="16" w:name="_Toc55912176"/>
      <w:r w:rsidRPr="00706A0F">
        <w:t>Prebivalstvo</w:t>
      </w:r>
      <w:bookmarkEnd w:id="15"/>
      <w:bookmarkEnd w:id="16"/>
    </w:p>
    <w:p w14:paraId="131EA300" w14:textId="25258328" w:rsidR="006C63D5" w:rsidRPr="00DE12FE" w:rsidRDefault="006C63D5" w:rsidP="00F57BE2">
      <w:pPr>
        <w:pStyle w:val="Napis"/>
        <w:spacing w:after="120" w:line="360" w:lineRule="auto"/>
        <w:jc w:val="both"/>
        <w:rPr>
          <w:sz w:val="20"/>
          <w:szCs w:val="20"/>
        </w:rPr>
      </w:pPr>
      <w:r w:rsidRPr="00DE12FE">
        <w:rPr>
          <w:sz w:val="20"/>
          <w:szCs w:val="20"/>
        </w:rPr>
        <w:t xml:space="preserve">Slovenija se uvršča med države z manjšim številom prebivalcev </w:t>
      </w:r>
      <w:r w:rsidRPr="00C75FB1">
        <w:rPr>
          <w:sz w:val="20"/>
          <w:szCs w:val="20"/>
        </w:rPr>
        <w:t>v EU-28.</w:t>
      </w:r>
      <w:r w:rsidRPr="00DE12FE">
        <w:rPr>
          <w:sz w:val="20"/>
          <w:szCs w:val="20"/>
        </w:rPr>
        <w:t xml:space="preserve"> V Sloveniji je leta 2020 živelo 2.095.861 prebivalcev. Število državljanov RS se zmanjšuje, število tujih državljanov pa povečuje (156.351</w:t>
      </w:r>
      <w:r w:rsidRPr="00DE12FE" w:rsidDel="00076441">
        <w:rPr>
          <w:sz w:val="20"/>
          <w:szCs w:val="20"/>
        </w:rPr>
        <w:t xml:space="preserve"> </w:t>
      </w:r>
      <w:r w:rsidRPr="00DE12FE">
        <w:rPr>
          <w:sz w:val="20"/>
          <w:szCs w:val="20"/>
        </w:rPr>
        <w:t xml:space="preserve">tujcev je predstavljalo 7,5 % vseh prebivalcev Slovenije). </w:t>
      </w:r>
    </w:p>
    <w:p w14:paraId="196002AE" w14:textId="26FD13B1" w:rsidR="006C63D5" w:rsidRPr="003D6FF8" w:rsidRDefault="00C9160B" w:rsidP="004167E8">
      <w:pPr>
        <w:pStyle w:val="SCPreglednica"/>
      </w:pPr>
      <w:bookmarkStart w:id="17" w:name="_Toc55913716"/>
      <w:r>
        <w:t>Tabela</w:t>
      </w:r>
      <w:r w:rsidR="006C63D5" w:rsidRPr="003D6FF8">
        <w:t xml:space="preserve"> </w:t>
      </w:r>
      <w:r w:rsidR="0001708D">
        <w:rPr>
          <w:noProof/>
        </w:rPr>
        <w:fldChar w:fldCharType="begin"/>
      </w:r>
      <w:r w:rsidR="0001708D">
        <w:rPr>
          <w:noProof/>
        </w:rPr>
        <w:instrText xml:space="preserve"> SEQ Tabela \* ARABIC </w:instrText>
      </w:r>
      <w:r w:rsidR="0001708D">
        <w:rPr>
          <w:noProof/>
        </w:rPr>
        <w:fldChar w:fldCharType="separate"/>
      </w:r>
      <w:r w:rsidR="00DF0D48">
        <w:rPr>
          <w:noProof/>
        </w:rPr>
        <w:t>5</w:t>
      </w:r>
      <w:r w:rsidR="0001708D">
        <w:rPr>
          <w:noProof/>
        </w:rPr>
        <w:fldChar w:fldCharType="end"/>
      </w:r>
      <w:r w:rsidR="006C63D5" w:rsidRPr="003D6FF8">
        <w:t>: Prebivalstvo v Sloveniji po regijah</w:t>
      </w:r>
      <w:bookmarkEnd w:id="17"/>
    </w:p>
    <w:tbl>
      <w:tblPr>
        <w:tblW w:w="5000" w:type="pct"/>
        <w:tblCellMar>
          <w:left w:w="70" w:type="dxa"/>
          <w:right w:w="70" w:type="dxa"/>
        </w:tblCellMar>
        <w:tblLook w:val="04A0" w:firstRow="1" w:lastRow="0" w:firstColumn="1" w:lastColumn="0" w:noHBand="0" w:noVBand="1"/>
      </w:tblPr>
      <w:tblGrid>
        <w:gridCol w:w="890"/>
        <w:gridCol w:w="2987"/>
        <w:gridCol w:w="1037"/>
        <w:gridCol w:w="1037"/>
        <w:gridCol w:w="1037"/>
        <w:gridCol w:w="1037"/>
        <w:gridCol w:w="1037"/>
      </w:tblGrid>
      <w:tr w:rsidR="006C63D5" w:rsidRPr="00706A0F" w14:paraId="58D41BD9" w14:textId="77777777" w:rsidTr="00A04513">
        <w:trPr>
          <w:trHeight w:val="315"/>
        </w:trPr>
        <w:tc>
          <w:tcPr>
            <w:tcW w:w="491"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3539239" w14:textId="77777777" w:rsidR="006C63D5" w:rsidRPr="00706A0F" w:rsidRDefault="006C63D5" w:rsidP="004167E8">
            <w:pPr>
              <w:rPr>
                <w:rFonts w:cs="Arial"/>
                <w:b/>
                <w:bCs/>
                <w:color w:val="000000"/>
                <w:sz w:val="16"/>
                <w:szCs w:val="16"/>
                <w:lang w:eastAsia="sl-SI"/>
              </w:rPr>
            </w:pPr>
            <w:r w:rsidRPr="00706A0F">
              <w:rPr>
                <w:rFonts w:cs="Arial"/>
                <w:b/>
                <w:bCs/>
                <w:color w:val="000000"/>
                <w:sz w:val="16"/>
                <w:szCs w:val="16"/>
                <w:lang w:eastAsia="sl-SI"/>
              </w:rPr>
              <w:t>C.01</w:t>
            </w:r>
          </w:p>
        </w:tc>
        <w:tc>
          <w:tcPr>
            <w:tcW w:w="1648" w:type="pct"/>
            <w:tcBorders>
              <w:top w:val="single" w:sz="4" w:space="0" w:color="auto"/>
              <w:left w:val="nil"/>
              <w:bottom w:val="single" w:sz="4" w:space="0" w:color="auto"/>
              <w:right w:val="single" w:sz="4" w:space="0" w:color="auto"/>
            </w:tcBorders>
            <w:shd w:val="clear" w:color="000000" w:fill="92D050"/>
            <w:noWrap/>
            <w:vAlign w:val="bottom"/>
            <w:hideMark/>
          </w:tcPr>
          <w:p w14:paraId="081D535A" w14:textId="77777777" w:rsidR="006C63D5" w:rsidRPr="00706A0F" w:rsidRDefault="006C63D5" w:rsidP="004167E8">
            <w:pPr>
              <w:rPr>
                <w:rFonts w:cs="Arial"/>
                <w:b/>
                <w:bCs/>
                <w:color w:val="000000"/>
                <w:sz w:val="16"/>
                <w:szCs w:val="16"/>
                <w:lang w:eastAsia="sl-SI"/>
              </w:rPr>
            </w:pPr>
            <w:r w:rsidRPr="00706A0F">
              <w:rPr>
                <w:rFonts w:cs="Arial"/>
                <w:b/>
                <w:bCs/>
                <w:color w:val="000000"/>
                <w:sz w:val="16"/>
                <w:szCs w:val="16"/>
                <w:lang w:eastAsia="sl-SI"/>
              </w:rPr>
              <w:t>Število prebivalcev</w:t>
            </w:r>
          </w:p>
        </w:tc>
        <w:tc>
          <w:tcPr>
            <w:tcW w:w="572" w:type="pct"/>
            <w:tcBorders>
              <w:top w:val="single" w:sz="4" w:space="0" w:color="auto"/>
              <w:left w:val="nil"/>
              <w:bottom w:val="single" w:sz="4" w:space="0" w:color="auto"/>
              <w:right w:val="single" w:sz="4" w:space="0" w:color="auto"/>
            </w:tcBorders>
            <w:shd w:val="clear" w:color="000000" w:fill="92D050"/>
            <w:noWrap/>
            <w:vAlign w:val="center"/>
            <w:hideMark/>
          </w:tcPr>
          <w:p w14:paraId="68135179" w14:textId="77777777" w:rsidR="006C63D5" w:rsidRPr="00706A0F" w:rsidRDefault="006C63D5" w:rsidP="004167E8">
            <w:pPr>
              <w:jc w:val="center"/>
              <w:rPr>
                <w:rFonts w:cs="Arial"/>
                <w:b/>
                <w:bCs/>
                <w:color w:val="000000"/>
                <w:sz w:val="16"/>
                <w:szCs w:val="16"/>
                <w:lang w:eastAsia="sl-SI"/>
              </w:rPr>
            </w:pPr>
            <w:r w:rsidRPr="00706A0F">
              <w:rPr>
                <w:rFonts w:cs="Arial"/>
                <w:b/>
                <w:bCs/>
                <w:color w:val="000000"/>
                <w:sz w:val="16"/>
                <w:szCs w:val="16"/>
                <w:lang w:eastAsia="sl-SI"/>
              </w:rPr>
              <w:t>2010</w:t>
            </w:r>
          </w:p>
        </w:tc>
        <w:tc>
          <w:tcPr>
            <w:tcW w:w="572" w:type="pct"/>
            <w:tcBorders>
              <w:top w:val="single" w:sz="4" w:space="0" w:color="auto"/>
              <w:left w:val="nil"/>
              <w:bottom w:val="single" w:sz="4" w:space="0" w:color="auto"/>
              <w:right w:val="single" w:sz="4" w:space="0" w:color="auto"/>
            </w:tcBorders>
            <w:shd w:val="clear" w:color="000000" w:fill="92D050"/>
            <w:noWrap/>
            <w:vAlign w:val="center"/>
            <w:hideMark/>
          </w:tcPr>
          <w:p w14:paraId="48298E7C" w14:textId="77777777" w:rsidR="006C63D5" w:rsidRPr="00706A0F" w:rsidRDefault="006C63D5" w:rsidP="004167E8">
            <w:pPr>
              <w:jc w:val="center"/>
              <w:rPr>
                <w:rFonts w:cs="Arial"/>
                <w:b/>
                <w:bCs/>
                <w:color w:val="000000"/>
                <w:sz w:val="16"/>
                <w:szCs w:val="16"/>
                <w:lang w:eastAsia="sl-SI"/>
              </w:rPr>
            </w:pPr>
            <w:r w:rsidRPr="00706A0F">
              <w:rPr>
                <w:rFonts w:cs="Arial"/>
                <w:b/>
                <w:bCs/>
                <w:color w:val="000000"/>
                <w:sz w:val="16"/>
                <w:szCs w:val="16"/>
                <w:lang w:eastAsia="sl-SI"/>
              </w:rPr>
              <w:t>2013</w:t>
            </w:r>
          </w:p>
        </w:tc>
        <w:tc>
          <w:tcPr>
            <w:tcW w:w="572" w:type="pct"/>
            <w:tcBorders>
              <w:top w:val="single" w:sz="4" w:space="0" w:color="auto"/>
              <w:left w:val="nil"/>
              <w:bottom w:val="single" w:sz="4" w:space="0" w:color="auto"/>
              <w:right w:val="single" w:sz="4" w:space="0" w:color="auto"/>
            </w:tcBorders>
            <w:shd w:val="clear" w:color="000000" w:fill="92D050"/>
            <w:noWrap/>
            <w:vAlign w:val="center"/>
            <w:hideMark/>
          </w:tcPr>
          <w:p w14:paraId="7D4C0ABA" w14:textId="77777777" w:rsidR="006C63D5" w:rsidRPr="00706A0F" w:rsidRDefault="006C63D5" w:rsidP="004167E8">
            <w:pPr>
              <w:jc w:val="center"/>
              <w:rPr>
                <w:rFonts w:cs="Arial"/>
                <w:b/>
                <w:bCs/>
                <w:color w:val="000000"/>
                <w:sz w:val="16"/>
                <w:szCs w:val="16"/>
                <w:lang w:eastAsia="sl-SI"/>
              </w:rPr>
            </w:pPr>
            <w:r w:rsidRPr="00706A0F">
              <w:rPr>
                <w:rFonts w:cs="Arial"/>
                <w:b/>
                <w:bCs/>
                <w:color w:val="000000"/>
                <w:sz w:val="16"/>
                <w:szCs w:val="16"/>
                <w:lang w:eastAsia="sl-SI"/>
              </w:rPr>
              <w:t>2016</w:t>
            </w:r>
          </w:p>
        </w:tc>
        <w:tc>
          <w:tcPr>
            <w:tcW w:w="572" w:type="pct"/>
            <w:tcBorders>
              <w:top w:val="single" w:sz="4" w:space="0" w:color="auto"/>
              <w:left w:val="nil"/>
              <w:bottom w:val="single" w:sz="4" w:space="0" w:color="auto"/>
              <w:right w:val="single" w:sz="4" w:space="0" w:color="auto"/>
            </w:tcBorders>
            <w:shd w:val="clear" w:color="000000" w:fill="92D050"/>
            <w:noWrap/>
            <w:vAlign w:val="center"/>
            <w:hideMark/>
          </w:tcPr>
          <w:p w14:paraId="6944800C" w14:textId="77777777" w:rsidR="006C63D5" w:rsidRPr="00706A0F" w:rsidRDefault="006C63D5" w:rsidP="004167E8">
            <w:pPr>
              <w:jc w:val="center"/>
              <w:rPr>
                <w:rFonts w:cs="Arial"/>
                <w:b/>
                <w:bCs/>
                <w:color w:val="000000"/>
                <w:sz w:val="16"/>
                <w:szCs w:val="16"/>
                <w:lang w:eastAsia="sl-SI"/>
              </w:rPr>
            </w:pPr>
            <w:r w:rsidRPr="00706A0F">
              <w:rPr>
                <w:rFonts w:cs="Arial"/>
                <w:b/>
                <w:bCs/>
                <w:color w:val="000000"/>
                <w:sz w:val="16"/>
                <w:szCs w:val="16"/>
                <w:lang w:eastAsia="sl-SI"/>
              </w:rPr>
              <w:t>2018</w:t>
            </w:r>
          </w:p>
        </w:tc>
        <w:tc>
          <w:tcPr>
            <w:tcW w:w="572" w:type="pct"/>
            <w:tcBorders>
              <w:top w:val="single" w:sz="4" w:space="0" w:color="auto"/>
              <w:left w:val="nil"/>
              <w:bottom w:val="single" w:sz="4" w:space="0" w:color="auto"/>
              <w:right w:val="single" w:sz="4" w:space="0" w:color="auto"/>
            </w:tcBorders>
            <w:shd w:val="clear" w:color="000000" w:fill="92D050"/>
            <w:noWrap/>
            <w:vAlign w:val="center"/>
            <w:hideMark/>
          </w:tcPr>
          <w:p w14:paraId="03F13D94" w14:textId="77777777" w:rsidR="006C63D5" w:rsidRPr="00706A0F" w:rsidRDefault="006C63D5" w:rsidP="004167E8">
            <w:pPr>
              <w:jc w:val="center"/>
              <w:rPr>
                <w:rFonts w:cs="Arial"/>
                <w:b/>
                <w:bCs/>
                <w:color w:val="000000"/>
                <w:sz w:val="16"/>
                <w:szCs w:val="16"/>
                <w:lang w:eastAsia="sl-SI"/>
              </w:rPr>
            </w:pPr>
            <w:r w:rsidRPr="00706A0F">
              <w:rPr>
                <w:rFonts w:cs="Arial"/>
                <w:b/>
                <w:bCs/>
                <w:color w:val="000000"/>
                <w:sz w:val="16"/>
                <w:szCs w:val="16"/>
                <w:lang w:eastAsia="sl-SI"/>
              </w:rPr>
              <w:t>2019</w:t>
            </w:r>
          </w:p>
        </w:tc>
      </w:tr>
      <w:tr w:rsidR="006C63D5" w:rsidRPr="00706A0F" w14:paraId="22DE77E9" w14:textId="77777777" w:rsidTr="00A04513">
        <w:trPr>
          <w:trHeight w:val="434"/>
        </w:trPr>
        <w:tc>
          <w:tcPr>
            <w:tcW w:w="491" w:type="pct"/>
            <w:vMerge w:val="restart"/>
            <w:tcBorders>
              <w:top w:val="nil"/>
              <w:left w:val="single" w:sz="4" w:space="0" w:color="auto"/>
              <w:bottom w:val="single" w:sz="4" w:space="0" w:color="auto"/>
              <w:right w:val="single" w:sz="4" w:space="0" w:color="auto"/>
            </w:tcBorders>
            <w:shd w:val="clear" w:color="auto" w:fill="auto"/>
            <w:vAlign w:val="center"/>
            <w:hideMark/>
          </w:tcPr>
          <w:p w14:paraId="5C3D3FCD" w14:textId="77777777" w:rsidR="006C63D5" w:rsidRPr="00706A0F" w:rsidRDefault="006C63D5" w:rsidP="004167E8">
            <w:pPr>
              <w:jc w:val="center"/>
              <w:rPr>
                <w:rFonts w:cs="Arial"/>
                <w:b/>
                <w:bCs/>
                <w:color w:val="000000"/>
                <w:sz w:val="16"/>
                <w:szCs w:val="16"/>
                <w:lang w:eastAsia="sl-SI"/>
              </w:rPr>
            </w:pPr>
            <w:r w:rsidRPr="00706A0F">
              <w:rPr>
                <w:rFonts w:cs="Arial"/>
                <w:b/>
                <w:bCs/>
                <w:color w:val="000000"/>
                <w:sz w:val="16"/>
                <w:szCs w:val="16"/>
                <w:lang w:eastAsia="sl-SI"/>
              </w:rPr>
              <w:t> </w:t>
            </w:r>
          </w:p>
        </w:tc>
        <w:tc>
          <w:tcPr>
            <w:tcW w:w="1648" w:type="pct"/>
            <w:tcBorders>
              <w:top w:val="nil"/>
              <w:left w:val="nil"/>
              <w:bottom w:val="single" w:sz="4" w:space="0" w:color="auto"/>
              <w:right w:val="single" w:sz="4" w:space="0" w:color="auto"/>
            </w:tcBorders>
            <w:shd w:val="clear" w:color="000000" w:fill="FFFFFF"/>
            <w:vAlign w:val="bottom"/>
            <w:hideMark/>
          </w:tcPr>
          <w:p w14:paraId="34C591DC" w14:textId="77777777" w:rsidR="006C63D5" w:rsidRPr="00706A0F" w:rsidRDefault="006C63D5" w:rsidP="004167E8">
            <w:pPr>
              <w:rPr>
                <w:rFonts w:cs="Arial"/>
                <w:color w:val="000000"/>
                <w:sz w:val="16"/>
                <w:szCs w:val="16"/>
                <w:lang w:eastAsia="sl-SI"/>
              </w:rPr>
            </w:pPr>
            <w:r w:rsidRPr="00706A0F">
              <w:rPr>
                <w:rFonts w:cs="Arial"/>
                <w:color w:val="000000"/>
                <w:sz w:val="16"/>
                <w:szCs w:val="16"/>
                <w:lang w:eastAsia="sl-SI"/>
              </w:rPr>
              <w:t>Porazdelitev prebivalstva po tipu regije - vmesne regije (%)</w:t>
            </w:r>
          </w:p>
        </w:tc>
        <w:tc>
          <w:tcPr>
            <w:tcW w:w="572" w:type="pct"/>
            <w:tcBorders>
              <w:top w:val="nil"/>
              <w:left w:val="nil"/>
              <w:bottom w:val="single" w:sz="4" w:space="0" w:color="auto"/>
              <w:right w:val="single" w:sz="4" w:space="0" w:color="auto"/>
            </w:tcBorders>
            <w:shd w:val="clear" w:color="auto" w:fill="auto"/>
            <w:noWrap/>
            <w:vAlign w:val="center"/>
            <w:hideMark/>
          </w:tcPr>
          <w:p w14:paraId="1A797E77" w14:textId="77777777" w:rsidR="006C63D5" w:rsidRPr="00706A0F" w:rsidRDefault="006C63D5" w:rsidP="004167E8">
            <w:pPr>
              <w:jc w:val="right"/>
              <w:rPr>
                <w:rFonts w:cs="Arial"/>
                <w:color w:val="000000"/>
                <w:sz w:val="16"/>
                <w:szCs w:val="16"/>
                <w:lang w:eastAsia="sl-SI"/>
              </w:rPr>
            </w:pPr>
            <w:r w:rsidRPr="00706A0F">
              <w:rPr>
                <w:rFonts w:cs="Arial"/>
                <w:color w:val="000000"/>
                <w:sz w:val="16"/>
                <w:szCs w:val="16"/>
                <w:lang w:eastAsia="sl-SI"/>
              </w:rPr>
              <w:t>40,46</w:t>
            </w:r>
          </w:p>
        </w:tc>
        <w:tc>
          <w:tcPr>
            <w:tcW w:w="572" w:type="pct"/>
            <w:tcBorders>
              <w:top w:val="nil"/>
              <w:left w:val="nil"/>
              <w:bottom w:val="single" w:sz="4" w:space="0" w:color="auto"/>
              <w:right w:val="single" w:sz="4" w:space="0" w:color="auto"/>
            </w:tcBorders>
            <w:shd w:val="clear" w:color="auto" w:fill="auto"/>
            <w:noWrap/>
            <w:vAlign w:val="center"/>
            <w:hideMark/>
          </w:tcPr>
          <w:p w14:paraId="41F55107" w14:textId="77777777" w:rsidR="006C63D5" w:rsidRPr="00706A0F" w:rsidRDefault="006C63D5" w:rsidP="004167E8">
            <w:pPr>
              <w:jc w:val="right"/>
              <w:rPr>
                <w:rFonts w:cs="Arial"/>
                <w:color w:val="000000"/>
                <w:sz w:val="16"/>
                <w:szCs w:val="16"/>
                <w:lang w:eastAsia="sl-SI"/>
              </w:rPr>
            </w:pPr>
            <w:r w:rsidRPr="00706A0F">
              <w:rPr>
                <w:rFonts w:cs="Arial"/>
                <w:color w:val="000000"/>
                <w:sz w:val="16"/>
                <w:szCs w:val="16"/>
                <w:lang w:eastAsia="sl-SI"/>
              </w:rPr>
              <w:t>40,93</w:t>
            </w:r>
          </w:p>
        </w:tc>
        <w:tc>
          <w:tcPr>
            <w:tcW w:w="572" w:type="pct"/>
            <w:tcBorders>
              <w:top w:val="nil"/>
              <w:left w:val="nil"/>
              <w:bottom w:val="single" w:sz="4" w:space="0" w:color="auto"/>
              <w:right w:val="single" w:sz="4" w:space="0" w:color="auto"/>
            </w:tcBorders>
            <w:shd w:val="clear" w:color="auto" w:fill="auto"/>
            <w:noWrap/>
            <w:vAlign w:val="center"/>
            <w:hideMark/>
          </w:tcPr>
          <w:p w14:paraId="7B32636A" w14:textId="77777777" w:rsidR="006C63D5" w:rsidRPr="00706A0F" w:rsidRDefault="006C63D5" w:rsidP="004167E8">
            <w:pPr>
              <w:jc w:val="right"/>
              <w:rPr>
                <w:rFonts w:cs="Arial"/>
                <w:color w:val="000000"/>
                <w:sz w:val="16"/>
                <w:szCs w:val="16"/>
                <w:lang w:eastAsia="sl-SI"/>
              </w:rPr>
            </w:pPr>
            <w:r w:rsidRPr="00706A0F">
              <w:rPr>
                <w:rFonts w:cs="Arial"/>
                <w:color w:val="000000"/>
                <w:sz w:val="16"/>
                <w:szCs w:val="16"/>
                <w:lang w:eastAsia="sl-SI"/>
              </w:rPr>
              <w:t>41,37</w:t>
            </w:r>
          </w:p>
        </w:tc>
        <w:tc>
          <w:tcPr>
            <w:tcW w:w="572" w:type="pct"/>
            <w:tcBorders>
              <w:top w:val="nil"/>
              <w:left w:val="nil"/>
              <w:bottom w:val="single" w:sz="4" w:space="0" w:color="auto"/>
              <w:right w:val="single" w:sz="4" w:space="0" w:color="auto"/>
            </w:tcBorders>
            <w:shd w:val="clear" w:color="auto" w:fill="auto"/>
            <w:noWrap/>
            <w:vAlign w:val="center"/>
            <w:hideMark/>
          </w:tcPr>
          <w:p w14:paraId="571CCC99" w14:textId="77777777" w:rsidR="006C63D5" w:rsidRPr="00706A0F" w:rsidRDefault="006C63D5" w:rsidP="004167E8">
            <w:pPr>
              <w:jc w:val="right"/>
              <w:rPr>
                <w:rFonts w:cs="Arial"/>
                <w:color w:val="000000"/>
                <w:sz w:val="16"/>
                <w:szCs w:val="16"/>
                <w:lang w:eastAsia="sl-SI"/>
              </w:rPr>
            </w:pPr>
            <w:r w:rsidRPr="00706A0F">
              <w:rPr>
                <w:rFonts w:cs="Arial"/>
                <w:color w:val="000000"/>
                <w:sz w:val="16"/>
                <w:szCs w:val="16"/>
                <w:lang w:eastAsia="sl-SI"/>
              </w:rPr>
              <w:t>41,60</w:t>
            </w:r>
          </w:p>
        </w:tc>
        <w:tc>
          <w:tcPr>
            <w:tcW w:w="572" w:type="pct"/>
            <w:tcBorders>
              <w:top w:val="nil"/>
              <w:left w:val="nil"/>
              <w:bottom w:val="single" w:sz="4" w:space="0" w:color="auto"/>
              <w:right w:val="single" w:sz="4" w:space="0" w:color="auto"/>
            </w:tcBorders>
            <w:shd w:val="clear" w:color="auto" w:fill="auto"/>
            <w:noWrap/>
            <w:vAlign w:val="center"/>
            <w:hideMark/>
          </w:tcPr>
          <w:p w14:paraId="06E1E36D" w14:textId="780EF014" w:rsidR="006C63D5" w:rsidRPr="00706A0F" w:rsidRDefault="006C63D5" w:rsidP="00F42F8F">
            <w:pPr>
              <w:jc w:val="right"/>
              <w:rPr>
                <w:rFonts w:cs="Arial"/>
                <w:color w:val="000000"/>
                <w:sz w:val="16"/>
                <w:szCs w:val="16"/>
                <w:lang w:eastAsia="sl-SI"/>
              </w:rPr>
            </w:pPr>
            <w:r w:rsidRPr="00706A0F">
              <w:rPr>
                <w:rFonts w:cs="Arial"/>
                <w:color w:val="000000"/>
                <w:sz w:val="16"/>
                <w:szCs w:val="16"/>
                <w:lang w:eastAsia="sl-SI"/>
              </w:rPr>
              <w:t>41,</w:t>
            </w:r>
            <w:r w:rsidR="00A04513">
              <w:rPr>
                <w:rFonts w:cs="Arial"/>
                <w:color w:val="000000"/>
                <w:sz w:val="16"/>
                <w:szCs w:val="16"/>
                <w:lang w:eastAsia="sl-SI"/>
              </w:rPr>
              <w:t>75</w:t>
            </w:r>
          </w:p>
        </w:tc>
      </w:tr>
      <w:tr w:rsidR="00706A0F" w:rsidRPr="00706A0F" w14:paraId="12B757C8" w14:textId="77777777" w:rsidTr="00A04513">
        <w:trPr>
          <w:trHeight w:val="514"/>
        </w:trPr>
        <w:tc>
          <w:tcPr>
            <w:tcW w:w="491" w:type="pct"/>
            <w:vMerge/>
            <w:tcBorders>
              <w:top w:val="nil"/>
              <w:left w:val="single" w:sz="4" w:space="0" w:color="auto"/>
              <w:bottom w:val="single" w:sz="4" w:space="0" w:color="auto"/>
              <w:right w:val="single" w:sz="4" w:space="0" w:color="auto"/>
            </w:tcBorders>
            <w:vAlign w:val="center"/>
            <w:hideMark/>
          </w:tcPr>
          <w:p w14:paraId="4BAAD8AC" w14:textId="77777777" w:rsidR="006C63D5" w:rsidRPr="00706A0F" w:rsidRDefault="006C63D5" w:rsidP="004167E8">
            <w:pPr>
              <w:rPr>
                <w:rFonts w:cs="Arial"/>
                <w:b/>
                <w:bCs/>
                <w:color w:val="000000"/>
                <w:sz w:val="16"/>
                <w:szCs w:val="16"/>
                <w:lang w:eastAsia="sl-SI"/>
              </w:rPr>
            </w:pPr>
          </w:p>
        </w:tc>
        <w:tc>
          <w:tcPr>
            <w:tcW w:w="1648" w:type="pct"/>
            <w:tcBorders>
              <w:top w:val="nil"/>
              <w:left w:val="nil"/>
              <w:bottom w:val="single" w:sz="4" w:space="0" w:color="auto"/>
              <w:right w:val="single" w:sz="4" w:space="0" w:color="auto"/>
            </w:tcBorders>
            <w:shd w:val="clear" w:color="000000" w:fill="FFFFFF"/>
            <w:vAlign w:val="bottom"/>
            <w:hideMark/>
          </w:tcPr>
          <w:p w14:paraId="74470CB5" w14:textId="77777777" w:rsidR="006C63D5" w:rsidRPr="00706A0F" w:rsidRDefault="006C63D5" w:rsidP="004167E8">
            <w:pPr>
              <w:rPr>
                <w:rFonts w:cs="Arial"/>
                <w:color w:val="000000"/>
                <w:sz w:val="16"/>
                <w:szCs w:val="16"/>
                <w:lang w:eastAsia="sl-SI"/>
              </w:rPr>
            </w:pPr>
            <w:r w:rsidRPr="00706A0F">
              <w:rPr>
                <w:rFonts w:cs="Arial"/>
                <w:color w:val="000000"/>
                <w:sz w:val="16"/>
                <w:szCs w:val="16"/>
                <w:lang w:eastAsia="sl-SI"/>
              </w:rPr>
              <w:t>Porazdelitev prebivalstva po tipu regije - podeželske regije (%)</w:t>
            </w:r>
          </w:p>
        </w:tc>
        <w:tc>
          <w:tcPr>
            <w:tcW w:w="572" w:type="pct"/>
            <w:tcBorders>
              <w:top w:val="nil"/>
              <w:left w:val="nil"/>
              <w:bottom w:val="single" w:sz="4" w:space="0" w:color="auto"/>
              <w:right w:val="single" w:sz="4" w:space="0" w:color="auto"/>
            </w:tcBorders>
            <w:shd w:val="clear" w:color="auto" w:fill="auto"/>
            <w:noWrap/>
            <w:vAlign w:val="center"/>
            <w:hideMark/>
          </w:tcPr>
          <w:p w14:paraId="64BF6DDE" w14:textId="77777777" w:rsidR="006C63D5" w:rsidRPr="00706A0F" w:rsidRDefault="006C63D5" w:rsidP="004167E8">
            <w:pPr>
              <w:jc w:val="right"/>
              <w:rPr>
                <w:rFonts w:cs="Arial"/>
                <w:color w:val="000000"/>
                <w:sz w:val="16"/>
                <w:szCs w:val="16"/>
                <w:lang w:eastAsia="sl-SI"/>
              </w:rPr>
            </w:pPr>
            <w:r w:rsidRPr="00706A0F">
              <w:rPr>
                <w:rFonts w:cs="Arial"/>
                <w:color w:val="000000"/>
                <w:sz w:val="16"/>
                <w:szCs w:val="16"/>
                <w:lang w:eastAsia="sl-SI"/>
              </w:rPr>
              <w:t>59,54</w:t>
            </w:r>
          </w:p>
        </w:tc>
        <w:tc>
          <w:tcPr>
            <w:tcW w:w="572" w:type="pct"/>
            <w:tcBorders>
              <w:top w:val="nil"/>
              <w:left w:val="nil"/>
              <w:bottom w:val="single" w:sz="4" w:space="0" w:color="auto"/>
              <w:right w:val="single" w:sz="4" w:space="0" w:color="auto"/>
            </w:tcBorders>
            <w:shd w:val="clear" w:color="auto" w:fill="auto"/>
            <w:noWrap/>
            <w:vAlign w:val="center"/>
            <w:hideMark/>
          </w:tcPr>
          <w:p w14:paraId="1EE6D011" w14:textId="77777777" w:rsidR="006C63D5" w:rsidRPr="00706A0F" w:rsidRDefault="006C63D5" w:rsidP="004167E8">
            <w:pPr>
              <w:jc w:val="right"/>
              <w:rPr>
                <w:rFonts w:cs="Arial"/>
                <w:color w:val="000000"/>
                <w:sz w:val="16"/>
                <w:szCs w:val="16"/>
                <w:lang w:eastAsia="sl-SI"/>
              </w:rPr>
            </w:pPr>
            <w:r w:rsidRPr="00706A0F">
              <w:rPr>
                <w:rFonts w:cs="Arial"/>
                <w:color w:val="000000"/>
                <w:sz w:val="16"/>
                <w:szCs w:val="16"/>
                <w:lang w:eastAsia="sl-SI"/>
              </w:rPr>
              <w:t>59,07</w:t>
            </w:r>
          </w:p>
        </w:tc>
        <w:tc>
          <w:tcPr>
            <w:tcW w:w="572" w:type="pct"/>
            <w:tcBorders>
              <w:top w:val="nil"/>
              <w:left w:val="nil"/>
              <w:bottom w:val="single" w:sz="4" w:space="0" w:color="auto"/>
              <w:right w:val="single" w:sz="4" w:space="0" w:color="auto"/>
            </w:tcBorders>
            <w:shd w:val="clear" w:color="auto" w:fill="auto"/>
            <w:noWrap/>
            <w:vAlign w:val="center"/>
            <w:hideMark/>
          </w:tcPr>
          <w:p w14:paraId="17C8DDAA" w14:textId="77777777" w:rsidR="006C63D5" w:rsidRPr="00706A0F" w:rsidRDefault="006C63D5" w:rsidP="004167E8">
            <w:pPr>
              <w:jc w:val="right"/>
              <w:rPr>
                <w:rFonts w:cs="Arial"/>
                <w:color w:val="000000"/>
                <w:sz w:val="16"/>
                <w:szCs w:val="16"/>
                <w:lang w:eastAsia="sl-SI"/>
              </w:rPr>
            </w:pPr>
            <w:r w:rsidRPr="00706A0F">
              <w:rPr>
                <w:rFonts w:cs="Arial"/>
                <w:color w:val="000000"/>
                <w:sz w:val="16"/>
                <w:szCs w:val="16"/>
                <w:lang w:eastAsia="sl-SI"/>
              </w:rPr>
              <w:t>58,63</w:t>
            </w:r>
          </w:p>
        </w:tc>
        <w:tc>
          <w:tcPr>
            <w:tcW w:w="572" w:type="pct"/>
            <w:tcBorders>
              <w:top w:val="nil"/>
              <w:left w:val="nil"/>
              <w:bottom w:val="single" w:sz="4" w:space="0" w:color="auto"/>
              <w:right w:val="single" w:sz="4" w:space="0" w:color="auto"/>
            </w:tcBorders>
            <w:shd w:val="clear" w:color="auto" w:fill="auto"/>
            <w:noWrap/>
            <w:vAlign w:val="center"/>
            <w:hideMark/>
          </w:tcPr>
          <w:p w14:paraId="0FEC9329" w14:textId="77777777" w:rsidR="006C63D5" w:rsidRPr="00706A0F" w:rsidRDefault="006C63D5" w:rsidP="004167E8">
            <w:pPr>
              <w:jc w:val="right"/>
              <w:rPr>
                <w:rFonts w:cs="Arial"/>
                <w:color w:val="000000"/>
                <w:sz w:val="16"/>
                <w:szCs w:val="16"/>
                <w:lang w:eastAsia="sl-SI"/>
              </w:rPr>
            </w:pPr>
            <w:r w:rsidRPr="00706A0F">
              <w:rPr>
                <w:rFonts w:cs="Arial"/>
                <w:color w:val="000000"/>
                <w:sz w:val="16"/>
                <w:szCs w:val="16"/>
                <w:lang w:eastAsia="sl-SI"/>
              </w:rPr>
              <w:t>58,40</w:t>
            </w:r>
          </w:p>
        </w:tc>
        <w:tc>
          <w:tcPr>
            <w:tcW w:w="572" w:type="pct"/>
            <w:tcBorders>
              <w:top w:val="nil"/>
              <w:left w:val="nil"/>
              <w:bottom w:val="single" w:sz="4" w:space="0" w:color="auto"/>
              <w:right w:val="single" w:sz="4" w:space="0" w:color="auto"/>
            </w:tcBorders>
            <w:shd w:val="clear" w:color="auto" w:fill="auto"/>
            <w:noWrap/>
            <w:vAlign w:val="center"/>
            <w:hideMark/>
          </w:tcPr>
          <w:p w14:paraId="01D63B8E" w14:textId="701D2C18" w:rsidR="006C63D5" w:rsidRPr="00706A0F" w:rsidRDefault="006C63D5" w:rsidP="004167E8">
            <w:pPr>
              <w:jc w:val="right"/>
              <w:rPr>
                <w:rFonts w:cs="Arial"/>
                <w:color w:val="000000"/>
                <w:sz w:val="16"/>
                <w:szCs w:val="16"/>
                <w:lang w:eastAsia="sl-SI"/>
              </w:rPr>
            </w:pPr>
            <w:r w:rsidRPr="00706A0F">
              <w:rPr>
                <w:rFonts w:cs="Arial"/>
                <w:color w:val="000000"/>
                <w:sz w:val="16"/>
                <w:szCs w:val="16"/>
                <w:lang w:eastAsia="sl-SI"/>
              </w:rPr>
              <w:t>58,2</w:t>
            </w:r>
            <w:r w:rsidR="00A04513">
              <w:rPr>
                <w:rFonts w:cs="Arial"/>
                <w:color w:val="000000"/>
                <w:sz w:val="16"/>
                <w:szCs w:val="16"/>
                <w:lang w:eastAsia="sl-SI"/>
              </w:rPr>
              <w:t>5</w:t>
            </w:r>
          </w:p>
        </w:tc>
      </w:tr>
      <w:tr w:rsidR="00706A0F" w:rsidRPr="00706A0F" w14:paraId="1412AB00" w14:textId="77777777" w:rsidTr="00A04513">
        <w:trPr>
          <w:trHeight w:val="310"/>
        </w:trPr>
        <w:tc>
          <w:tcPr>
            <w:tcW w:w="491" w:type="pct"/>
            <w:vMerge/>
            <w:tcBorders>
              <w:top w:val="nil"/>
              <w:left w:val="single" w:sz="4" w:space="0" w:color="auto"/>
              <w:bottom w:val="single" w:sz="4" w:space="0" w:color="auto"/>
              <w:right w:val="single" w:sz="4" w:space="0" w:color="auto"/>
            </w:tcBorders>
            <w:vAlign w:val="center"/>
            <w:hideMark/>
          </w:tcPr>
          <w:p w14:paraId="1EAF590B" w14:textId="77777777" w:rsidR="006C63D5" w:rsidRPr="00706A0F" w:rsidRDefault="006C63D5" w:rsidP="004167E8">
            <w:pPr>
              <w:rPr>
                <w:rFonts w:cs="Arial"/>
                <w:b/>
                <w:bCs/>
                <w:color w:val="000000"/>
                <w:sz w:val="16"/>
                <w:szCs w:val="16"/>
                <w:lang w:eastAsia="sl-SI"/>
              </w:rPr>
            </w:pPr>
          </w:p>
        </w:tc>
        <w:tc>
          <w:tcPr>
            <w:tcW w:w="1648" w:type="pct"/>
            <w:tcBorders>
              <w:top w:val="nil"/>
              <w:left w:val="nil"/>
              <w:bottom w:val="single" w:sz="4" w:space="0" w:color="auto"/>
              <w:right w:val="single" w:sz="4" w:space="0" w:color="auto"/>
            </w:tcBorders>
            <w:shd w:val="clear" w:color="000000" w:fill="FFFFFF"/>
            <w:vAlign w:val="bottom"/>
            <w:hideMark/>
          </w:tcPr>
          <w:p w14:paraId="47F7CD1E" w14:textId="77777777" w:rsidR="006C63D5" w:rsidRPr="00706A0F" w:rsidRDefault="006C63D5" w:rsidP="004167E8">
            <w:pPr>
              <w:rPr>
                <w:rFonts w:cs="Arial"/>
                <w:color w:val="000000"/>
                <w:sz w:val="16"/>
                <w:szCs w:val="16"/>
                <w:lang w:eastAsia="sl-SI"/>
              </w:rPr>
            </w:pPr>
            <w:r w:rsidRPr="00706A0F">
              <w:rPr>
                <w:rFonts w:cs="Arial"/>
                <w:color w:val="000000"/>
                <w:sz w:val="16"/>
                <w:szCs w:val="16"/>
                <w:lang w:eastAsia="sl-SI"/>
              </w:rPr>
              <w:t>Prebivalstvo skupaj</w:t>
            </w:r>
          </w:p>
        </w:tc>
        <w:tc>
          <w:tcPr>
            <w:tcW w:w="572" w:type="pct"/>
            <w:tcBorders>
              <w:top w:val="nil"/>
              <w:left w:val="nil"/>
              <w:bottom w:val="single" w:sz="4" w:space="0" w:color="auto"/>
              <w:right w:val="single" w:sz="4" w:space="0" w:color="auto"/>
            </w:tcBorders>
            <w:shd w:val="clear" w:color="auto" w:fill="auto"/>
            <w:vAlign w:val="center"/>
            <w:hideMark/>
          </w:tcPr>
          <w:p w14:paraId="0884D4BD" w14:textId="77777777" w:rsidR="006C63D5" w:rsidRPr="00706A0F" w:rsidRDefault="006C63D5" w:rsidP="004167E8">
            <w:pPr>
              <w:jc w:val="center"/>
              <w:rPr>
                <w:rFonts w:cs="Arial"/>
                <w:color w:val="000000"/>
                <w:sz w:val="16"/>
                <w:szCs w:val="16"/>
                <w:lang w:eastAsia="sl-SI"/>
              </w:rPr>
            </w:pPr>
            <w:r w:rsidRPr="00706A0F">
              <w:rPr>
                <w:rFonts w:cs="Arial"/>
                <w:color w:val="000000"/>
                <w:sz w:val="16"/>
                <w:szCs w:val="16"/>
                <w:lang w:eastAsia="sl-SI"/>
              </w:rPr>
              <w:t>2.046.976</w:t>
            </w:r>
          </w:p>
        </w:tc>
        <w:tc>
          <w:tcPr>
            <w:tcW w:w="572" w:type="pct"/>
            <w:tcBorders>
              <w:top w:val="nil"/>
              <w:left w:val="nil"/>
              <w:bottom w:val="single" w:sz="4" w:space="0" w:color="auto"/>
              <w:right w:val="single" w:sz="4" w:space="0" w:color="auto"/>
            </w:tcBorders>
            <w:shd w:val="clear" w:color="auto" w:fill="auto"/>
            <w:vAlign w:val="center"/>
            <w:hideMark/>
          </w:tcPr>
          <w:p w14:paraId="6AE20C28" w14:textId="77777777" w:rsidR="006C63D5" w:rsidRPr="00706A0F" w:rsidRDefault="006C63D5" w:rsidP="004167E8">
            <w:pPr>
              <w:jc w:val="center"/>
              <w:rPr>
                <w:rFonts w:cs="Arial"/>
                <w:color w:val="000000"/>
                <w:sz w:val="16"/>
                <w:szCs w:val="16"/>
                <w:lang w:eastAsia="sl-SI"/>
              </w:rPr>
            </w:pPr>
            <w:r w:rsidRPr="00706A0F">
              <w:rPr>
                <w:rFonts w:cs="Arial"/>
                <w:color w:val="000000"/>
                <w:sz w:val="16"/>
                <w:szCs w:val="16"/>
                <w:lang w:eastAsia="sl-SI"/>
              </w:rPr>
              <w:t>2.058.821</w:t>
            </w:r>
          </w:p>
        </w:tc>
        <w:tc>
          <w:tcPr>
            <w:tcW w:w="572" w:type="pct"/>
            <w:tcBorders>
              <w:top w:val="nil"/>
              <w:left w:val="nil"/>
              <w:bottom w:val="single" w:sz="4" w:space="0" w:color="auto"/>
              <w:right w:val="single" w:sz="4" w:space="0" w:color="auto"/>
            </w:tcBorders>
            <w:shd w:val="clear" w:color="auto" w:fill="auto"/>
            <w:vAlign w:val="center"/>
            <w:hideMark/>
          </w:tcPr>
          <w:p w14:paraId="7CF94EE4" w14:textId="77777777" w:rsidR="006C63D5" w:rsidRPr="00706A0F" w:rsidRDefault="006C63D5" w:rsidP="004167E8">
            <w:pPr>
              <w:jc w:val="center"/>
              <w:rPr>
                <w:rFonts w:cs="Arial"/>
                <w:color w:val="000000"/>
                <w:sz w:val="16"/>
                <w:szCs w:val="16"/>
                <w:lang w:eastAsia="sl-SI"/>
              </w:rPr>
            </w:pPr>
            <w:r w:rsidRPr="00706A0F">
              <w:rPr>
                <w:rFonts w:cs="Arial"/>
                <w:color w:val="000000"/>
                <w:sz w:val="16"/>
                <w:szCs w:val="16"/>
                <w:lang w:eastAsia="sl-SI"/>
              </w:rPr>
              <w:t>2.064.188</w:t>
            </w:r>
          </w:p>
        </w:tc>
        <w:tc>
          <w:tcPr>
            <w:tcW w:w="572" w:type="pct"/>
            <w:tcBorders>
              <w:top w:val="nil"/>
              <w:left w:val="nil"/>
              <w:bottom w:val="single" w:sz="4" w:space="0" w:color="auto"/>
              <w:right w:val="single" w:sz="4" w:space="0" w:color="auto"/>
            </w:tcBorders>
            <w:shd w:val="clear" w:color="auto" w:fill="auto"/>
            <w:vAlign w:val="center"/>
            <w:hideMark/>
          </w:tcPr>
          <w:p w14:paraId="0354847B" w14:textId="77777777" w:rsidR="006C63D5" w:rsidRPr="00706A0F" w:rsidRDefault="006C63D5" w:rsidP="004167E8">
            <w:pPr>
              <w:jc w:val="center"/>
              <w:rPr>
                <w:rFonts w:cs="Arial"/>
                <w:color w:val="000000"/>
                <w:sz w:val="16"/>
                <w:szCs w:val="16"/>
                <w:lang w:eastAsia="sl-SI"/>
              </w:rPr>
            </w:pPr>
            <w:r w:rsidRPr="00706A0F">
              <w:rPr>
                <w:rFonts w:cs="Arial"/>
                <w:color w:val="000000"/>
                <w:sz w:val="16"/>
                <w:szCs w:val="16"/>
                <w:lang w:eastAsia="sl-SI"/>
              </w:rPr>
              <w:t>2.066.880</w:t>
            </w:r>
          </w:p>
        </w:tc>
        <w:tc>
          <w:tcPr>
            <w:tcW w:w="572" w:type="pct"/>
            <w:tcBorders>
              <w:top w:val="nil"/>
              <w:left w:val="nil"/>
              <w:bottom w:val="single" w:sz="4" w:space="0" w:color="auto"/>
              <w:right w:val="single" w:sz="4" w:space="0" w:color="auto"/>
            </w:tcBorders>
            <w:shd w:val="clear" w:color="auto" w:fill="auto"/>
            <w:vAlign w:val="center"/>
            <w:hideMark/>
          </w:tcPr>
          <w:p w14:paraId="5C6B1BB4" w14:textId="77777777" w:rsidR="006C63D5" w:rsidRPr="00706A0F" w:rsidRDefault="006C63D5" w:rsidP="004167E8">
            <w:pPr>
              <w:jc w:val="right"/>
              <w:rPr>
                <w:rFonts w:cs="Arial"/>
                <w:color w:val="000000"/>
                <w:sz w:val="16"/>
                <w:szCs w:val="16"/>
                <w:lang w:eastAsia="sl-SI"/>
              </w:rPr>
            </w:pPr>
            <w:r w:rsidRPr="00706A0F">
              <w:rPr>
                <w:rFonts w:cs="Arial"/>
                <w:color w:val="000000"/>
                <w:sz w:val="16"/>
                <w:szCs w:val="16"/>
                <w:lang w:eastAsia="sl-SI"/>
              </w:rPr>
              <w:t>2.080.908</w:t>
            </w:r>
          </w:p>
        </w:tc>
      </w:tr>
      <w:tr w:rsidR="006C63D5" w:rsidRPr="00706A0F" w14:paraId="54F5CD0C" w14:textId="77777777" w:rsidTr="00A04513">
        <w:trPr>
          <w:trHeight w:val="345"/>
        </w:trPr>
        <w:tc>
          <w:tcPr>
            <w:tcW w:w="491" w:type="pct"/>
            <w:vMerge/>
            <w:tcBorders>
              <w:top w:val="nil"/>
              <w:left w:val="single" w:sz="4" w:space="0" w:color="auto"/>
              <w:bottom w:val="single" w:sz="4" w:space="0" w:color="auto"/>
              <w:right w:val="single" w:sz="4" w:space="0" w:color="auto"/>
            </w:tcBorders>
            <w:vAlign w:val="center"/>
            <w:hideMark/>
          </w:tcPr>
          <w:p w14:paraId="2B36EAFB" w14:textId="77777777" w:rsidR="006C63D5" w:rsidRPr="00706A0F" w:rsidRDefault="006C63D5" w:rsidP="004167E8">
            <w:pPr>
              <w:rPr>
                <w:rFonts w:cs="Arial"/>
                <w:b/>
                <w:bCs/>
                <w:color w:val="000000"/>
                <w:sz w:val="16"/>
                <w:szCs w:val="16"/>
                <w:lang w:eastAsia="sl-SI"/>
              </w:rPr>
            </w:pPr>
          </w:p>
        </w:tc>
        <w:tc>
          <w:tcPr>
            <w:tcW w:w="1648" w:type="pct"/>
            <w:tcBorders>
              <w:top w:val="nil"/>
              <w:left w:val="nil"/>
              <w:bottom w:val="single" w:sz="4" w:space="0" w:color="auto"/>
              <w:right w:val="single" w:sz="4" w:space="0" w:color="auto"/>
            </w:tcBorders>
            <w:shd w:val="clear" w:color="000000" w:fill="FFFFFF"/>
            <w:vAlign w:val="bottom"/>
            <w:hideMark/>
          </w:tcPr>
          <w:p w14:paraId="74E159B3" w14:textId="77777777" w:rsidR="006C63D5" w:rsidRPr="00706A0F" w:rsidRDefault="006C63D5" w:rsidP="004167E8">
            <w:pPr>
              <w:rPr>
                <w:rFonts w:cs="Arial"/>
                <w:color w:val="000000"/>
                <w:sz w:val="16"/>
                <w:szCs w:val="16"/>
                <w:lang w:eastAsia="sl-SI"/>
              </w:rPr>
            </w:pPr>
            <w:r w:rsidRPr="00706A0F">
              <w:rPr>
                <w:rFonts w:cs="Arial"/>
                <w:color w:val="000000"/>
                <w:sz w:val="16"/>
                <w:szCs w:val="16"/>
                <w:lang w:eastAsia="sl-SI"/>
              </w:rPr>
              <w:t>Podeželsko prebivalstvo skupaj</w:t>
            </w:r>
          </w:p>
        </w:tc>
        <w:tc>
          <w:tcPr>
            <w:tcW w:w="572" w:type="pct"/>
            <w:tcBorders>
              <w:top w:val="nil"/>
              <w:left w:val="nil"/>
              <w:bottom w:val="single" w:sz="4" w:space="0" w:color="auto"/>
              <w:right w:val="single" w:sz="4" w:space="0" w:color="auto"/>
            </w:tcBorders>
            <w:shd w:val="clear" w:color="auto" w:fill="auto"/>
            <w:vAlign w:val="center"/>
            <w:hideMark/>
          </w:tcPr>
          <w:p w14:paraId="043B22EA" w14:textId="77777777" w:rsidR="006C63D5" w:rsidRPr="00706A0F" w:rsidRDefault="006C63D5" w:rsidP="004167E8">
            <w:pPr>
              <w:jc w:val="center"/>
              <w:rPr>
                <w:rFonts w:cs="Arial"/>
                <w:color w:val="000000"/>
                <w:sz w:val="16"/>
                <w:szCs w:val="16"/>
                <w:lang w:eastAsia="sl-SI"/>
              </w:rPr>
            </w:pPr>
            <w:r w:rsidRPr="00706A0F">
              <w:rPr>
                <w:rFonts w:cs="Arial"/>
                <w:color w:val="000000"/>
                <w:sz w:val="16"/>
                <w:szCs w:val="16"/>
                <w:lang w:eastAsia="sl-SI"/>
              </w:rPr>
              <w:t>1.218.754</w:t>
            </w:r>
          </w:p>
        </w:tc>
        <w:tc>
          <w:tcPr>
            <w:tcW w:w="572" w:type="pct"/>
            <w:tcBorders>
              <w:top w:val="nil"/>
              <w:left w:val="nil"/>
              <w:bottom w:val="single" w:sz="4" w:space="0" w:color="auto"/>
              <w:right w:val="single" w:sz="4" w:space="0" w:color="auto"/>
            </w:tcBorders>
            <w:shd w:val="clear" w:color="auto" w:fill="auto"/>
            <w:vAlign w:val="center"/>
            <w:hideMark/>
          </w:tcPr>
          <w:p w14:paraId="6BB71A49" w14:textId="77777777" w:rsidR="006C63D5" w:rsidRPr="00706A0F" w:rsidRDefault="006C63D5" w:rsidP="004167E8">
            <w:pPr>
              <w:jc w:val="center"/>
              <w:rPr>
                <w:rFonts w:cs="Arial"/>
                <w:color w:val="000000"/>
                <w:sz w:val="16"/>
                <w:szCs w:val="16"/>
                <w:lang w:eastAsia="sl-SI"/>
              </w:rPr>
            </w:pPr>
            <w:r w:rsidRPr="00706A0F">
              <w:rPr>
                <w:rFonts w:cs="Arial"/>
                <w:color w:val="000000"/>
                <w:sz w:val="16"/>
                <w:szCs w:val="16"/>
                <w:lang w:eastAsia="sl-SI"/>
              </w:rPr>
              <w:t>1.216.200</w:t>
            </w:r>
          </w:p>
        </w:tc>
        <w:tc>
          <w:tcPr>
            <w:tcW w:w="572" w:type="pct"/>
            <w:tcBorders>
              <w:top w:val="nil"/>
              <w:left w:val="nil"/>
              <w:bottom w:val="single" w:sz="4" w:space="0" w:color="auto"/>
              <w:right w:val="single" w:sz="4" w:space="0" w:color="auto"/>
            </w:tcBorders>
            <w:shd w:val="clear" w:color="auto" w:fill="auto"/>
            <w:vAlign w:val="center"/>
            <w:hideMark/>
          </w:tcPr>
          <w:p w14:paraId="6A7853F5" w14:textId="77777777" w:rsidR="006C63D5" w:rsidRPr="00706A0F" w:rsidRDefault="006C63D5" w:rsidP="004167E8">
            <w:pPr>
              <w:jc w:val="center"/>
              <w:rPr>
                <w:rFonts w:cs="Arial"/>
                <w:color w:val="000000"/>
                <w:sz w:val="16"/>
                <w:szCs w:val="16"/>
                <w:lang w:eastAsia="sl-SI"/>
              </w:rPr>
            </w:pPr>
            <w:r w:rsidRPr="00706A0F">
              <w:rPr>
                <w:rFonts w:cs="Arial"/>
                <w:color w:val="000000"/>
                <w:sz w:val="16"/>
                <w:szCs w:val="16"/>
                <w:lang w:eastAsia="sl-SI"/>
              </w:rPr>
              <w:t>1.210.257</w:t>
            </w:r>
          </w:p>
        </w:tc>
        <w:tc>
          <w:tcPr>
            <w:tcW w:w="572" w:type="pct"/>
            <w:tcBorders>
              <w:top w:val="nil"/>
              <w:left w:val="nil"/>
              <w:bottom w:val="single" w:sz="4" w:space="0" w:color="auto"/>
              <w:right w:val="single" w:sz="4" w:space="0" w:color="auto"/>
            </w:tcBorders>
            <w:shd w:val="clear" w:color="auto" w:fill="auto"/>
            <w:noWrap/>
            <w:vAlign w:val="bottom"/>
            <w:hideMark/>
          </w:tcPr>
          <w:p w14:paraId="2539DE82" w14:textId="319298D6" w:rsidR="006C63D5" w:rsidRPr="00706A0F" w:rsidRDefault="006C63D5" w:rsidP="00C75FB1">
            <w:pPr>
              <w:jc w:val="center"/>
              <w:rPr>
                <w:rFonts w:cs="Arial"/>
                <w:color w:val="000000"/>
                <w:sz w:val="16"/>
                <w:szCs w:val="16"/>
                <w:lang w:eastAsia="sl-SI"/>
              </w:rPr>
            </w:pPr>
            <w:r w:rsidRPr="00706A0F">
              <w:rPr>
                <w:rFonts w:cs="Arial"/>
                <w:color w:val="000000"/>
                <w:sz w:val="16"/>
                <w:szCs w:val="16"/>
                <w:lang w:eastAsia="sl-SI"/>
              </w:rPr>
              <w:t>1</w:t>
            </w:r>
            <w:r w:rsidR="00B747AA">
              <w:rPr>
                <w:rFonts w:cs="Arial"/>
                <w:color w:val="000000"/>
                <w:sz w:val="16"/>
                <w:szCs w:val="16"/>
                <w:lang w:eastAsia="sl-SI"/>
              </w:rPr>
              <w:t>.</w:t>
            </w:r>
            <w:r w:rsidRPr="00706A0F">
              <w:rPr>
                <w:rFonts w:cs="Arial"/>
                <w:color w:val="000000"/>
                <w:sz w:val="16"/>
                <w:szCs w:val="16"/>
                <w:lang w:eastAsia="sl-SI"/>
              </w:rPr>
              <w:t>206</w:t>
            </w:r>
            <w:r w:rsidR="00B747AA">
              <w:rPr>
                <w:rFonts w:cs="Arial"/>
                <w:color w:val="000000"/>
                <w:sz w:val="16"/>
                <w:szCs w:val="16"/>
                <w:lang w:eastAsia="sl-SI"/>
              </w:rPr>
              <w:t>.</w:t>
            </w:r>
            <w:r w:rsidRPr="00706A0F">
              <w:rPr>
                <w:rFonts w:cs="Arial"/>
                <w:color w:val="000000"/>
                <w:sz w:val="16"/>
                <w:szCs w:val="16"/>
                <w:lang w:eastAsia="sl-SI"/>
              </w:rPr>
              <w:t>977</w:t>
            </w:r>
          </w:p>
        </w:tc>
        <w:tc>
          <w:tcPr>
            <w:tcW w:w="572" w:type="pct"/>
            <w:tcBorders>
              <w:top w:val="nil"/>
              <w:left w:val="nil"/>
              <w:bottom w:val="single" w:sz="4" w:space="0" w:color="auto"/>
              <w:right w:val="single" w:sz="4" w:space="0" w:color="auto"/>
            </w:tcBorders>
            <w:shd w:val="clear" w:color="auto" w:fill="auto"/>
            <w:vAlign w:val="center"/>
            <w:hideMark/>
          </w:tcPr>
          <w:p w14:paraId="3819E869" w14:textId="77777777" w:rsidR="006C63D5" w:rsidRPr="00706A0F" w:rsidRDefault="006C63D5" w:rsidP="004167E8">
            <w:pPr>
              <w:jc w:val="right"/>
              <w:rPr>
                <w:rFonts w:cs="Arial"/>
                <w:color w:val="000000"/>
                <w:sz w:val="16"/>
                <w:szCs w:val="16"/>
                <w:lang w:eastAsia="sl-SI"/>
              </w:rPr>
            </w:pPr>
            <w:r w:rsidRPr="00706A0F">
              <w:rPr>
                <w:rFonts w:cs="Arial"/>
                <w:color w:val="000000"/>
                <w:sz w:val="16"/>
                <w:szCs w:val="16"/>
                <w:lang w:eastAsia="sl-SI"/>
              </w:rPr>
              <w:t>1.212.051</w:t>
            </w:r>
          </w:p>
        </w:tc>
      </w:tr>
    </w:tbl>
    <w:p w14:paraId="0D075A54" w14:textId="2A31863D" w:rsidR="00A04513" w:rsidRDefault="00A04513" w:rsidP="00F42F8F">
      <w:pPr>
        <w:spacing w:after="240"/>
        <w:rPr>
          <w:szCs w:val="20"/>
        </w:rPr>
      </w:pPr>
      <w:r w:rsidRPr="004629B1">
        <w:rPr>
          <w:rFonts w:cs="Arial"/>
          <w:sz w:val="16"/>
          <w:szCs w:val="16"/>
        </w:rPr>
        <w:t xml:space="preserve">Vir: </w:t>
      </w:r>
      <w:r w:rsidRPr="004629B1">
        <w:rPr>
          <w:rFonts w:eastAsia="Calibri"/>
          <w:sz w:val="16"/>
          <w:szCs w:val="16"/>
        </w:rPr>
        <w:t>C</w:t>
      </w:r>
      <w:r>
        <w:rPr>
          <w:rFonts w:eastAsia="Calibri"/>
          <w:sz w:val="16"/>
          <w:szCs w:val="16"/>
        </w:rPr>
        <w:t xml:space="preserve">.01 - </w:t>
      </w:r>
      <w:proofErr w:type="spellStart"/>
      <w:r w:rsidRPr="004629B1">
        <w:rPr>
          <w:rFonts w:eastAsia="Calibri"/>
          <w:sz w:val="16"/>
          <w:szCs w:val="16"/>
        </w:rPr>
        <w:t>Dashboard</w:t>
      </w:r>
      <w:proofErr w:type="spellEnd"/>
      <w:r w:rsidRPr="004629B1">
        <w:rPr>
          <w:rFonts w:eastAsia="Calibri"/>
          <w:sz w:val="16"/>
          <w:szCs w:val="16"/>
        </w:rPr>
        <w:t xml:space="preserve"> </w:t>
      </w:r>
      <w:proofErr w:type="spellStart"/>
      <w:r w:rsidRPr="004629B1">
        <w:rPr>
          <w:rFonts w:eastAsia="Calibri"/>
          <w:sz w:val="16"/>
          <w:szCs w:val="16"/>
        </w:rPr>
        <w:t>Indicators</w:t>
      </w:r>
      <w:proofErr w:type="spellEnd"/>
      <w:r w:rsidRPr="004629B1">
        <w:rPr>
          <w:rFonts w:cs="Arial"/>
          <w:sz w:val="16"/>
          <w:szCs w:val="16"/>
        </w:rPr>
        <w:t xml:space="preserve"> (https://agridata.ec.europa.eu/extensions/DashboardIndicators/DataExplorer.html?select=EU27_FLAG,1)</w:t>
      </w:r>
    </w:p>
    <w:p w14:paraId="409D6872" w14:textId="5BE28378" w:rsidR="006C63D5" w:rsidRPr="00F57BE2" w:rsidRDefault="006C63D5" w:rsidP="00F57BE2">
      <w:pPr>
        <w:pStyle w:val="Napis"/>
        <w:keepNext w:val="0"/>
        <w:spacing w:after="120" w:line="360" w:lineRule="auto"/>
        <w:jc w:val="both"/>
        <w:rPr>
          <w:sz w:val="20"/>
          <w:szCs w:val="20"/>
        </w:rPr>
      </w:pPr>
      <w:r w:rsidRPr="00F57BE2">
        <w:rPr>
          <w:sz w:val="20"/>
          <w:szCs w:val="20"/>
        </w:rPr>
        <w:t>Prebivalstvo, ki živi v podeželskih regijah, predstavlja 58,52 %, v zmerno podeželskih regijah pa 41,48% celotnega prebivalstva RS. Število prebivalstva na podeželju se počasi zmanjšuje (leta 2003 je bilo na podeželju skoraj 61 % vseh prebivalcev).</w:t>
      </w:r>
    </w:p>
    <w:p w14:paraId="71BCA3C5" w14:textId="0EEA5A4F" w:rsidR="006C63D5" w:rsidRPr="00DE12FE" w:rsidRDefault="006C63D5" w:rsidP="00F57BE2">
      <w:pPr>
        <w:pStyle w:val="Napis"/>
        <w:keepNext w:val="0"/>
        <w:spacing w:after="120" w:line="360" w:lineRule="auto"/>
        <w:jc w:val="both"/>
        <w:rPr>
          <w:sz w:val="20"/>
          <w:szCs w:val="20"/>
        </w:rPr>
      </w:pPr>
      <w:r w:rsidRPr="00DE12FE">
        <w:rPr>
          <w:sz w:val="20"/>
          <w:szCs w:val="20"/>
        </w:rPr>
        <w:t xml:space="preserve">Za Slovenijo je značilna razpršena in redka poselitev in veliko število majhnih naselij, kar je posledica pestrih naravnih razmer. Prebivalstvo je zgoščeno v večjih urbanih središčih, reliefno razgibana območja s slabšimi naravnogeografskimi pogoji in prometno težje dostopna območja pa so redkeje poseljena. Glede na gostoto naseljenosti se Slovenija uvršča v sredino držav </w:t>
      </w:r>
      <w:r w:rsidRPr="00C75FB1">
        <w:rPr>
          <w:sz w:val="20"/>
          <w:szCs w:val="20"/>
        </w:rPr>
        <w:t>članic EU</w:t>
      </w:r>
      <w:r w:rsidRPr="00D454A7">
        <w:rPr>
          <w:sz w:val="20"/>
          <w:szCs w:val="20"/>
        </w:rPr>
        <w:t>-28</w:t>
      </w:r>
      <w:r w:rsidRPr="00C75FB1">
        <w:rPr>
          <w:sz w:val="20"/>
          <w:szCs w:val="20"/>
        </w:rPr>
        <w:t>. V Sloveniji</w:t>
      </w:r>
      <w:r w:rsidRPr="00DE12FE">
        <w:rPr>
          <w:sz w:val="20"/>
          <w:szCs w:val="20"/>
        </w:rPr>
        <w:t xml:space="preserve">  so v 2020 v povprečju živeli 103 prebivalci na kvadratnem kilometru. Gostota prebivalstva na podeželju je 82,6 prebivalcev/km</w:t>
      </w:r>
      <w:r w:rsidRPr="00DE12FE">
        <w:rPr>
          <w:sz w:val="20"/>
          <w:szCs w:val="20"/>
          <w:vertAlign w:val="superscript"/>
        </w:rPr>
        <w:t>2</w:t>
      </w:r>
      <w:r w:rsidRPr="00DE12FE">
        <w:rPr>
          <w:sz w:val="20"/>
          <w:szCs w:val="20"/>
        </w:rPr>
        <w:t>.</w:t>
      </w:r>
    </w:p>
    <w:p w14:paraId="6CE3ABE8" w14:textId="32C092A4" w:rsidR="006C63D5" w:rsidRPr="003D6FF8" w:rsidRDefault="00C9160B" w:rsidP="004167E8">
      <w:pPr>
        <w:pStyle w:val="SCPreglednica"/>
      </w:pPr>
      <w:bookmarkStart w:id="18" w:name="_Toc55913717"/>
      <w:r>
        <w:t>Tabela</w:t>
      </w:r>
      <w:r w:rsidR="006C63D5" w:rsidRPr="003D6FF8">
        <w:t xml:space="preserve"> </w:t>
      </w:r>
      <w:r w:rsidR="0001708D">
        <w:rPr>
          <w:noProof/>
        </w:rPr>
        <w:fldChar w:fldCharType="begin"/>
      </w:r>
      <w:r w:rsidR="0001708D">
        <w:rPr>
          <w:noProof/>
        </w:rPr>
        <w:instrText xml:space="preserve"> SEQ Tabela \* ARABIC </w:instrText>
      </w:r>
      <w:r w:rsidR="0001708D">
        <w:rPr>
          <w:noProof/>
        </w:rPr>
        <w:fldChar w:fldCharType="separate"/>
      </w:r>
      <w:r w:rsidR="00DF0D48">
        <w:rPr>
          <w:noProof/>
        </w:rPr>
        <w:t>6</w:t>
      </w:r>
      <w:r w:rsidR="0001708D">
        <w:rPr>
          <w:noProof/>
        </w:rPr>
        <w:fldChar w:fldCharType="end"/>
      </w:r>
      <w:r w:rsidR="006C63D5" w:rsidRPr="003D6FF8">
        <w:t>: Gostota prebivalstva v Sloveniji</w:t>
      </w:r>
      <w:bookmarkEnd w:id="18"/>
    </w:p>
    <w:tbl>
      <w:tblPr>
        <w:tblW w:w="4910" w:type="pct"/>
        <w:jc w:val="center"/>
        <w:tblCellMar>
          <w:left w:w="70" w:type="dxa"/>
          <w:right w:w="70" w:type="dxa"/>
        </w:tblCellMar>
        <w:tblLook w:val="04A0" w:firstRow="1" w:lastRow="0" w:firstColumn="1" w:lastColumn="0" w:noHBand="0" w:noVBand="1"/>
      </w:tblPr>
      <w:tblGrid>
        <w:gridCol w:w="557"/>
        <w:gridCol w:w="5186"/>
        <w:gridCol w:w="632"/>
        <w:gridCol w:w="632"/>
        <w:gridCol w:w="632"/>
        <w:gridCol w:w="632"/>
        <w:gridCol w:w="628"/>
      </w:tblGrid>
      <w:tr w:rsidR="00A04513" w:rsidRPr="004167E8" w14:paraId="4BC91374" w14:textId="6B2F44DC" w:rsidTr="00F42F8F">
        <w:trPr>
          <w:trHeight w:val="340"/>
          <w:jc w:val="center"/>
        </w:trPr>
        <w:tc>
          <w:tcPr>
            <w:tcW w:w="313"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546E07C" w14:textId="77777777" w:rsidR="00A04513" w:rsidRPr="004167E8" w:rsidRDefault="00A04513" w:rsidP="004167E8">
            <w:pPr>
              <w:rPr>
                <w:rFonts w:cs="Arial"/>
                <w:b/>
                <w:bCs/>
                <w:color w:val="000000"/>
                <w:sz w:val="16"/>
                <w:szCs w:val="16"/>
                <w:lang w:eastAsia="sl-SI"/>
              </w:rPr>
            </w:pPr>
            <w:r w:rsidRPr="004167E8">
              <w:rPr>
                <w:rFonts w:cs="Arial"/>
                <w:b/>
                <w:bCs/>
                <w:color w:val="000000"/>
                <w:sz w:val="16"/>
                <w:szCs w:val="16"/>
                <w:lang w:eastAsia="sl-SI"/>
              </w:rPr>
              <w:t>C.02</w:t>
            </w:r>
          </w:p>
        </w:tc>
        <w:tc>
          <w:tcPr>
            <w:tcW w:w="2914" w:type="pct"/>
            <w:tcBorders>
              <w:top w:val="single" w:sz="4" w:space="0" w:color="auto"/>
              <w:left w:val="nil"/>
              <w:bottom w:val="single" w:sz="4" w:space="0" w:color="auto"/>
              <w:right w:val="single" w:sz="4" w:space="0" w:color="auto"/>
            </w:tcBorders>
            <w:shd w:val="clear" w:color="000000" w:fill="92D050"/>
            <w:noWrap/>
            <w:vAlign w:val="center"/>
            <w:hideMark/>
          </w:tcPr>
          <w:p w14:paraId="3B1EE2F8" w14:textId="77777777" w:rsidR="00A04513" w:rsidRPr="004167E8" w:rsidRDefault="00A04513" w:rsidP="004167E8">
            <w:pPr>
              <w:rPr>
                <w:rFonts w:cs="Arial"/>
                <w:b/>
                <w:bCs/>
                <w:color w:val="000000"/>
                <w:sz w:val="16"/>
                <w:szCs w:val="16"/>
                <w:lang w:eastAsia="sl-SI"/>
              </w:rPr>
            </w:pPr>
            <w:r w:rsidRPr="004167E8">
              <w:rPr>
                <w:rFonts w:cs="Arial"/>
                <w:b/>
                <w:bCs/>
                <w:color w:val="000000"/>
                <w:sz w:val="16"/>
                <w:szCs w:val="16"/>
                <w:lang w:eastAsia="sl-SI"/>
              </w:rPr>
              <w:t>Gostota prebivalstva</w:t>
            </w:r>
          </w:p>
        </w:tc>
        <w:tc>
          <w:tcPr>
            <w:tcW w:w="355" w:type="pct"/>
            <w:tcBorders>
              <w:top w:val="single" w:sz="4" w:space="0" w:color="auto"/>
              <w:left w:val="nil"/>
              <w:bottom w:val="single" w:sz="4" w:space="0" w:color="auto"/>
              <w:right w:val="single" w:sz="4" w:space="0" w:color="auto"/>
            </w:tcBorders>
            <w:shd w:val="clear" w:color="000000" w:fill="92D050"/>
            <w:noWrap/>
            <w:vAlign w:val="center"/>
            <w:hideMark/>
          </w:tcPr>
          <w:p w14:paraId="2AF6098E" w14:textId="77777777" w:rsidR="00A04513" w:rsidRPr="004167E8" w:rsidRDefault="00A04513" w:rsidP="004167E8">
            <w:pPr>
              <w:rPr>
                <w:rFonts w:cs="Arial"/>
                <w:b/>
                <w:bCs/>
                <w:color w:val="000000"/>
                <w:sz w:val="16"/>
                <w:szCs w:val="16"/>
                <w:lang w:eastAsia="sl-SI"/>
              </w:rPr>
            </w:pPr>
            <w:r w:rsidRPr="004167E8">
              <w:rPr>
                <w:rFonts w:cs="Arial"/>
                <w:b/>
                <w:bCs/>
                <w:color w:val="000000"/>
                <w:sz w:val="16"/>
                <w:szCs w:val="16"/>
                <w:lang w:eastAsia="sl-SI"/>
              </w:rPr>
              <w:t>2010</w:t>
            </w:r>
          </w:p>
        </w:tc>
        <w:tc>
          <w:tcPr>
            <w:tcW w:w="355" w:type="pct"/>
            <w:tcBorders>
              <w:top w:val="single" w:sz="4" w:space="0" w:color="auto"/>
              <w:left w:val="nil"/>
              <w:bottom w:val="single" w:sz="4" w:space="0" w:color="auto"/>
              <w:right w:val="single" w:sz="4" w:space="0" w:color="auto"/>
            </w:tcBorders>
            <w:shd w:val="clear" w:color="000000" w:fill="92D050"/>
            <w:noWrap/>
            <w:vAlign w:val="center"/>
            <w:hideMark/>
          </w:tcPr>
          <w:p w14:paraId="3BD94EAC" w14:textId="77777777" w:rsidR="00A04513" w:rsidRPr="004167E8" w:rsidRDefault="00A04513" w:rsidP="004167E8">
            <w:pPr>
              <w:rPr>
                <w:rFonts w:cs="Arial"/>
                <w:b/>
                <w:bCs/>
                <w:color w:val="000000"/>
                <w:sz w:val="16"/>
                <w:szCs w:val="16"/>
                <w:lang w:eastAsia="sl-SI"/>
              </w:rPr>
            </w:pPr>
            <w:r w:rsidRPr="004167E8">
              <w:rPr>
                <w:rFonts w:cs="Arial"/>
                <w:b/>
                <w:bCs/>
                <w:color w:val="000000"/>
                <w:sz w:val="16"/>
                <w:szCs w:val="16"/>
                <w:lang w:eastAsia="sl-SI"/>
              </w:rPr>
              <w:t>2013</w:t>
            </w:r>
          </w:p>
        </w:tc>
        <w:tc>
          <w:tcPr>
            <w:tcW w:w="355" w:type="pct"/>
            <w:tcBorders>
              <w:top w:val="single" w:sz="4" w:space="0" w:color="auto"/>
              <w:left w:val="nil"/>
              <w:bottom w:val="single" w:sz="4" w:space="0" w:color="auto"/>
              <w:right w:val="single" w:sz="4" w:space="0" w:color="auto"/>
            </w:tcBorders>
            <w:shd w:val="clear" w:color="000000" w:fill="92D050"/>
            <w:noWrap/>
            <w:vAlign w:val="center"/>
            <w:hideMark/>
          </w:tcPr>
          <w:p w14:paraId="1AABFE45" w14:textId="77777777" w:rsidR="00A04513" w:rsidRPr="004167E8" w:rsidRDefault="00A04513" w:rsidP="004167E8">
            <w:pPr>
              <w:rPr>
                <w:rFonts w:cs="Arial"/>
                <w:b/>
                <w:bCs/>
                <w:color w:val="000000"/>
                <w:sz w:val="16"/>
                <w:szCs w:val="16"/>
                <w:lang w:eastAsia="sl-SI"/>
              </w:rPr>
            </w:pPr>
            <w:r w:rsidRPr="004167E8">
              <w:rPr>
                <w:rFonts w:cs="Arial"/>
                <w:b/>
                <w:bCs/>
                <w:color w:val="000000"/>
                <w:sz w:val="16"/>
                <w:szCs w:val="16"/>
                <w:lang w:eastAsia="sl-SI"/>
              </w:rPr>
              <w:t>2016</w:t>
            </w:r>
          </w:p>
        </w:tc>
        <w:tc>
          <w:tcPr>
            <w:tcW w:w="355" w:type="pct"/>
            <w:tcBorders>
              <w:top w:val="single" w:sz="4" w:space="0" w:color="auto"/>
              <w:left w:val="nil"/>
              <w:bottom w:val="single" w:sz="4" w:space="0" w:color="auto"/>
              <w:right w:val="single" w:sz="4" w:space="0" w:color="auto"/>
            </w:tcBorders>
            <w:shd w:val="clear" w:color="000000" w:fill="92D050"/>
            <w:noWrap/>
            <w:vAlign w:val="center"/>
            <w:hideMark/>
          </w:tcPr>
          <w:p w14:paraId="5346521D" w14:textId="77777777" w:rsidR="00A04513" w:rsidRPr="004167E8" w:rsidRDefault="00A04513" w:rsidP="004167E8">
            <w:pPr>
              <w:rPr>
                <w:rFonts w:cs="Arial"/>
                <w:b/>
                <w:bCs/>
                <w:color w:val="000000"/>
                <w:sz w:val="16"/>
                <w:szCs w:val="16"/>
                <w:lang w:eastAsia="sl-SI"/>
              </w:rPr>
            </w:pPr>
            <w:r w:rsidRPr="004167E8">
              <w:rPr>
                <w:rFonts w:cs="Arial"/>
                <w:b/>
                <w:bCs/>
                <w:color w:val="000000"/>
                <w:sz w:val="16"/>
                <w:szCs w:val="16"/>
                <w:lang w:eastAsia="sl-SI"/>
              </w:rPr>
              <w:t>2017</w:t>
            </w:r>
          </w:p>
        </w:tc>
        <w:tc>
          <w:tcPr>
            <w:tcW w:w="353" w:type="pct"/>
            <w:tcBorders>
              <w:top w:val="single" w:sz="4" w:space="0" w:color="auto"/>
              <w:left w:val="nil"/>
              <w:bottom w:val="single" w:sz="4" w:space="0" w:color="auto"/>
              <w:right w:val="single" w:sz="4" w:space="0" w:color="auto"/>
            </w:tcBorders>
            <w:shd w:val="clear" w:color="000000" w:fill="92D050"/>
          </w:tcPr>
          <w:p w14:paraId="0F718BE9" w14:textId="5239B457" w:rsidR="00A04513" w:rsidRPr="004167E8" w:rsidRDefault="00A04513" w:rsidP="004167E8">
            <w:pPr>
              <w:rPr>
                <w:rFonts w:cs="Arial"/>
                <w:b/>
                <w:bCs/>
                <w:color w:val="000000"/>
                <w:sz w:val="16"/>
                <w:szCs w:val="16"/>
                <w:lang w:eastAsia="sl-SI"/>
              </w:rPr>
            </w:pPr>
            <w:r>
              <w:rPr>
                <w:rFonts w:cs="Arial"/>
                <w:b/>
                <w:bCs/>
                <w:color w:val="000000"/>
                <w:sz w:val="16"/>
                <w:szCs w:val="16"/>
                <w:lang w:eastAsia="sl-SI"/>
              </w:rPr>
              <w:t>2018</w:t>
            </w:r>
          </w:p>
        </w:tc>
      </w:tr>
      <w:tr w:rsidR="00A04513" w:rsidRPr="004167E8" w14:paraId="7CCB64F6" w14:textId="6D85445B" w:rsidTr="00F42F8F">
        <w:trPr>
          <w:trHeight w:val="373"/>
          <w:jc w:val="center"/>
        </w:trPr>
        <w:tc>
          <w:tcPr>
            <w:tcW w:w="313" w:type="pct"/>
            <w:vMerge w:val="restart"/>
            <w:tcBorders>
              <w:top w:val="nil"/>
              <w:left w:val="single" w:sz="4" w:space="0" w:color="auto"/>
              <w:bottom w:val="single" w:sz="4" w:space="0" w:color="auto"/>
              <w:right w:val="single" w:sz="4" w:space="0" w:color="auto"/>
            </w:tcBorders>
            <w:shd w:val="clear" w:color="auto" w:fill="auto"/>
            <w:vAlign w:val="center"/>
            <w:hideMark/>
          </w:tcPr>
          <w:p w14:paraId="7BFC18B6" w14:textId="77777777" w:rsidR="00A04513" w:rsidRPr="004167E8" w:rsidRDefault="00A04513" w:rsidP="004167E8">
            <w:pPr>
              <w:rPr>
                <w:rFonts w:cs="Arial"/>
                <w:b/>
                <w:bCs/>
                <w:color w:val="000000"/>
                <w:sz w:val="16"/>
                <w:szCs w:val="16"/>
                <w:lang w:eastAsia="sl-SI"/>
              </w:rPr>
            </w:pPr>
            <w:r w:rsidRPr="004167E8">
              <w:rPr>
                <w:rFonts w:cs="Arial"/>
                <w:b/>
                <w:bCs/>
                <w:color w:val="000000"/>
                <w:sz w:val="16"/>
                <w:szCs w:val="16"/>
                <w:lang w:eastAsia="sl-SI"/>
              </w:rPr>
              <w:t> </w:t>
            </w:r>
          </w:p>
        </w:tc>
        <w:tc>
          <w:tcPr>
            <w:tcW w:w="2914" w:type="pct"/>
            <w:tcBorders>
              <w:top w:val="nil"/>
              <w:left w:val="nil"/>
              <w:bottom w:val="single" w:sz="4" w:space="0" w:color="auto"/>
              <w:right w:val="single" w:sz="4" w:space="0" w:color="auto"/>
            </w:tcBorders>
            <w:shd w:val="clear" w:color="000000" w:fill="FFFFFF"/>
            <w:noWrap/>
            <w:vAlign w:val="center"/>
            <w:hideMark/>
          </w:tcPr>
          <w:p w14:paraId="114CFA94" w14:textId="77777777" w:rsidR="00A04513" w:rsidRPr="004167E8" w:rsidRDefault="00A04513" w:rsidP="004167E8">
            <w:pPr>
              <w:rPr>
                <w:rFonts w:cs="Arial"/>
                <w:color w:val="000000"/>
                <w:sz w:val="16"/>
                <w:szCs w:val="16"/>
                <w:lang w:eastAsia="sl-SI"/>
              </w:rPr>
            </w:pPr>
            <w:r w:rsidRPr="004167E8">
              <w:rPr>
                <w:rFonts w:cs="Arial"/>
                <w:color w:val="000000"/>
                <w:sz w:val="16"/>
                <w:szCs w:val="16"/>
                <w:lang w:eastAsia="sl-SI"/>
              </w:rPr>
              <w:t>Gostota prebivalstva (prebivalcev/km2)</w:t>
            </w:r>
          </w:p>
        </w:tc>
        <w:tc>
          <w:tcPr>
            <w:tcW w:w="355" w:type="pct"/>
            <w:tcBorders>
              <w:top w:val="nil"/>
              <w:left w:val="nil"/>
              <w:bottom w:val="single" w:sz="4" w:space="0" w:color="auto"/>
              <w:right w:val="single" w:sz="4" w:space="0" w:color="auto"/>
            </w:tcBorders>
            <w:shd w:val="clear" w:color="auto" w:fill="auto"/>
            <w:noWrap/>
            <w:vAlign w:val="center"/>
            <w:hideMark/>
          </w:tcPr>
          <w:p w14:paraId="5135A800" w14:textId="77777777" w:rsidR="00A04513" w:rsidRPr="004167E8" w:rsidRDefault="00A04513" w:rsidP="004167E8">
            <w:pPr>
              <w:jc w:val="right"/>
              <w:rPr>
                <w:rFonts w:cs="Arial"/>
                <w:color w:val="000000"/>
                <w:sz w:val="16"/>
                <w:szCs w:val="16"/>
                <w:lang w:eastAsia="sl-SI"/>
              </w:rPr>
            </w:pPr>
            <w:r w:rsidRPr="004167E8">
              <w:rPr>
                <w:rFonts w:cs="Arial"/>
                <w:color w:val="000000"/>
                <w:sz w:val="16"/>
                <w:szCs w:val="16"/>
                <w:lang w:eastAsia="sl-SI"/>
              </w:rPr>
              <w:t>101,7</w:t>
            </w:r>
          </w:p>
        </w:tc>
        <w:tc>
          <w:tcPr>
            <w:tcW w:w="355" w:type="pct"/>
            <w:tcBorders>
              <w:top w:val="nil"/>
              <w:left w:val="nil"/>
              <w:bottom w:val="single" w:sz="4" w:space="0" w:color="auto"/>
              <w:right w:val="single" w:sz="4" w:space="0" w:color="auto"/>
            </w:tcBorders>
            <w:shd w:val="clear" w:color="auto" w:fill="auto"/>
            <w:noWrap/>
            <w:vAlign w:val="center"/>
            <w:hideMark/>
          </w:tcPr>
          <w:p w14:paraId="127AF699" w14:textId="77777777" w:rsidR="00A04513" w:rsidRPr="004167E8" w:rsidRDefault="00A04513" w:rsidP="004167E8">
            <w:pPr>
              <w:jc w:val="right"/>
              <w:rPr>
                <w:rFonts w:cs="Arial"/>
                <w:color w:val="000000"/>
                <w:sz w:val="16"/>
                <w:szCs w:val="16"/>
                <w:lang w:eastAsia="sl-SI"/>
              </w:rPr>
            </w:pPr>
            <w:r w:rsidRPr="004167E8">
              <w:rPr>
                <w:rFonts w:cs="Arial"/>
                <w:color w:val="000000"/>
                <w:sz w:val="16"/>
                <w:szCs w:val="16"/>
                <w:lang w:eastAsia="sl-SI"/>
              </w:rPr>
              <w:t>102,3</w:t>
            </w:r>
          </w:p>
        </w:tc>
        <w:tc>
          <w:tcPr>
            <w:tcW w:w="355" w:type="pct"/>
            <w:tcBorders>
              <w:top w:val="nil"/>
              <w:left w:val="nil"/>
              <w:bottom w:val="single" w:sz="4" w:space="0" w:color="auto"/>
              <w:right w:val="single" w:sz="4" w:space="0" w:color="auto"/>
            </w:tcBorders>
            <w:shd w:val="clear" w:color="auto" w:fill="auto"/>
            <w:noWrap/>
            <w:vAlign w:val="center"/>
            <w:hideMark/>
          </w:tcPr>
          <w:p w14:paraId="125302F5" w14:textId="77777777" w:rsidR="00A04513" w:rsidRPr="004167E8" w:rsidRDefault="00A04513" w:rsidP="004167E8">
            <w:pPr>
              <w:jc w:val="right"/>
              <w:rPr>
                <w:rFonts w:cs="Arial"/>
                <w:color w:val="000000"/>
                <w:sz w:val="16"/>
                <w:szCs w:val="16"/>
                <w:lang w:eastAsia="sl-SI"/>
              </w:rPr>
            </w:pPr>
            <w:r w:rsidRPr="004167E8">
              <w:rPr>
                <w:rFonts w:cs="Arial"/>
                <w:color w:val="000000"/>
                <w:sz w:val="16"/>
                <w:szCs w:val="16"/>
                <w:lang w:eastAsia="sl-SI"/>
              </w:rPr>
              <w:t>102,5</w:t>
            </w:r>
          </w:p>
        </w:tc>
        <w:tc>
          <w:tcPr>
            <w:tcW w:w="355" w:type="pct"/>
            <w:tcBorders>
              <w:top w:val="nil"/>
              <w:left w:val="nil"/>
              <w:bottom w:val="single" w:sz="4" w:space="0" w:color="auto"/>
              <w:right w:val="single" w:sz="4" w:space="0" w:color="auto"/>
            </w:tcBorders>
            <w:shd w:val="clear" w:color="auto" w:fill="auto"/>
            <w:noWrap/>
            <w:vAlign w:val="center"/>
            <w:hideMark/>
          </w:tcPr>
          <w:p w14:paraId="15A52D66" w14:textId="77777777" w:rsidR="00A04513" w:rsidRPr="004167E8" w:rsidRDefault="00A04513" w:rsidP="004167E8">
            <w:pPr>
              <w:jc w:val="right"/>
              <w:rPr>
                <w:rFonts w:cs="Arial"/>
                <w:color w:val="000000"/>
                <w:sz w:val="16"/>
                <w:szCs w:val="16"/>
                <w:lang w:eastAsia="sl-SI"/>
              </w:rPr>
            </w:pPr>
            <w:r w:rsidRPr="004167E8">
              <w:rPr>
                <w:rFonts w:cs="Arial"/>
                <w:color w:val="000000"/>
                <w:sz w:val="16"/>
                <w:szCs w:val="16"/>
                <w:lang w:eastAsia="sl-SI"/>
              </w:rPr>
              <w:t>102,6</w:t>
            </w:r>
          </w:p>
        </w:tc>
        <w:tc>
          <w:tcPr>
            <w:tcW w:w="353" w:type="pct"/>
            <w:tcBorders>
              <w:top w:val="nil"/>
              <w:left w:val="nil"/>
              <w:bottom w:val="single" w:sz="4" w:space="0" w:color="auto"/>
              <w:right w:val="single" w:sz="4" w:space="0" w:color="auto"/>
            </w:tcBorders>
          </w:tcPr>
          <w:p w14:paraId="2C9C443B" w14:textId="06FAA084" w:rsidR="00A04513" w:rsidRPr="004167E8" w:rsidRDefault="00A04513" w:rsidP="004167E8">
            <w:pPr>
              <w:jc w:val="right"/>
              <w:rPr>
                <w:rFonts w:cs="Arial"/>
                <w:color w:val="000000"/>
                <w:sz w:val="16"/>
                <w:szCs w:val="16"/>
                <w:lang w:eastAsia="sl-SI"/>
              </w:rPr>
            </w:pPr>
            <w:r>
              <w:rPr>
                <w:rFonts w:cs="Arial"/>
                <w:color w:val="000000"/>
                <w:sz w:val="16"/>
                <w:szCs w:val="16"/>
                <w:lang w:eastAsia="sl-SI"/>
              </w:rPr>
              <w:t>102,9</w:t>
            </w:r>
          </w:p>
        </w:tc>
      </w:tr>
      <w:tr w:rsidR="00A04513" w:rsidRPr="004167E8" w14:paraId="48A04FB9" w14:textId="34AA38E1" w:rsidTr="00F42F8F">
        <w:trPr>
          <w:trHeight w:val="373"/>
          <w:jc w:val="center"/>
        </w:trPr>
        <w:tc>
          <w:tcPr>
            <w:tcW w:w="313" w:type="pct"/>
            <w:vMerge/>
            <w:tcBorders>
              <w:top w:val="nil"/>
              <w:left w:val="single" w:sz="4" w:space="0" w:color="auto"/>
              <w:bottom w:val="single" w:sz="4" w:space="0" w:color="auto"/>
              <w:right w:val="single" w:sz="4" w:space="0" w:color="auto"/>
            </w:tcBorders>
            <w:vAlign w:val="center"/>
            <w:hideMark/>
          </w:tcPr>
          <w:p w14:paraId="21ED3970" w14:textId="77777777" w:rsidR="00A04513" w:rsidRPr="004167E8" w:rsidRDefault="00A04513" w:rsidP="004167E8">
            <w:pPr>
              <w:rPr>
                <w:rFonts w:cs="Arial"/>
                <w:b/>
                <w:bCs/>
                <w:color w:val="000000"/>
                <w:sz w:val="16"/>
                <w:szCs w:val="16"/>
                <w:lang w:eastAsia="sl-SI"/>
              </w:rPr>
            </w:pPr>
          </w:p>
        </w:tc>
        <w:tc>
          <w:tcPr>
            <w:tcW w:w="2914" w:type="pct"/>
            <w:tcBorders>
              <w:top w:val="nil"/>
              <w:left w:val="nil"/>
              <w:bottom w:val="single" w:sz="4" w:space="0" w:color="auto"/>
              <w:right w:val="single" w:sz="4" w:space="0" w:color="auto"/>
            </w:tcBorders>
            <w:shd w:val="clear" w:color="000000" w:fill="FFFFFF"/>
            <w:noWrap/>
            <w:vAlign w:val="center"/>
            <w:hideMark/>
          </w:tcPr>
          <w:p w14:paraId="24C15222" w14:textId="77777777" w:rsidR="00A04513" w:rsidRPr="004167E8" w:rsidRDefault="00A04513" w:rsidP="004167E8">
            <w:pPr>
              <w:rPr>
                <w:rFonts w:cs="Arial"/>
                <w:color w:val="000000"/>
                <w:sz w:val="16"/>
                <w:szCs w:val="16"/>
                <w:lang w:eastAsia="sl-SI"/>
              </w:rPr>
            </w:pPr>
            <w:r w:rsidRPr="004167E8">
              <w:rPr>
                <w:rFonts w:cs="Arial"/>
                <w:color w:val="000000"/>
                <w:sz w:val="16"/>
                <w:szCs w:val="16"/>
                <w:lang w:eastAsia="sl-SI"/>
              </w:rPr>
              <w:t>Gostota prebivalstva v podeželskih regijah (prebivalcev/km2)</w:t>
            </w:r>
          </w:p>
        </w:tc>
        <w:tc>
          <w:tcPr>
            <w:tcW w:w="355" w:type="pct"/>
            <w:tcBorders>
              <w:top w:val="nil"/>
              <w:left w:val="nil"/>
              <w:bottom w:val="single" w:sz="4" w:space="0" w:color="auto"/>
              <w:right w:val="single" w:sz="4" w:space="0" w:color="auto"/>
            </w:tcBorders>
            <w:shd w:val="clear" w:color="auto" w:fill="auto"/>
            <w:vAlign w:val="center"/>
            <w:hideMark/>
          </w:tcPr>
          <w:p w14:paraId="2778B107" w14:textId="77777777" w:rsidR="00A04513" w:rsidRPr="004167E8" w:rsidRDefault="00A04513" w:rsidP="004167E8">
            <w:pPr>
              <w:jc w:val="right"/>
              <w:rPr>
                <w:rFonts w:cs="Arial"/>
                <w:b/>
                <w:bCs/>
                <w:color w:val="000000"/>
                <w:sz w:val="16"/>
                <w:szCs w:val="16"/>
                <w:lang w:eastAsia="sl-SI"/>
              </w:rPr>
            </w:pPr>
            <w:r w:rsidRPr="004167E8">
              <w:rPr>
                <w:rFonts w:cs="Arial"/>
                <w:b/>
                <w:bCs/>
                <w:color w:val="000000"/>
                <w:sz w:val="16"/>
                <w:szCs w:val="16"/>
                <w:lang w:eastAsia="sl-SI"/>
              </w:rPr>
              <w:t>-</w:t>
            </w:r>
          </w:p>
        </w:tc>
        <w:tc>
          <w:tcPr>
            <w:tcW w:w="355" w:type="pct"/>
            <w:tcBorders>
              <w:top w:val="nil"/>
              <w:left w:val="nil"/>
              <w:bottom w:val="single" w:sz="4" w:space="0" w:color="auto"/>
              <w:right w:val="single" w:sz="4" w:space="0" w:color="auto"/>
            </w:tcBorders>
            <w:shd w:val="clear" w:color="auto" w:fill="auto"/>
            <w:noWrap/>
            <w:vAlign w:val="center"/>
            <w:hideMark/>
          </w:tcPr>
          <w:p w14:paraId="5C2C28BE" w14:textId="77777777" w:rsidR="00A04513" w:rsidRPr="004167E8" w:rsidRDefault="00A04513" w:rsidP="004167E8">
            <w:pPr>
              <w:jc w:val="right"/>
              <w:rPr>
                <w:rFonts w:cs="Arial"/>
                <w:color w:val="000000"/>
                <w:sz w:val="16"/>
                <w:szCs w:val="16"/>
                <w:lang w:eastAsia="sl-SI"/>
              </w:rPr>
            </w:pPr>
            <w:r w:rsidRPr="004167E8">
              <w:rPr>
                <w:rFonts w:cs="Arial"/>
                <w:color w:val="000000"/>
                <w:sz w:val="16"/>
                <w:szCs w:val="16"/>
                <w:lang w:eastAsia="sl-SI"/>
              </w:rPr>
              <w:t>82,90</w:t>
            </w:r>
          </w:p>
        </w:tc>
        <w:tc>
          <w:tcPr>
            <w:tcW w:w="355" w:type="pct"/>
            <w:tcBorders>
              <w:top w:val="nil"/>
              <w:left w:val="nil"/>
              <w:bottom w:val="single" w:sz="4" w:space="0" w:color="auto"/>
              <w:right w:val="single" w:sz="4" w:space="0" w:color="auto"/>
            </w:tcBorders>
            <w:shd w:val="clear" w:color="auto" w:fill="auto"/>
            <w:noWrap/>
            <w:vAlign w:val="center"/>
            <w:hideMark/>
          </w:tcPr>
          <w:p w14:paraId="2523DAA4" w14:textId="77777777" w:rsidR="00A04513" w:rsidRPr="004167E8" w:rsidRDefault="00A04513" w:rsidP="004167E8">
            <w:pPr>
              <w:jc w:val="right"/>
              <w:rPr>
                <w:rFonts w:cs="Arial"/>
                <w:color w:val="000000"/>
                <w:sz w:val="16"/>
                <w:szCs w:val="16"/>
                <w:lang w:eastAsia="sl-SI"/>
              </w:rPr>
            </w:pPr>
            <w:r w:rsidRPr="004167E8">
              <w:rPr>
                <w:rFonts w:cs="Arial"/>
                <w:color w:val="000000"/>
                <w:sz w:val="16"/>
                <w:szCs w:val="16"/>
                <w:lang w:eastAsia="sl-SI"/>
              </w:rPr>
              <w:t>82,60</w:t>
            </w:r>
          </w:p>
        </w:tc>
        <w:tc>
          <w:tcPr>
            <w:tcW w:w="355" w:type="pct"/>
            <w:tcBorders>
              <w:top w:val="nil"/>
              <w:left w:val="nil"/>
              <w:bottom w:val="single" w:sz="4" w:space="0" w:color="auto"/>
              <w:right w:val="single" w:sz="4" w:space="0" w:color="auto"/>
            </w:tcBorders>
            <w:shd w:val="clear" w:color="auto" w:fill="auto"/>
            <w:noWrap/>
            <w:vAlign w:val="center"/>
            <w:hideMark/>
          </w:tcPr>
          <w:p w14:paraId="6B878258" w14:textId="77777777" w:rsidR="00A04513" w:rsidRPr="004167E8" w:rsidRDefault="00A04513" w:rsidP="004167E8">
            <w:pPr>
              <w:jc w:val="right"/>
              <w:rPr>
                <w:rFonts w:cs="Arial"/>
                <w:color w:val="000000"/>
                <w:sz w:val="16"/>
                <w:szCs w:val="16"/>
                <w:lang w:eastAsia="sl-SI"/>
              </w:rPr>
            </w:pPr>
            <w:r w:rsidRPr="004167E8">
              <w:rPr>
                <w:rFonts w:cs="Arial"/>
                <w:color w:val="000000"/>
                <w:sz w:val="16"/>
                <w:szCs w:val="16"/>
                <w:lang w:eastAsia="sl-SI"/>
              </w:rPr>
              <w:t>-</w:t>
            </w:r>
          </w:p>
        </w:tc>
        <w:tc>
          <w:tcPr>
            <w:tcW w:w="353" w:type="pct"/>
            <w:tcBorders>
              <w:top w:val="nil"/>
              <w:left w:val="nil"/>
              <w:bottom w:val="single" w:sz="4" w:space="0" w:color="auto"/>
              <w:right w:val="single" w:sz="4" w:space="0" w:color="auto"/>
            </w:tcBorders>
          </w:tcPr>
          <w:p w14:paraId="0154DF77" w14:textId="77777777" w:rsidR="00A04513" w:rsidRPr="004167E8" w:rsidRDefault="00A04513" w:rsidP="004167E8">
            <w:pPr>
              <w:jc w:val="right"/>
              <w:rPr>
                <w:rFonts w:cs="Arial"/>
                <w:color w:val="000000"/>
                <w:sz w:val="16"/>
                <w:szCs w:val="16"/>
                <w:lang w:eastAsia="sl-SI"/>
              </w:rPr>
            </w:pPr>
          </w:p>
        </w:tc>
      </w:tr>
    </w:tbl>
    <w:p w14:paraId="491F3975" w14:textId="3AB7B1E3" w:rsidR="006C63D5" w:rsidRPr="00F42F8F" w:rsidRDefault="00A04513" w:rsidP="006C63D5">
      <w:pPr>
        <w:spacing w:before="120" w:after="240" w:line="264" w:lineRule="auto"/>
        <w:rPr>
          <w:rFonts w:eastAsia="Arial" w:cs="Arial"/>
          <w:bCs/>
          <w:sz w:val="16"/>
          <w:szCs w:val="16"/>
        </w:rPr>
      </w:pPr>
      <w:r>
        <w:rPr>
          <w:rFonts w:eastAsia="Arial" w:cs="Arial"/>
          <w:bCs/>
          <w:sz w:val="16"/>
          <w:szCs w:val="16"/>
        </w:rPr>
        <w:t xml:space="preserve">Vir: C.02 - </w:t>
      </w:r>
      <w:r>
        <w:rPr>
          <w:rFonts w:eastAsia="Calibri"/>
          <w:sz w:val="16"/>
          <w:szCs w:val="16"/>
        </w:rPr>
        <w:t xml:space="preserve">- </w:t>
      </w:r>
      <w:proofErr w:type="spellStart"/>
      <w:r w:rsidRPr="004629B1">
        <w:rPr>
          <w:rFonts w:eastAsia="Calibri"/>
          <w:sz w:val="16"/>
          <w:szCs w:val="16"/>
        </w:rPr>
        <w:t>Dashboard</w:t>
      </w:r>
      <w:proofErr w:type="spellEnd"/>
      <w:r w:rsidRPr="004629B1">
        <w:rPr>
          <w:rFonts w:eastAsia="Calibri"/>
          <w:sz w:val="16"/>
          <w:szCs w:val="16"/>
        </w:rPr>
        <w:t xml:space="preserve"> </w:t>
      </w:r>
      <w:proofErr w:type="spellStart"/>
      <w:r w:rsidRPr="004629B1">
        <w:rPr>
          <w:rFonts w:eastAsia="Calibri"/>
          <w:sz w:val="16"/>
          <w:szCs w:val="16"/>
        </w:rPr>
        <w:t>Indicators</w:t>
      </w:r>
      <w:proofErr w:type="spellEnd"/>
      <w:r w:rsidRPr="004629B1">
        <w:rPr>
          <w:rFonts w:cs="Arial"/>
          <w:sz w:val="16"/>
          <w:szCs w:val="16"/>
        </w:rPr>
        <w:t xml:space="preserve"> </w:t>
      </w:r>
      <w:r w:rsidRPr="00F42F8F">
        <w:rPr>
          <w:rFonts w:eastAsia="Arial" w:cs="Arial"/>
          <w:bCs/>
          <w:sz w:val="16"/>
          <w:szCs w:val="16"/>
        </w:rPr>
        <w:t>https://agridata.ec.europa.eu/extensions/DashboardIndicators/DataExplorer.html?select=EU27_FLAG,1)</w:t>
      </w:r>
    </w:p>
    <w:p w14:paraId="4DEC21C2" w14:textId="7FF88486" w:rsidR="006C63D5" w:rsidRPr="00DE12FE" w:rsidRDefault="006C63D5" w:rsidP="00DE12FE">
      <w:pPr>
        <w:spacing w:before="120" w:after="240" w:line="360" w:lineRule="auto"/>
        <w:jc w:val="both"/>
        <w:rPr>
          <w:rFonts w:cs="Arial"/>
          <w:szCs w:val="20"/>
        </w:rPr>
      </w:pPr>
      <w:r w:rsidRPr="00DE12FE">
        <w:rPr>
          <w:rFonts w:eastAsia="Arial" w:cs="Arial"/>
          <w:bCs/>
          <w:szCs w:val="20"/>
        </w:rPr>
        <w:t>Za Slovenijo so značilna izredno redko poseljena obmejna območja</w:t>
      </w:r>
      <w:r w:rsidR="00B747AA">
        <w:rPr>
          <w:rFonts w:eastAsia="Arial" w:cs="Arial"/>
          <w:bCs/>
          <w:szCs w:val="20"/>
        </w:rPr>
        <w:t>.</w:t>
      </w:r>
      <w:r w:rsidRPr="00DE12FE">
        <w:rPr>
          <w:rFonts w:eastAsia="Arial" w:cs="Arial"/>
          <w:szCs w:val="20"/>
        </w:rPr>
        <w:t xml:space="preserve"> </w:t>
      </w:r>
      <w:r w:rsidR="00B747AA">
        <w:rPr>
          <w:rFonts w:eastAsia="Arial" w:cs="Arial"/>
          <w:szCs w:val="20"/>
        </w:rPr>
        <w:t>V</w:t>
      </w:r>
      <w:r w:rsidRPr="00DE12FE">
        <w:rPr>
          <w:rFonts w:eastAsia="Arial" w:cs="Arial"/>
          <w:szCs w:val="20"/>
        </w:rPr>
        <w:t xml:space="preserve"> obmejna problemska območja sodi </w:t>
      </w:r>
      <w:r w:rsidR="00B747AA">
        <w:rPr>
          <w:rFonts w:eastAsia="Arial" w:cs="Arial"/>
          <w:szCs w:val="20"/>
        </w:rPr>
        <w:t xml:space="preserve">kar </w:t>
      </w:r>
      <w:r w:rsidRPr="00DE12FE">
        <w:rPr>
          <w:rFonts w:eastAsia="Arial" w:cs="Arial"/>
          <w:szCs w:val="20"/>
        </w:rPr>
        <w:t xml:space="preserve">85 občin, ki zajemajo 48 % slovenskega površja in </w:t>
      </w:r>
      <w:r w:rsidRPr="00DE12FE">
        <w:rPr>
          <w:rFonts w:cs="Arial"/>
          <w:szCs w:val="20"/>
        </w:rPr>
        <w:t xml:space="preserve">21,8 % prebivalcev. Obmejna območja s </w:t>
      </w:r>
      <w:r w:rsidRPr="00DE12FE">
        <w:rPr>
          <w:rFonts w:cs="Arial"/>
          <w:szCs w:val="20"/>
        </w:rPr>
        <w:lastRenderedPageBreak/>
        <w:t xml:space="preserve">slabo socialno-ekonomsko strukturo so zlasti v vzhodni in južni Sloveniji; območja s slabo prostorsko strukturo so Posočje, Koroška, območja v jugovzhodni Sloveniji; razvojno najbolj ogrožena območja pa so Goričko, deli Koroške in </w:t>
      </w:r>
      <w:proofErr w:type="spellStart"/>
      <w:r w:rsidRPr="00DE12FE">
        <w:rPr>
          <w:rFonts w:cs="Arial"/>
          <w:szCs w:val="20"/>
        </w:rPr>
        <w:t>Pokolpje</w:t>
      </w:r>
      <w:proofErr w:type="spellEnd"/>
      <w:r w:rsidRPr="00DE12FE">
        <w:rPr>
          <w:rFonts w:cs="Arial"/>
          <w:szCs w:val="20"/>
          <w:vertAlign w:val="superscript"/>
        </w:rPr>
        <w:footnoteReference w:id="1"/>
      </w:r>
      <w:r w:rsidRPr="00DE12FE">
        <w:rPr>
          <w:rFonts w:cs="Arial"/>
          <w:szCs w:val="20"/>
        </w:rPr>
        <w:t>.</w:t>
      </w:r>
    </w:p>
    <w:p w14:paraId="545257C5" w14:textId="11333FC8" w:rsidR="006C63D5" w:rsidRPr="00DE12FE" w:rsidRDefault="006C63D5" w:rsidP="00DE12FE">
      <w:pPr>
        <w:spacing w:before="120" w:after="240" w:line="360" w:lineRule="auto"/>
        <w:jc w:val="both"/>
        <w:rPr>
          <w:rFonts w:cs="Arial"/>
          <w:szCs w:val="20"/>
        </w:rPr>
      </w:pPr>
      <w:r w:rsidRPr="00DE12FE">
        <w:rPr>
          <w:rFonts w:cs="Arial"/>
          <w:szCs w:val="20"/>
        </w:rPr>
        <w:t xml:space="preserve">Slovenija ima danes star demografski režim z nizko rodnostjo in smrtnostjo. Povprečna starost prebivalstva RS v letu 2020 je bila 43,5 leta; indeks staranja pa 134,3. Povečuje se delež prebivalcev starejših od 65 let. </w:t>
      </w:r>
      <w:r w:rsidR="00B747AA">
        <w:rPr>
          <w:rFonts w:cs="Arial"/>
          <w:szCs w:val="20"/>
        </w:rPr>
        <w:t>V l</w:t>
      </w:r>
      <w:r w:rsidRPr="00DE12FE">
        <w:rPr>
          <w:rFonts w:cs="Arial"/>
          <w:szCs w:val="20"/>
        </w:rPr>
        <w:t>et</w:t>
      </w:r>
      <w:r w:rsidR="00B747AA">
        <w:rPr>
          <w:rFonts w:cs="Arial"/>
          <w:szCs w:val="20"/>
        </w:rPr>
        <w:t>u</w:t>
      </w:r>
      <w:r w:rsidRPr="00DE12FE">
        <w:rPr>
          <w:rFonts w:cs="Arial"/>
          <w:szCs w:val="20"/>
        </w:rPr>
        <w:t xml:space="preserve"> 2020 je</w:t>
      </w:r>
      <w:r w:rsidRPr="00146602">
        <w:rPr>
          <w:rFonts w:cs="Arial"/>
        </w:rPr>
        <w:t xml:space="preserve"> </w:t>
      </w:r>
      <w:r w:rsidR="00B747AA">
        <w:rPr>
          <w:rFonts w:cs="Arial"/>
        </w:rPr>
        <w:t xml:space="preserve">delež </w:t>
      </w:r>
      <w:r w:rsidRPr="00DE12FE">
        <w:rPr>
          <w:rFonts w:cs="Arial"/>
          <w:szCs w:val="20"/>
        </w:rPr>
        <w:t xml:space="preserve">prebivalcev, mlajših od 15 let, 15,1 % </w:t>
      </w:r>
      <w:r w:rsidR="00B747AA">
        <w:rPr>
          <w:rFonts w:cs="Arial"/>
          <w:szCs w:val="20"/>
        </w:rPr>
        <w:t xml:space="preserve">od </w:t>
      </w:r>
      <w:r w:rsidR="00B747AA" w:rsidRPr="00DE12FE">
        <w:rPr>
          <w:rFonts w:cs="Arial"/>
          <w:szCs w:val="20"/>
        </w:rPr>
        <w:t>celotn</w:t>
      </w:r>
      <w:r w:rsidR="00B747AA">
        <w:rPr>
          <w:rFonts w:cs="Arial"/>
          <w:szCs w:val="20"/>
        </w:rPr>
        <w:t>ega</w:t>
      </w:r>
      <w:r w:rsidR="00B747AA" w:rsidRPr="00DE12FE">
        <w:rPr>
          <w:rFonts w:cs="Arial"/>
          <w:szCs w:val="20"/>
        </w:rPr>
        <w:t xml:space="preserve"> števil</w:t>
      </w:r>
      <w:r w:rsidR="00B747AA">
        <w:rPr>
          <w:rFonts w:cs="Arial"/>
          <w:szCs w:val="20"/>
        </w:rPr>
        <w:t>a</w:t>
      </w:r>
      <w:r w:rsidR="00B747AA" w:rsidRPr="00DE12FE">
        <w:rPr>
          <w:rFonts w:cs="Arial"/>
          <w:szCs w:val="20"/>
        </w:rPr>
        <w:t xml:space="preserve"> prebivalcev Slovenije </w:t>
      </w:r>
      <w:r w:rsidRPr="00DE12FE">
        <w:rPr>
          <w:rFonts w:cs="Arial"/>
          <w:szCs w:val="20"/>
        </w:rPr>
        <w:t>in se rahlo povečuje</w:t>
      </w:r>
      <w:r w:rsidR="00B747AA">
        <w:rPr>
          <w:rFonts w:cs="Arial"/>
          <w:szCs w:val="20"/>
        </w:rPr>
        <w:t>; delež</w:t>
      </w:r>
      <w:r w:rsidRPr="00DE12FE">
        <w:rPr>
          <w:rFonts w:cs="Arial"/>
          <w:szCs w:val="20"/>
        </w:rPr>
        <w:t xml:space="preserve"> starejših od 65 let pa 20,2 % in se povečuje</w:t>
      </w:r>
      <w:r w:rsidR="00B747AA">
        <w:rPr>
          <w:rFonts w:cs="Arial"/>
          <w:szCs w:val="20"/>
        </w:rPr>
        <w:t>.</w:t>
      </w:r>
      <w:r w:rsidRPr="00DE12FE">
        <w:rPr>
          <w:rFonts w:cs="Arial"/>
          <w:szCs w:val="20"/>
        </w:rPr>
        <w:t xml:space="preserve"> Dolgoletno povprečje kaže, da delež prebivalcev starih 65 let in več presega dolgoletno povprečje prebivalcev starih pod 15 let. </w:t>
      </w:r>
    </w:p>
    <w:p w14:paraId="75FDFC80" w14:textId="3D57BDC7" w:rsidR="006C63D5" w:rsidRPr="004167E8" w:rsidRDefault="00C9160B" w:rsidP="004167E8">
      <w:pPr>
        <w:pStyle w:val="SCPreglednica"/>
      </w:pPr>
      <w:bookmarkStart w:id="19" w:name="_Toc55913718"/>
      <w:r>
        <w:t>Tabela</w:t>
      </w:r>
      <w:r w:rsidR="006C63D5" w:rsidRPr="004167E8">
        <w:t xml:space="preserve"> </w:t>
      </w:r>
      <w:r w:rsidR="0001708D">
        <w:rPr>
          <w:noProof/>
        </w:rPr>
        <w:fldChar w:fldCharType="begin"/>
      </w:r>
      <w:r w:rsidR="0001708D">
        <w:rPr>
          <w:noProof/>
        </w:rPr>
        <w:instrText xml:space="preserve"> SEQ Tabela \* ARABIC </w:instrText>
      </w:r>
      <w:r w:rsidR="0001708D">
        <w:rPr>
          <w:noProof/>
        </w:rPr>
        <w:fldChar w:fldCharType="separate"/>
      </w:r>
      <w:r w:rsidR="00DF0D48">
        <w:rPr>
          <w:noProof/>
        </w:rPr>
        <w:t>7</w:t>
      </w:r>
      <w:r w:rsidR="0001708D">
        <w:rPr>
          <w:noProof/>
        </w:rPr>
        <w:fldChar w:fldCharType="end"/>
      </w:r>
      <w:r w:rsidR="006C63D5" w:rsidRPr="004167E8">
        <w:t>: Delež prebivalcev po starostnih razredih</w:t>
      </w:r>
      <w:bookmarkEnd w:id="19"/>
    </w:p>
    <w:tbl>
      <w:tblPr>
        <w:tblW w:w="5000" w:type="pct"/>
        <w:tblCellMar>
          <w:left w:w="70" w:type="dxa"/>
          <w:right w:w="70" w:type="dxa"/>
        </w:tblCellMar>
        <w:tblLook w:val="04A0" w:firstRow="1" w:lastRow="0" w:firstColumn="1" w:lastColumn="0" w:noHBand="0" w:noVBand="1"/>
      </w:tblPr>
      <w:tblGrid>
        <w:gridCol w:w="3777"/>
        <w:gridCol w:w="1057"/>
        <w:gridCol w:w="1057"/>
        <w:gridCol w:w="1057"/>
        <w:gridCol w:w="1057"/>
        <w:gridCol w:w="1057"/>
      </w:tblGrid>
      <w:tr w:rsidR="006C63D5" w:rsidRPr="004167E8" w14:paraId="0A8F3F9A" w14:textId="77777777" w:rsidTr="007E7C95">
        <w:trPr>
          <w:trHeight w:val="300"/>
        </w:trPr>
        <w:tc>
          <w:tcPr>
            <w:tcW w:w="2084"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BCCB5D5" w14:textId="77777777" w:rsidR="006C63D5" w:rsidRPr="004167E8" w:rsidRDefault="006C63D5" w:rsidP="004167E8">
            <w:pPr>
              <w:rPr>
                <w:rFonts w:cs="Arial"/>
                <w:color w:val="000000"/>
                <w:sz w:val="16"/>
                <w:szCs w:val="16"/>
                <w:lang w:eastAsia="sl-SI"/>
              </w:rPr>
            </w:pPr>
            <w:r w:rsidRPr="004167E8">
              <w:rPr>
                <w:rFonts w:cs="Arial"/>
                <w:color w:val="000000"/>
                <w:sz w:val="16"/>
                <w:szCs w:val="16"/>
                <w:lang w:eastAsia="sl-SI"/>
              </w:rPr>
              <w:t> </w:t>
            </w:r>
          </w:p>
        </w:tc>
        <w:tc>
          <w:tcPr>
            <w:tcW w:w="583" w:type="pct"/>
            <w:tcBorders>
              <w:top w:val="single" w:sz="4" w:space="0" w:color="auto"/>
              <w:left w:val="nil"/>
              <w:bottom w:val="single" w:sz="4" w:space="0" w:color="auto"/>
              <w:right w:val="single" w:sz="4" w:space="0" w:color="auto"/>
            </w:tcBorders>
            <w:shd w:val="clear" w:color="000000" w:fill="92D050"/>
            <w:noWrap/>
            <w:vAlign w:val="bottom"/>
            <w:hideMark/>
          </w:tcPr>
          <w:p w14:paraId="6768859E" w14:textId="77777777" w:rsidR="006C63D5" w:rsidRPr="004167E8" w:rsidRDefault="006C63D5" w:rsidP="004167E8">
            <w:pPr>
              <w:jc w:val="right"/>
              <w:rPr>
                <w:rFonts w:cs="Arial"/>
                <w:b/>
                <w:bCs/>
                <w:color w:val="000000"/>
                <w:sz w:val="16"/>
                <w:szCs w:val="16"/>
                <w:lang w:eastAsia="sl-SI"/>
              </w:rPr>
            </w:pPr>
            <w:r w:rsidRPr="004167E8">
              <w:rPr>
                <w:rFonts w:cs="Arial"/>
                <w:b/>
                <w:bCs/>
                <w:color w:val="000000"/>
                <w:sz w:val="16"/>
                <w:szCs w:val="16"/>
                <w:lang w:eastAsia="sl-SI"/>
              </w:rPr>
              <w:t>2010</w:t>
            </w:r>
          </w:p>
        </w:tc>
        <w:tc>
          <w:tcPr>
            <w:tcW w:w="583" w:type="pct"/>
            <w:tcBorders>
              <w:top w:val="single" w:sz="4" w:space="0" w:color="auto"/>
              <w:left w:val="nil"/>
              <w:bottom w:val="single" w:sz="4" w:space="0" w:color="auto"/>
              <w:right w:val="single" w:sz="4" w:space="0" w:color="auto"/>
            </w:tcBorders>
            <w:shd w:val="clear" w:color="000000" w:fill="92D050"/>
            <w:noWrap/>
            <w:vAlign w:val="bottom"/>
            <w:hideMark/>
          </w:tcPr>
          <w:p w14:paraId="2FDAE50D" w14:textId="77777777" w:rsidR="006C63D5" w:rsidRPr="004167E8" w:rsidRDefault="006C63D5" w:rsidP="004167E8">
            <w:pPr>
              <w:jc w:val="right"/>
              <w:rPr>
                <w:rFonts w:cs="Arial"/>
                <w:b/>
                <w:bCs/>
                <w:color w:val="000000"/>
                <w:sz w:val="16"/>
                <w:szCs w:val="16"/>
                <w:lang w:eastAsia="sl-SI"/>
              </w:rPr>
            </w:pPr>
            <w:r w:rsidRPr="004167E8">
              <w:rPr>
                <w:rFonts w:cs="Arial"/>
                <w:b/>
                <w:bCs/>
                <w:color w:val="000000"/>
                <w:sz w:val="16"/>
                <w:szCs w:val="16"/>
                <w:lang w:eastAsia="sl-SI"/>
              </w:rPr>
              <w:t>2013</w:t>
            </w:r>
          </w:p>
        </w:tc>
        <w:tc>
          <w:tcPr>
            <w:tcW w:w="583" w:type="pct"/>
            <w:tcBorders>
              <w:top w:val="single" w:sz="4" w:space="0" w:color="auto"/>
              <w:left w:val="nil"/>
              <w:bottom w:val="single" w:sz="4" w:space="0" w:color="auto"/>
              <w:right w:val="single" w:sz="4" w:space="0" w:color="auto"/>
            </w:tcBorders>
            <w:shd w:val="clear" w:color="000000" w:fill="92D050"/>
            <w:noWrap/>
            <w:vAlign w:val="bottom"/>
            <w:hideMark/>
          </w:tcPr>
          <w:p w14:paraId="7B91F7B7" w14:textId="77777777" w:rsidR="006C63D5" w:rsidRPr="004167E8" w:rsidRDefault="006C63D5" w:rsidP="004167E8">
            <w:pPr>
              <w:jc w:val="right"/>
              <w:rPr>
                <w:rFonts w:cs="Arial"/>
                <w:b/>
                <w:bCs/>
                <w:color w:val="000000"/>
                <w:sz w:val="16"/>
                <w:szCs w:val="16"/>
                <w:lang w:eastAsia="sl-SI"/>
              </w:rPr>
            </w:pPr>
            <w:r w:rsidRPr="004167E8">
              <w:rPr>
                <w:rFonts w:cs="Arial"/>
                <w:b/>
                <w:bCs/>
                <w:color w:val="000000"/>
                <w:sz w:val="16"/>
                <w:szCs w:val="16"/>
                <w:lang w:eastAsia="sl-SI"/>
              </w:rPr>
              <w:t>2016</w:t>
            </w:r>
          </w:p>
        </w:tc>
        <w:tc>
          <w:tcPr>
            <w:tcW w:w="583" w:type="pct"/>
            <w:tcBorders>
              <w:top w:val="single" w:sz="4" w:space="0" w:color="auto"/>
              <w:left w:val="nil"/>
              <w:bottom w:val="single" w:sz="4" w:space="0" w:color="auto"/>
              <w:right w:val="single" w:sz="4" w:space="0" w:color="auto"/>
            </w:tcBorders>
            <w:shd w:val="clear" w:color="000000" w:fill="92D050"/>
            <w:noWrap/>
            <w:vAlign w:val="bottom"/>
            <w:hideMark/>
          </w:tcPr>
          <w:p w14:paraId="29D91913" w14:textId="77777777" w:rsidR="006C63D5" w:rsidRPr="004167E8" w:rsidRDefault="006C63D5" w:rsidP="004167E8">
            <w:pPr>
              <w:jc w:val="right"/>
              <w:rPr>
                <w:rFonts w:cs="Arial"/>
                <w:b/>
                <w:bCs/>
                <w:color w:val="000000"/>
                <w:sz w:val="16"/>
                <w:szCs w:val="16"/>
                <w:lang w:eastAsia="sl-SI"/>
              </w:rPr>
            </w:pPr>
            <w:r w:rsidRPr="004167E8">
              <w:rPr>
                <w:rFonts w:cs="Arial"/>
                <w:b/>
                <w:bCs/>
                <w:color w:val="000000"/>
                <w:sz w:val="16"/>
                <w:szCs w:val="16"/>
                <w:lang w:eastAsia="sl-SI"/>
              </w:rPr>
              <w:t>2019</w:t>
            </w:r>
          </w:p>
        </w:tc>
        <w:tc>
          <w:tcPr>
            <w:tcW w:w="583" w:type="pct"/>
            <w:tcBorders>
              <w:top w:val="single" w:sz="4" w:space="0" w:color="auto"/>
              <w:left w:val="nil"/>
              <w:bottom w:val="single" w:sz="4" w:space="0" w:color="auto"/>
              <w:right w:val="single" w:sz="4" w:space="0" w:color="auto"/>
            </w:tcBorders>
            <w:shd w:val="clear" w:color="000000" w:fill="92D050"/>
            <w:noWrap/>
            <w:vAlign w:val="bottom"/>
            <w:hideMark/>
          </w:tcPr>
          <w:p w14:paraId="08A3AF78" w14:textId="77777777" w:rsidR="006C63D5" w:rsidRPr="004167E8" w:rsidRDefault="006C63D5" w:rsidP="004167E8">
            <w:pPr>
              <w:jc w:val="right"/>
              <w:rPr>
                <w:rFonts w:cs="Arial"/>
                <w:b/>
                <w:bCs/>
                <w:color w:val="000000"/>
                <w:sz w:val="16"/>
                <w:szCs w:val="16"/>
                <w:lang w:eastAsia="sl-SI"/>
              </w:rPr>
            </w:pPr>
            <w:r w:rsidRPr="004167E8">
              <w:rPr>
                <w:rFonts w:cs="Arial"/>
                <w:b/>
                <w:bCs/>
                <w:color w:val="000000"/>
                <w:sz w:val="16"/>
                <w:szCs w:val="16"/>
                <w:lang w:eastAsia="sl-SI"/>
              </w:rPr>
              <w:t>2020</w:t>
            </w:r>
          </w:p>
        </w:tc>
      </w:tr>
      <w:tr w:rsidR="006C63D5" w:rsidRPr="004167E8" w14:paraId="2B0EDC6C" w14:textId="77777777" w:rsidTr="007E7C95">
        <w:trPr>
          <w:trHeight w:val="300"/>
        </w:trPr>
        <w:tc>
          <w:tcPr>
            <w:tcW w:w="2084" w:type="pct"/>
            <w:tcBorders>
              <w:top w:val="nil"/>
              <w:left w:val="single" w:sz="4" w:space="0" w:color="auto"/>
              <w:bottom w:val="single" w:sz="4" w:space="0" w:color="auto"/>
              <w:right w:val="single" w:sz="4" w:space="0" w:color="auto"/>
            </w:tcBorders>
            <w:shd w:val="clear" w:color="auto" w:fill="auto"/>
            <w:noWrap/>
            <w:vAlign w:val="bottom"/>
            <w:hideMark/>
          </w:tcPr>
          <w:p w14:paraId="3487A27B" w14:textId="77777777" w:rsidR="006C63D5" w:rsidRPr="004167E8" w:rsidRDefault="006C63D5" w:rsidP="004167E8">
            <w:pPr>
              <w:rPr>
                <w:rFonts w:cs="Arial"/>
                <w:bCs/>
                <w:color w:val="000000"/>
                <w:sz w:val="16"/>
                <w:szCs w:val="16"/>
                <w:lang w:eastAsia="sl-SI"/>
              </w:rPr>
            </w:pPr>
            <w:r w:rsidRPr="004167E8">
              <w:rPr>
                <w:rFonts w:cs="Arial"/>
                <w:bCs/>
                <w:color w:val="000000"/>
                <w:sz w:val="16"/>
                <w:szCs w:val="16"/>
                <w:lang w:eastAsia="sl-SI"/>
              </w:rPr>
              <w:t>Delež prebivalcev, starih 0-14 let [%]</w:t>
            </w:r>
          </w:p>
        </w:tc>
        <w:tc>
          <w:tcPr>
            <w:tcW w:w="583" w:type="pct"/>
            <w:tcBorders>
              <w:top w:val="nil"/>
              <w:left w:val="nil"/>
              <w:bottom w:val="single" w:sz="4" w:space="0" w:color="auto"/>
              <w:right w:val="single" w:sz="4" w:space="0" w:color="auto"/>
            </w:tcBorders>
            <w:shd w:val="clear" w:color="auto" w:fill="auto"/>
            <w:noWrap/>
            <w:vAlign w:val="bottom"/>
            <w:hideMark/>
          </w:tcPr>
          <w:p w14:paraId="5271109D"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14,0</w:t>
            </w:r>
          </w:p>
        </w:tc>
        <w:tc>
          <w:tcPr>
            <w:tcW w:w="583" w:type="pct"/>
            <w:tcBorders>
              <w:top w:val="nil"/>
              <w:left w:val="nil"/>
              <w:bottom w:val="single" w:sz="4" w:space="0" w:color="auto"/>
              <w:right w:val="single" w:sz="4" w:space="0" w:color="auto"/>
            </w:tcBorders>
            <w:shd w:val="clear" w:color="auto" w:fill="auto"/>
            <w:noWrap/>
            <w:vAlign w:val="bottom"/>
            <w:hideMark/>
          </w:tcPr>
          <w:p w14:paraId="56973F42"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14,5</w:t>
            </w:r>
          </w:p>
        </w:tc>
        <w:tc>
          <w:tcPr>
            <w:tcW w:w="583" w:type="pct"/>
            <w:tcBorders>
              <w:top w:val="nil"/>
              <w:left w:val="nil"/>
              <w:bottom w:val="single" w:sz="4" w:space="0" w:color="auto"/>
              <w:right w:val="single" w:sz="4" w:space="0" w:color="auto"/>
            </w:tcBorders>
            <w:shd w:val="clear" w:color="auto" w:fill="auto"/>
            <w:noWrap/>
            <w:vAlign w:val="bottom"/>
            <w:hideMark/>
          </w:tcPr>
          <w:p w14:paraId="0362BA38"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14,8</w:t>
            </w:r>
          </w:p>
        </w:tc>
        <w:tc>
          <w:tcPr>
            <w:tcW w:w="583" w:type="pct"/>
            <w:tcBorders>
              <w:top w:val="nil"/>
              <w:left w:val="nil"/>
              <w:bottom w:val="single" w:sz="4" w:space="0" w:color="auto"/>
              <w:right w:val="single" w:sz="4" w:space="0" w:color="auto"/>
            </w:tcBorders>
            <w:shd w:val="clear" w:color="auto" w:fill="auto"/>
            <w:noWrap/>
            <w:vAlign w:val="bottom"/>
            <w:hideMark/>
          </w:tcPr>
          <w:p w14:paraId="7D8EB7C1"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15,1</w:t>
            </w:r>
          </w:p>
        </w:tc>
        <w:tc>
          <w:tcPr>
            <w:tcW w:w="583" w:type="pct"/>
            <w:tcBorders>
              <w:top w:val="nil"/>
              <w:left w:val="nil"/>
              <w:bottom w:val="single" w:sz="4" w:space="0" w:color="auto"/>
              <w:right w:val="single" w:sz="4" w:space="0" w:color="auto"/>
            </w:tcBorders>
            <w:shd w:val="clear" w:color="auto" w:fill="auto"/>
            <w:noWrap/>
            <w:vAlign w:val="bottom"/>
            <w:hideMark/>
          </w:tcPr>
          <w:p w14:paraId="672C56E7"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15,1</w:t>
            </w:r>
          </w:p>
        </w:tc>
      </w:tr>
      <w:tr w:rsidR="006C63D5" w:rsidRPr="004167E8" w14:paraId="31755803" w14:textId="77777777" w:rsidTr="007E7C95">
        <w:trPr>
          <w:trHeight w:val="300"/>
        </w:trPr>
        <w:tc>
          <w:tcPr>
            <w:tcW w:w="2084" w:type="pct"/>
            <w:tcBorders>
              <w:top w:val="nil"/>
              <w:left w:val="single" w:sz="4" w:space="0" w:color="auto"/>
              <w:bottom w:val="single" w:sz="4" w:space="0" w:color="auto"/>
              <w:right w:val="single" w:sz="4" w:space="0" w:color="auto"/>
            </w:tcBorders>
            <w:shd w:val="clear" w:color="auto" w:fill="auto"/>
            <w:noWrap/>
            <w:vAlign w:val="bottom"/>
            <w:hideMark/>
          </w:tcPr>
          <w:p w14:paraId="742AE26A" w14:textId="77777777" w:rsidR="006C63D5" w:rsidRPr="004167E8" w:rsidRDefault="006C63D5" w:rsidP="004167E8">
            <w:pPr>
              <w:rPr>
                <w:rFonts w:cs="Arial"/>
                <w:bCs/>
                <w:color w:val="000000"/>
                <w:sz w:val="16"/>
                <w:szCs w:val="16"/>
                <w:lang w:eastAsia="sl-SI"/>
              </w:rPr>
            </w:pPr>
            <w:r w:rsidRPr="004167E8">
              <w:rPr>
                <w:rFonts w:cs="Arial"/>
                <w:bCs/>
                <w:color w:val="000000"/>
                <w:sz w:val="16"/>
                <w:szCs w:val="16"/>
                <w:lang w:eastAsia="sl-SI"/>
              </w:rPr>
              <w:t>Delež prebivalcev, starih 15-64 let [%]</w:t>
            </w:r>
          </w:p>
        </w:tc>
        <w:tc>
          <w:tcPr>
            <w:tcW w:w="583" w:type="pct"/>
            <w:tcBorders>
              <w:top w:val="nil"/>
              <w:left w:val="nil"/>
              <w:bottom w:val="single" w:sz="4" w:space="0" w:color="auto"/>
              <w:right w:val="single" w:sz="4" w:space="0" w:color="auto"/>
            </w:tcBorders>
            <w:shd w:val="clear" w:color="auto" w:fill="auto"/>
            <w:noWrap/>
            <w:vAlign w:val="bottom"/>
            <w:hideMark/>
          </w:tcPr>
          <w:p w14:paraId="2C3CEBC7"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69,4</w:t>
            </w:r>
          </w:p>
        </w:tc>
        <w:tc>
          <w:tcPr>
            <w:tcW w:w="583" w:type="pct"/>
            <w:tcBorders>
              <w:top w:val="nil"/>
              <w:left w:val="nil"/>
              <w:bottom w:val="single" w:sz="4" w:space="0" w:color="auto"/>
              <w:right w:val="single" w:sz="4" w:space="0" w:color="auto"/>
            </w:tcBorders>
            <w:shd w:val="clear" w:color="auto" w:fill="auto"/>
            <w:noWrap/>
            <w:vAlign w:val="bottom"/>
            <w:hideMark/>
          </w:tcPr>
          <w:p w14:paraId="382E0118"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68,4</w:t>
            </w:r>
          </w:p>
        </w:tc>
        <w:tc>
          <w:tcPr>
            <w:tcW w:w="583" w:type="pct"/>
            <w:tcBorders>
              <w:top w:val="nil"/>
              <w:left w:val="nil"/>
              <w:bottom w:val="single" w:sz="4" w:space="0" w:color="auto"/>
              <w:right w:val="single" w:sz="4" w:space="0" w:color="auto"/>
            </w:tcBorders>
            <w:shd w:val="clear" w:color="auto" w:fill="auto"/>
            <w:noWrap/>
            <w:vAlign w:val="bottom"/>
            <w:hideMark/>
          </w:tcPr>
          <w:p w14:paraId="57ECBA5A"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66,7</w:t>
            </w:r>
          </w:p>
        </w:tc>
        <w:tc>
          <w:tcPr>
            <w:tcW w:w="583" w:type="pct"/>
            <w:tcBorders>
              <w:top w:val="nil"/>
              <w:left w:val="nil"/>
              <w:bottom w:val="single" w:sz="4" w:space="0" w:color="auto"/>
              <w:right w:val="single" w:sz="4" w:space="0" w:color="auto"/>
            </w:tcBorders>
            <w:shd w:val="clear" w:color="auto" w:fill="auto"/>
            <w:noWrap/>
            <w:vAlign w:val="bottom"/>
            <w:hideMark/>
          </w:tcPr>
          <w:p w14:paraId="2FB5F739"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65,1</w:t>
            </w:r>
          </w:p>
        </w:tc>
        <w:tc>
          <w:tcPr>
            <w:tcW w:w="583" w:type="pct"/>
            <w:tcBorders>
              <w:top w:val="nil"/>
              <w:left w:val="nil"/>
              <w:bottom w:val="single" w:sz="4" w:space="0" w:color="auto"/>
              <w:right w:val="single" w:sz="4" w:space="0" w:color="auto"/>
            </w:tcBorders>
            <w:shd w:val="clear" w:color="auto" w:fill="auto"/>
            <w:noWrap/>
            <w:vAlign w:val="bottom"/>
            <w:hideMark/>
          </w:tcPr>
          <w:p w14:paraId="72DA0817"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64,7</w:t>
            </w:r>
          </w:p>
        </w:tc>
      </w:tr>
      <w:tr w:rsidR="006C63D5" w:rsidRPr="004167E8" w14:paraId="510284E8" w14:textId="77777777" w:rsidTr="007E7C95">
        <w:trPr>
          <w:trHeight w:val="300"/>
        </w:trPr>
        <w:tc>
          <w:tcPr>
            <w:tcW w:w="2084" w:type="pct"/>
            <w:tcBorders>
              <w:top w:val="nil"/>
              <w:left w:val="single" w:sz="4" w:space="0" w:color="auto"/>
              <w:bottom w:val="single" w:sz="4" w:space="0" w:color="auto"/>
              <w:right w:val="single" w:sz="4" w:space="0" w:color="auto"/>
            </w:tcBorders>
            <w:shd w:val="clear" w:color="auto" w:fill="auto"/>
            <w:noWrap/>
            <w:vAlign w:val="bottom"/>
            <w:hideMark/>
          </w:tcPr>
          <w:p w14:paraId="7DBE3617" w14:textId="77777777" w:rsidR="006C63D5" w:rsidRPr="004167E8" w:rsidRDefault="006C63D5" w:rsidP="004167E8">
            <w:pPr>
              <w:rPr>
                <w:rFonts w:cs="Arial"/>
                <w:bCs/>
                <w:color w:val="000000"/>
                <w:sz w:val="16"/>
                <w:szCs w:val="16"/>
                <w:lang w:eastAsia="sl-SI"/>
              </w:rPr>
            </w:pPr>
            <w:r w:rsidRPr="004167E8">
              <w:rPr>
                <w:rFonts w:cs="Arial"/>
                <w:bCs/>
                <w:color w:val="000000"/>
                <w:sz w:val="16"/>
                <w:szCs w:val="16"/>
                <w:lang w:eastAsia="sl-SI"/>
              </w:rPr>
              <w:t>Delež prebivalcev, starih 65 let ali več [%]</w:t>
            </w:r>
          </w:p>
        </w:tc>
        <w:tc>
          <w:tcPr>
            <w:tcW w:w="583" w:type="pct"/>
            <w:tcBorders>
              <w:top w:val="nil"/>
              <w:left w:val="nil"/>
              <w:bottom w:val="single" w:sz="4" w:space="0" w:color="auto"/>
              <w:right w:val="single" w:sz="4" w:space="0" w:color="auto"/>
            </w:tcBorders>
            <w:shd w:val="clear" w:color="auto" w:fill="auto"/>
            <w:noWrap/>
            <w:vAlign w:val="bottom"/>
            <w:hideMark/>
          </w:tcPr>
          <w:p w14:paraId="052E09BE"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16,5</w:t>
            </w:r>
          </w:p>
        </w:tc>
        <w:tc>
          <w:tcPr>
            <w:tcW w:w="583" w:type="pct"/>
            <w:tcBorders>
              <w:top w:val="nil"/>
              <w:left w:val="nil"/>
              <w:bottom w:val="single" w:sz="4" w:space="0" w:color="auto"/>
              <w:right w:val="single" w:sz="4" w:space="0" w:color="auto"/>
            </w:tcBorders>
            <w:shd w:val="clear" w:color="auto" w:fill="auto"/>
            <w:noWrap/>
            <w:vAlign w:val="bottom"/>
            <w:hideMark/>
          </w:tcPr>
          <w:p w14:paraId="52387B64"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17,1</w:t>
            </w:r>
          </w:p>
        </w:tc>
        <w:tc>
          <w:tcPr>
            <w:tcW w:w="583" w:type="pct"/>
            <w:tcBorders>
              <w:top w:val="nil"/>
              <w:left w:val="nil"/>
              <w:bottom w:val="single" w:sz="4" w:space="0" w:color="auto"/>
              <w:right w:val="single" w:sz="4" w:space="0" w:color="auto"/>
            </w:tcBorders>
            <w:shd w:val="clear" w:color="auto" w:fill="auto"/>
            <w:noWrap/>
            <w:vAlign w:val="bottom"/>
            <w:hideMark/>
          </w:tcPr>
          <w:p w14:paraId="5BE27C19"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18,4</w:t>
            </w:r>
          </w:p>
        </w:tc>
        <w:tc>
          <w:tcPr>
            <w:tcW w:w="583" w:type="pct"/>
            <w:tcBorders>
              <w:top w:val="nil"/>
              <w:left w:val="nil"/>
              <w:bottom w:val="single" w:sz="4" w:space="0" w:color="auto"/>
              <w:right w:val="single" w:sz="4" w:space="0" w:color="auto"/>
            </w:tcBorders>
            <w:shd w:val="clear" w:color="auto" w:fill="auto"/>
            <w:noWrap/>
            <w:vAlign w:val="bottom"/>
            <w:hideMark/>
          </w:tcPr>
          <w:p w14:paraId="1ABFC3F2"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19,8</w:t>
            </w:r>
          </w:p>
        </w:tc>
        <w:tc>
          <w:tcPr>
            <w:tcW w:w="583" w:type="pct"/>
            <w:tcBorders>
              <w:top w:val="nil"/>
              <w:left w:val="nil"/>
              <w:bottom w:val="single" w:sz="4" w:space="0" w:color="auto"/>
              <w:right w:val="single" w:sz="4" w:space="0" w:color="auto"/>
            </w:tcBorders>
            <w:shd w:val="clear" w:color="auto" w:fill="auto"/>
            <w:noWrap/>
            <w:vAlign w:val="bottom"/>
            <w:hideMark/>
          </w:tcPr>
          <w:p w14:paraId="49CCCDDD"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20,2</w:t>
            </w:r>
          </w:p>
        </w:tc>
      </w:tr>
    </w:tbl>
    <w:p w14:paraId="68B18827" w14:textId="55ADA361" w:rsidR="006C63D5" w:rsidRPr="007E7C95" w:rsidRDefault="007E7C95" w:rsidP="006C63D5">
      <w:pPr>
        <w:spacing w:after="120"/>
        <w:rPr>
          <w:rFonts w:cs="Arial"/>
          <w:bCs/>
          <w:sz w:val="16"/>
          <w:szCs w:val="16"/>
        </w:rPr>
      </w:pPr>
      <w:bookmarkStart w:id="20" w:name="_Ref29974531"/>
      <w:r w:rsidRPr="007E7C95">
        <w:rPr>
          <w:rFonts w:cs="Arial"/>
          <w:bCs/>
          <w:sz w:val="16"/>
          <w:szCs w:val="16"/>
        </w:rPr>
        <w:t>Vir: Eurostat, SURS</w:t>
      </w:r>
    </w:p>
    <w:p w14:paraId="7DC13221" w14:textId="0283F210" w:rsidR="006C63D5" w:rsidRPr="004167E8" w:rsidRDefault="00C9160B" w:rsidP="004167E8">
      <w:pPr>
        <w:pStyle w:val="SCPreglednica"/>
      </w:pPr>
      <w:bookmarkStart w:id="21" w:name="_Toc55913719"/>
      <w:r>
        <w:t>Tabela</w:t>
      </w:r>
      <w:r w:rsidR="006C63D5" w:rsidRPr="004167E8">
        <w:t xml:space="preserve"> </w:t>
      </w:r>
      <w:bookmarkEnd w:id="20"/>
      <w:r w:rsidR="006C63D5" w:rsidRPr="004167E8">
        <w:fldChar w:fldCharType="begin"/>
      </w:r>
      <w:r w:rsidR="006C63D5" w:rsidRPr="004167E8">
        <w:instrText xml:space="preserve"> SEQ Tabela \* ARABIC </w:instrText>
      </w:r>
      <w:r w:rsidR="006C63D5" w:rsidRPr="004167E8">
        <w:fldChar w:fldCharType="separate"/>
      </w:r>
      <w:r w:rsidR="00DF0D48">
        <w:rPr>
          <w:noProof/>
        </w:rPr>
        <w:t>8</w:t>
      </w:r>
      <w:r w:rsidR="006C63D5" w:rsidRPr="004167E8">
        <w:fldChar w:fldCharType="end"/>
      </w:r>
      <w:r w:rsidR="006C63D5" w:rsidRPr="004167E8">
        <w:t>: Starostna struktura prebivalstva v Sloveniji</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6"/>
        <w:gridCol w:w="4580"/>
        <w:gridCol w:w="658"/>
        <w:gridCol w:w="658"/>
        <w:gridCol w:w="645"/>
        <w:gridCol w:w="645"/>
        <w:gridCol w:w="645"/>
        <w:gridCol w:w="645"/>
      </w:tblGrid>
      <w:tr w:rsidR="006C63D5" w:rsidRPr="004167E8" w14:paraId="63FB28E3" w14:textId="77777777" w:rsidTr="004167E8">
        <w:trPr>
          <w:trHeight w:val="315"/>
        </w:trPr>
        <w:tc>
          <w:tcPr>
            <w:tcW w:w="323" w:type="pct"/>
            <w:shd w:val="clear" w:color="000000" w:fill="92D050"/>
            <w:noWrap/>
            <w:vAlign w:val="bottom"/>
            <w:hideMark/>
          </w:tcPr>
          <w:p w14:paraId="77AD26C1" w14:textId="77777777" w:rsidR="006C63D5" w:rsidRPr="004167E8" w:rsidRDefault="006C63D5" w:rsidP="004167E8">
            <w:pPr>
              <w:rPr>
                <w:rFonts w:cs="Arial"/>
                <w:b/>
                <w:bCs/>
                <w:color w:val="000000"/>
                <w:sz w:val="16"/>
                <w:szCs w:val="16"/>
                <w:lang w:eastAsia="sl-SI"/>
              </w:rPr>
            </w:pPr>
            <w:r w:rsidRPr="004167E8">
              <w:rPr>
                <w:rFonts w:cs="Arial"/>
                <w:b/>
                <w:bCs/>
                <w:color w:val="000000"/>
                <w:sz w:val="16"/>
                <w:szCs w:val="16"/>
                <w:lang w:eastAsia="sl-SI"/>
              </w:rPr>
              <w:t>C.03</w:t>
            </w:r>
          </w:p>
        </w:tc>
        <w:tc>
          <w:tcPr>
            <w:tcW w:w="2527" w:type="pct"/>
            <w:shd w:val="clear" w:color="000000" w:fill="92D050"/>
            <w:noWrap/>
            <w:vAlign w:val="bottom"/>
            <w:hideMark/>
          </w:tcPr>
          <w:p w14:paraId="48B4A33D" w14:textId="77777777" w:rsidR="006C63D5" w:rsidRPr="004167E8" w:rsidRDefault="006C63D5" w:rsidP="004167E8">
            <w:pPr>
              <w:rPr>
                <w:rFonts w:cs="Arial"/>
                <w:b/>
                <w:bCs/>
                <w:color w:val="000000"/>
                <w:sz w:val="16"/>
                <w:szCs w:val="16"/>
                <w:lang w:eastAsia="sl-SI"/>
              </w:rPr>
            </w:pPr>
            <w:r w:rsidRPr="004167E8">
              <w:rPr>
                <w:rFonts w:cs="Arial"/>
                <w:b/>
                <w:bCs/>
                <w:color w:val="000000"/>
                <w:sz w:val="16"/>
                <w:szCs w:val="16"/>
                <w:lang w:eastAsia="sl-SI"/>
              </w:rPr>
              <w:t>Starostna struktura prebivalstva</w:t>
            </w:r>
          </w:p>
        </w:tc>
        <w:tc>
          <w:tcPr>
            <w:tcW w:w="363" w:type="pct"/>
            <w:shd w:val="clear" w:color="000000" w:fill="92D050"/>
            <w:noWrap/>
            <w:vAlign w:val="center"/>
            <w:hideMark/>
          </w:tcPr>
          <w:p w14:paraId="54E72F01" w14:textId="77777777" w:rsidR="006C63D5" w:rsidRPr="004167E8" w:rsidRDefault="006C63D5" w:rsidP="004167E8">
            <w:pPr>
              <w:jc w:val="center"/>
              <w:rPr>
                <w:rFonts w:cs="Arial"/>
                <w:b/>
                <w:bCs/>
                <w:color w:val="000000"/>
                <w:sz w:val="16"/>
                <w:szCs w:val="16"/>
                <w:lang w:eastAsia="sl-SI"/>
              </w:rPr>
            </w:pPr>
            <w:r w:rsidRPr="004167E8">
              <w:rPr>
                <w:rFonts w:cs="Arial"/>
                <w:b/>
                <w:bCs/>
                <w:color w:val="000000"/>
                <w:sz w:val="16"/>
                <w:szCs w:val="16"/>
                <w:lang w:eastAsia="sl-SI"/>
              </w:rPr>
              <w:t>2010</w:t>
            </w:r>
          </w:p>
        </w:tc>
        <w:tc>
          <w:tcPr>
            <w:tcW w:w="363" w:type="pct"/>
            <w:shd w:val="clear" w:color="000000" w:fill="92D050"/>
            <w:noWrap/>
            <w:vAlign w:val="center"/>
            <w:hideMark/>
          </w:tcPr>
          <w:p w14:paraId="44031D05" w14:textId="77777777" w:rsidR="006C63D5" w:rsidRPr="004167E8" w:rsidRDefault="006C63D5" w:rsidP="004167E8">
            <w:pPr>
              <w:jc w:val="center"/>
              <w:rPr>
                <w:rFonts w:cs="Arial"/>
                <w:b/>
                <w:bCs/>
                <w:color w:val="000000"/>
                <w:sz w:val="16"/>
                <w:szCs w:val="16"/>
                <w:lang w:eastAsia="sl-SI"/>
              </w:rPr>
            </w:pPr>
            <w:r w:rsidRPr="004167E8">
              <w:rPr>
                <w:rFonts w:cs="Arial"/>
                <w:b/>
                <w:bCs/>
                <w:color w:val="000000"/>
                <w:sz w:val="16"/>
                <w:szCs w:val="16"/>
                <w:lang w:eastAsia="sl-SI"/>
              </w:rPr>
              <w:t>2013</w:t>
            </w:r>
          </w:p>
        </w:tc>
        <w:tc>
          <w:tcPr>
            <w:tcW w:w="356" w:type="pct"/>
            <w:shd w:val="clear" w:color="000000" w:fill="92D050"/>
            <w:noWrap/>
            <w:vAlign w:val="center"/>
            <w:hideMark/>
          </w:tcPr>
          <w:p w14:paraId="467D129F" w14:textId="77777777" w:rsidR="006C63D5" w:rsidRPr="004167E8" w:rsidRDefault="006C63D5" w:rsidP="004167E8">
            <w:pPr>
              <w:jc w:val="center"/>
              <w:rPr>
                <w:rFonts w:cs="Arial"/>
                <w:b/>
                <w:bCs/>
                <w:color w:val="000000"/>
                <w:sz w:val="16"/>
                <w:szCs w:val="16"/>
                <w:lang w:eastAsia="sl-SI"/>
              </w:rPr>
            </w:pPr>
            <w:r w:rsidRPr="004167E8">
              <w:rPr>
                <w:rFonts w:cs="Arial"/>
                <w:b/>
                <w:bCs/>
                <w:color w:val="000000"/>
                <w:sz w:val="16"/>
                <w:szCs w:val="16"/>
                <w:lang w:eastAsia="sl-SI"/>
              </w:rPr>
              <w:t>2016</w:t>
            </w:r>
          </w:p>
        </w:tc>
        <w:tc>
          <w:tcPr>
            <w:tcW w:w="356" w:type="pct"/>
            <w:shd w:val="clear" w:color="000000" w:fill="92D050"/>
            <w:noWrap/>
            <w:vAlign w:val="center"/>
            <w:hideMark/>
          </w:tcPr>
          <w:p w14:paraId="47403461" w14:textId="77777777" w:rsidR="006C63D5" w:rsidRPr="004167E8" w:rsidRDefault="006C63D5" w:rsidP="004167E8">
            <w:pPr>
              <w:jc w:val="center"/>
              <w:rPr>
                <w:rFonts w:cs="Arial"/>
                <w:b/>
                <w:bCs/>
                <w:color w:val="000000"/>
                <w:sz w:val="16"/>
                <w:szCs w:val="16"/>
                <w:lang w:eastAsia="sl-SI"/>
              </w:rPr>
            </w:pPr>
            <w:r w:rsidRPr="004167E8">
              <w:rPr>
                <w:rFonts w:cs="Arial"/>
                <w:b/>
                <w:bCs/>
                <w:color w:val="000000"/>
                <w:sz w:val="16"/>
                <w:szCs w:val="16"/>
                <w:lang w:eastAsia="sl-SI"/>
              </w:rPr>
              <w:t>2017</w:t>
            </w:r>
          </w:p>
        </w:tc>
        <w:tc>
          <w:tcPr>
            <w:tcW w:w="356" w:type="pct"/>
            <w:shd w:val="clear" w:color="000000" w:fill="92D050"/>
            <w:noWrap/>
            <w:vAlign w:val="center"/>
            <w:hideMark/>
          </w:tcPr>
          <w:p w14:paraId="0526462F" w14:textId="77777777" w:rsidR="006C63D5" w:rsidRPr="004167E8" w:rsidRDefault="006C63D5" w:rsidP="004167E8">
            <w:pPr>
              <w:jc w:val="center"/>
              <w:rPr>
                <w:rFonts w:cs="Arial"/>
                <w:b/>
                <w:bCs/>
                <w:color w:val="000000"/>
                <w:sz w:val="16"/>
                <w:szCs w:val="16"/>
                <w:lang w:eastAsia="sl-SI"/>
              </w:rPr>
            </w:pPr>
            <w:r w:rsidRPr="004167E8">
              <w:rPr>
                <w:rFonts w:cs="Arial"/>
                <w:b/>
                <w:bCs/>
                <w:color w:val="000000"/>
                <w:sz w:val="16"/>
                <w:szCs w:val="16"/>
                <w:lang w:eastAsia="sl-SI"/>
              </w:rPr>
              <w:t>2018</w:t>
            </w:r>
          </w:p>
        </w:tc>
        <w:tc>
          <w:tcPr>
            <w:tcW w:w="356" w:type="pct"/>
            <w:shd w:val="clear" w:color="000000" w:fill="92D050"/>
            <w:noWrap/>
            <w:vAlign w:val="center"/>
            <w:hideMark/>
          </w:tcPr>
          <w:p w14:paraId="285F1D7E" w14:textId="77777777" w:rsidR="006C63D5" w:rsidRPr="004167E8" w:rsidRDefault="006C63D5" w:rsidP="004167E8">
            <w:pPr>
              <w:jc w:val="center"/>
              <w:rPr>
                <w:rFonts w:cs="Arial"/>
                <w:b/>
                <w:bCs/>
                <w:color w:val="000000"/>
                <w:sz w:val="16"/>
                <w:szCs w:val="16"/>
                <w:lang w:eastAsia="sl-SI"/>
              </w:rPr>
            </w:pPr>
            <w:r w:rsidRPr="004167E8">
              <w:rPr>
                <w:rFonts w:cs="Arial"/>
                <w:b/>
                <w:bCs/>
                <w:color w:val="000000"/>
                <w:sz w:val="16"/>
                <w:szCs w:val="16"/>
                <w:lang w:eastAsia="sl-SI"/>
              </w:rPr>
              <w:t>2019</w:t>
            </w:r>
          </w:p>
        </w:tc>
      </w:tr>
      <w:tr w:rsidR="006C63D5" w:rsidRPr="004167E8" w14:paraId="3A63452D" w14:textId="77777777" w:rsidTr="004167E8">
        <w:trPr>
          <w:trHeight w:val="315"/>
        </w:trPr>
        <w:tc>
          <w:tcPr>
            <w:tcW w:w="323" w:type="pct"/>
            <w:vMerge w:val="restart"/>
            <w:shd w:val="clear" w:color="auto" w:fill="auto"/>
            <w:noWrap/>
            <w:vAlign w:val="bottom"/>
            <w:hideMark/>
          </w:tcPr>
          <w:p w14:paraId="355C7C8F" w14:textId="77777777" w:rsidR="006C63D5" w:rsidRPr="004167E8" w:rsidRDefault="006C63D5" w:rsidP="004167E8">
            <w:pPr>
              <w:rPr>
                <w:rFonts w:cs="Arial"/>
                <w:color w:val="000000"/>
                <w:sz w:val="16"/>
                <w:szCs w:val="16"/>
                <w:lang w:eastAsia="sl-SI"/>
              </w:rPr>
            </w:pPr>
            <w:r w:rsidRPr="004167E8">
              <w:rPr>
                <w:rFonts w:cs="Arial"/>
                <w:color w:val="000000"/>
                <w:sz w:val="16"/>
                <w:szCs w:val="16"/>
                <w:lang w:eastAsia="sl-SI"/>
              </w:rPr>
              <w:t> </w:t>
            </w:r>
          </w:p>
        </w:tc>
        <w:tc>
          <w:tcPr>
            <w:tcW w:w="2527" w:type="pct"/>
            <w:shd w:val="clear" w:color="auto" w:fill="auto"/>
            <w:vAlign w:val="bottom"/>
            <w:hideMark/>
          </w:tcPr>
          <w:p w14:paraId="38234999" w14:textId="77777777" w:rsidR="006C63D5" w:rsidRPr="004167E8" w:rsidRDefault="006C63D5" w:rsidP="004167E8">
            <w:pPr>
              <w:rPr>
                <w:rFonts w:cs="Arial"/>
                <w:color w:val="000000"/>
                <w:sz w:val="16"/>
                <w:szCs w:val="16"/>
                <w:lang w:eastAsia="sl-SI"/>
              </w:rPr>
            </w:pPr>
            <w:r w:rsidRPr="004167E8">
              <w:rPr>
                <w:rFonts w:cs="Arial"/>
                <w:color w:val="000000"/>
                <w:sz w:val="16"/>
                <w:szCs w:val="16"/>
                <w:lang w:eastAsia="sl-SI"/>
              </w:rPr>
              <w:t>Prebivalstvo v podeželskih regijah po starostnih skupinah - 15-64 let</w:t>
            </w:r>
          </w:p>
        </w:tc>
        <w:tc>
          <w:tcPr>
            <w:tcW w:w="363" w:type="pct"/>
            <w:shd w:val="clear" w:color="auto" w:fill="auto"/>
            <w:noWrap/>
            <w:vAlign w:val="center"/>
            <w:hideMark/>
          </w:tcPr>
          <w:p w14:paraId="3CCB4FA5"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69,47</w:t>
            </w:r>
          </w:p>
        </w:tc>
        <w:tc>
          <w:tcPr>
            <w:tcW w:w="363" w:type="pct"/>
            <w:shd w:val="clear" w:color="auto" w:fill="auto"/>
            <w:noWrap/>
            <w:vAlign w:val="center"/>
            <w:hideMark/>
          </w:tcPr>
          <w:p w14:paraId="5EBB3758"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68,55</w:t>
            </w:r>
          </w:p>
        </w:tc>
        <w:tc>
          <w:tcPr>
            <w:tcW w:w="356" w:type="pct"/>
            <w:shd w:val="clear" w:color="auto" w:fill="auto"/>
            <w:noWrap/>
            <w:vAlign w:val="center"/>
            <w:hideMark/>
          </w:tcPr>
          <w:p w14:paraId="4F4712F8"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66,85</w:t>
            </w:r>
          </w:p>
        </w:tc>
        <w:tc>
          <w:tcPr>
            <w:tcW w:w="356" w:type="pct"/>
            <w:shd w:val="clear" w:color="auto" w:fill="auto"/>
            <w:noWrap/>
            <w:vAlign w:val="center"/>
            <w:hideMark/>
          </w:tcPr>
          <w:p w14:paraId="74AF926D"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66,26</w:t>
            </w:r>
          </w:p>
        </w:tc>
        <w:tc>
          <w:tcPr>
            <w:tcW w:w="356" w:type="pct"/>
            <w:shd w:val="clear" w:color="auto" w:fill="auto"/>
            <w:noWrap/>
            <w:vAlign w:val="center"/>
            <w:hideMark/>
          </w:tcPr>
          <w:p w14:paraId="0E9153BD"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65,60</w:t>
            </w:r>
          </w:p>
        </w:tc>
        <w:tc>
          <w:tcPr>
            <w:tcW w:w="356" w:type="pct"/>
            <w:shd w:val="clear" w:color="auto" w:fill="auto"/>
            <w:noWrap/>
            <w:vAlign w:val="center"/>
            <w:hideMark/>
          </w:tcPr>
          <w:p w14:paraId="7846421D"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65,02</w:t>
            </w:r>
          </w:p>
        </w:tc>
      </w:tr>
      <w:tr w:rsidR="006C63D5" w:rsidRPr="004167E8" w14:paraId="679BD94D" w14:textId="77777777" w:rsidTr="004167E8">
        <w:trPr>
          <w:trHeight w:val="315"/>
        </w:trPr>
        <w:tc>
          <w:tcPr>
            <w:tcW w:w="323" w:type="pct"/>
            <w:vMerge/>
            <w:vAlign w:val="center"/>
            <w:hideMark/>
          </w:tcPr>
          <w:p w14:paraId="0D61A5E5" w14:textId="77777777" w:rsidR="006C63D5" w:rsidRPr="004167E8" w:rsidRDefault="006C63D5" w:rsidP="004167E8">
            <w:pPr>
              <w:rPr>
                <w:rFonts w:cs="Arial"/>
                <w:color w:val="000000"/>
                <w:sz w:val="16"/>
                <w:szCs w:val="16"/>
                <w:lang w:eastAsia="sl-SI"/>
              </w:rPr>
            </w:pPr>
          </w:p>
        </w:tc>
        <w:tc>
          <w:tcPr>
            <w:tcW w:w="2527" w:type="pct"/>
            <w:shd w:val="clear" w:color="auto" w:fill="auto"/>
            <w:vAlign w:val="bottom"/>
            <w:hideMark/>
          </w:tcPr>
          <w:p w14:paraId="7625EDCC" w14:textId="77777777" w:rsidR="006C63D5" w:rsidRPr="004167E8" w:rsidRDefault="006C63D5" w:rsidP="004167E8">
            <w:pPr>
              <w:rPr>
                <w:rFonts w:cs="Arial"/>
                <w:color w:val="000000"/>
                <w:sz w:val="16"/>
                <w:szCs w:val="16"/>
                <w:lang w:eastAsia="sl-SI"/>
              </w:rPr>
            </w:pPr>
            <w:r w:rsidRPr="004167E8">
              <w:rPr>
                <w:rFonts w:cs="Arial"/>
                <w:color w:val="000000"/>
                <w:sz w:val="16"/>
                <w:szCs w:val="16"/>
                <w:lang w:eastAsia="sl-SI"/>
              </w:rPr>
              <w:t>Prebivalstvo v podeželskih regijah po starostnih skupinah - 65 let ali več</w:t>
            </w:r>
          </w:p>
        </w:tc>
        <w:tc>
          <w:tcPr>
            <w:tcW w:w="363" w:type="pct"/>
            <w:shd w:val="clear" w:color="auto" w:fill="auto"/>
            <w:noWrap/>
            <w:vAlign w:val="center"/>
            <w:hideMark/>
          </w:tcPr>
          <w:p w14:paraId="2820A060"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16,75</w:t>
            </w:r>
          </w:p>
        </w:tc>
        <w:tc>
          <w:tcPr>
            <w:tcW w:w="363" w:type="pct"/>
            <w:shd w:val="clear" w:color="auto" w:fill="auto"/>
            <w:noWrap/>
            <w:vAlign w:val="center"/>
            <w:hideMark/>
          </w:tcPr>
          <w:p w14:paraId="06B540B2"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17,39</w:t>
            </w:r>
          </w:p>
        </w:tc>
        <w:tc>
          <w:tcPr>
            <w:tcW w:w="356" w:type="pct"/>
            <w:shd w:val="clear" w:color="auto" w:fill="auto"/>
            <w:noWrap/>
            <w:vAlign w:val="center"/>
            <w:hideMark/>
          </w:tcPr>
          <w:p w14:paraId="727F9A84"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18,77</w:t>
            </w:r>
          </w:p>
        </w:tc>
        <w:tc>
          <w:tcPr>
            <w:tcW w:w="356" w:type="pct"/>
            <w:shd w:val="clear" w:color="auto" w:fill="auto"/>
            <w:noWrap/>
            <w:vAlign w:val="center"/>
            <w:hideMark/>
          </w:tcPr>
          <w:p w14:paraId="2457C074"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19,28</w:t>
            </w:r>
          </w:p>
        </w:tc>
        <w:tc>
          <w:tcPr>
            <w:tcW w:w="356" w:type="pct"/>
            <w:shd w:val="clear" w:color="auto" w:fill="auto"/>
            <w:noWrap/>
            <w:vAlign w:val="center"/>
            <w:hideMark/>
          </w:tcPr>
          <w:p w14:paraId="557ED76A"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19,84</w:t>
            </w:r>
          </w:p>
        </w:tc>
        <w:tc>
          <w:tcPr>
            <w:tcW w:w="356" w:type="pct"/>
            <w:shd w:val="clear" w:color="auto" w:fill="auto"/>
            <w:noWrap/>
            <w:vAlign w:val="center"/>
            <w:hideMark/>
          </w:tcPr>
          <w:p w14:paraId="7E1ADCF7"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20,36</w:t>
            </w:r>
          </w:p>
        </w:tc>
      </w:tr>
      <w:tr w:rsidR="006C63D5" w:rsidRPr="004167E8" w14:paraId="5EC00F08" w14:textId="77777777" w:rsidTr="004167E8">
        <w:trPr>
          <w:trHeight w:val="345"/>
        </w:trPr>
        <w:tc>
          <w:tcPr>
            <w:tcW w:w="323" w:type="pct"/>
            <w:vMerge/>
            <w:vAlign w:val="center"/>
            <w:hideMark/>
          </w:tcPr>
          <w:p w14:paraId="60EC5CA0" w14:textId="77777777" w:rsidR="006C63D5" w:rsidRPr="004167E8" w:rsidRDefault="006C63D5" w:rsidP="004167E8">
            <w:pPr>
              <w:rPr>
                <w:rFonts w:cs="Arial"/>
                <w:color w:val="000000"/>
                <w:sz w:val="16"/>
                <w:szCs w:val="16"/>
                <w:lang w:eastAsia="sl-SI"/>
              </w:rPr>
            </w:pPr>
          </w:p>
        </w:tc>
        <w:tc>
          <w:tcPr>
            <w:tcW w:w="2527" w:type="pct"/>
            <w:shd w:val="clear" w:color="auto" w:fill="auto"/>
            <w:vAlign w:val="bottom"/>
            <w:hideMark/>
          </w:tcPr>
          <w:p w14:paraId="66AA576A" w14:textId="77777777" w:rsidR="006C63D5" w:rsidRPr="004167E8" w:rsidRDefault="006C63D5" w:rsidP="004167E8">
            <w:pPr>
              <w:rPr>
                <w:rFonts w:cs="Arial"/>
                <w:color w:val="000000"/>
                <w:sz w:val="16"/>
                <w:szCs w:val="16"/>
                <w:lang w:eastAsia="sl-SI"/>
              </w:rPr>
            </w:pPr>
            <w:r w:rsidRPr="004167E8">
              <w:rPr>
                <w:rFonts w:cs="Arial"/>
                <w:color w:val="000000"/>
                <w:sz w:val="16"/>
                <w:szCs w:val="16"/>
                <w:lang w:eastAsia="sl-SI"/>
              </w:rPr>
              <w:t>Prebivalstvo v podeželskih regijah po starostnih skupinah - manj kot 15 let</w:t>
            </w:r>
          </w:p>
        </w:tc>
        <w:tc>
          <w:tcPr>
            <w:tcW w:w="363" w:type="pct"/>
            <w:shd w:val="clear" w:color="auto" w:fill="auto"/>
            <w:noWrap/>
            <w:vAlign w:val="center"/>
            <w:hideMark/>
          </w:tcPr>
          <w:p w14:paraId="2FE86FED"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13,78</w:t>
            </w:r>
          </w:p>
        </w:tc>
        <w:tc>
          <w:tcPr>
            <w:tcW w:w="363" w:type="pct"/>
            <w:shd w:val="clear" w:color="auto" w:fill="auto"/>
            <w:noWrap/>
            <w:vAlign w:val="center"/>
            <w:hideMark/>
          </w:tcPr>
          <w:p w14:paraId="031A9897"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14,07</w:t>
            </w:r>
          </w:p>
        </w:tc>
        <w:tc>
          <w:tcPr>
            <w:tcW w:w="356" w:type="pct"/>
            <w:shd w:val="clear" w:color="auto" w:fill="auto"/>
            <w:noWrap/>
            <w:vAlign w:val="center"/>
            <w:hideMark/>
          </w:tcPr>
          <w:p w14:paraId="2E5C82E4"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14,38</w:t>
            </w:r>
          </w:p>
        </w:tc>
        <w:tc>
          <w:tcPr>
            <w:tcW w:w="356" w:type="pct"/>
            <w:shd w:val="clear" w:color="auto" w:fill="auto"/>
            <w:noWrap/>
            <w:vAlign w:val="center"/>
            <w:hideMark/>
          </w:tcPr>
          <w:p w14:paraId="2E163AD9"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14,46</w:t>
            </w:r>
          </w:p>
        </w:tc>
        <w:tc>
          <w:tcPr>
            <w:tcW w:w="356" w:type="pct"/>
            <w:shd w:val="clear" w:color="auto" w:fill="auto"/>
            <w:noWrap/>
            <w:vAlign w:val="center"/>
            <w:hideMark/>
          </w:tcPr>
          <w:p w14:paraId="25DC7565"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14,56</w:t>
            </w:r>
          </w:p>
        </w:tc>
        <w:tc>
          <w:tcPr>
            <w:tcW w:w="356" w:type="pct"/>
            <w:shd w:val="clear" w:color="auto" w:fill="auto"/>
            <w:noWrap/>
            <w:vAlign w:val="center"/>
            <w:hideMark/>
          </w:tcPr>
          <w:p w14:paraId="15906003"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14,62</w:t>
            </w:r>
          </w:p>
        </w:tc>
      </w:tr>
      <w:tr w:rsidR="006C63D5" w:rsidRPr="004167E8" w14:paraId="47C7E333" w14:textId="77777777" w:rsidTr="004167E8">
        <w:trPr>
          <w:trHeight w:val="315"/>
        </w:trPr>
        <w:tc>
          <w:tcPr>
            <w:tcW w:w="323" w:type="pct"/>
            <w:vMerge/>
            <w:vAlign w:val="center"/>
            <w:hideMark/>
          </w:tcPr>
          <w:p w14:paraId="090D8BBD" w14:textId="77777777" w:rsidR="006C63D5" w:rsidRPr="004167E8" w:rsidRDefault="006C63D5" w:rsidP="004167E8">
            <w:pPr>
              <w:rPr>
                <w:rFonts w:cs="Arial"/>
                <w:color w:val="000000"/>
                <w:sz w:val="16"/>
                <w:szCs w:val="16"/>
                <w:lang w:eastAsia="sl-SI"/>
              </w:rPr>
            </w:pPr>
          </w:p>
        </w:tc>
        <w:tc>
          <w:tcPr>
            <w:tcW w:w="2527" w:type="pct"/>
            <w:shd w:val="clear" w:color="auto" w:fill="auto"/>
            <w:vAlign w:val="bottom"/>
            <w:hideMark/>
          </w:tcPr>
          <w:p w14:paraId="67B67F5D" w14:textId="77777777" w:rsidR="006C63D5" w:rsidRPr="004167E8" w:rsidRDefault="006C63D5" w:rsidP="004167E8">
            <w:pPr>
              <w:rPr>
                <w:rFonts w:cs="Arial"/>
                <w:color w:val="000000"/>
                <w:sz w:val="16"/>
                <w:szCs w:val="16"/>
                <w:lang w:eastAsia="sl-SI"/>
              </w:rPr>
            </w:pPr>
            <w:r w:rsidRPr="004167E8">
              <w:rPr>
                <w:rFonts w:cs="Arial"/>
                <w:color w:val="000000"/>
                <w:sz w:val="16"/>
                <w:szCs w:val="16"/>
                <w:lang w:eastAsia="sl-SI"/>
              </w:rPr>
              <w:t>Prebivalstvo skupaj po starostnih skupinah - 15-64 let</w:t>
            </w:r>
          </w:p>
        </w:tc>
        <w:tc>
          <w:tcPr>
            <w:tcW w:w="363" w:type="pct"/>
            <w:shd w:val="clear" w:color="auto" w:fill="auto"/>
            <w:noWrap/>
            <w:vAlign w:val="center"/>
            <w:hideMark/>
          </w:tcPr>
          <w:p w14:paraId="5F410B58"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69,44</w:t>
            </w:r>
          </w:p>
        </w:tc>
        <w:tc>
          <w:tcPr>
            <w:tcW w:w="363" w:type="pct"/>
            <w:shd w:val="clear" w:color="auto" w:fill="auto"/>
            <w:noWrap/>
            <w:vAlign w:val="center"/>
            <w:hideMark/>
          </w:tcPr>
          <w:p w14:paraId="5D5D12C6"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68,42</w:t>
            </w:r>
          </w:p>
        </w:tc>
        <w:tc>
          <w:tcPr>
            <w:tcW w:w="356" w:type="pct"/>
            <w:shd w:val="clear" w:color="auto" w:fill="auto"/>
            <w:noWrap/>
            <w:vAlign w:val="center"/>
            <w:hideMark/>
          </w:tcPr>
          <w:p w14:paraId="56A60DAB"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66,743</w:t>
            </w:r>
          </w:p>
        </w:tc>
        <w:tc>
          <w:tcPr>
            <w:tcW w:w="356" w:type="pct"/>
            <w:shd w:val="clear" w:color="auto" w:fill="auto"/>
            <w:noWrap/>
            <w:vAlign w:val="center"/>
            <w:hideMark/>
          </w:tcPr>
          <w:p w14:paraId="3B674DDC"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66,16</w:t>
            </w:r>
          </w:p>
        </w:tc>
        <w:tc>
          <w:tcPr>
            <w:tcW w:w="356" w:type="pct"/>
            <w:shd w:val="clear" w:color="auto" w:fill="auto"/>
            <w:noWrap/>
            <w:vAlign w:val="center"/>
            <w:hideMark/>
          </w:tcPr>
          <w:p w14:paraId="0522CA9D"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65,56</w:t>
            </w:r>
          </w:p>
        </w:tc>
        <w:tc>
          <w:tcPr>
            <w:tcW w:w="356" w:type="pct"/>
            <w:shd w:val="clear" w:color="auto" w:fill="auto"/>
            <w:noWrap/>
            <w:vAlign w:val="center"/>
            <w:hideMark/>
          </w:tcPr>
          <w:p w14:paraId="22C3ACC6"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65,08</w:t>
            </w:r>
          </w:p>
        </w:tc>
      </w:tr>
      <w:tr w:rsidR="006C63D5" w:rsidRPr="004167E8" w14:paraId="2060FF24" w14:textId="77777777" w:rsidTr="004167E8">
        <w:trPr>
          <w:trHeight w:val="315"/>
        </w:trPr>
        <w:tc>
          <w:tcPr>
            <w:tcW w:w="323" w:type="pct"/>
            <w:vMerge/>
            <w:vAlign w:val="center"/>
            <w:hideMark/>
          </w:tcPr>
          <w:p w14:paraId="5A63E900" w14:textId="77777777" w:rsidR="006C63D5" w:rsidRPr="004167E8" w:rsidRDefault="006C63D5" w:rsidP="004167E8">
            <w:pPr>
              <w:rPr>
                <w:rFonts w:cs="Arial"/>
                <w:color w:val="000000"/>
                <w:sz w:val="16"/>
                <w:szCs w:val="16"/>
                <w:lang w:eastAsia="sl-SI"/>
              </w:rPr>
            </w:pPr>
          </w:p>
        </w:tc>
        <w:tc>
          <w:tcPr>
            <w:tcW w:w="2527" w:type="pct"/>
            <w:shd w:val="clear" w:color="auto" w:fill="auto"/>
            <w:vAlign w:val="bottom"/>
            <w:hideMark/>
          </w:tcPr>
          <w:p w14:paraId="45EE9E29" w14:textId="77777777" w:rsidR="006C63D5" w:rsidRPr="004167E8" w:rsidRDefault="006C63D5" w:rsidP="004167E8">
            <w:pPr>
              <w:rPr>
                <w:rFonts w:cs="Arial"/>
                <w:color w:val="000000"/>
                <w:sz w:val="16"/>
                <w:szCs w:val="16"/>
                <w:lang w:eastAsia="sl-SI"/>
              </w:rPr>
            </w:pPr>
            <w:r w:rsidRPr="004167E8">
              <w:rPr>
                <w:rFonts w:cs="Arial"/>
                <w:color w:val="000000"/>
                <w:sz w:val="16"/>
                <w:szCs w:val="16"/>
                <w:lang w:eastAsia="sl-SI"/>
              </w:rPr>
              <w:t>Prebivalstvo skupaj po starostnih skupinah - 65 let ali več</w:t>
            </w:r>
          </w:p>
        </w:tc>
        <w:tc>
          <w:tcPr>
            <w:tcW w:w="363" w:type="pct"/>
            <w:shd w:val="clear" w:color="auto" w:fill="auto"/>
            <w:noWrap/>
            <w:vAlign w:val="center"/>
            <w:hideMark/>
          </w:tcPr>
          <w:p w14:paraId="6E3659B7"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16,53</w:t>
            </w:r>
          </w:p>
        </w:tc>
        <w:tc>
          <w:tcPr>
            <w:tcW w:w="363" w:type="pct"/>
            <w:shd w:val="clear" w:color="auto" w:fill="auto"/>
            <w:noWrap/>
            <w:vAlign w:val="center"/>
            <w:hideMark/>
          </w:tcPr>
          <w:p w14:paraId="361CC4FB"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17,10</w:t>
            </w:r>
          </w:p>
        </w:tc>
        <w:tc>
          <w:tcPr>
            <w:tcW w:w="356" w:type="pct"/>
            <w:shd w:val="clear" w:color="auto" w:fill="auto"/>
            <w:noWrap/>
            <w:vAlign w:val="center"/>
            <w:hideMark/>
          </w:tcPr>
          <w:p w14:paraId="08BDA2A2"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18,414</w:t>
            </w:r>
          </w:p>
        </w:tc>
        <w:tc>
          <w:tcPr>
            <w:tcW w:w="356" w:type="pct"/>
            <w:shd w:val="clear" w:color="auto" w:fill="auto"/>
            <w:noWrap/>
            <w:vAlign w:val="center"/>
            <w:hideMark/>
          </w:tcPr>
          <w:p w14:paraId="6E14E555"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18,90</w:t>
            </w:r>
          </w:p>
        </w:tc>
        <w:tc>
          <w:tcPr>
            <w:tcW w:w="356" w:type="pct"/>
            <w:shd w:val="clear" w:color="auto" w:fill="auto"/>
            <w:noWrap/>
            <w:vAlign w:val="center"/>
            <w:hideMark/>
          </w:tcPr>
          <w:p w14:paraId="32AEEED5"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19,41</w:t>
            </w:r>
          </w:p>
        </w:tc>
        <w:tc>
          <w:tcPr>
            <w:tcW w:w="356" w:type="pct"/>
            <w:shd w:val="clear" w:color="auto" w:fill="auto"/>
            <w:noWrap/>
            <w:vAlign w:val="center"/>
            <w:hideMark/>
          </w:tcPr>
          <w:p w14:paraId="7C0D2C14"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19,85</w:t>
            </w:r>
          </w:p>
        </w:tc>
      </w:tr>
      <w:tr w:rsidR="006C63D5" w:rsidRPr="004167E8" w14:paraId="5868C478" w14:textId="77777777" w:rsidTr="004167E8">
        <w:trPr>
          <w:trHeight w:val="315"/>
        </w:trPr>
        <w:tc>
          <w:tcPr>
            <w:tcW w:w="323" w:type="pct"/>
            <w:vMerge/>
            <w:vAlign w:val="center"/>
            <w:hideMark/>
          </w:tcPr>
          <w:p w14:paraId="4428D5EE" w14:textId="77777777" w:rsidR="006C63D5" w:rsidRPr="004167E8" w:rsidRDefault="006C63D5" w:rsidP="004167E8">
            <w:pPr>
              <w:rPr>
                <w:rFonts w:cs="Arial"/>
                <w:color w:val="000000"/>
                <w:sz w:val="16"/>
                <w:szCs w:val="16"/>
                <w:lang w:eastAsia="sl-SI"/>
              </w:rPr>
            </w:pPr>
          </w:p>
        </w:tc>
        <w:tc>
          <w:tcPr>
            <w:tcW w:w="2527" w:type="pct"/>
            <w:shd w:val="clear" w:color="auto" w:fill="auto"/>
            <w:vAlign w:val="bottom"/>
            <w:hideMark/>
          </w:tcPr>
          <w:p w14:paraId="6DA3DABC" w14:textId="77777777" w:rsidR="006C63D5" w:rsidRPr="004167E8" w:rsidRDefault="006C63D5" w:rsidP="004167E8">
            <w:pPr>
              <w:rPr>
                <w:rFonts w:cs="Arial"/>
                <w:color w:val="000000"/>
                <w:sz w:val="16"/>
                <w:szCs w:val="16"/>
                <w:lang w:eastAsia="sl-SI"/>
              </w:rPr>
            </w:pPr>
            <w:r w:rsidRPr="004167E8">
              <w:rPr>
                <w:rFonts w:cs="Arial"/>
                <w:color w:val="000000"/>
                <w:sz w:val="16"/>
                <w:szCs w:val="16"/>
                <w:lang w:eastAsia="sl-SI"/>
              </w:rPr>
              <w:t>Prebivalstvo skupaj po starostnih skupinah - manj kot 15 let</w:t>
            </w:r>
          </w:p>
        </w:tc>
        <w:tc>
          <w:tcPr>
            <w:tcW w:w="363" w:type="pct"/>
            <w:shd w:val="clear" w:color="auto" w:fill="auto"/>
            <w:noWrap/>
            <w:vAlign w:val="center"/>
            <w:hideMark/>
          </w:tcPr>
          <w:p w14:paraId="420B3EE1"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14,03</w:t>
            </w:r>
          </w:p>
        </w:tc>
        <w:tc>
          <w:tcPr>
            <w:tcW w:w="363" w:type="pct"/>
            <w:shd w:val="clear" w:color="auto" w:fill="auto"/>
            <w:noWrap/>
            <w:vAlign w:val="center"/>
            <w:hideMark/>
          </w:tcPr>
          <w:p w14:paraId="44781CD3"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14,48</w:t>
            </w:r>
          </w:p>
        </w:tc>
        <w:tc>
          <w:tcPr>
            <w:tcW w:w="356" w:type="pct"/>
            <w:shd w:val="clear" w:color="auto" w:fill="auto"/>
            <w:noWrap/>
            <w:vAlign w:val="center"/>
            <w:hideMark/>
          </w:tcPr>
          <w:p w14:paraId="4EF69162"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14,843</w:t>
            </w:r>
          </w:p>
        </w:tc>
        <w:tc>
          <w:tcPr>
            <w:tcW w:w="356" w:type="pct"/>
            <w:shd w:val="clear" w:color="auto" w:fill="auto"/>
            <w:noWrap/>
            <w:vAlign w:val="center"/>
            <w:hideMark/>
          </w:tcPr>
          <w:p w14:paraId="6434486C"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14,94</w:t>
            </w:r>
          </w:p>
        </w:tc>
        <w:tc>
          <w:tcPr>
            <w:tcW w:w="356" w:type="pct"/>
            <w:shd w:val="clear" w:color="auto" w:fill="auto"/>
            <w:noWrap/>
            <w:vAlign w:val="center"/>
            <w:hideMark/>
          </w:tcPr>
          <w:p w14:paraId="44CB3FAF"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15,03</w:t>
            </w:r>
          </w:p>
        </w:tc>
        <w:tc>
          <w:tcPr>
            <w:tcW w:w="356" w:type="pct"/>
            <w:shd w:val="clear" w:color="auto" w:fill="auto"/>
            <w:noWrap/>
            <w:vAlign w:val="center"/>
            <w:hideMark/>
          </w:tcPr>
          <w:p w14:paraId="4456FE5B" w14:textId="77777777" w:rsidR="006C63D5" w:rsidRPr="004167E8" w:rsidRDefault="006C63D5" w:rsidP="004167E8">
            <w:pPr>
              <w:jc w:val="right"/>
              <w:rPr>
                <w:rFonts w:cs="Arial"/>
                <w:color w:val="000000"/>
                <w:sz w:val="16"/>
                <w:szCs w:val="16"/>
                <w:lang w:eastAsia="sl-SI"/>
              </w:rPr>
            </w:pPr>
            <w:r w:rsidRPr="004167E8">
              <w:rPr>
                <w:rFonts w:cs="Arial"/>
                <w:color w:val="000000"/>
                <w:sz w:val="16"/>
                <w:szCs w:val="16"/>
                <w:lang w:eastAsia="sl-SI"/>
              </w:rPr>
              <w:t>15,08</w:t>
            </w:r>
          </w:p>
        </w:tc>
      </w:tr>
    </w:tbl>
    <w:p w14:paraId="46462083" w14:textId="463588B8" w:rsidR="006C63D5" w:rsidRPr="007E7C95" w:rsidRDefault="007E7C95" w:rsidP="006C63D5">
      <w:pPr>
        <w:spacing w:after="240"/>
        <w:rPr>
          <w:rFonts w:cs="Arial"/>
          <w:sz w:val="16"/>
          <w:szCs w:val="16"/>
        </w:rPr>
      </w:pPr>
      <w:r w:rsidRPr="007E7C95">
        <w:rPr>
          <w:rFonts w:cs="Arial"/>
          <w:sz w:val="16"/>
          <w:szCs w:val="16"/>
        </w:rPr>
        <w:t>Vir: Eurostat, SURS</w:t>
      </w:r>
    </w:p>
    <w:p w14:paraId="1F65A18A" w14:textId="1155C4B2" w:rsidR="004167E8" w:rsidRPr="00DE12FE" w:rsidRDefault="006C63D5" w:rsidP="00DE12FE">
      <w:pPr>
        <w:spacing w:after="120" w:line="360" w:lineRule="auto"/>
        <w:rPr>
          <w:rFonts w:cs="Arial"/>
          <w:szCs w:val="20"/>
        </w:rPr>
      </w:pPr>
      <w:r w:rsidRPr="00DE12FE">
        <w:rPr>
          <w:rFonts w:cs="Arial"/>
          <w:szCs w:val="20"/>
        </w:rPr>
        <w:t xml:space="preserve">Delež prebivalstva, starejšega od 65 let, </w:t>
      </w:r>
      <w:r w:rsidR="00A154B7">
        <w:rPr>
          <w:rFonts w:cs="Arial"/>
          <w:szCs w:val="20"/>
        </w:rPr>
        <w:t xml:space="preserve">v podeželskih regijah </w:t>
      </w:r>
      <w:r w:rsidRPr="00DE12FE">
        <w:rPr>
          <w:rFonts w:cs="Arial"/>
          <w:szCs w:val="20"/>
        </w:rPr>
        <w:t>prav tako narašča (</w:t>
      </w:r>
      <w:r w:rsidRPr="00D454A7">
        <w:rPr>
          <w:rFonts w:cs="Arial"/>
          <w:szCs w:val="20"/>
        </w:rPr>
        <w:t>20,</w:t>
      </w:r>
      <w:r w:rsidR="00D454A7" w:rsidRPr="00D454A7">
        <w:rPr>
          <w:rFonts w:cs="Arial"/>
          <w:szCs w:val="20"/>
        </w:rPr>
        <w:t>4</w:t>
      </w:r>
      <w:r w:rsidRPr="00D454A7">
        <w:rPr>
          <w:rFonts w:cs="Arial"/>
          <w:szCs w:val="20"/>
        </w:rPr>
        <w:t xml:space="preserve"> %</w:t>
      </w:r>
      <w:r w:rsidRPr="00DE12FE">
        <w:rPr>
          <w:rFonts w:cs="Arial"/>
          <w:szCs w:val="20"/>
        </w:rPr>
        <w:t xml:space="preserve"> </w:t>
      </w:r>
      <w:r w:rsidR="00B747AA">
        <w:rPr>
          <w:rFonts w:cs="Arial"/>
          <w:szCs w:val="20"/>
        </w:rPr>
        <w:t xml:space="preserve">v letu 2019 </w:t>
      </w:r>
      <w:proofErr w:type="spellStart"/>
      <w:r w:rsidRPr="00DE12FE">
        <w:rPr>
          <w:rFonts w:cs="Arial"/>
          <w:szCs w:val="20"/>
        </w:rPr>
        <w:t>vs</w:t>
      </w:r>
      <w:proofErr w:type="spellEnd"/>
      <w:r w:rsidRPr="00DE12FE">
        <w:rPr>
          <w:rFonts w:cs="Arial"/>
          <w:szCs w:val="20"/>
        </w:rPr>
        <w:t xml:space="preserve">. </w:t>
      </w:r>
      <w:r w:rsidRPr="00D454A7">
        <w:rPr>
          <w:rFonts w:cs="Arial"/>
          <w:szCs w:val="20"/>
        </w:rPr>
        <w:t>16,</w:t>
      </w:r>
      <w:r w:rsidR="00D454A7" w:rsidRPr="00D454A7">
        <w:rPr>
          <w:rFonts w:cs="Arial"/>
          <w:szCs w:val="20"/>
        </w:rPr>
        <w:t>8</w:t>
      </w:r>
      <w:r w:rsidRPr="00DE12FE">
        <w:rPr>
          <w:rFonts w:cs="Arial"/>
          <w:szCs w:val="20"/>
        </w:rPr>
        <w:t xml:space="preserve"> % v letu 2010). Pozitiven trend se kaže pri deležu  prebivalstva, mlajšega od 15 let, saj od leta 2010 do 2019 zmerno narašča, tako pri primerjavi podeželskih regij (13,8</w:t>
      </w:r>
      <w:r w:rsidR="00A154B7">
        <w:rPr>
          <w:rFonts w:cs="Arial"/>
          <w:szCs w:val="20"/>
        </w:rPr>
        <w:t xml:space="preserve"> </w:t>
      </w:r>
      <w:r w:rsidRPr="00DE12FE">
        <w:rPr>
          <w:rFonts w:cs="Arial"/>
          <w:szCs w:val="20"/>
        </w:rPr>
        <w:t>% leta 2010</w:t>
      </w:r>
      <w:r w:rsidR="00A154B7">
        <w:rPr>
          <w:rFonts w:cs="Arial"/>
          <w:szCs w:val="20"/>
        </w:rPr>
        <w:t xml:space="preserve"> </w:t>
      </w:r>
      <w:proofErr w:type="spellStart"/>
      <w:r w:rsidR="00A154B7">
        <w:rPr>
          <w:rFonts w:cs="Arial"/>
          <w:szCs w:val="20"/>
        </w:rPr>
        <w:t>vs</w:t>
      </w:r>
      <w:proofErr w:type="spellEnd"/>
      <w:r w:rsidR="00A154B7">
        <w:rPr>
          <w:rFonts w:cs="Arial"/>
          <w:szCs w:val="20"/>
        </w:rPr>
        <w:t>.</w:t>
      </w:r>
      <w:r w:rsidRPr="00DE12FE">
        <w:rPr>
          <w:rFonts w:cs="Arial"/>
          <w:szCs w:val="20"/>
        </w:rPr>
        <w:t xml:space="preserve"> 14,</w:t>
      </w:r>
      <w:r w:rsidR="00A154B7">
        <w:rPr>
          <w:rFonts w:cs="Arial"/>
          <w:szCs w:val="20"/>
        </w:rPr>
        <w:t xml:space="preserve">6 </w:t>
      </w:r>
      <w:r w:rsidRPr="00DE12FE">
        <w:rPr>
          <w:rFonts w:cs="Arial"/>
          <w:szCs w:val="20"/>
        </w:rPr>
        <w:t xml:space="preserve">% leta 2019), kot pri celotnem prebivalstvu (14,0 % </w:t>
      </w:r>
      <w:proofErr w:type="spellStart"/>
      <w:r w:rsidRPr="00DE12FE">
        <w:rPr>
          <w:rFonts w:cs="Arial"/>
          <w:szCs w:val="20"/>
        </w:rPr>
        <w:t>vs</w:t>
      </w:r>
      <w:proofErr w:type="spellEnd"/>
      <w:r w:rsidRPr="00DE12FE">
        <w:rPr>
          <w:rFonts w:cs="Arial"/>
          <w:szCs w:val="20"/>
        </w:rPr>
        <w:t>. 15,</w:t>
      </w:r>
      <w:r w:rsidR="00A154B7">
        <w:rPr>
          <w:rFonts w:cs="Arial"/>
          <w:szCs w:val="20"/>
        </w:rPr>
        <w:t>1</w:t>
      </w:r>
      <w:r w:rsidRPr="00DE12FE">
        <w:rPr>
          <w:rFonts w:cs="Arial"/>
          <w:szCs w:val="20"/>
        </w:rPr>
        <w:t xml:space="preserve"> %).</w:t>
      </w:r>
      <w:bookmarkStart w:id="22" w:name="_Ref29976610"/>
      <w:r w:rsidR="004167E8" w:rsidRPr="00DE12FE">
        <w:rPr>
          <w:rFonts w:cs="Arial"/>
          <w:szCs w:val="20"/>
        </w:rPr>
        <w:t xml:space="preserve"> </w:t>
      </w:r>
    </w:p>
    <w:p w14:paraId="0B5A112B" w14:textId="4AC9E1EE" w:rsidR="006C63D5" w:rsidRPr="004167E8" w:rsidRDefault="004167E8" w:rsidP="00D52524">
      <w:pPr>
        <w:pStyle w:val="SCslika"/>
        <w:keepNext/>
        <w:keepLines/>
      </w:pPr>
      <w:bookmarkStart w:id="23" w:name="_Toc55913755"/>
      <w:r w:rsidRPr="003D6FF8">
        <w:lastRenderedPageBreak/>
        <w:t xml:space="preserve">Slika </w:t>
      </w:r>
      <w:bookmarkEnd w:id="22"/>
      <w:r w:rsidR="007A077E">
        <w:fldChar w:fldCharType="begin"/>
      </w:r>
      <w:r w:rsidR="007A077E">
        <w:instrText xml:space="preserve"> SEQ Slika \* ARABIC </w:instrText>
      </w:r>
      <w:r w:rsidR="007A077E">
        <w:fldChar w:fldCharType="separate"/>
      </w:r>
      <w:r w:rsidR="0040635C">
        <w:t>4</w:t>
      </w:r>
      <w:r w:rsidR="007A077E">
        <w:fldChar w:fldCharType="end"/>
      </w:r>
      <w:r w:rsidRPr="003D6FF8">
        <w:t>: Delež podeželskega prebivalstva, 65 let in več ter pod 15 let starosti</w:t>
      </w:r>
      <w:bookmarkEnd w:id="23"/>
    </w:p>
    <w:p w14:paraId="5FF653CE" w14:textId="71909761" w:rsidR="006C63D5" w:rsidRDefault="006C63D5" w:rsidP="0037256A">
      <w:pPr>
        <w:keepNext/>
        <w:keepLines/>
        <w:spacing w:after="240"/>
        <w:rPr>
          <w:rFonts w:cs="Arial"/>
          <w:sz w:val="16"/>
          <w:szCs w:val="16"/>
        </w:rPr>
      </w:pPr>
      <w:r w:rsidRPr="00B8421A">
        <w:rPr>
          <w:rFonts w:cs="Arial"/>
          <w:noProof/>
          <w:lang w:eastAsia="sl-SI"/>
        </w:rPr>
        <w:drawing>
          <wp:inline distT="0" distB="0" distL="0" distR="0" wp14:anchorId="7E1CADBE" wp14:editId="2D425BD1">
            <wp:extent cx="5760720" cy="1803400"/>
            <wp:effectExtent l="0" t="0" r="11430" b="635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DD5935">
        <w:rPr>
          <w:rFonts w:cs="Arial"/>
          <w:sz w:val="16"/>
          <w:szCs w:val="16"/>
        </w:rPr>
        <w:t>Vir: Eurostat, SURS</w:t>
      </w:r>
    </w:p>
    <w:p w14:paraId="530C4AD0" w14:textId="77777777" w:rsidR="00ED2796" w:rsidRPr="00041B20" w:rsidRDefault="00ED2796" w:rsidP="0037256A">
      <w:pPr>
        <w:keepNext/>
        <w:keepLines/>
        <w:spacing w:after="240"/>
      </w:pPr>
    </w:p>
    <w:p w14:paraId="07FA0092" w14:textId="2BBE8E39" w:rsidR="006C63D5" w:rsidRPr="00DD5935" w:rsidRDefault="006412DC" w:rsidP="00F57BE2">
      <w:pPr>
        <w:pStyle w:val="Naslov2"/>
        <w:ind w:left="578" w:hanging="578"/>
      </w:pPr>
      <w:bookmarkStart w:id="24" w:name="_Toc42067291"/>
      <w:bookmarkStart w:id="25" w:name="_Toc55912177"/>
      <w:r w:rsidRPr="00DD5935">
        <w:t>Gospodarstvo</w:t>
      </w:r>
      <w:bookmarkEnd w:id="24"/>
      <w:bookmarkEnd w:id="25"/>
    </w:p>
    <w:p w14:paraId="1CF4A8BF" w14:textId="2F4A9E27" w:rsidR="006C63D5" w:rsidRPr="00DE12FE" w:rsidRDefault="006C63D5" w:rsidP="00DE12FE">
      <w:pPr>
        <w:spacing w:after="120" w:line="360" w:lineRule="auto"/>
        <w:jc w:val="both"/>
        <w:rPr>
          <w:rFonts w:cs="Arial"/>
          <w:szCs w:val="20"/>
        </w:rPr>
      </w:pPr>
      <w:r w:rsidRPr="00DE12FE">
        <w:rPr>
          <w:rFonts w:cs="Arial"/>
          <w:szCs w:val="20"/>
        </w:rPr>
        <w:t xml:space="preserve">Gibanja BDV v nekoliko daljšem časovnem obdobju pokažejo na vpliv gospodarsko-finančne krize. BDV slovenskega gospodarstva od leta 2010 do 2019 tako beleži začetno stagnacijo. Po koncu krize in povečevanju gospodarske aktivnosti pa se je vrednost </w:t>
      </w:r>
      <w:r w:rsidR="00A154B7">
        <w:rPr>
          <w:rFonts w:cs="Arial"/>
          <w:szCs w:val="20"/>
        </w:rPr>
        <w:t xml:space="preserve">BDV </w:t>
      </w:r>
      <w:r w:rsidRPr="00DE12FE">
        <w:rPr>
          <w:rFonts w:cs="Arial"/>
          <w:szCs w:val="20"/>
        </w:rPr>
        <w:t xml:space="preserve">leta 2014 začela dvigovati in je leta 2019 dosegla vrednost 41.882 mio EUR. </w:t>
      </w:r>
    </w:p>
    <w:p w14:paraId="54424AFE" w14:textId="097BA06D" w:rsidR="006C63D5" w:rsidRPr="00DE12FE" w:rsidRDefault="006C63D5" w:rsidP="00DE12FE">
      <w:pPr>
        <w:spacing w:after="120" w:line="360" w:lineRule="auto"/>
        <w:jc w:val="both"/>
        <w:rPr>
          <w:rFonts w:cs="Arial"/>
          <w:szCs w:val="20"/>
        </w:rPr>
      </w:pPr>
      <w:r w:rsidRPr="00DE12FE">
        <w:rPr>
          <w:rFonts w:cs="Arial"/>
          <w:szCs w:val="20"/>
        </w:rPr>
        <w:t>Gospodarska rast se je v letu 2019 precej umirila. Bruto domači proizvod se je povečal za 2,4 %, kar je opazno manj kot v predhodnih dveh letih (2017: 4,8 %; 2018: 4,1 %). Kljub temu je bila rast slovenskega gospodarstva v letu 2019 visoka in nad povprečjem EU (UMAR, 2019; UMAR 2020). H gospodarski rasti je še naprej prispevalo stabilno povečevanje zasebne potrošnje (realno večja za 2,7 %; leta 2018: 2,8 %), kar je predvsem rezultat razmeroma visoke stopnje zaposlenosti ter rasti plač in socialnih transferjev. Predvsem zaradi upočasnitve gospodarske rasti v trgovinskih partnericah pa se je upočasnila rast izvoza (realno večji za 4,4 %; leta 2018: 6,1 %). Tudi pri investicijah v opremo in stroje ter pri gradbenih investicijah je bila zabeležena upočasnitev rasti. Realna rast bruto investicij v osnovna sredstva je znašala 3,2 % (leta 2018: 9,1 %).</w:t>
      </w:r>
    </w:p>
    <w:p w14:paraId="5BE8AFF6" w14:textId="3FF1AAFA" w:rsidR="006C63D5" w:rsidRPr="00BA5EC3" w:rsidRDefault="00C9160B" w:rsidP="00D454A7">
      <w:pPr>
        <w:pStyle w:val="SCPreglednica"/>
        <w:keepNext/>
        <w:keepLines/>
      </w:pPr>
      <w:bookmarkStart w:id="26" w:name="_Toc55913720"/>
      <w:r>
        <w:lastRenderedPageBreak/>
        <w:t>Tabela</w:t>
      </w:r>
      <w:r w:rsidR="006C63D5" w:rsidRPr="003D6FF8">
        <w:t xml:space="preserve"> </w:t>
      </w:r>
      <w:r w:rsidR="0001708D">
        <w:rPr>
          <w:noProof/>
        </w:rPr>
        <w:fldChar w:fldCharType="begin"/>
      </w:r>
      <w:r w:rsidR="0001708D">
        <w:rPr>
          <w:noProof/>
        </w:rPr>
        <w:instrText xml:space="preserve"> SEQ Tabela \* ARABIC </w:instrText>
      </w:r>
      <w:r w:rsidR="0001708D">
        <w:rPr>
          <w:noProof/>
        </w:rPr>
        <w:fldChar w:fldCharType="separate"/>
      </w:r>
      <w:r w:rsidR="00DF0D48">
        <w:rPr>
          <w:noProof/>
        </w:rPr>
        <w:t>9</w:t>
      </w:r>
      <w:r w:rsidR="0001708D">
        <w:rPr>
          <w:noProof/>
        </w:rPr>
        <w:fldChar w:fldCharType="end"/>
      </w:r>
      <w:r w:rsidR="006C63D5" w:rsidRPr="003D6FF8">
        <w:t>: Pregled gospodarskih gibanj 201</w:t>
      </w:r>
      <w:r w:rsidR="006C63D5">
        <w:t>4</w:t>
      </w:r>
      <w:r w:rsidR="006C63D5" w:rsidRPr="003D6FF8">
        <w:t>–201</w:t>
      </w:r>
      <w:r w:rsidR="006C63D5">
        <w:t>9</w:t>
      </w:r>
      <w:bookmarkEnd w:id="26"/>
    </w:p>
    <w:tbl>
      <w:tblPr>
        <w:tblW w:w="9423" w:type="dxa"/>
        <w:tblInd w:w="70" w:type="dxa"/>
        <w:tblCellMar>
          <w:left w:w="70" w:type="dxa"/>
          <w:right w:w="70" w:type="dxa"/>
        </w:tblCellMar>
        <w:tblLook w:val="04A0" w:firstRow="1" w:lastRow="0" w:firstColumn="1" w:lastColumn="0" w:noHBand="0" w:noVBand="1"/>
      </w:tblPr>
      <w:tblGrid>
        <w:gridCol w:w="3327"/>
        <w:gridCol w:w="993"/>
        <w:gridCol w:w="1134"/>
        <w:gridCol w:w="850"/>
        <w:gridCol w:w="992"/>
        <w:gridCol w:w="993"/>
        <w:gridCol w:w="1134"/>
      </w:tblGrid>
      <w:tr w:rsidR="006C63D5" w:rsidRPr="00F44FA4" w14:paraId="4E16989B" w14:textId="77777777" w:rsidTr="00F44FA4">
        <w:trPr>
          <w:trHeight w:val="450"/>
        </w:trPr>
        <w:tc>
          <w:tcPr>
            <w:tcW w:w="3327"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8B35DD7" w14:textId="77777777" w:rsidR="006C63D5" w:rsidRPr="00F44FA4" w:rsidRDefault="006C63D5" w:rsidP="00D454A7">
            <w:pPr>
              <w:keepNext/>
              <w:keepLines/>
              <w:jc w:val="center"/>
              <w:rPr>
                <w:rFonts w:cs="Arial"/>
                <w:b/>
                <w:bCs/>
                <w:color w:val="000000"/>
                <w:szCs w:val="20"/>
                <w:lang w:eastAsia="sl-SI"/>
              </w:rPr>
            </w:pPr>
            <w:r w:rsidRPr="00F44FA4">
              <w:rPr>
                <w:rFonts w:cs="Arial"/>
                <w:b/>
                <w:bCs/>
                <w:color w:val="000000"/>
                <w:szCs w:val="20"/>
                <w:lang w:eastAsia="sl-SI"/>
              </w:rPr>
              <w:t> </w:t>
            </w:r>
          </w:p>
        </w:tc>
        <w:tc>
          <w:tcPr>
            <w:tcW w:w="993" w:type="dxa"/>
            <w:tcBorders>
              <w:top w:val="single" w:sz="4" w:space="0" w:color="auto"/>
              <w:left w:val="nil"/>
              <w:bottom w:val="single" w:sz="4" w:space="0" w:color="auto"/>
              <w:right w:val="single" w:sz="4" w:space="0" w:color="auto"/>
            </w:tcBorders>
            <w:shd w:val="clear" w:color="000000" w:fill="92D050"/>
            <w:vAlign w:val="center"/>
            <w:hideMark/>
          </w:tcPr>
          <w:p w14:paraId="6423C30A" w14:textId="77777777" w:rsidR="006C63D5" w:rsidRPr="00F44FA4" w:rsidRDefault="006C63D5" w:rsidP="00D454A7">
            <w:pPr>
              <w:keepNext/>
              <w:keepLines/>
              <w:jc w:val="center"/>
              <w:rPr>
                <w:rFonts w:cs="Arial"/>
                <w:b/>
                <w:bCs/>
                <w:color w:val="000000"/>
                <w:szCs w:val="20"/>
                <w:lang w:eastAsia="sl-SI"/>
              </w:rPr>
            </w:pPr>
            <w:r w:rsidRPr="00F44FA4">
              <w:rPr>
                <w:rFonts w:cs="Arial"/>
                <w:b/>
                <w:bCs/>
                <w:color w:val="000000"/>
                <w:szCs w:val="20"/>
                <w:lang w:eastAsia="sl-SI"/>
              </w:rPr>
              <w:t>2014</w:t>
            </w:r>
          </w:p>
        </w:tc>
        <w:tc>
          <w:tcPr>
            <w:tcW w:w="1134" w:type="dxa"/>
            <w:tcBorders>
              <w:top w:val="single" w:sz="4" w:space="0" w:color="auto"/>
              <w:left w:val="nil"/>
              <w:bottom w:val="single" w:sz="4" w:space="0" w:color="auto"/>
              <w:right w:val="single" w:sz="4" w:space="0" w:color="auto"/>
            </w:tcBorders>
            <w:shd w:val="clear" w:color="000000" w:fill="92D050"/>
            <w:vAlign w:val="center"/>
            <w:hideMark/>
          </w:tcPr>
          <w:p w14:paraId="4AFE50D7" w14:textId="77777777" w:rsidR="006C63D5" w:rsidRPr="00F44FA4" w:rsidRDefault="006C63D5" w:rsidP="00D454A7">
            <w:pPr>
              <w:keepNext/>
              <w:keepLines/>
              <w:jc w:val="center"/>
              <w:rPr>
                <w:rFonts w:cs="Arial"/>
                <w:b/>
                <w:bCs/>
                <w:color w:val="000000"/>
                <w:szCs w:val="20"/>
                <w:lang w:eastAsia="sl-SI"/>
              </w:rPr>
            </w:pPr>
            <w:r w:rsidRPr="00F44FA4">
              <w:rPr>
                <w:rFonts w:cs="Arial"/>
                <w:b/>
                <w:bCs/>
                <w:color w:val="000000"/>
                <w:szCs w:val="20"/>
                <w:lang w:eastAsia="sl-SI"/>
              </w:rPr>
              <w:t>2015</w:t>
            </w:r>
          </w:p>
        </w:tc>
        <w:tc>
          <w:tcPr>
            <w:tcW w:w="850" w:type="dxa"/>
            <w:tcBorders>
              <w:top w:val="single" w:sz="4" w:space="0" w:color="auto"/>
              <w:left w:val="nil"/>
              <w:bottom w:val="single" w:sz="4" w:space="0" w:color="auto"/>
              <w:right w:val="single" w:sz="4" w:space="0" w:color="auto"/>
            </w:tcBorders>
            <w:shd w:val="clear" w:color="000000" w:fill="92D050"/>
            <w:vAlign w:val="center"/>
            <w:hideMark/>
          </w:tcPr>
          <w:p w14:paraId="19702BC3" w14:textId="77777777" w:rsidR="006C63D5" w:rsidRPr="00F44FA4" w:rsidRDefault="006C63D5" w:rsidP="00D454A7">
            <w:pPr>
              <w:keepNext/>
              <w:keepLines/>
              <w:jc w:val="center"/>
              <w:rPr>
                <w:rFonts w:cs="Arial"/>
                <w:b/>
                <w:bCs/>
                <w:color w:val="000000"/>
                <w:szCs w:val="20"/>
                <w:lang w:eastAsia="sl-SI"/>
              </w:rPr>
            </w:pPr>
            <w:r w:rsidRPr="00F44FA4">
              <w:rPr>
                <w:rFonts w:cs="Arial"/>
                <w:b/>
                <w:bCs/>
                <w:color w:val="000000"/>
                <w:szCs w:val="20"/>
                <w:lang w:eastAsia="sl-SI"/>
              </w:rPr>
              <w:t>2016</w:t>
            </w:r>
          </w:p>
        </w:tc>
        <w:tc>
          <w:tcPr>
            <w:tcW w:w="992" w:type="dxa"/>
            <w:tcBorders>
              <w:top w:val="single" w:sz="4" w:space="0" w:color="auto"/>
              <w:left w:val="nil"/>
              <w:bottom w:val="single" w:sz="4" w:space="0" w:color="auto"/>
              <w:right w:val="single" w:sz="4" w:space="0" w:color="auto"/>
            </w:tcBorders>
            <w:shd w:val="clear" w:color="000000" w:fill="92D050"/>
            <w:vAlign w:val="center"/>
            <w:hideMark/>
          </w:tcPr>
          <w:p w14:paraId="7F4BA1A4" w14:textId="77777777" w:rsidR="006C63D5" w:rsidRPr="00F44FA4" w:rsidRDefault="006C63D5" w:rsidP="00D454A7">
            <w:pPr>
              <w:keepNext/>
              <w:keepLines/>
              <w:jc w:val="center"/>
              <w:rPr>
                <w:rFonts w:cs="Arial"/>
                <w:b/>
                <w:bCs/>
                <w:color w:val="000000"/>
                <w:szCs w:val="20"/>
                <w:lang w:eastAsia="sl-SI"/>
              </w:rPr>
            </w:pPr>
            <w:r w:rsidRPr="00F44FA4">
              <w:rPr>
                <w:rFonts w:cs="Arial"/>
                <w:b/>
                <w:bCs/>
                <w:color w:val="000000"/>
                <w:szCs w:val="20"/>
                <w:lang w:eastAsia="sl-SI"/>
              </w:rPr>
              <w:t>2017</w:t>
            </w:r>
          </w:p>
        </w:tc>
        <w:tc>
          <w:tcPr>
            <w:tcW w:w="993" w:type="dxa"/>
            <w:tcBorders>
              <w:top w:val="single" w:sz="4" w:space="0" w:color="auto"/>
              <w:left w:val="nil"/>
              <w:bottom w:val="single" w:sz="4" w:space="0" w:color="auto"/>
              <w:right w:val="single" w:sz="4" w:space="0" w:color="auto"/>
            </w:tcBorders>
            <w:shd w:val="clear" w:color="000000" w:fill="92D050"/>
            <w:vAlign w:val="center"/>
            <w:hideMark/>
          </w:tcPr>
          <w:p w14:paraId="13850D90" w14:textId="77777777" w:rsidR="006C63D5" w:rsidRPr="00F44FA4" w:rsidRDefault="006C63D5" w:rsidP="00D454A7">
            <w:pPr>
              <w:keepNext/>
              <w:keepLines/>
              <w:jc w:val="center"/>
              <w:rPr>
                <w:rFonts w:cs="Arial"/>
                <w:b/>
                <w:bCs/>
                <w:color w:val="000000"/>
                <w:szCs w:val="20"/>
                <w:lang w:eastAsia="sl-SI"/>
              </w:rPr>
            </w:pPr>
            <w:r w:rsidRPr="00F44FA4">
              <w:rPr>
                <w:rFonts w:cs="Arial"/>
                <w:b/>
                <w:bCs/>
                <w:color w:val="000000"/>
                <w:szCs w:val="20"/>
                <w:lang w:eastAsia="sl-SI"/>
              </w:rPr>
              <w:t>2018</w:t>
            </w:r>
          </w:p>
        </w:tc>
        <w:tc>
          <w:tcPr>
            <w:tcW w:w="1134" w:type="dxa"/>
            <w:tcBorders>
              <w:top w:val="single" w:sz="4" w:space="0" w:color="auto"/>
              <w:left w:val="nil"/>
              <w:bottom w:val="single" w:sz="4" w:space="0" w:color="auto"/>
              <w:right w:val="single" w:sz="4" w:space="0" w:color="auto"/>
            </w:tcBorders>
            <w:shd w:val="clear" w:color="000000" w:fill="92D050"/>
            <w:vAlign w:val="center"/>
            <w:hideMark/>
          </w:tcPr>
          <w:p w14:paraId="7265FFE3" w14:textId="77777777" w:rsidR="006C63D5" w:rsidRPr="00F44FA4" w:rsidRDefault="006C63D5" w:rsidP="00D454A7">
            <w:pPr>
              <w:keepNext/>
              <w:keepLines/>
              <w:jc w:val="center"/>
              <w:rPr>
                <w:rFonts w:cs="Arial"/>
                <w:b/>
                <w:bCs/>
                <w:color w:val="000000"/>
                <w:szCs w:val="20"/>
                <w:lang w:eastAsia="sl-SI"/>
              </w:rPr>
            </w:pPr>
            <w:r w:rsidRPr="00F44FA4">
              <w:rPr>
                <w:rFonts w:cs="Arial"/>
                <w:b/>
                <w:bCs/>
                <w:color w:val="000000"/>
                <w:szCs w:val="20"/>
                <w:lang w:eastAsia="sl-SI"/>
              </w:rPr>
              <w:t>2019</w:t>
            </w:r>
          </w:p>
        </w:tc>
      </w:tr>
      <w:tr w:rsidR="006C63D5" w:rsidRPr="00F44FA4" w14:paraId="1C646B74" w14:textId="77777777" w:rsidTr="00F44FA4">
        <w:trPr>
          <w:trHeight w:val="154"/>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53E956F0" w14:textId="77777777" w:rsidR="006C63D5" w:rsidRPr="00F44FA4" w:rsidRDefault="006C63D5" w:rsidP="00D454A7">
            <w:pPr>
              <w:keepNext/>
              <w:keepLines/>
              <w:rPr>
                <w:rFonts w:cs="Arial"/>
                <w:color w:val="000000"/>
                <w:szCs w:val="20"/>
                <w:lang w:eastAsia="sl-SI"/>
              </w:rPr>
            </w:pPr>
            <w:r w:rsidRPr="00F44FA4">
              <w:rPr>
                <w:rFonts w:cs="Arial"/>
                <w:color w:val="000000"/>
                <w:szCs w:val="20"/>
                <w:lang w:eastAsia="sl-SI"/>
              </w:rPr>
              <w:t>Realne stopnje rasti BDP (%)</w:t>
            </w:r>
          </w:p>
        </w:tc>
        <w:tc>
          <w:tcPr>
            <w:tcW w:w="993" w:type="dxa"/>
            <w:tcBorders>
              <w:top w:val="nil"/>
              <w:left w:val="nil"/>
              <w:bottom w:val="single" w:sz="4" w:space="0" w:color="auto"/>
              <w:right w:val="single" w:sz="4" w:space="0" w:color="auto"/>
            </w:tcBorders>
            <w:shd w:val="clear" w:color="auto" w:fill="auto"/>
            <w:vAlign w:val="center"/>
            <w:hideMark/>
          </w:tcPr>
          <w:p w14:paraId="39B90CDB"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2,8</w:t>
            </w:r>
          </w:p>
        </w:tc>
        <w:tc>
          <w:tcPr>
            <w:tcW w:w="1134" w:type="dxa"/>
            <w:tcBorders>
              <w:top w:val="nil"/>
              <w:left w:val="nil"/>
              <w:bottom w:val="single" w:sz="4" w:space="0" w:color="auto"/>
              <w:right w:val="single" w:sz="4" w:space="0" w:color="auto"/>
            </w:tcBorders>
            <w:shd w:val="clear" w:color="auto" w:fill="auto"/>
            <w:vAlign w:val="center"/>
            <w:hideMark/>
          </w:tcPr>
          <w:p w14:paraId="0B2EF4F8"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2,2</w:t>
            </w:r>
          </w:p>
        </w:tc>
        <w:tc>
          <w:tcPr>
            <w:tcW w:w="850" w:type="dxa"/>
            <w:tcBorders>
              <w:top w:val="nil"/>
              <w:left w:val="nil"/>
              <w:bottom w:val="single" w:sz="4" w:space="0" w:color="auto"/>
              <w:right w:val="single" w:sz="4" w:space="0" w:color="auto"/>
            </w:tcBorders>
            <w:shd w:val="clear" w:color="auto" w:fill="auto"/>
            <w:vAlign w:val="center"/>
            <w:hideMark/>
          </w:tcPr>
          <w:p w14:paraId="2378858B"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3,1</w:t>
            </w:r>
          </w:p>
        </w:tc>
        <w:tc>
          <w:tcPr>
            <w:tcW w:w="992" w:type="dxa"/>
            <w:tcBorders>
              <w:top w:val="nil"/>
              <w:left w:val="nil"/>
              <w:bottom w:val="single" w:sz="4" w:space="0" w:color="auto"/>
              <w:right w:val="single" w:sz="4" w:space="0" w:color="auto"/>
            </w:tcBorders>
            <w:shd w:val="clear" w:color="auto" w:fill="auto"/>
            <w:vAlign w:val="center"/>
            <w:hideMark/>
          </w:tcPr>
          <w:p w14:paraId="61A7E8DB"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4,8</w:t>
            </w:r>
          </w:p>
        </w:tc>
        <w:tc>
          <w:tcPr>
            <w:tcW w:w="993" w:type="dxa"/>
            <w:tcBorders>
              <w:top w:val="nil"/>
              <w:left w:val="nil"/>
              <w:bottom w:val="single" w:sz="4" w:space="0" w:color="auto"/>
              <w:right w:val="single" w:sz="4" w:space="0" w:color="auto"/>
            </w:tcBorders>
            <w:shd w:val="clear" w:color="auto" w:fill="auto"/>
            <w:vAlign w:val="center"/>
            <w:hideMark/>
          </w:tcPr>
          <w:p w14:paraId="019CFEB7"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4,1</w:t>
            </w:r>
          </w:p>
        </w:tc>
        <w:tc>
          <w:tcPr>
            <w:tcW w:w="1134" w:type="dxa"/>
            <w:tcBorders>
              <w:top w:val="nil"/>
              <w:left w:val="nil"/>
              <w:bottom w:val="single" w:sz="4" w:space="0" w:color="auto"/>
              <w:right w:val="single" w:sz="4" w:space="0" w:color="auto"/>
            </w:tcBorders>
            <w:shd w:val="clear" w:color="auto" w:fill="auto"/>
            <w:vAlign w:val="center"/>
            <w:hideMark/>
          </w:tcPr>
          <w:p w14:paraId="7EE46E32"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2,4</w:t>
            </w:r>
          </w:p>
        </w:tc>
      </w:tr>
      <w:tr w:rsidR="006C63D5" w:rsidRPr="00F44FA4" w14:paraId="3CED182A" w14:textId="77777777" w:rsidTr="00F44FA4">
        <w:trPr>
          <w:trHeight w:val="160"/>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537B06C0" w14:textId="77777777" w:rsidR="006C63D5" w:rsidRPr="00F44FA4" w:rsidRDefault="006C63D5" w:rsidP="00D454A7">
            <w:pPr>
              <w:keepNext/>
              <w:keepLines/>
              <w:rPr>
                <w:rFonts w:cs="Arial"/>
                <w:color w:val="000000"/>
                <w:szCs w:val="20"/>
                <w:lang w:eastAsia="sl-SI"/>
              </w:rPr>
            </w:pPr>
            <w:r w:rsidRPr="00F44FA4">
              <w:rPr>
                <w:rFonts w:cs="Arial"/>
                <w:color w:val="000000"/>
                <w:szCs w:val="20"/>
                <w:lang w:eastAsia="sl-SI"/>
              </w:rPr>
              <w:t>BDP (mio EUR)</w:t>
            </w:r>
          </w:p>
        </w:tc>
        <w:tc>
          <w:tcPr>
            <w:tcW w:w="993" w:type="dxa"/>
            <w:tcBorders>
              <w:top w:val="nil"/>
              <w:left w:val="nil"/>
              <w:bottom w:val="single" w:sz="4" w:space="0" w:color="auto"/>
              <w:right w:val="single" w:sz="4" w:space="0" w:color="auto"/>
            </w:tcBorders>
            <w:shd w:val="clear" w:color="auto" w:fill="auto"/>
            <w:vAlign w:val="center"/>
            <w:hideMark/>
          </w:tcPr>
          <w:p w14:paraId="31BEC3C6"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37.634</w:t>
            </w:r>
          </w:p>
        </w:tc>
        <w:tc>
          <w:tcPr>
            <w:tcW w:w="1134" w:type="dxa"/>
            <w:tcBorders>
              <w:top w:val="nil"/>
              <w:left w:val="nil"/>
              <w:bottom w:val="single" w:sz="4" w:space="0" w:color="auto"/>
              <w:right w:val="single" w:sz="4" w:space="0" w:color="auto"/>
            </w:tcBorders>
            <w:shd w:val="clear" w:color="auto" w:fill="auto"/>
            <w:vAlign w:val="center"/>
            <w:hideMark/>
          </w:tcPr>
          <w:p w14:paraId="7E695C77"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38.853</w:t>
            </w:r>
          </w:p>
        </w:tc>
        <w:tc>
          <w:tcPr>
            <w:tcW w:w="850" w:type="dxa"/>
            <w:tcBorders>
              <w:top w:val="nil"/>
              <w:left w:val="nil"/>
              <w:bottom w:val="single" w:sz="4" w:space="0" w:color="auto"/>
              <w:right w:val="single" w:sz="4" w:space="0" w:color="auto"/>
            </w:tcBorders>
            <w:shd w:val="clear" w:color="auto" w:fill="auto"/>
            <w:vAlign w:val="center"/>
            <w:hideMark/>
          </w:tcPr>
          <w:p w14:paraId="2B0D43C2"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40.367</w:t>
            </w:r>
          </w:p>
        </w:tc>
        <w:tc>
          <w:tcPr>
            <w:tcW w:w="992" w:type="dxa"/>
            <w:tcBorders>
              <w:top w:val="nil"/>
              <w:left w:val="nil"/>
              <w:bottom w:val="single" w:sz="4" w:space="0" w:color="auto"/>
              <w:right w:val="single" w:sz="4" w:space="0" w:color="auto"/>
            </w:tcBorders>
            <w:shd w:val="clear" w:color="auto" w:fill="auto"/>
            <w:vAlign w:val="center"/>
            <w:hideMark/>
          </w:tcPr>
          <w:p w14:paraId="36ED2D23"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42.987</w:t>
            </w:r>
          </w:p>
        </w:tc>
        <w:tc>
          <w:tcPr>
            <w:tcW w:w="993" w:type="dxa"/>
            <w:tcBorders>
              <w:top w:val="nil"/>
              <w:left w:val="nil"/>
              <w:bottom w:val="single" w:sz="4" w:space="0" w:color="auto"/>
              <w:right w:val="single" w:sz="4" w:space="0" w:color="auto"/>
            </w:tcBorders>
            <w:shd w:val="clear" w:color="auto" w:fill="auto"/>
            <w:vAlign w:val="center"/>
            <w:hideMark/>
          </w:tcPr>
          <w:p w14:paraId="43E97261"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45.755</w:t>
            </w:r>
          </w:p>
        </w:tc>
        <w:tc>
          <w:tcPr>
            <w:tcW w:w="1134" w:type="dxa"/>
            <w:tcBorders>
              <w:top w:val="nil"/>
              <w:left w:val="nil"/>
              <w:bottom w:val="single" w:sz="4" w:space="0" w:color="auto"/>
              <w:right w:val="single" w:sz="4" w:space="0" w:color="auto"/>
            </w:tcBorders>
            <w:shd w:val="clear" w:color="auto" w:fill="auto"/>
            <w:vAlign w:val="center"/>
            <w:hideMark/>
          </w:tcPr>
          <w:p w14:paraId="6DD5C4D5"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48.007</w:t>
            </w:r>
          </w:p>
        </w:tc>
      </w:tr>
      <w:tr w:rsidR="006C63D5" w:rsidRPr="00F44FA4" w14:paraId="7C7E00F5" w14:textId="77777777" w:rsidTr="00F44FA4">
        <w:trPr>
          <w:trHeight w:val="308"/>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6EC4D59A" w14:textId="77777777" w:rsidR="006C63D5" w:rsidRPr="00F44FA4" w:rsidRDefault="006C63D5" w:rsidP="00D454A7">
            <w:pPr>
              <w:keepNext/>
              <w:keepLines/>
              <w:rPr>
                <w:rFonts w:cs="Arial"/>
                <w:color w:val="000000"/>
                <w:szCs w:val="20"/>
                <w:lang w:eastAsia="sl-SI"/>
              </w:rPr>
            </w:pPr>
            <w:r w:rsidRPr="00F44FA4">
              <w:rPr>
                <w:rFonts w:cs="Arial"/>
                <w:color w:val="000000"/>
                <w:szCs w:val="20"/>
                <w:lang w:eastAsia="sl-SI"/>
              </w:rPr>
              <w:t>Bruto dodana vrednost po dejavnostih (mio EUR)</w:t>
            </w:r>
          </w:p>
        </w:tc>
        <w:tc>
          <w:tcPr>
            <w:tcW w:w="993" w:type="dxa"/>
            <w:tcBorders>
              <w:top w:val="nil"/>
              <w:left w:val="nil"/>
              <w:bottom w:val="single" w:sz="4" w:space="0" w:color="auto"/>
              <w:right w:val="single" w:sz="4" w:space="0" w:color="auto"/>
            </w:tcBorders>
            <w:shd w:val="clear" w:color="auto" w:fill="auto"/>
            <w:vAlign w:val="center"/>
            <w:hideMark/>
          </w:tcPr>
          <w:p w14:paraId="104366B1"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32.532</w:t>
            </w:r>
          </w:p>
        </w:tc>
        <w:tc>
          <w:tcPr>
            <w:tcW w:w="1134" w:type="dxa"/>
            <w:tcBorders>
              <w:top w:val="nil"/>
              <w:left w:val="nil"/>
              <w:bottom w:val="single" w:sz="4" w:space="0" w:color="auto"/>
              <w:right w:val="single" w:sz="4" w:space="0" w:color="auto"/>
            </w:tcBorders>
            <w:shd w:val="clear" w:color="auto" w:fill="auto"/>
            <w:vAlign w:val="center"/>
            <w:hideMark/>
          </w:tcPr>
          <w:p w14:paraId="04C73D97"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33.592</w:t>
            </w:r>
          </w:p>
        </w:tc>
        <w:tc>
          <w:tcPr>
            <w:tcW w:w="850" w:type="dxa"/>
            <w:tcBorders>
              <w:top w:val="nil"/>
              <w:left w:val="nil"/>
              <w:bottom w:val="single" w:sz="4" w:space="0" w:color="auto"/>
              <w:right w:val="single" w:sz="4" w:space="0" w:color="auto"/>
            </w:tcBorders>
            <w:shd w:val="clear" w:color="auto" w:fill="auto"/>
            <w:vAlign w:val="center"/>
            <w:hideMark/>
          </w:tcPr>
          <w:p w14:paraId="6A92808D"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34.953</w:t>
            </w:r>
          </w:p>
        </w:tc>
        <w:tc>
          <w:tcPr>
            <w:tcW w:w="992" w:type="dxa"/>
            <w:tcBorders>
              <w:top w:val="nil"/>
              <w:left w:val="nil"/>
              <w:bottom w:val="single" w:sz="4" w:space="0" w:color="auto"/>
              <w:right w:val="single" w:sz="4" w:space="0" w:color="auto"/>
            </w:tcBorders>
            <w:shd w:val="clear" w:color="auto" w:fill="auto"/>
            <w:vAlign w:val="center"/>
            <w:hideMark/>
          </w:tcPr>
          <w:p w14:paraId="115A91FE"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37.350</w:t>
            </w:r>
          </w:p>
        </w:tc>
        <w:tc>
          <w:tcPr>
            <w:tcW w:w="993" w:type="dxa"/>
            <w:tcBorders>
              <w:top w:val="nil"/>
              <w:left w:val="nil"/>
              <w:bottom w:val="single" w:sz="4" w:space="0" w:color="auto"/>
              <w:right w:val="single" w:sz="4" w:space="0" w:color="auto"/>
            </w:tcBorders>
            <w:shd w:val="clear" w:color="auto" w:fill="auto"/>
            <w:vAlign w:val="center"/>
            <w:hideMark/>
          </w:tcPr>
          <w:p w14:paraId="5A9F7EE9"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39.839</w:t>
            </w:r>
          </w:p>
        </w:tc>
        <w:tc>
          <w:tcPr>
            <w:tcW w:w="1134" w:type="dxa"/>
            <w:tcBorders>
              <w:top w:val="nil"/>
              <w:left w:val="nil"/>
              <w:bottom w:val="single" w:sz="4" w:space="0" w:color="auto"/>
              <w:right w:val="single" w:sz="4" w:space="0" w:color="auto"/>
            </w:tcBorders>
            <w:shd w:val="clear" w:color="auto" w:fill="auto"/>
            <w:vAlign w:val="center"/>
            <w:hideMark/>
          </w:tcPr>
          <w:p w14:paraId="33D48EFB"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41.882</w:t>
            </w:r>
          </w:p>
        </w:tc>
      </w:tr>
      <w:tr w:rsidR="006C63D5" w:rsidRPr="00F44FA4" w14:paraId="5A9913AF" w14:textId="77777777" w:rsidTr="00F44FA4">
        <w:trPr>
          <w:trHeight w:val="570"/>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08F7A5AD" w14:textId="77777777" w:rsidR="006C63D5" w:rsidRPr="00F44FA4" w:rsidRDefault="006C63D5" w:rsidP="00D454A7">
            <w:pPr>
              <w:keepNext/>
              <w:keepLines/>
              <w:rPr>
                <w:rFonts w:cs="Arial"/>
                <w:color w:val="000000"/>
                <w:szCs w:val="20"/>
                <w:lang w:eastAsia="sl-SI"/>
              </w:rPr>
            </w:pPr>
            <w:r w:rsidRPr="00F44FA4">
              <w:rPr>
                <w:rFonts w:cs="Arial"/>
                <w:color w:val="000000"/>
                <w:szCs w:val="20"/>
                <w:lang w:eastAsia="sl-SI"/>
              </w:rPr>
              <w:t xml:space="preserve">Struktura dodane vrednosti: </w:t>
            </w:r>
            <w:r w:rsidRPr="00F44FA4">
              <w:rPr>
                <w:rFonts w:cs="Arial"/>
                <w:color w:val="000000"/>
                <w:szCs w:val="20"/>
                <w:lang w:eastAsia="sl-SI"/>
              </w:rPr>
              <w:br/>
              <w:t>– kmetijstvo, gozdarstvo, ribištvo (A) (%)</w:t>
            </w:r>
          </w:p>
        </w:tc>
        <w:tc>
          <w:tcPr>
            <w:tcW w:w="993" w:type="dxa"/>
            <w:tcBorders>
              <w:top w:val="nil"/>
              <w:left w:val="nil"/>
              <w:bottom w:val="single" w:sz="4" w:space="0" w:color="auto"/>
              <w:right w:val="single" w:sz="4" w:space="0" w:color="auto"/>
            </w:tcBorders>
            <w:shd w:val="clear" w:color="auto" w:fill="auto"/>
            <w:vAlign w:val="center"/>
            <w:hideMark/>
          </w:tcPr>
          <w:p w14:paraId="1F9B9C44"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2,3</w:t>
            </w:r>
          </w:p>
        </w:tc>
        <w:tc>
          <w:tcPr>
            <w:tcW w:w="1134" w:type="dxa"/>
            <w:tcBorders>
              <w:top w:val="nil"/>
              <w:left w:val="nil"/>
              <w:bottom w:val="single" w:sz="4" w:space="0" w:color="auto"/>
              <w:right w:val="single" w:sz="4" w:space="0" w:color="auto"/>
            </w:tcBorders>
            <w:shd w:val="clear" w:color="auto" w:fill="auto"/>
            <w:vAlign w:val="center"/>
            <w:hideMark/>
          </w:tcPr>
          <w:p w14:paraId="2FC69BF2"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2,4</w:t>
            </w:r>
          </w:p>
        </w:tc>
        <w:tc>
          <w:tcPr>
            <w:tcW w:w="850" w:type="dxa"/>
            <w:tcBorders>
              <w:top w:val="nil"/>
              <w:left w:val="nil"/>
              <w:bottom w:val="single" w:sz="4" w:space="0" w:color="auto"/>
              <w:right w:val="single" w:sz="4" w:space="0" w:color="auto"/>
            </w:tcBorders>
            <w:shd w:val="clear" w:color="auto" w:fill="auto"/>
            <w:vAlign w:val="center"/>
            <w:hideMark/>
          </w:tcPr>
          <w:p w14:paraId="71595213"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2,3</w:t>
            </w:r>
          </w:p>
        </w:tc>
        <w:tc>
          <w:tcPr>
            <w:tcW w:w="992" w:type="dxa"/>
            <w:tcBorders>
              <w:top w:val="nil"/>
              <w:left w:val="nil"/>
              <w:bottom w:val="single" w:sz="4" w:space="0" w:color="auto"/>
              <w:right w:val="single" w:sz="4" w:space="0" w:color="auto"/>
            </w:tcBorders>
            <w:shd w:val="clear" w:color="auto" w:fill="auto"/>
            <w:vAlign w:val="center"/>
            <w:hideMark/>
          </w:tcPr>
          <w:p w14:paraId="0AAEA7D4"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2,1</w:t>
            </w:r>
          </w:p>
        </w:tc>
        <w:tc>
          <w:tcPr>
            <w:tcW w:w="993" w:type="dxa"/>
            <w:tcBorders>
              <w:top w:val="nil"/>
              <w:left w:val="nil"/>
              <w:bottom w:val="single" w:sz="4" w:space="0" w:color="auto"/>
              <w:right w:val="single" w:sz="4" w:space="0" w:color="auto"/>
            </w:tcBorders>
            <w:shd w:val="clear" w:color="auto" w:fill="auto"/>
            <w:vAlign w:val="center"/>
            <w:hideMark/>
          </w:tcPr>
          <w:p w14:paraId="69692C7B"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2,4</w:t>
            </w:r>
          </w:p>
        </w:tc>
        <w:tc>
          <w:tcPr>
            <w:tcW w:w="1134" w:type="dxa"/>
            <w:tcBorders>
              <w:top w:val="nil"/>
              <w:left w:val="nil"/>
              <w:bottom w:val="single" w:sz="4" w:space="0" w:color="auto"/>
              <w:right w:val="single" w:sz="4" w:space="0" w:color="auto"/>
            </w:tcBorders>
            <w:shd w:val="clear" w:color="auto" w:fill="auto"/>
            <w:vAlign w:val="center"/>
            <w:hideMark/>
          </w:tcPr>
          <w:p w14:paraId="02DC5AEE"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2,3</w:t>
            </w:r>
          </w:p>
        </w:tc>
      </w:tr>
      <w:tr w:rsidR="006C63D5" w:rsidRPr="00F44FA4" w14:paraId="0437B2AE" w14:textId="77777777" w:rsidTr="00F44FA4">
        <w:trPr>
          <w:trHeight w:val="300"/>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3D94F565" w14:textId="77777777" w:rsidR="006C63D5" w:rsidRPr="00F44FA4" w:rsidRDefault="006C63D5" w:rsidP="00D454A7">
            <w:pPr>
              <w:keepNext/>
              <w:keepLines/>
              <w:rPr>
                <w:rFonts w:cs="Arial"/>
                <w:color w:val="000000"/>
                <w:szCs w:val="20"/>
                <w:lang w:eastAsia="sl-SI"/>
              </w:rPr>
            </w:pPr>
            <w:r w:rsidRPr="00F44FA4">
              <w:rPr>
                <w:rFonts w:cs="Arial"/>
                <w:color w:val="000000"/>
                <w:szCs w:val="20"/>
                <w:lang w:eastAsia="sl-SI"/>
              </w:rPr>
              <w:t>– industrija (B, C, D, E) (%)</w:t>
            </w:r>
          </w:p>
        </w:tc>
        <w:tc>
          <w:tcPr>
            <w:tcW w:w="993" w:type="dxa"/>
            <w:tcBorders>
              <w:top w:val="nil"/>
              <w:left w:val="nil"/>
              <w:bottom w:val="single" w:sz="4" w:space="0" w:color="auto"/>
              <w:right w:val="single" w:sz="4" w:space="0" w:color="auto"/>
            </w:tcBorders>
            <w:shd w:val="clear" w:color="auto" w:fill="auto"/>
            <w:vAlign w:val="center"/>
            <w:hideMark/>
          </w:tcPr>
          <w:p w14:paraId="169705DA"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26,9</w:t>
            </w:r>
          </w:p>
        </w:tc>
        <w:tc>
          <w:tcPr>
            <w:tcW w:w="1134" w:type="dxa"/>
            <w:tcBorders>
              <w:top w:val="nil"/>
              <w:left w:val="nil"/>
              <w:bottom w:val="single" w:sz="4" w:space="0" w:color="auto"/>
              <w:right w:val="single" w:sz="4" w:space="0" w:color="auto"/>
            </w:tcBorders>
            <w:shd w:val="clear" w:color="auto" w:fill="auto"/>
            <w:vAlign w:val="center"/>
            <w:hideMark/>
          </w:tcPr>
          <w:p w14:paraId="3AC82DB9"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27</w:t>
            </w:r>
          </w:p>
        </w:tc>
        <w:tc>
          <w:tcPr>
            <w:tcW w:w="850" w:type="dxa"/>
            <w:tcBorders>
              <w:top w:val="nil"/>
              <w:left w:val="nil"/>
              <w:bottom w:val="single" w:sz="4" w:space="0" w:color="auto"/>
              <w:right w:val="single" w:sz="4" w:space="0" w:color="auto"/>
            </w:tcBorders>
            <w:shd w:val="clear" w:color="auto" w:fill="auto"/>
            <w:vAlign w:val="center"/>
            <w:hideMark/>
          </w:tcPr>
          <w:p w14:paraId="2C8EEE85"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27,1</w:t>
            </w:r>
          </w:p>
        </w:tc>
        <w:tc>
          <w:tcPr>
            <w:tcW w:w="992" w:type="dxa"/>
            <w:tcBorders>
              <w:top w:val="nil"/>
              <w:left w:val="nil"/>
              <w:bottom w:val="single" w:sz="4" w:space="0" w:color="auto"/>
              <w:right w:val="single" w:sz="4" w:space="0" w:color="auto"/>
            </w:tcBorders>
            <w:shd w:val="clear" w:color="auto" w:fill="auto"/>
            <w:vAlign w:val="center"/>
            <w:hideMark/>
          </w:tcPr>
          <w:p w14:paraId="026135C4"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27,3</w:t>
            </w:r>
          </w:p>
        </w:tc>
        <w:tc>
          <w:tcPr>
            <w:tcW w:w="993" w:type="dxa"/>
            <w:tcBorders>
              <w:top w:val="nil"/>
              <w:left w:val="nil"/>
              <w:bottom w:val="single" w:sz="4" w:space="0" w:color="auto"/>
              <w:right w:val="single" w:sz="4" w:space="0" w:color="auto"/>
            </w:tcBorders>
            <w:shd w:val="clear" w:color="auto" w:fill="auto"/>
            <w:vAlign w:val="center"/>
            <w:hideMark/>
          </w:tcPr>
          <w:p w14:paraId="665864B0"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26,9</w:t>
            </w:r>
          </w:p>
        </w:tc>
        <w:tc>
          <w:tcPr>
            <w:tcW w:w="1134" w:type="dxa"/>
            <w:tcBorders>
              <w:top w:val="nil"/>
              <w:left w:val="nil"/>
              <w:bottom w:val="single" w:sz="4" w:space="0" w:color="auto"/>
              <w:right w:val="single" w:sz="4" w:space="0" w:color="auto"/>
            </w:tcBorders>
            <w:shd w:val="clear" w:color="auto" w:fill="auto"/>
            <w:vAlign w:val="center"/>
            <w:hideMark/>
          </w:tcPr>
          <w:p w14:paraId="681B8E87"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26,7</w:t>
            </w:r>
          </w:p>
        </w:tc>
      </w:tr>
      <w:tr w:rsidR="006C63D5" w:rsidRPr="00F44FA4" w14:paraId="398B4788" w14:textId="77777777" w:rsidTr="00F44FA4">
        <w:trPr>
          <w:trHeight w:val="300"/>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67CE6452" w14:textId="77777777" w:rsidR="006C63D5" w:rsidRPr="00F44FA4" w:rsidRDefault="006C63D5" w:rsidP="00D454A7">
            <w:pPr>
              <w:keepNext/>
              <w:keepLines/>
              <w:rPr>
                <w:rFonts w:cs="Arial"/>
                <w:color w:val="000000"/>
                <w:szCs w:val="20"/>
                <w:lang w:eastAsia="sl-SI"/>
              </w:rPr>
            </w:pPr>
            <w:r w:rsidRPr="00F44FA4">
              <w:rPr>
                <w:rFonts w:cs="Arial"/>
                <w:color w:val="000000"/>
                <w:szCs w:val="20"/>
                <w:lang w:eastAsia="sl-SI"/>
              </w:rPr>
              <w:t>– gradbeništvo (F) (%)</w:t>
            </w:r>
          </w:p>
        </w:tc>
        <w:tc>
          <w:tcPr>
            <w:tcW w:w="993" w:type="dxa"/>
            <w:tcBorders>
              <w:top w:val="nil"/>
              <w:left w:val="nil"/>
              <w:bottom w:val="single" w:sz="4" w:space="0" w:color="auto"/>
              <w:right w:val="single" w:sz="4" w:space="0" w:color="auto"/>
            </w:tcBorders>
            <w:shd w:val="clear" w:color="auto" w:fill="auto"/>
            <w:vAlign w:val="center"/>
            <w:hideMark/>
          </w:tcPr>
          <w:p w14:paraId="73EB96F2"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5,7</w:t>
            </w:r>
          </w:p>
        </w:tc>
        <w:tc>
          <w:tcPr>
            <w:tcW w:w="1134" w:type="dxa"/>
            <w:tcBorders>
              <w:top w:val="nil"/>
              <w:left w:val="nil"/>
              <w:bottom w:val="single" w:sz="4" w:space="0" w:color="auto"/>
              <w:right w:val="single" w:sz="4" w:space="0" w:color="auto"/>
            </w:tcBorders>
            <w:shd w:val="clear" w:color="auto" w:fill="auto"/>
            <w:vAlign w:val="center"/>
            <w:hideMark/>
          </w:tcPr>
          <w:p w14:paraId="300AB71A"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5,4</w:t>
            </w:r>
          </w:p>
        </w:tc>
        <w:tc>
          <w:tcPr>
            <w:tcW w:w="850" w:type="dxa"/>
            <w:tcBorders>
              <w:top w:val="nil"/>
              <w:left w:val="nil"/>
              <w:bottom w:val="single" w:sz="4" w:space="0" w:color="auto"/>
              <w:right w:val="single" w:sz="4" w:space="0" w:color="auto"/>
            </w:tcBorders>
            <w:shd w:val="clear" w:color="auto" w:fill="auto"/>
            <w:vAlign w:val="center"/>
            <w:hideMark/>
          </w:tcPr>
          <w:p w14:paraId="261F3D95"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5,2</w:t>
            </w:r>
          </w:p>
        </w:tc>
        <w:tc>
          <w:tcPr>
            <w:tcW w:w="992" w:type="dxa"/>
            <w:tcBorders>
              <w:top w:val="nil"/>
              <w:left w:val="nil"/>
              <w:bottom w:val="single" w:sz="4" w:space="0" w:color="auto"/>
              <w:right w:val="single" w:sz="4" w:space="0" w:color="auto"/>
            </w:tcBorders>
            <w:shd w:val="clear" w:color="auto" w:fill="auto"/>
            <w:vAlign w:val="center"/>
            <w:hideMark/>
          </w:tcPr>
          <w:p w14:paraId="178A4E81"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5,4</w:t>
            </w:r>
          </w:p>
        </w:tc>
        <w:tc>
          <w:tcPr>
            <w:tcW w:w="993" w:type="dxa"/>
            <w:tcBorders>
              <w:top w:val="nil"/>
              <w:left w:val="nil"/>
              <w:bottom w:val="single" w:sz="4" w:space="0" w:color="auto"/>
              <w:right w:val="single" w:sz="4" w:space="0" w:color="auto"/>
            </w:tcBorders>
            <w:shd w:val="clear" w:color="auto" w:fill="auto"/>
            <w:vAlign w:val="center"/>
            <w:hideMark/>
          </w:tcPr>
          <w:p w14:paraId="2FF26861"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5,7</w:t>
            </w:r>
          </w:p>
        </w:tc>
        <w:tc>
          <w:tcPr>
            <w:tcW w:w="1134" w:type="dxa"/>
            <w:tcBorders>
              <w:top w:val="nil"/>
              <w:left w:val="nil"/>
              <w:bottom w:val="single" w:sz="4" w:space="0" w:color="auto"/>
              <w:right w:val="single" w:sz="4" w:space="0" w:color="auto"/>
            </w:tcBorders>
            <w:shd w:val="clear" w:color="auto" w:fill="auto"/>
            <w:vAlign w:val="center"/>
            <w:hideMark/>
          </w:tcPr>
          <w:p w14:paraId="019B2FF4"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5,8</w:t>
            </w:r>
          </w:p>
        </w:tc>
      </w:tr>
      <w:tr w:rsidR="006C63D5" w:rsidRPr="00F44FA4" w14:paraId="4DD149BC" w14:textId="77777777" w:rsidTr="00F44FA4">
        <w:trPr>
          <w:trHeight w:val="300"/>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2F440679" w14:textId="77777777" w:rsidR="006C63D5" w:rsidRPr="00F44FA4" w:rsidRDefault="006C63D5" w:rsidP="00D454A7">
            <w:pPr>
              <w:keepNext/>
              <w:keepLines/>
              <w:rPr>
                <w:rFonts w:cs="Arial"/>
                <w:color w:val="000000"/>
                <w:szCs w:val="20"/>
                <w:lang w:eastAsia="sl-SI"/>
              </w:rPr>
            </w:pPr>
            <w:r w:rsidRPr="00F44FA4">
              <w:rPr>
                <w:rFonts w:cs="Arial"/>
                <w:color w:val="000000"/>
                <w:szCs w:val="20"/>
                <w:lang w:eastAsia="sl-SI"/>
              </w:rPr>
              <w:t>– storitve (G do U) (%)</w:t>
            </w:r>
          </w:p>
        </w:tc>
        <w:tc>
          <w:tcPr>
            <w:tcW w:w="993" w:type="dxa"/>
            <w:tcBorders>
              <w:top w:val="nil"/>
              <w:left w:val="nil"/>
              <w:bottom w:val="single" w:sz="4" w:space="0" w:color="auto"/>
              <w:right w:val="single" w:sz="4" w:space="0" w:color="auto"/>
            </w:tcBorders>
            <w:shd w:val="clear" w:color="auto" w:fill="auto"/>
            <w:vAlign w:val="center"/>
            <w:hideMark/>
          </w:tcPr>
          <w:p w14:paraId="5FB91BA2"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65,1</w:t>
            </w:r>
          </w:p>
        </w:tc>
        <w:tc>
          <w:tcPr>
            <w:tcW w:w="1134" w:type="dxa"/>
            <w:tcBorders>
              <w:top w:val="nil"/>
              <w:left w:val="nil"/>
              <w:bottom w:val="single" w:sz="4" w:space="0" w:color="auto"/>
              <w:right w:val="single" w:sz="4" w:space="0" w:color="auto"/>
            </w:tcBorders>
            <w:shd w:val="clear" w:color="auto" w:fill="auto"/>
            <w:vAlign w:val="center"/>
            <w:hideMark/>
          </w:tcPr>
          <w:p w14:paraId="5B660139"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65,2</w:t>
            </w:r>
          </w:p>
        </w:tc>
        <w:tc>
          <w:tcPr>
            <w:tcW w:w="850" w:type="dxa"/>
            <w:tcBorders>
              <w:top w:val="nil"/>
              <w:left w:val="nil"/>
              <w:bottom w:val="single" w:sz="4" w:space="0" w:color="auto"/>
              <w:right w:val="single" w:sz="4" w:space="0" w:color="auto"/>
            </w:tcBorders>
            <w:shd w:val="clear" w:color="auto" w:fill="auto"/>
            <w:vAlign w:val="center"/>
            <w:hideMark/>
          </w:tcPr>
          <w:p w14:paraId="7349CCB5"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65,4</w:t>
            </w:r>
          </w:p>
        </w:tc>
        <w:tc>
          <w:tcPr>
            <w:tcW w:w="992" w:type="dxa"/>
            <w:tcBorders>
              <w:top w:val="nil"/>
              <w:left w:val="nil"/>
              <w:bottom w:val="single" w:sz="4" w:space="0" w:color="auto"/>
              <w:right w:val="single" w:sz="4" w:space="0" w:color="auto"/>
            </w:tcBorders>
            <w:shd w:val="clear" w:color="auto" w:fill="auto"/>
            <w:vAlign w:val="center"/>
            <w:hideMark/>
          </w:tcPr>
          <w:p w14:paraId="713F3642"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65,2</w:t>
            </w:r>
          </w:p>
        </w:tc>
        <w:tc>
          <w:tcPr>
            <w:tcW w:w="993" w:type="dxa"/>
            <w:tcBorders>
              <w:top w:val="nil"/>
              <w:left w:val="nil"/>
              <w:bottom w:val="single" w:sz="4" w:space="0" w:color="auto"/>
              <w:right w:val="single" w:sz="4" w:space="0" w:color="auto"/>
            </w:tcBorders>
            <w:shd w:val="clear" w:color="auto" w:fill="auto"/>
            <w:vAlign w:val="center"/>
            <w:hideMark/>
          </w:tcPr>
          <w:p w14:paraId="21118195"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64,9</w:t>
            </w:r>
          </w:p>
        </w:tc>
        <w:tc>
          <w:tcPr>
            <w:tcW w:w="1134" w:type="dxa"/>
            <w:tcBorders>
              <w:top w:val="nil"/>
              <w:left w:val="nil"/>
              <w:bottom w:val="single" w:sz="4" w:space="0" w:color="auto"/>
              <w:right w:val="single" w:sz="4" w:space="0" w:color="auto"/>
            </w:tcBorders>
            <w:shd w:val="clear" w:color="auto" w:fill="auto"/>
            <w:vAlign w:val="center"/>
            <w:hideMark/>
          </w:tcPr>
          <w:p w14:paraId="37A4F17E"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65,2</w:t>
            </w:r>
          </w:p>
        </w:tc>
      </w:tr>
      <w:tr w:rsidR="006C63D5" w:rsidRPr="00F44FA4" w14:paraId="22F45E22" w14:textId="77777777" w:rsidTr="00F44FA4">
        <w:trPr>
          <w:trHeight w:val="300"/>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71069EC4" w14:textId="77777777" w:rsidR="006C63D5" w:rsidRPr="00F44FA4" w:rsidRDefault="006C63D5" w:rsidP="00D454A7">
            <w:pPr>
              <w:keepNext/>
              <w:keepLines/>
              <w:rPr>
                <w:rFonts w:cs="Arial"/>
                <w:color w:val="000000"/>
                <w:szCs w:val="20"/>
                <w:lang w:eastAsia="sl-SI"/>
              </w:rPr>
            </w:pPr>
            <w:r w:rsidRPr="00F44FA4">
              <w:rPr>
                <w:rFonts w:cs="Arial"/>
                <w:color w:val="000000"/>
                <w:szCs w:val="20"/>
                <w:lang w:eastAsia="sl-SI"/>
              </w:rPr>
              <w:t>Zaposlenost (000)</w:t>
            </w:r>
          </w:p>
        </w:tc>
        <w:tc>
          <w:tcPr>
            <w:tcW w:w="993" w:type="dxa"/>
            <w:tcBorders>
              <w:top w:val="nil"/>
              <w:left w:val="nil"/>
              <w:bottom w:val="single" w:sz="4" w:space="0" w:color="auto"/>
              <w:right w:val="single" w:sz="4" w:space="0" w:color="auto"/>
            </w:tcBorders>
            <w:shd w:val="clear" w:color="auto" w:fill="auto"/>
            <w:vAlign w:val="center"/>
            <w:hideMark/>
          </w:tcPr>
          <w:p w14:paraId="2605AD81"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932</w:t>
            </w:r>
          </w:p>
        </w:tc>
        <w:tc>
          <w:tcPr>
            <w:tcW w:w="1134" w:type="dxa"/>
            <w:tcBorders>
              <w:top w:val="nil"/>
              <w:left w:val="nil"/>
              <w:bottom w:val="single" w:sz="4" w:space="0" w:color="auto"/>
              <w:right w:val="single" w:sz="4" w:space="0" w:color="auto"/>
            </w:tcBorders>
            <w:shd w:val="clear" w:color="auto" w:fill="auto"/>
            <w:vAlign w:val="center"/>
            <w:hideMark/>
          </w:tcPr>
          <w:p w14:paraId="42DE01B5"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944</w:t>
            </w:r>
          </w:p>
        </w:tc>
        <w:tc>
          <w:tcPr>
            <w:tcW w:w="850" w:type="dxa"/>
            <w:tcBorders>
              <w:top w:val="nil"/>
              <w:left w:val="nil"/>
              <w:bottom w:val="single" w:sz="4" w:space="0" w:color="auto"/>
              <w:right w:val="single" w:sz="4" w:space="0" w:color="auto"/>
            </w:tcBorders>
            <w:shd w:val="clear" w:color="auto" w:fill="auto"/>
            <w:vAlign w:val="center"/>
            <w:hideMark/>
          </w:tcPr>
          <w:p w14:paraId="59F46068"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961</w:t>
            </w:r>
          </w:p>
        </w:tc>
        <w:tc>
          <w:tcPr>
            <w:tcW w:w="992" w:type="dxa"/>
            <w:tcBorders>
              <w:top w:val="nil"/>
              <w:left w:val="nil"/>
              <w:bottom w:val="single" w:sz="4" w:space="0" w:color="auto"/>
              <w:right w:val="single" w:sz="4" w:space="0" w:color="auto"/>
            </w:tcBorders>
            <w:shd w:val="clear" w:color="auto" w:fill="auto"/>
            <w:vAlign w:val="center"/>
            <w:hideMark/>
          </w:tcPr>
          <w:p w14:paraId="0F2365F4"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989</w:t>
            </w:r>
          </w:p>
        </w:tc>
        <w:tc>
          <w:tcPr>
            <w:tcW w:w="993" w:type="dxa"/>
            <w:tcBorders>
              <w:top w:val="nil"/>
              <w:left w:val="nil"/>
              <w:bottom w:val="single" w:sz="4" w:space="0" w:color="auto"/>
              <w:right w:val="single" w:sz="4" w:space="0" w:color="auto"/>
            </w:tcBorders>
            <w:shd w:val="clear" w:color="auto" w:fill="auto"/>
            <w:vAlign w:val="center"/>
            <w:hideMark/>
          </w:tcPr>
          <w:p w14:paraId="5C0AF1E5"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1.021</w:t>
            </w:r>
          </w:p>
        </w:tc>
        <w:tc>
          <w:tcPr>
            <w:tcW w:w="1134" w:type="dxa"/>
            <w:tcBorders>
              <w:top w:val="nil"/>
              <w:left w:val="nil"/>
              <w:bottom w:val="single" w:sz="4" w:space="0" w:color="auto"/>
              <w:right w:val="single" w:sz="4" w:space="0" w:color="auto"/>
            </w:tcBorders>
            <w:shd w:val="clear" w:color="auto" w:fill="auto"/>
            <w:vAlign w:val="center"/>
            <w:hideMark/>
          </w:tcPr>
          <w:p w14:paraId="2AEEB722"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1.045</w:t>
            </w:r>
          </w:p>
        </w:tc>
      </w:tr>
      <w:tr w:rsidR="006C63D5" w:rsidRPr="00F44FA4" w14:paraId="69FD5AE0" w14:textId="77777777" w:rsidTr="00F44FA4">
        <w:trPr>
          <w:trHeight w:val="300"/>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13CBFC78" w14:textId="77777777" w:rsidR="006C63D5" w:rsidRPr="00F44FA4" w:rsidRDefault="006C63D5" w:rsidP="00D454A7">
            <w:pPr>
              <w:keepNext/>
              <w:keepLines/>
              <w:rPr>
                <w:rFonts w:cs="Arial"/>
                <w:color w:val="000000"/>
                <w:szCs w:val="20"/>
                <w:lang w:eastAsia="sl-SI"/>
              </w:rPr>
            </w:pPr>
            <w:r w:rsidRPr="00F44FA4">
              <w:rPr>
                <w:rFonts w:cs="Arial"/>
                <w:color w:val="000000"/>
                <w:szCs w:val="20"/>
                <w:lang w:eastAsia="sl-SI"/>
              </w:rPr>
              <w:t>BDP na prebivalca (EUR)</w:t>
            </w:r>
          </w:p>
        </w:tc>
        <w:tc>
          <w:tcPr>
            <w:tcW w:w="993" w:type="dxa"/>
            <w:tcBorders>
              <w:top w:val="nil"/>
              <w:left w:val="nil"/>
              <w:bottom w:val="single" w:sz="4" w:space="0" w:color="auto"/>
              <w:right w:val="single" w:sz="4" w:space="0" w:color="auto"/>
            </w:tcBorders>
            <w:shd w:val="clear" w:color="auto" w:fill="auto"/>
            <w:vAlign w:val="center"/>
            <w:hideMark/>
          </w:tcPr>
          <w:p w14:paraId="13A15154"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18.253</w:t>
            </w:r>
          </w:p>
        </w:tc>
        <w:tc>
          <w:tcPr>
            <w:tcW w:w="1134" w:type="dxa"/>
            <w:tcBorders>
              <w:top w:val="nil"/>
              <w:left w:val="nil"/>
              <w:bottom w:val="single" w:sz="4" w:space="0" w:color="auto"/>
              <w:right w:val="single" w:sz="4" w:space="0" w:color="auto"/>
            </w:tcBorders>
            <w:shd w:val="clear" w:color="auto" w:fill="auto"/>
            <w:vAlign w:val="center"/>
            <w:hideMark/>
          </w:tcPr>
          <w:p w14:paraId="2EB9ACCD"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18.830</w:t>
            </w:r>
          </w:p>
        </w:tc>
        <w:tc>
          <w:tcPr>
            <w:tcW w:w="850" w:type="dxa"/>
            <w:tcBorders>
              <w:top w:val="nil"/>
              <w:left w:val="nil"/>
              <w:bottom w:val="single" w:sz="4" w:space="0" w:color="auto"/>
              <w:right w:val="single" w:sz="4" w:space="0" w:color="auto"/>
            </w:tcBorders>
            <w:shd w:val="clear" w:color="auto" w:fill="auto"/>
            <w:vAlign w:val="center"/>
            <w:hideMark/>
          </w:tcPr>
          <w:p w14:paraId="24271189"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19.551</w:t>
            </w:r>
          </w:p>
        </w:tc>
        <w:tc>
          <w:tcPr>
            <w:tcW w:w="992" w:type="dxa"/>
            <w:tcBorders>
              <w:top w:val="nil"/>
              <w:left w:val="nil"/>
              <w:bottom w:val="single" w:sz="4" w:space="0" w:color="auto"/>
              <w:right w:val="single" w:sz="4" w:space="0" w:color="auto"/>
            </w:tcBorders>
            <w:shd w:val="clear" w:color="auto" w:fill="auto"/>
            <w:vAlign w:val="center"/>
            <w:hideMark/>
          </w:tcPr>
          <w:p w14:paraId="09D87F2D"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20.809</w:t>
            </w:r>
          </w:p>
        </w:tc>
        <w:tc>
          <w:tcPr>
            <w:tcW w:w="993" w:type="dxa"/>
            <w:tcBorders>
              <w:top w:val="nil"/>
              <w:left w:val="nil"/>
              <w:bottom w:val="single" w:sz="4" w:space="0" w:color="auto"/>
              <w:right w:val="single" w:sz="4" w:space="0" w:color="auto"/>
            </w:tcBorders>
            <w:shd w:val="clear" w:color="auto" w:fill="auto"/>
            <w:vAlign w:val="center"/>
            <w:hideMark/>
          </w:tcPr>
          <w:p w14:paraId="5193A2FC"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22.083</w:t>
            </w:r>
          </w:p>
        </w:tc>
        <w:tc>
          <w:tcPr>
            <w:tcW w:w="1134" w:type="dxa"/>
            <w:tcBorders>
              <w:top w:val="nil"/>
              <w:left w:val="nil"/>
              <w:bottom w:val="single" w:sz="4" w:space="0" w:color="auto"/>
              <w:right w:val="single" w:sz="4" w:space="0" w:color="auto"/>
            </w:tcBorders>
            <w:shd w:val="clear" w:color="auto" w:fill="auto"/>
            <w:vAlign w:val="center"/>
            <w:hideMark/>
          </w:tcPr>
          <w:p w14:paraId="27E07BE2"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22.983</w:t>
            </w:r>
          </w:p>
        </w:tc>
      </w:tr>
      <w:tr w:rsidR="006C63D5" w:rsidRPr="00F44FA4" w14:paraId="1238F4F3" w14:textId="77777777" w:rsidTr="00F44FA4">
        <w:trPr>
          <w:trHeight w:val="384"/>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3794320C" w14:textId="77777777" w:rsidR="006C63D5" w:rsidRPr="00F44FA4" w:rsidRDefault="006C63D5" w:rsidP="00D454A7">
            <w:pPr>
              <w:keepNext/>
              <w:keepLines/>
              <w:rPr>
                <w:rFonts w:cs="Arial"/>
                <w:color w:val="000000"/>
                <w:szCs w:val="20"/>
                <w:lang w:eastAsia="sl-SI"/>
              </w:rPr>
            </w:pPr>
            <w:r w:rsidRPr="00F44FA4">
              <w:rPr>
                <w:rFonts w:cs="Arial"/>
                <w:color w:val="000000"/>
                <w:szCs w:val="20"/>
                <w:lang w:eastAsia="sl-SI"/>
              </w:rPr>
              <w:t>BDP na prebivalca po kupni moči (SKM; EUR)</w:t>
            </w:r>
          </w:p>
        </w:tc>
        <w:tc>
          <w:tcPr>
            <w:tcW w:w="993" w:type="dxa"/>
            <w:tcBorders>
              <w:top w:val="nil"/>
              <w:left w:val="nil"/>
              <w:bottom w:val="single" w:sz="4" w:space="0" w:color="auto"/>
              <w:right w:val="single" w:sz="4" w:space="0" w:color="auto"/>
            </w:tcBorders>
            <w:shd w:val="clear" w:color="auto" w:fill="auto"/>
            <w:vAlign w:val="center"/>
            <w:hideMark/>
          </w:tcPr>
          <w:p w14:paraId="4B50B4B3"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22.800</w:t>
            </w:r>
          </w:p>
        </w:tc>
        <w:tc>
          <w:tcPr>
            <w:tcW w:w="1134" w:type="dxa"/>
            <w:tcBorders>
              <w:top w:val="nil"/>
              <w:left w:val="nil"/>
              <w:bottom w:val="single" w:sz="4" w:space="0" w:color="auto"/>
              <w:right w:val="single" w:sz="4" w:space="0" w:color="auto"/>
            </w:tcBorders>
            <w:shd w:val="clear" w:color="auto" w:fill="auto"/>
            <w:vAlign w:val="center"/>
            <w:hideMark/>
          </w:tcPr>
          <w:p w14:paraId="723115A9"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23.800</w:t>
            </w:r>
          </w:p>
        </w:tc>
        <w:tc>
          <w:tcPr>
            <w:tcW w:w="850" w:type="dxa"/>
            <w:tcBorders>
              <w:top w:val="nil"/>
              <w:left w:val="nil"/>
              <w:bottom w:val="single" w:sz="4" w:space="0" w:color="auto"/>
              <w:right w:val="single" w:sz="4" w:space="0" w:color="auto"/>
            </w:tcBorders>
            <w:shd w:val="clear" w:color="auto" w:fill="auto"/>
            <w:vAlign w:val="center"/>
            <w:hideMark/>
          </w:tcPr>
          <w:p w14:paraId="6018DE0B"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24.200</w:t>
            </w:r>
          </w:p>
        </w:tc>
        <w:tc>
          <w:tcPr>
            <w:tcW w:w="992" w:type="dxa"/>
            <w:tcBorders>
              <w:top w:val="nil"/>
              <w:left w:val="nil"/>
              <w:bottom w:val="single" w:sz="4" w:space="0" w:color="auto"/>
              <w:right w:val="single" w:sz="4" w:space="0" w:color="auto"/>
            </w:tcBorders>
            <w:shd w:val="clear" w:color="auto" w:fill="auto"/>
            <w:vAlign w:val="center"/>
            <w:hideMark/>
          </w:tcPr>
          <w:p w14:paraId="350B2A55"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25.500</w:t>
            </w:r>
          </w:p>
        </w:tc>
        <w:tc>
          <w:tcPr>
            <w:tcW w:w="993" w:type="dxa"/>
            <w:tcBorders>
              <w:top w:val="nil"/>
              <w:left w:val="nil"/>
              <w:bottom w:val="single" w:sz="4" w:space="0" w:color="auto"/>
              <w:right w:val="single" w:sz="4" w:space="0" w:color="auto"/>
            </w:tcBorders>
            <w:shd w:val="clear" w:color="auto" w:fill="auto"/>
            <w:vAlign w:val="center"/>
            <w:hideMark/>
          </w:tcPr>
          <w:p w14:paraId="0863CCA8"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26.900</w:t>
            </w:r>
          </w:p>
        </w:tc>
        <w:tc>
          <w:tcPr>
            <w:tcW w:w="1134" w:type="dxa"/>
            <w:tcBorders>
              <w:top w:val="nil"/>
              <w:left w:val="nil"/>
              <w:bottom w:val="single" w:sz="4" w:space="0" w:color="auto"/>
              <w:right w:val="single" w:sz="4" w:space="0" w:color="auto"/>
            </w:tcBorders>
            <w:shd w:val="clear" w:color="auto" w:fill="auto"/>
            <w:vAlign w:val="center"/>
            <w:hideMark/>
          </w:tcPr>
          <w:p w14:paraId="77AF1155"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27.800</w:t>
            </w:r>
          </w:p>
        </w:tc>
      </w:tr>
      <w:tr w:rsidR="006C63D5" w:rsidRPr="00F44FA4" w14:paraId="108C2615" w14:textId="77777777" w:rsidTr="00F44FA4">
        <w:trPr>
          <w:trHeight w:val="364"/>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2E19C68D" w14:textId="77777777" w:rsidR="006C63D5" w:rsidRPr="00F44FA4" w:rsidRDefault="006C63D5" w:rsidP="00D454A7">
            <w:pPr>
              <w:keepNext/>
              <w:keepLines/>
              <w:rPr>
                <w:rFonts w:cs="Arial"/>
                <w:color w:val="000000"/>
                <w:szCs w:val="20"/>
                <w:lang w:eastAsia="sl-SI"/>
              </w:rPr>
            </w:pPr>
            <w:r w:rsidRPr="00F44FA4">
              <w:rPr>
                <w:rFonts w:cs="Arial"/>
                <w:color w:val="000000"/>
                <w:szCs w:val="20"/>
                <w:lang w:eastAsia="sl-SI"/>
              </w:rPr>
              <w:t>BDP na prebivalca po kupni moči (SKM EU–28 = 100; %)</w:t>
            </w:r>
          </w:p>
        </w:tc>
        <w:tc>
          <w:tcPr>
            <w:tcW w:w="993" w:type="dxa"/>
            <w:tcBorders>
              <w:top w:val="nil"/>
              <w:left w:val="nil"/>
              <w:bottom w:val="single" w:sz="4" w:space="0" w:color="auto"/>
              <w:right w:val="single" w:sz="4" w:space="0" w:color="auto"/>
            </w:tcBorders>
            <w:shd w:val="clear" w:color="auto" w:fill="auto"/>
            <w:vAlign w:val="center"/>
            <w:hideMark/>
          </w:tcPr>
          <w:p w14:paraId="2DE2D282"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82</w:t>
            </w:r>
          </w:p>
        </w:tc>
        <w:tc>
          <w:tcPr>
            <w:tcW w:w="1134" w:type="dxa"/>
            <w:tcBorders>
              <w:top w:val="nil"/>
              <w:left w:val="nil"/>
              <w:bottom w:val="single" w:sz="4" w:space="0" w:color="auto"/>
              <w:right w:val="single" w:sz="4" w:space="0" w:color="auto"/>
            </w:tcBorders>
            <w:shd w:val="clear" w:color="auto" w:fill="auto"/>
            <w:vAlign w:val="center"/>
            <w:hideMark/>
          </w:tcPr>
          <w:p w14:paraId="71B2A369"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82</w:t>
            </w:r>
          </w:p>
        </w:tc>
        <w:tc>
          <w:tcPr>
            <w:tcW w:w="850" w:type="dxa"/>
            <w:tcBorders>
              <w:top w:val="nil"/>
              <w:left w:val="nil"/>
              <w:bottom w:val="single" w:sz="4" w:space="0" w:color="auto"/>
              <w:right w:val="single" w:sz="4" w:space="0" w:color="auto"/>
            </w:tcBorders>
            <w:shd w:val="clear" w:color="auto" w:fill="auto"/>
            <w:vAlign w:val="center"/>
            <w:hideMark/>
          </w:tcPr>
          <w:p w14:paraId="6D33D958"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83</w:t>
            </w:r>
          </w:p>
        </w:tc>
        <w:tc>
          <w:tcPr>
            <w:tcW w:w="992" w:type="dxa"/>
            <w:tcBorders>
              <w:top w:val="nil"/>
              <w:left w:val="nil"/>
              <w:bottom w:val="single" w:sz="4" w:space="0" w:color="auto"/>
              <w:right w:val="single" w:sz="4" w:space="0" w:color="auto"/>
            </w:tcBorders>
            <w:shd w:val="clear" w:color="auto" w:fill="auto"/>
            <w:vAlign w:val="center"/>
            <w:hideMark/>
          </w:tcPr>
          <w:p w14:paraId="7925FBE0"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85</w:t>
            </w:r>
          </w:p>
        </w:tc>
        <w:tc>
          <w:tcPr>
            <w:tcW w:w="993" w:type="dxa"/>
            <w:tcBorders>
              <w:top w:val="nil"/>
              <w:left w:val="nil"/>
              <w:bottom w:val="single" w:sz="4" w:space="0" w:color="auto"/>
              <w:right w:val="single" w:sz="4" w:space="0" w:color="auto"/>
            </w:tcBorders>
            <w:shd w:val="clear" w:color="auto" w:fill="auto"/>
            <w:vAlign w:val="center"/>
            <w:hideMark/>
          </w:tcPr>
          <w:p w14:paraId="413CCAC5"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87</w:t>
            </w:r>
          </w:p>
        </w:tc>
        <w:tc>
          <w:tcPr>
            <w:tcW w:w="1134" w:type="dxa"/>
            <w:tcBorders>
              <w:top w:val="nil"/>
              <w:left w:val="nil"/>
              <w:bottom w:val="single" w:sz="4" w:space="0" w:color="auto"/>
              <w:right w:val="single" w:sz="4" w:space="0" w:color="auto"/>
            </w:tcBorders>
            <w:shd w:val="clear" w:color="auto" w:fill="auto"/>
            <w:vAlign w:val="center"/>
            <w:hideMark/>
          </w:tcPr>
          <w:p w14:paraId="543BADEC"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87</w:t>
            </w:r>
          </w:p>
        </w:tc>
      </w:tr>
      <w:tr w:rsidR="006C63D5" w:rsidRPr="00F44FA4" w14:paraId="645DD8D9" w14:textId="77777777" w:rsidTr="00F44FA4">
        <w:trPr>
          <w:trHeight w:val="538"/>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6B9DA3F5" w14:textId="77777777" w:rsidR="006C63D5" w:rsidRPr="00F44FA4" w:rsidRDefault="006C63D5" w:rsidP="00D454A7">
            <w:pPr>
              <w:keepNext/>
              <w:keepLines/>
              <w:rPr>
                <w:rFonts w:cs="Arial"/>
                <w:color w:val="000000"/>
                <w:szCs w:val="20"/>
                <w:lang w:eastAsia="sl-SI"/>
              </w:rPr>
            </w:pPr>
            <w:r w:rsidRPr="00F44FA4">
              <w:rPr>
                <w:rFonts w:cs="Arial"/>
                <w:color w:val="000000"/>
                <w:szCs w:val="20"/>
                <w:lang w:eastAsia="sl-SI"/>
              </w:rPr>
              <w:t>Delež izdatkov za hrano, pijačo in tobak v končni porabi gospodinjstev (%)</w:t>
            </w:r>
          </w:p>
        </w:tc>
        <w:tc>
          <w:tcPr>
            <w:tcW w:w="993" w:type="dxa"/>
            <w:tcBorders>
              <w:top w:val="nil"/>
              <w:left w:val="nil"/>
              <w:bottom w:val="single" w:sz="4" w:space="0" w:color="auto"/>
              <w:right w:val="single" w:sz="4" w:space="0" w:color="auto"/>
            </w:tcBorders>
            <w:shd w:val="clear" w:color="auto" w:fill="auto"/>
            <w:vAlign w:val="center"/>
            <w:hideMark/>
          </w:tcPr>
          <w:p w14:paraId="19A7CDEA"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20,4</w:t>
            </w:r>
          </w:p>
        </w:tc>
        <w:tc>
          <w:tcPr>
            <w:tcW w:w="1134" w:type="dxa"/>
            <w:tcBorders>
              <w:top w:val="nil"/>
              <w:left w:val="nil"/>
              <w:bottom w:val="single" w:sz="4" w:space="0" w:color="auto"/>
              <w:right w:val="single" w:sz="4" w:space="0" w:color="auto"/>
            </w:tcBorders>
            <w:shd w:val="clear" w:color="auto" w:fill="auto"/>
            <w:vAlign w:val="center"/>
            <w:hideMark/>
          </w:tcPr>
          <w:p w14:paraId="559350AA"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20,4</w:t>
            </w:r>
          </w:p>
        </w:tc>
        <w:tc>
          <w:tcPr>
            <w:tcW w:w="850" w:type="dxa"/>
            <w:tcBorders>
              <w:top w:val="nil"/>
              <w:left w:val="nil"/>
              <w:bottom w:val="single" w:sz="4" w:space="0" w:color="auto"/>
              <w:right w:val="single" w:sz="4" w:space="0" w:color="auto"/>
            </w:tcBorders>
            <w:shd w:val="clear" w:color="auto" w:fill="auto"/>
            <w:vAlign w:val="center"/>
            <w:hideMark/>
          </w:tcPr>
          <w:p w14:paraId="0F8A6E9D"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20</w:t>
            </w:r>
          </w:p>
        </w:tc>
        <w:tc>
          <w:tcPr>
            <w:tcW w:w="992" w:type="dxa"/>
            <w:tcBorders>
              <w:top w:val="nil"/>
              <w:left w:val="nil"/>
              <w:bottom w:val="single" w:sz="4" w:space="0" w:color="auto"/>
              <w:right w:val="single" w:sz="4" w:space="0" w:color="auto"/>
            </w:tcBorders>
            <w:shd w:val="clear" w:color="auto" w:fill="auto"/>
            <w:vAlign w:val="center"/>
            <w:hideMark/>
          </w:tcPr>
          <w:p w14:paraId="4CC2433E"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19,5</w:t>
            </w:r>
          </w:p>
        </w:tc>
        <w:tc>
          <w:tcPr>
            <w:tcW w:w="993" w:type="dxa"/>
            <w:tcBorders>
              <w:top w:val="nil"/>
              <w:left w:val="nil"/>
              <w:bottom w:val="single" w:sz="4" w:space="0" w:color="auto"/>
              <w:right w:val="single" w:sz="4" w:space="0" w:color="auto"/>
            </w:tcBorders>
            <w:shd w:val="clear" w:color="auto" w:fill="auto"/>
            <w:vAlign w:val="center"/>
            <w:hideMark/>
          </w:tcPr>
          <w:p w14:paraId="539A82EE"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18,8</w:t>
            </w:r>
          </w:p>
        </w:tc>
        <w:tc>
          <w:tcPr>
            <w:tcW w:w="1134" w:type="dxa"/>
            <w:tcBorders>
              <w:top w:val="nil"/>
              <w:left w:val="nil"/>
              <w:bottom w:val="single" w:sz="4" w:space="0" w:color="auto"/>
              <w:right w:val="single" w:sz="4" w:space="0" w:color="auto"/>
            </w:tcBorders>
            <w:shd w:val="clear" w:color="auto" w:fill="auto"/>
            <w:vAlign w:val="center"/>
            <w:hideMark/>
          </w:tcPr>
          <w:p w14:paraId="699DC365"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w:t>
            </w:r>
          </w:p>
        </w:tc>
      </w:tr>
      <w:tr w:rsidR="006C63D5" w:rsidRPr="00F44FA4" w14:paraId="02341FF9" w14:textId="77777777" w:rsidTr="00F44FA4">
        <w:trPr>
          <w:trHeight w:val="300"/>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7F54F0E4" w14:textId="77777777" w:rsidR="006C63D5" w:rsidRPr="00F44FA4" w:rsidRDefault="006C63D5" w:rsidP="00D454A7">
            <w:pPr>
              <w:keepNext/>
              <w:keepLines/>
              <w:rPr>
                <w:rFonts w:cs="Arial"/>
                <w:color w:val="000000"/>
                <w:szCs w:val="20"/>
                <w:lang w:eastAsia="sl-SI"/>
              </w:rPr>
            </w:pPr>
            <w:r w:rsidRPr="00F44FA4">
              <w:rPr>
                <w:rFonts w:cs="Arial"/>
                <w:color w:val="000000"/>
                <w:szCs w:val="20"/>
                <w:lang w:eastAsia="sl-SI"/>
              </w:rPr>
              <w:t>Brezposelnost po anketi (%)</w:t>
            </w:r>
          </w:p>
        </w:tc>
        <w:tc>
          <w:tcPr>
            <w:tcW w:w="993" w:type="dxa"/>
            <w:tcBorders>
              <w:top w:val="nil"/>
              <w:left w:val="nil"/>
              <w:bottom w:val="single" w:sz="4" w:space="0" w:color="auto"/>
              <w:right w:val="single" w:sz="4" w:space="0" w:color="auto"/>
            </w:tcBorders>
            <w:shd w:val="clear" w:color="auto" w:fill="auto"/>
            <w:vAlign w:val="center"/>
            <w:hideMark/>
          </w:tcPr>
          <w:p w14:paraId="78AA68E4"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9,7</w:t>
            </w:r>
          </w:p>
        </w:tc>
        <w:tc>
          <w:tcPr>
            <w:tcW w:w="1134" w:type="dxa"/>
            <w:tcBorders>
              <w:top w:val="nil"/>
              <w:left w:val="nil"/>
              <w:bottom w:val="single" w:sz="4" w:space="0" w:color="auto"/>
              <w:right w:val="single" w:sz="4" w:space="0" w:color="auto"/>
            </w:tcBorders>
            <w:shd w:val="clear" w:color="auto" w:fill="auto"/>
            <w:vAlign w:val="center"/>
            <w:hideMark/>
          </w:tcPr>
          <w:p w14:paraId="3C86DBA7"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9</w:t>
            </w:r>
          </w:p>
        </w:tc>
        <w:tc>
          <w:tcPr>
            <w:tcW w:w="850" w:type="dxa"/>
            <w:tcBorders>
              <w:top w:val="nil"/>
              <w:left w:val="nil"/>
              <w:bottom w:val="single" w:sz="4" w:space="0" w:color="auto"/>
              <w:right w:val="single" w:sz="4" w:space="0" w:color="auto"/>
            </w:tcBorders>
            <w:shd w:val="clear" w:color="auto" w:fill="auto"/>
            <w:vAlign w:val="center"/>
            <w:hideMark/>
          </w:tcPr>
          <w:p w14:paraId="1CA57401"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8</w:t>
            </w:r>
          </w:p>
        </w:tc>
        <w:tc>
          <w:tcPr>
            <w:tcW w:w="992" w:type="dxa"/>
            <w:tcBorders>
              <w:top w:val="nil"/>
              <w:left w:val="nil"/>
              <w:bottom w:val="single" w:sz="4" w:space="0" w:color="auto"/>
              <w:right w:val="single" w:sz="4" w:space="0" w:color="auto"/>
            </w:tcBorders>
            <w:shd w:val="clear" w:color="auto" w:fill="auto"/>
            <w:vAlign w:val="center"/>
            <w:hideMark/>
          </w:tcPr>
          <w:p w14:paraId="12601824"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6,6</w:t>
            </w:r>
          </w:p>
        </w:tc>
        <w:tc>
          <w:tcPr>
            <w:tcW w:w="993" w:type="dxa"/>
            <w:tcBorders>
              <w:top w:val="nil"/>
              <w:left w:val="nil"/>
              <w:bottom w:val="single" w:sz="4" w:space="0" w:color="auto"/>
              <w:right w:val="single" w:sz="4" w:space="0" w:color="auto"/>
            </w:tcBorders>
            <w:shd w:val="clear" w:color="auto" w:fill="auto"/>
            <w:vAlign w:val="center"/>
            <w:hideMark/>
          </w:tcPr>
          <w:p w14:paraId="0B8AE563"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5,1</w:t>
            </w:r>
          </w:p>
        </w:tc>
        <w:tc>
          <w:tcPr>
            <w:tcW w:w="1134" w:type="dxa"/>
            <w:tcBorders>
              <w:top w:val="nil"/>
              <w:left w:val="nil"/>
              <w:bottom w:val="single" w:sz="4" w:space="0" w:color="auto"/>
              <w:right w:val="single" w:sz="4" w:space="0" w:color="auto"/>
            </w:tcBorders>
            <w:shd w:val="clear" w:color="auto" w:fill="auto"/>
            <w:vAlign w:val="center"/>
            <w:hideMark/>
          </w:tcPr>
          <w:p w14:paraId="6A8EC54E"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4,5</w:t>
            </w:r>
          </w:p>
        </w:tc>
      </w:tr>
      <w:tr w:rsidR="006C63D5" w:rsidRPr="00F44FA4" w14:paraId="1DD7238C" w14:textId="77777777" w:rsidTr="00F44FA4">
        <w:trPr>
          <w:trHeight w:val="300"/>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24BB56BF" w14:textId="77777777" w:rsidR="006C63D5" w:rsidRPr="00F44FA4" w:rsidRDefault="006C63D5" w:rsidP="00D454A7">
            <w:pPr>
              <w:keepNext/>
              <w:keepLines/>
              <w:rPr>
                <w:rFonts w:cs="Arial"/>
                <w:color w:val="000000"/>
                <w:szCs w:val="20"/>
                <w:lang w:eastAsia="sl-SI"/>
              </w:rPr>
            </w:pPr>
            <w:r w:rsidRPr="00F44FA4">
              <w:rPr>
                <w:rFonts w:cs="Arial"/>
                <w:color w:val="000000"/>
                <w:szCs w:val="20"/>
                <w:lang w:eastAsia="sl-SI"/>
              </w:rPr>
              <w:t>Registrirana brezposelnost (%)</w:t>
            </w:r>
          </w:p>
        </w:tc>
        <w:tc>
          <w:tcPr>
            <w:tcW w:w="993" w:type="dxa"/>
            <w:tcBorders>
              <w:top w:val="nil"/>
              <w:left w:val="nil"/>
              <w:bottom w:val="single" w:sz="4" w:space="0" w:color="auto"/>
              <w:right w:val="single" w:sz="4" w:space="0" w:color="auto"/>
            </w:tcBorders>
            <w:shd w:val="clear" w:color="auto" w:fill="auto"/>
            <w:vAlign w:val="center"/>
            <w:hideMark/>
          </w:tcPr>
          <w:p w14:paraId="41FB9536"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13,1</w:t>
            </w:r>
          </w:p>
        </w:tc>
        <w:tc>
          <w:tcPr>
            <w:tcW w:w="1134" w:type="dxa"/>
            <w:tcBorders>
              <w:top w:val="nil"/>
              <w:left w:val="nil"/>
              <w:bottom w:val="single" w:sz="4" w:space="0" w:color="auto"/>
              <w:right w:val="single" w:sz="4" w:space="0" w:color="auto"/>
            </w:tcBorders>
            <w:shd w:val="clear" w:color="auto" w:fill="auto"/>
            <w:vAlign w:val="center"/>
            <w:hideMark/>
          </w:tcPr>
          <w:p w14:paraId="6B980F75"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12,3</w:t>
            </w:r>
          </w:p>
        </w:tc>
        <w:tc>
          <w:tcPr>
            <w:tcW w:w="850" w:type="dxa"/>
            <w:tcBorders>
              <w:top w:val="nil"/>
              <w:left w:val="nil"/>
              <w:bottom w:val="single" w:sz="4" w:space="0" w:color="auto"/>
              <w:right w:val="single" w:sz="4" w:space="0" w:color="auto"/>
            </w:tcBorders>
            <w:shd w:val="clear" w:color="auto" w:fill="auto"/>
            <w:vAlign w:val="center"/>
            <w:hideMark/>
          </w:tcPr>
          <w:p w14:paraId="4395E959"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11,2</w:t>
            </w:r>
          </w:p>
        </w:tc>
        <w:tc>
          <w:tcPr>
            <w:tcW w:w="992" w:type="dxa"/>
            <w:tcBorders>
              <w:top w:val="nil"/>
              <w:left w:val="nil"/>
              <w:bottom w:val="single" w:sz="4" w:space="0" w:color="auto"/>
              <w:right w:val="single" w:sz="4" w:space="0" w:color="auto"/>
            </w:tcBorders>
            <w:shd w:val="clear" w:color="auto" w:fill="auto"/>
            <w:vAlign w:val="center"/>
            <w:hideMark/>
          </w:tcPr>
          <w:p w14:paraId="6925E042"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9,5</w:t>
            </w:r>
          </w:p>
        </w:tc>
        <w:tc>
          <w:tcPr>
            <w:tcW w:w="993" w:type="dxa"/>
            <w:tcBorders>
              <w:top w:val="nil"/>
              <w:left w:val="nil"/>
              <w:bottom w:val="single" w:sz="4" w:space="0" w:color="auto"/>
              <w:right w:val="single" w:sz="4" w:space="0" w:color="auto"/>
            </w:tcBorders>
            <w:shd w:val="clear" w:color="auto" w:fill="auto"/>
            <w:vAlign w:val="center"/>
            <w:hideMark/>
          </w:tcPr>
          <w:p w14:paraId="6D193783"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8,3</w:t>
            </w:r>
          </w:p>
        </w:tc>
        <w:tc>
          <w:tcPr>
            <w:tcW w:w="1134" w:type="dxa"/>
            <w:tcBorders>
              <w:top w:val="nil"/>
              <w:left w:val="nil"/>
              <w:bottom w:val="single" w:sz="4" w:space="0" w:color="auto"/>
              <w:right w:val="single" w:sz="4" w:space="0" w:color="auto"/>
            </w:tcBorders>
            <w:shd w:val="clear" w:color="auto" w:fill="auto"/>
            <w:vAlign w:val="center"/>
            <w:hideMark/>
          </w:tcPr>
          <w:p w14:paraId="7B73A03C"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7,7</w:t>
            </w:r>
          </w:p>
        </w:tc>
      </w:tr>
      <w:tr w:rsidR="006C63D5" w:rsidRPr="00F44FA4" w14:paraId="778EBC62" w14:textId="77777777" w:rsidTr="00F44FA4">
        <w:trPr>
          <w:trHeight w:val="300"/>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617B6E2D" w14:textId="77777777" w:rsidR="006C63D5" w:rsidRPr="00F44FA4" w:rsidRDefault="006C63D5" w:rsidP="00D454A7">
            <w:pPr>
              <w:keepNext/>
              <w:keepLines/>
              <w:rPr>
                <w:rFonts w:cs="Arial"/>
                <w:color w:val="000000"/>
                <w:szCs w:val="20"/>
                <w:lang w:eastAsia="sl-SI"/>
              </w:rPr>
            </w:pPr>
            <w:r w:rsidRPr="00F44FA4">
              <w:rPr>
                <w:rFonts w:cs="Arial"/>
                <w:color w:val="000000"/>
                <w:szCs w:val="20"/>
                <w:lang w:eastAsia="sl-SI"/>
              </w:rPr>
              <w:t>Inflacija v povprečju leta (%)</w:t>
            </w:r>
          </w:p>
        </w:tc>
        <w:tc>
          <w:tcPr>
            <w:tcW w:w="993" w:type="dxa"/>
            <w:tcBorders>
              <w:top w:val="nil"/>
              <w:left w:val="nil"/>
              <w:bottom w:val="single" w:sz="4" w:space="0" w:color="auto"/>
              <w:right w:val="single" w:sz="4" w:space="0" w:color="auto"/>
            </w:tcBorders>
            <w:shd w:val="clear" w:color="auto" w:fill="auto"/>
            <w:vAlign w:val="center"/>
            <w:hideMark/>
          </w:tcPr>
          <w:p w14:paraId="573E96A7"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0,2</w:t>
            </w:r>
          </w:p>
        </w:tc>
        <w:tc>
          <w:tcPr>
            <w:tcW w:w="1134" w:type="dxa"/>
            <w:tcBorders>
              <w:top w:val="nil"/>
              <w:left w:val="nil"/>
              <w:bottom w:val="single" w:sz="4" w:space="0" w:color="auto"/>
              <w:right w:val="single" w:sz="4" w:space="0" w:color="auto"/>
            </w:tcBorders>
            <w:shd w:val="clear" w:color="auto" w:fill="auto"/>
            <w:vAlign w:val="center"/>
            <w:hideMark/>
          </w:tcPr>
          <w:p w14:paraId="17266A80"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–0,5</w:t>
            </w:r>
          </w:p>
        </w:tc>
        <w:tc>
          <w:tcPr>
            <w:tcW w:w="850" w:type="dxa"/>
            <w:tcBorders>
              <w:top w:val="nil"/>
              <w:left w:val="nil"/>
              <w:bottom w:val="single" w:sz="4" w:space="0" w:color="auto"/>
              <w:right w:val="single" w:sz="4" w:space="0" w:color="auto"/>
            </w:tcBorders>
            <w:shd w:val="clear" w:color="auto" w:fill="auto"/>
            <w:vAlign w:val="center"/>
            <w:hideMark/>
          </w:tcPr>
          <w:p w14:paraId="37D05E35"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–0,1</w:t>
            </w:r>
          </w:p>
        </w:tc>
        <w:tc>
          <w:tcPr>
            <w:tcW w:w="992" w:type="dxa"/>
            <w:tcBorders>
              <w:top w:val="nil"/>
              <w:left w:val="nil"/>
              <w:bottom w:val="single" w:sz="4" w:space="0" w:color="auto"/>
              <w:right w:val="single" w:sz="4" w:space="0" w:color="auto"/>
            </w:tcBorders>
            <w:shd w:val="clear" w:color="auto" w:fill="auto"/>
            <w:vAlign w:val="center"/>
            <w:hideMark/>
          </w:tcPr>
          <w:p w14:paraId="4FBAE973"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1,4</w:t>
            </w:r>
          </w:p>
        </w:tc>
        <w:tc>
          <w:tcPr>
            <w:tcW w:w="993" w:type="dxa"/>
            <w:tcBorders>
              <w:top w:val="nil"/>
              <w:left w:val="nil"/>
              <w:bottom w:val="single" w:sz="4" w:space="0" w:color="auto"/>
              <w:right w:val="single" w:sz="4" w:space="0" w:color="auto"/>
            </w:tcBorders>
            <w:shd w:val="clear" w:color="auto" w:fill="auto"/>
            <w:vAlign w:val="center"/>
            <w:hideMark/>
          </w:tcPr>
          <w:p w14:paraId="509AC495"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1,7</w:t>
            </w:r>
          </w:p>
        </w:tc>
        <w:tc>
          <w:tcPr>
            <w:tcW w:w="1134" w:type="dxa"/>
            <w:tcBorders>
              <w:top w:val="nil"/>
              <w:left w:val="nil"/>
              <w:bottom w:val="single" w:sz="4" w:space="0" w:color="auto"/>
              <w:right w:val="single" w:sz="4" w:space="0" w:color="auto"/>
            </w:tcBorders>
            <w:shd w:val="clear" w:color="auto" w:fill="auto"/>
            <w:vAlign w:val="center"/>
            <w:hideMark/>
          </w:tcPr>
          <w:p w14:paraId="5C745FDE"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1,6</w:t>
            </w:r>
          </w:p>
        </w:tc>
      </w:tr>
    </w:tbl>
    <w:p w14:paraId="39DDFBA8" w14:textId="5218E17B" w:rsidR="006C63D5" w:rsidRPr="00924B38" w:rsidRDefault="00924B38" w:rsidP="00D454A7">
      <w:pPr>
        <w:keepNext/>
        <w:keepLines/>
        <w:spacing w:after="120"/>
        <w:jc w:val="both"/>
        <w:rPr>
          <w:rFonts w:cs="Arial"/>
          <w:bCs/>
          <w:i/>
          <w:sz w:val="16"/>
          <w:szCs w:val="16"/>
        </w:rPr>
      </w:pPr>
      <w:r w:rsidRPr="00924B38">
        <w:rPr>
          <w:rFonts w:cs="Arial"/>
          <w:bCs/>
          <w:i/>
          <w:sz w:val="16"/>
          <w:szCs w:val="16"/>
        </w:rPr>
        <w:t xml:space="preserve">Vir: </w:t>
      </w:r>
      <w:r>
        <w:rPr>
          <w:rFonts w:cs="Arial"/>
          <w:bCs/>
          <w:i/>
          <w:sz w:val="16"/>
          <w:szCs w:val="16"/>
        </w:rPr>
        <w:t>Ze</w:t>
      </w:r>
      <w:r w:rsidRPr="00924B38">
        <w:rPr>
          <w:rFonts w:cs="Arial"/>
          <w:bCs/>
          <w:i/>
          <w:sz w:val="16"/>
          <w:szCs w:val="16"/>
        </w:rPr>
        <w:t>leno poročilo 2019</w:t>
      </w:r>
    </w:p>
    <w:p w14:paraId="0588E698" w14:textId="77777777" w:rsidR="00A154B7" w:rsidRDefault="00A154B7" w:rsidP="00DE12FE">
      <w:pPr>
        <w:spacing w:after="120" w:line="360" w:lineRule="auto"/>
        <w:jc w:val="both"/>
        <w:rPr>
          <w:rFonts w:cs="Arial"/>
          <w:szCs w:val="20"/>
        </w:rPr>
      </w:pPr>
    </w:p>
    <w:p w14:paraId="140C1FD8" w14:textId="10D92697" w:rsidR="006C63D5" w:rsidRPr="00DE12FE" w:rsidRDefault="006C63D5" w:rsidP="00DE12FE">
      <w:pPr>
        <w:spacing w:after="120" w:line="360" w:lineRule="auto"/>
        <w:jc w:val="both"/>
        <w:rPr>
          <w:rFonts w:cs="Arial"/>
          <w:szCs w:val="20"/>
        </w:rPr>
      </w:pPr>
      <w:r w:rsidRPr="00DE12FE">
        <w:rPr>
          <w:rFonts w:cs="Arial"/>
          <w:szCs w:val="20"/>
        </w:rPr>
        <w:t xml:space="preserve">Ob ugodnih makroekonomskih razmerah so se razmere na trgu dela izboljševale tudi v letu 2019. Po podatkih nacionalnih računov se je rast zaposlenosti nekoliko umirila (+2,4 %), a dosegla najvišjo raven doslej, pri čemer je bilo tudi število zaposlenih oseb najvišje do zdaj. Obe stopnji brezposelnosti sta se v </w:t>
      </w:r>
      <w:r w:rsidRPr="00D454A7">
        <w:rPr>
          <w:rFonts w:cs="Arial"/>
          <w:szCs w:val="20"/>
        </w:rPr>
        <w:t>povprečju leta</w:t>
      </w:r>
      <w:r w:rsidRPr="00DE12FE">
        <w:rPr>
          <w:rFonts w:cs="Arial"/>
          <w:szCs w:val="20"/>
        </w:rPr>
        <w:t xml:space="preserve"> znižali; registrirana na 7,7 % (leta 2018: 8,3 %), anketna pa na 4,5 % (leta 2018: 5,1 %) in sta tako najnižji po letu 2008. Tudi plače so bile v letu 2019 znova nekoliko višje, predvsem zaradi višje rasti plač v javnem sektorju (UMAR, 2020). V primerjavi s predhodnim letom se je povprečna bruto plača na zaposlenega nominalno zvišala za 4,3 %, realno pa za 2,7 % (zasebni sektor realno: +2,2 %, javni sektor realno: +3,7 %).</w:t>
      </w:r>
    </w:p>
    <w:p w14:paraId="302E63B5" w14:textId="77777777" w:rsidR="006C63D5" w:rsidRPr="00DE12FE" w:rsidRDefault="006C63D5" w:rsidP="00DE12FE">
      <w:pPr>
        <w:spacing w:after="120" w:line="360" w:lineRule="auto"/>
        <w:jc w:val="both"/>
        <w:rPr>
          <w:rFonts w:cs="Arial"/>
          <w:szCs w:val="20"/>
        </w:rPr>
      </w:pPr>
      <w:r w:rsidRPr="00DE12FE">
        <w:rPr>
          <w:rFonts w:cs="Arial"/>
          <w:szCs w:val="20"/>
        </w:rPr>
        <w:lastRenderedPageBreak/>
        <w:t xml:space="preserve">Leta 2019 je bila inflacija razmeroma nizka, in sicer na letni ravni 1,9-odstotna (leta 2018: +1,4 %), v povprečju leta pa 1,6-odstotna (leta 2018: +1,7 %); k njej so za skoraj dve tretjini prispevale cene storitev, nekaj pa tudi višje cene hrane in energije. </w:t>
      </w:r>
    </w:p>
    <w:p w14:paraId="7EB3E01B" w14:textId="77777777" w:rsidR="006C63D5" w:rsidRPr="00DE12FE" w:rsidRDefault="006C63D5" w:rsidP="00DE12FE">
      <w:pPr>
        <w:spacing w:after="120" w:line="360" w:lineRule="auto"/>
        <w:jc w:val="both"/>
        <w:rPr>
          <w:rFonts w:cs="Arial"/>
          <w:szCs w:val="20"/>
        </w:rPr>
      </w:pPr>
      <w:r w:rsidRPr="00DE12FE">
        <w:rPr>
          <w:rFonts w:cs="Arial"/>
          <w:szCs w:val="20"/>
        </w:rPr>
        <w:t xml:space="preserve">Bruto domači proizvod na prebivalca po standardu kupne moči je bil v letu 2018 26.387,60 EUR in se je od leta 2010 povečal za 24,5 %, vendar še vedno zaostaja za povprečjem </w:t>
      </w:r>
      <w:r w:rsidRPr="00D454A7">
        <w:rPr>
          <w:rFonts w:cs="Arial"/>
          <w:szCs w:val="20"/>
        </w:rPr>
        <w:t>EU-28</w:t>
      </w:r>
      <w:r w:rsidRPr="00DE12FE">
        <w:rPr>
          <w:rFonts w:cs="Arial"/>
          <w:szCs w:val="20"/>
        </w:rPr>
        <w:t xml:space="preserve"> (indeks PPS na prebivalca skupaj v letu 2018 je bil 87,00; EU-28=100). BDP na prebivalca po standardu kupne moči v podeželskih regijah je bil v letu 2018 19.666,04 EUR in se je od leta 2013  povečal za 9,8 %. </w:t>
      </w:r>
    </w:p>
    <w:p w14:paraId="55A96557" w14:textId="474AB871" w:rsidR="006C63D5" w:rsidRDefault="00C9160B" w:rsidP="00826383">
      <w:pPr>
        <w:pStyle w:val="SCPreglednica"/>
      </w:pPr>
      <w:bookmarkStart w:id="27" w:name="_Toc55913721"/>
      <w:r>
        <w:t>Tabela</w:t>
      </w:r>
      <w:r w:rsidR="006C63D5" w:rsidRPr="003D6FF8">
        <w:t xml:space="preserve"> </w:t>
      </w:r>
      <w:r w:rsidR="0001708D">
        <w:rPr>
          <w:noProof/>
        </w:rPr>
        <w:fldChar w:fldCharType="begin"/>
      </w:r>
      <w:r w:rsidR="0001708D">
        <w:rPr>
          <w:noProof/>
        </w:rPr>
        <w:instrText xml:space="preserve"> SEQ Tabela \* ARABIC </w:instrText>
      </w:r>
      <w:r w:rsidR="0001708D">
        <w:rPr>
          <w:noProof/>
        </w:rPr>
        <w:fldChar w:fldCharType="separate"/>
      </w:r>
      <w:r w:rsidR="00DF0D48">
        <w:rPr>
          <w:noProof/>
        </w:rPr>
        <w:t>10</w:t>
      </w:r>
      <w:r w:rsidR="0001708D">
        <w:rPr>
          <w:noProof/>
        </w:rPr>
        <w:fldChar w:fldCharType="end"/>
      </w:r>
      <w:r w:rsidR="006C63D5" w:rsidRPr="003D6FF8">
        <w:t>: BDP na prebivalca</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0"/>
        <w:gridCol w:w="3132"/>
        <w:gridCol w:w="1030"/>
        <w:gridCol w:w="1030"/>
        <w:gridCol w:w="1030"/>
        <w:gridCol w:w="1030"/>
        <w:gridCol w:w="1030"/>
      </w:tblGrid>
      <w:tr w:rsidR="006C63D5" w:rsidRPr="00F44FA4" w14:paraId="4F398785" w14:textId="77777777" w:rsidTr="00826383">
        <w:trPr>
          <w:trHeight w:val="315"/>
        </w:trPr>
        <w:tc>
          <w:tcPr>
            <w:tcW w:w="509" w:type="pct"/>
            <w:shd w:val="clear" w:color="000000" w:fill="92D050"/>
            <w:noWrap/>
            <w:vAlign w:val="bottom"/>
            <w:hideMark/>
          </w:tcPr>
          <w:p w14:paraId="5EA1AC6C" w14:textId="77777777" w:rsidR="006C63D5" w:rsidRPr="00F44FA4" w:rsidRDefault="006C63D5" w:rsidP="004167E8">
            <w:pPr>
              <w:rPr>
                <w:rFonts w:ascii="Calibri" w:hAnsi="Calibri" w:cs="Calibri"/>
                <w:b/>
                <w:bCs/>
                <w:color w:val="000000"/>
                <w:szCs w:val="20"/>
                <w:lang w:eastAsia="sl-SI"/>
              </w:rPr>
            </w:pPr>
            <w:r w:rsidRPr="00F44FA4">
              <w:rPr>
                <w:rFonts w:ascii="Calibri" w:hAnsi="Calibri" w:cs="Calibri"/>
                <w:b/>
                <w:bCs/>
                <w:color w:val="000000"/>
                <w:szCs w:val="20"/>
                <w:lang w:eastAsia="sl-SI"/>
              </w:rPr>
              <w:t>C.09</w:t>
            </w:r>
          </w:p>
        </w:tc>
        <w:tc>
          <w:tcPr>
            <w:tcW w:w="1807" w:type="pct"/>
            <w:shd w:val="clear" w:color="000000" w:fill="92D050"/>
            <w:vAlign w:val="bottom"/>
            <w:hideMark/>
          </w:tcPr>
          <w:p w14:paraId="7B6081B3" w14:textId="77777777" w:rsidR="006C63D5" w:rsidRPr="00F44FA4" w:rsidRDefault="006C63D5" w:rsidP="004167E8">
            <w:pPr>
              <w:rPr>
                <w:rFonts w:cs="Arial"/>
                <w:b/>
                <w:bCs/>
                <w:color w:val="000000"/>
                <w:szCs w:val="20"/>
                <w:lang w:eastAsia="sl-SI"/>
              </w:rPr>
            </w:pPr>
            <w:r w:rsidRPr="00F44FA4">
              <w:rPr>
                <w:rFonts w:cs="Arial"/>
                <w:b/>
                <w:bCs/>
                <w:color w:val="000000"/>
                <w:szCs w:val="20"/>
                <w:lang w:eastAsia="sl-SI"/>
              </w:rPr>
              <w:t>BDP na prebivalca</w:t>
            </w:r>
          </w:p>
        </w:tc>
        <w:tc>
          <w:tcPr>
            <w:tcW w:w="537" w:type="pct"/>
            <w:shd w:val="clear" w:color="000000" w:fill="92D050"/>
            <w:noWrap/>
            <w:vAlign w:val="center"/>
            <w:hideMark/>
          </w:tcPr>
          <w:p w14:paraId="405CA165" w14:textId="77777777" w:rsidR="006C63D5" w:rsidRPr="00F44FA4" w:rsidRDefault="006C63D5" w:rsidP="004167E8">
            <w:pPr>
              <w:jc w:val="center"/>
              <w:rPr>
                <w:rFonts w:cs="Arial"/>
                <w:b/>
                <w:bCs/>
                <w:color w:val="000000"/>
                <w:szCs w:val="20"/>
                <w:lang w:eastAsia="sl-SI"/>
              </w:rPr>
            </w:pPr>
            <w:r w:rsidRPr="00F44FA4">
              <w:rPr>
                <w:rFonts w:cs="Arial"/>
                <w:b/>
                <w:bCs/>
                <w:color w:val="000000"/>
                <w:szCs w:val="20"/>
                <w:lang w:eastAsia="sl-SI"/>
              </w:rPr>
              <w:t>2010</w:t>
            </w:r>
          </w:p>
        </w:tc>
        <w:tc>
          <w:tcPr>
            <w:tcW w:w="537" w:type="pct"/>
            <w:shd w:val="clear" w:color="000000" w:fill="92D050"/>
            <w:noWrap/>
            <w:vAlign w:val="center"/>
            <w:hideMark/>
          </w:tcPr>
          <w:p w14:paraId="3CA872CA" w14:textId="77777777" w:rsidR="006C63D5" w:rsidRPr="00F44FA4" w:rsidRDefault="006C63D5" w:rsidP="004167E8">
            <w:pPr>
              <w:jc w:val="center"/>
              <w:rPr>
                <w:rFonts w:cs="Arial"/>
                <w:b/>
                <w:bCs/>
                <w:color w:val="000000"/>
                <w:szCs w:val="20"/>
                <w:lang w:eastAsia="sl-SI"/>
              </w:rPr>
            </w:pPr>
            <w:r w:rsidRPr="00F44FA4">
              <w:rPr>
                <w:rFonts w:cs="Arial"/>
                <w:b/>
                <w:bCs/>
                <w:color w:val="000000"/>
                <w:szCs w:val="20"/>
                <w:lang w:eastAsia="sl-SI"/>
              </w:rPr>
              <w:t>2013</w:t>
            </w:r>
          </w:p>
        </w:tc>
        <w:tc>
          <w:tcPr>
            <w:tcW w:w="537" w:type="pct"/>
            <w:shd w:val="clear" w:color="000000" w:fill="92D050"/>
            <w:noWrap/>
            <w:vAlign w:val="center"/>
            <w:hideMark/>
          </w:tcPr>
          <w:p w14:paraId="254873B8" w14:textId="77777777" w:rsidR="006C63D5" w:rsidRPr="00F44FA4" w:rsidRDefault="006C63D5" w:rsidP="004167E8">
            <w:pPr>
              <w:jc w:val="center"/>
              <w:rPr>
                <w:rFonts w:cs="Arial"/>
                <w:b/>
                <w:bCs/>
                <w:color w:val="000000"/>
                <w:szCs w:val="20"/>
                <w:lang w:eastAsia="sl-SI"/>
              </w:rPr>
            </w:pPr>
            <w:r w:rsidRPr="00F44FA4">
              <w:rPr>
                <w:rFonts w:cs="Arial"/>
                <w:b/>
                <w:bCs/>
                <w:color w:val="000000"/>
                <w:szCs w:val="20"/>
                <w:lang w:eastAsia="sl-SI"/>
              </w:rPr>
              <w:t>2016</w:t>
            </w:r>
          </w:p>
        </w:tc>
        <w:tc>
          <w:tcPr>
            <w:tcW w:w="537" w:type="pct"/>
            <w:shd w:val="clear" w:color="000000" w:fill="92D050"/>
            <w:noWrap/>
            <w:vAlign w:val="center"/>
            <w:hideMark/>
          </w:tcPr>
          <w:p w14:paraId="678C267E" w14:textId="77777777" w:rsidR="006C63D5" w:rsidRPr="00F44FA4" w:rsidRDefault="006C63D5" w:rsidP="004167E8">
            <w:pPr>
              <w:jc w:val="center"/>
              <w:rPr>
                <w:rFonts w:cs="Arial"/>
                <w:b/>
                <w:bCs/>
                <w:color w:val="000000"/>
                <w:szCs w:val="20"/>
                <w:lang w:eastAsia="sl-SI"/>
              </w:rPr>
            </w:pPr>
            <w:r w:rsidRPr="00F44FA4">
              <w:rPr>
                <w:rFonts w:cs="Arial"/>
                <w:b/>
                <w:bCs/>
                <w:color w:val="000000"/>
                <w:szCs w:val="20"/>
                <w:lang w:eastAsia="sl-SI"/>
              </w:rPr>
              <w:t>2017</w:t>
            </w:r>
          </w:p>
        </w:tc>
        <w:tc>
          <w:tcPr>
            <w:tcW w:w="537" w:type="pct"/>
            <w:shd w:val="clear" w:color="000000" w:fill="92D050"/>
            <w:noWrap/>
            <w:vAlign w:val="center"/>
            <w:hideMark/>
          </w:tcPr>
          <w:p w14:paraId="06ADA903" w14:textId="77777777" w:rsidR="006C63D5" w:rsidRPr="00F44FA4" w:rsidRDefault="006C63D5" w:rsidP="004167E8">
            <w:pPr>
              <w:jc w:val="center"/>
              <w:rPr>
                <w:rFonts w:cs="Arial"/>
                <w:b/>
                <w:bCs/>
                <w:color w:val="000000"/>
                <w:szCs w:val="20"/>
                <w:lang w:eastAsia="sl-SI"/>
              </w:rPr>
            </w:pPr>
            <w:r w:rsidRPr="00F44FA4">
              <w:rPr>
                <w:rFonts w:cs="Arial"/>
                <w:b/>
                <w:bCs/>
                <w:color w:val="000000"/>
                <w:szCs w:val="20"/>
                <w:lang w:eastAsia="sl-SI"/>
              </w:rPr>
              <w:t>2018</w:t>
            </w:r>
          </w:p>
        </w:tc>
      </w:tr>
      <w:tr w:rsidR="006C63D5" w:rsidRPr="00F44FA4" w14:paraId="0ECD4CD9" w14:textId="77777777" w:rsidTr="00826383">
        <w:trPr>
          <w:trHeight w:val="430"/>
        </w:trPr>
        <w:tc>
          <w:tcPr>
            <w:tcW w:w="509" w:type="pct"/>
            <w:vMerge w:val="restart"/>
            <w:shd w:val="clear" w:color="000000" w:fill="FFFFFF"/>
            <w:vAlign w:val="center"/>
            <w:hideMark/>
          </w:tcPr>
          <w:p w14:paraId="6D10D254" w14:textId="77777777" w:rsidR="006C63D5" w:rsidRPr="00F44FA4" w:rsidRDefault="006C63D5" w:rsidP="004167E8">
            <w:pPr>
              <w:jc w:val="center"/>
              <w:rPr>
                <w:rFonts w:ascii="Calibri" w:hAnsi="Calibri" w:cs="Calibri"/>
                <w:b/>
                <w:bCs/>
                <w:color w:val="000000"/>
                <w:szCs w:val="20"/>
                <w:lang w:eastAsia="sl-SI"/>
              </w:rPr>
            </w:pPr>
            <w:r w:rsidRPr="00F44FA4">
              <w:rPr>
                <w:rFonts w:ascii="Calibri" w:hAnsi="Calibri" w:cs="Calibri"/>
                <w:b/>
                <w:bCs/>
                <w:color w:val="000000"/>
                <w:szCs w:val="20"/>
                <w:lang w:eastAsia="sl-SI"/>
              </w:rPr>
              <w:t> </w:t>
            </w:r>
          </w:p>
        </w:tc>
        <w:tc>
          <w:tcPr>
            <w:tcW w:w="1807" w:type="pct"/>
            <w:shd w:val="clear" w:color="000000" w:fill="FFFFFF"/>
            <w:vAlign w:val="bottom"/>
            <w:hideMark/>
          </w:tcPr>
          <w:p w14:paraId="3961D8A0" w14:textId="77777777" w:rsidR="006C63D5" w:rsidRPr="00F44FA4" w:rsidRDefault="006C63D5" w:rsidP="004167E8">
            <w:pPr>
              <w:rPr>
                <w:rFonts w:cs="Arial"/>
                <w:color w:val="000000"/>
                <w:szCs w:val="20"/>
                <w:lang w:eastAsia="sl-SI"/>
              </w:rPr>
            </w:pPr>
            <w:r w:rsidRPr="00F44FA4">
              <w:rPr>
                <w:rFonts w:cs="Arial"/>
                <w:color w:val="000000"/>
                <w:szCs w:val="20"/>
                <w:lang w:eastAsia="sl-SI"/>
              </w:rPr>
              <w:t>BDP na prebivalca v podeželskih regijah (EUR PPS)</w:t>
            </w:r>
          </w:p>
        </w:tc>
        <w:tc>
          <w:tcPr>
            <w:tcW w:w="537" w:type="pct"/>
            <w:shd w:val="clear" w:color="000000" w:fill="FFFFFF"/>
            <w:vAlign w:val="center"/>
            <w:hideMark/>
          </w:tcPr>
          <w:p w14:paraId="79C0528E" w14:textId="77777777" w:rsidR="006C63D5" w:rsidRPr="00F44FA4" w:rsidRDefault="006C63D5" w:rsidP="004167E8">
            <w:pPr>
              <w:jc w:val="right"/>
              <w:rPr>
                <w:rFonts w:cs="Arial"/>
                <w:b/>
                <w:bCs/>
                <w:color w:val="000000"/>
                <w:szCs w:val="20"/>
                <w:lang w:eastAsia="sl-SI"/>
              </w:rPr>
            </w:pPr>
            <w:r w:rsidRPr="00F44FA4">
              <w:rPr>
                <w:rFonts w:cs="Arial"/>
                <w:b/>
                <w:bCs/>
                <w:color w:val="000000"/>
                <w:szCs w:val="20"/>
                <w:lang w:eastAsia="sl-SI"/>
              </w:rPr>
              <w:t>-</w:t>
            </w:r>
          </w:p>
        </w:tc>
        <w:tc>
          <w:tcPr>
            <w:tcW w:w="537" w:type="pct"/>
            <w:shd w:val="clear" w:color="000000" w:fill="FFFFFF"/>
            <w:vAlign w:val="center"/>
            <w:hideMark/>
          </w:tcPr>
          <w:p w14:paraId="622C0905"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17.917,01</w:t>
            </w:r>
          </w:p>
        </w:tc>
        <w:tc>
          <w:tcPr>
            <w:tcW w:w="537" w:type="pct"/>
            <w:shd w:val="clear" w:color="000000" w:fill="FFFFFF"/>
            <w:vAlign w:val="center"/>
            <w:hideMark/>
          </w:tcPr>
          <w:p w14:paraId="4E62F356"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19.075,08</w:t>
            </w:r>
          </w:p>
        </w:tc>
        <w:tc>
          <w:tcPr>
            <w:tcW w:w="537" w:type="pct"/>
            <w:shd w:val="clear" w:color="000000" w:fill="FFFFFF"/>
            <w:vAlign w:val="center"/>
            <w:hideMark/>
          </w:tcPr>
          <w:p w14:paraId="451E0102"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19.928,98</w:t>
            </w:r>
          </w:p>
        </w:tc>
        <w:tc>
          <w:tcPr>
            <w:tcW w:w="537" w:type="pct"/>
            <w:shd w:val="clear" w:color="000000" w:fill="FFFFFF"/>
            <w:vAlign w:val="center"/>
            <w:hideMark/>
          </w:tcPr>
          <w:p w14:paraId="2B19909B"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19.666,04</w:t>
            </w:r>
          </w:p>
        </w:tc>
      </w:tr>
      <w:tr w:rsidR="006C63D5" w:rsidRPr="00F44FA4" w14:paraId="5B2494E6" w14:textId="77777777" w:rsidTr="00826383">
        <w:trPr>
          <w:trHeight w:val="367"/>
        </w:trPr>
        <w:tc>
          <w:tcPr>
            <w:tcW w:w="509" w:type="pct"/>
            <w:vMerge/>
            <w:vAlign w:val="center"/>
            <w:hideMark/>
          </w:tcPr>
          <w:p w14:paraId="7509DFB2" w14:textId="77777777" w:rsidR="006C63D5" w:rsidRPr="00F44FA4" w:rsidRDefault="006C63D5" w:rsidP="004167E8">
            <w:pPr>
              <w:rPr>
                <w:rFonts w:ascii="Calibri" w:hAnsi="Calibri" w:cs="Calibri"/>
                <w:b/>
                <w:bCs/>
                <w:color w:val="000000"/>
                <w:szCs w:val="20"/>
                <w:lang w:eastAsia="sl-SI"/>
              </w:rPr>
            </w:pPr>
          </w:p>
        </w:tc>
        <w:tc>
          <w:tcPr>
            <w:tcW w:w="1807" w:type="pct"/>
            <w:shd w:val="clear" w:color="000000" w:fill="FFFFFF"/>
            <w:vAlign w:val="bottom"/>
            <w:hideMark/>
          </w:tcPr>
          <w:p w14:paraId="16D798B7" w14:textId="77777777" w:rsidR="006C63D5" w:rsidRPr="00F44FA4" w:rsidRDefault="006C63D5" w:rsidP="004167E8">
            <w:pPr>
              <w:rPr>
                <w:rFonts w:cs="Arial"/>
                <w:color w:val="000000"/>
                <w:szCs w:val="20"/>
                <w:lang w:eastAsia="sl-SI"/>
              </w:rPr>
            </w:pPr>
            <w:r w:rsidRPr="00F44FA4">
              <w:rPr>
                <w:rFonts w:cs="Arial"/>
                <w:color w:val="000000"/>
                <w:szCs w:val="20"/>
                <w:lang w:eastAsia="sl-SI"/>
              </w:rPr>
              <w:t>BDP na prebivalca v podeželskih regijah (indeks PPS)</w:t>
            </w:r>
          </w:p>
        </w:tc>
        <w:tc>
          <w:tcPr>
            <w:tcW w:w="537" w:type="pct"/>
            <w:shd w:val="clear" w:color="000000" w:fill="FFFFFF"/>
            <w:noWrap/>
            <w:vAlign w:val="center"/>
            <w:hideMark/>
          </w:tcPr>
          <w:p w14:paraId="680A716E"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70,00</w:t>
            </w:r>
          </w:p>
        </w:tc>
        <w:tc>
          <w:tcPr>
            <w:tcW w:w="537" w:type="pct"/>
            <w:shd w:val="clear" w:color="000000" w:fill="FFFFFF"/>
            <w:noWrap/>
            <w:vAlign w:val="center"/>
            <w:hideMark/>
          </w:tcPr>
          <w:p w14:paraId="73AE77B4"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69,00</w:t>
            </w:r>
          </w:p>
        </w:tc>
        <w:tc>
          <w:tcPr>
            <w:tcW w:w="537" w:type="pct"/>
            <w:shd w:val="clear" w:color="000000" w:fill="FFFFFF"/>
            <w:noWrap/>
            <w:vAlign w:val="center"/>
            <w:hideMark/>
          </w:tcPr>
          <w:p w14:paraId="07332011"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70,00</w:t>
            </w:r>
          </w:p>
        </w:tc>
        <w:tc>
          <w:tcPr>
            <w:tcW w:w="537" w:type="pct"/>
            <w:shd w:val="clear" w:color="auto" w:fill="auto"/>
            <w:noWrap/>
            <w:vAlign w:val="center"/>
            <w:hideMark/>
          </w:tcPr>
          <w:p w14:paraId="4F61E066"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72</w:t>
            </w:r>
          </w:p>
        </w:tc>
        <w:tc>
          <w:tcPr>
            <w:tcW w:w="537" w:type="pct"/>
            <w:shd w:val="clear" w:color="000000" w:fill="FFFFFF"/>
            <w:vAlign w:val="center"/>
            <w:hideMark/>
          </w:tcPr>
          <w:p w14:paraId="78EA9A0B" w14:textId="77777777" w:rsidR="006C63D5" w:rsidRPr="00F44FA4" w:rsidRDefault="006C63D5" w:rsidP="004167E8">
            <w:pPr>
              <w:jc w:val="right"/>
              <w:rPr>
                <w:rFonts w:cs="Arial"/>
                <w:b/>
                <w:bCs/>
                <w:color w:val="000000"/>
                <w:szCs w:val="20"/>
                <w:lang w:eastAsia="sl-SI"/>
              </w:rPr>
            </w:pPr>
            <w:r w:rsidRPr="00F44FA4">
              <w:rPr>
                <w:rFonts w:cs="Arial"/>
                <w:b/>
                <w:bCs/>
                <w:color w:val="000000"/>
                <w:szCs w:val="20"/>
                <w:lang w:eastAsia="sl-SI"/>
              </w:rPr>
              <w:t>-</w:t>
            </w:r>
          </w:p>
        </w:tc>
      </w:tr>
      <w:tr w:rsidR="006C63D5" w:rsidRPr="00F44FA4" w14:paraId="46D0E091" w14:textId="77777777" w:rsidTr="004167E8">
        <w:trPr>
          <w:trHeight w:val="315"/>
        </w:trPr>
        <w:tc>
          <w:tcPr>
            <w:tcW w:w="509" w:type="pct"/>
            <w:vMerge/>
            <w:vAlign w:val="center"/>
            <w:hideMark/>
          </w:tcPr>
          <w:p w14:paraId="257133F7" w14:textId="77777777" w:rsidR="006C63D5" w:rsidRPr="00F44FA4" w:rsidRDefault="006C63D5" w:rsidP="004167E8">
            <w:pPr>
              <w:rPr>
                <w:rFonts w:ascii="Calibri" w:hAnsi="Calibri" w:cs="Calibri"/>
                <w:b/>
                <w:bCs/>
                <w:color w:val="000000"/>
                <w:szCs w:val="20"/>
                <w:lang w:eastAsia="sl-SI"/>
              </w:rPr>
            </w:pPr>
          </w:p>
        </w:tc>
        <w:tc>
          <w:tcPr>
            <w:tcW w:w="1807" w:type="pct"/>
            <w:shd w:val="clear" w:color="000000" w:fill="FFFFFF"/>
            <w:vAlign w:val="bottom"/>
            <w:hideMark/>
          </w:tcPr>
          <w:p w14:paraId="02E3609A" w14:textId="77777777" w:rsidR="006C63D5" w:rsidRPr="00F44FA4" w:rsidRDefault="006C63D5" w:rsidP="004167E8">
            <w:pPr>
              <w:rPr>
                <w:rFonts w:cs="Arial"/>
                <w:color w:val="000000"/>
                <w:szCs w:val="20"/>
                <w:lang w:eastAsia="sl-SI"/>
              </w:rPr>
            </w:pPr>
            <w:r w:rsidRPr="00F44FA4">
              <w:rPr>
                <w:rFonts w:cs="Arial"/>
                <w:color w:val="000000"/>
                <w:szCs w:val="20"/>
                <w:lang w:eastAsia="sl-SI"/>
              </w:rPr>
              <w:t>BDP na prebivalca skupaj (EUR PPS)</w:t>
            </w:r>
          </w:p>
        </w:tc>
        <w:tc>
          <w:tcPr>
            <w:tcW w:w="537" w:type="pct"/>
            <w:shd w:val="clear" w:color="000000" w:fill="FFFFFF"/>
            <w:vAlign w:val="center"/>
            <w:hideMark/>
          </w:tcPr>
          <w:p w14:paraId="67FDAD90"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21.200,00</w:t>
            </w:r>
          </w:p>
        </w:tc>
        <w:tc>
          <w:tcPr>
            <w:tcW w:w="537" w:type="pct"/>
            <w:shd w:val="clear" w:color="000000" w:fill="FFFFFF"/>
            <w:vAlign w:val="center"/>
            <w:hideMark/>
          </w:tcPr>
          <w:p w14:paraId="09F8614F"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21.900,00</w:t>
            </w:r>
          </w:p>
        </w:tc>
        <w:tc>
          <w:tcPr>
            <w:tcW w:w="537" w:type="pct"/>
            <w:shd w:val="clear" w:color="000000" w:fill="FFFFFF"/>
            <w:vAlign w:val="center"/>
            <w:hideMark/>
          </w:tcPr>
          <w:p w14:paraId="18B9BEB6"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24.100,00</w:t>
            </w:r>
          </w:p>
        </w:tc>
        <w:tc>
          <w:tcPr>
            <w:tcW w:w="537" w:type="pct"/>
            <w:shd w:val="clear" w:color="000000" w:fill="FFFFFF"/>
            <w:vAlign w:val="center"/>
            <w:hideMark/>
          </w:tcPr>
          <w:p w14:paraId="28D609A3"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25.500,00</w:t>
            </w:r>
          </w:p>
        </w:tc>
        <w:tc>
          <w:tcPr>
            <w:tcW w:w="537" w:type="pct"/>
            <w:shd w:val="clear" w:color="000000" w:fill="FFFFFF"/>
            <w:vAlign w:val="center"/>
            <w:hideMark/>
          </w:tcPr>
          <w:p w14:paraId="363C6A90"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26.387,60</w:t>
            </w:r>
          </w:p>
        </w:tc>
      </w:tr>
      <w:tr w:rsidR="006C63D5" w:rsidRPr="00F44FA4" w14:paraId="2D26FF01" w14:textId="77777777" w:rsidTr="00826383">
        <w:trPr>
          <w:trHeight w:val="156"/>
        </w:trPr>
        <w:tc>
          <w:tcPr>
            <w:tcW w:w="509" w:type="pct"/>
            <w:vMerge/>
            <w:vAlign w:val="center"/>
            <w:hideMark/>
          </w:tcPr>
          <w:p w14:paraId="5643F4BD" w14:textId="77777777" w:rsidR="006C63D5" w:rsidRPr="00F44FA4" w:rsidRDefault="006C63D5" w:rsidP="004167E8">
            <w:pPr>
              <w:rPr>
                <w:rFonts w:ascii="Calibri" w:hAnsi="Calibri" w:cs="Calibri"/>
                <w:b/>
                <w:bCs/>
                <w:color w:val="000000"/>
                <w:szCs w:val="20"/>
                <w:lang w:eastAsia="sl-SI"/>
              </w:rPr>
            </w:pPr>
          </w:p>
        </w:tc>
        <w:tc>
          <w:tcPr>
            <w:tcW w:w="1807" w:type="pct"/>
            <w:shd w:val="clear" w:color="000000" w:fill="FFFFFF"/>
            <w:vAlign w:val="center"/>
            <w:hideMark/>
          </w:tcPr>
          <w:p w14:paraId="0810DD3E" w14:textId="77777777" w:rsidR="006C63D5" w:rsidRPr="00F44FA4" w:rsidRDefault="006C63D5" w:rsidP="004167E8">
            <w:pPr>
              <w:rPr>
                <w:rFonts w:cs="Arial"/>
                <w:color w:val="000000"/>
                <w:szCs w:val="20"/>
                <w:lang w:eastAsia="sl-SI"/>
              </w:rPr>
            </w:pPr>
            <w:r w:rsidRPr="00F44FA4">
              <w:rPr>
                <w:rFonts w:cs="Arial"/>
                <w:color w:val="000000"/>
                <w:szCs w:val="20"/>
                <w:lang w:eastAsia="sl-SI"/>
              </w:rPr>
              <w:t>BDP na prebivalca skupaj (Indeks PPS)</w:t>
            </w:r>
          </w:p>
        </w:tc>
        <w:tc>
          <w:tcPr>
            <w:tcW w:w="537" w:type="pct"/>
            <w:shd w:val="clear" w:color="000000" w:fill="FFFFFF"/>
            <w:noWrap/>
            <w:vAlign w:val="center"/>
            <w:hideMark/>
          </w:tcPr>
          <w:p w14:paraId="0A043A31"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84,60</w:t>
            </w:r>
          </w:p>
        </w:tc>
        <w:tc>
          <w:tcPr>
            <w:tcW w:w="537" w:type="pct"/>
            <w:shd w:val="clear" w:color="000000" w:fill="FFFFFF"/>
            <w:noWrap/>
            <w:vAlign w:val="center"/>
            <w:hideMark/>
          </w:tcPr>
          <w:p w14:paraId="5F3912C9"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83,20</w:t>
            </w:r>
          </w:p>
        </w:tc>
        <w:tc>
          <w:tcPr>
            <w:tcW w:w="537" w:type="pct"/>
            <w:shd w:val="clear" w:color="000000" w:fill="FFFFFF"/>
            <w:noWrap/>
            <w:vAlign w:val="center"/>
            <w:hideMark/>
          </w:tcPr>
          <w:p w14:paraId="2B929092"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83,50</w:t>
            </w:r>
          </w:p>
        </w:tc>
        <w:tc>
          <w:tcPr>
            <w:tcW w:w="537" w:type="pct"/>
            <w:shd w:val="clear" w:color="000000" w:fill="FFFFFF"/>
            <w:noWrap/>
            <w:vAlign w:val="center"/>
            <w:hideMark/>
          </w:tcPr>
          <w:p w14:paraId="30C10BEE"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85,70</w:t>
            </w:r>
          </w:p>
        </w:tc>
        <w:tc>
          <w:tcPr>
            <w:tcW w:w="537" w:type="pct"/>
            <w:shd w:val="clear" w:color="000000" w:fill="FFFFFF"/>
            <w:noWrap/>
            <w:vAlign w:val="center"/>
            <w:hideMark/>
          </w:tcPr>
          <w:p w14:paraId="78F36999"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87,50</w:t>
            </w:r>
          </w:p>
        </w:tc>
      </w:tr>
    </w:tbl>
    <w:p w14:paraId="384C8125" w14:textId="77777777" w:rsidR="00C75FB1" w:rsidRDefault="006C63D5" w:rsidP="00C75FB1">
      <w:pPr>
        <w:spacing w:after="0"/>
        <w:rPr>
          <w:rFonts w:cs="Arial"/>
          <w:sz w:val="16"/>
          <w:szCs w:val="16"/>
        </w:rPr>
      </w:pPr>
      <w:r w:rsidRPr="00041B20">
        <w:rPr>
          <w:rFonts w:cs="Arial"/>
          <w:sz w:val="16"/>
          <w:szCs w:val="16"/>
        </w:rPr>
        <w:t>*PPS – standard kupne moči (»</w:t>
      </w:r>
      <w:proofErr w:type="spellStart"/>
      <w:r w:rsidRPr="00041B20">
        <w:rPr>
          <w:rFonts w:cs="Arial"/>
          <w:sz w:val="16"/>
          <w:szCs w:val="16"/>
        </w:rPr>
        <w:t>purchase</w:t>
      </w:r>
      <w:proofErr w:type="spellEnd"/>
      <w:r w:rsidRPr="00041B20">
        <w:rPr>
          <w:rFonts w:cs="Arial"/>
          <w:sz w:val="16"/>
          <w:szCs w:val="16"/>
        </w:rPr>
        <w:t xml:space="preserve"> </w:t>
      </w:r>
      <w:proofErr w:type="spellStart"/>
      <w:r w:rsidRPr="00041B20">
        <w:rPr>
          <w:rFonts w:cs="Arial"/>
          <w:sz w:val="16"/>
          <w:szCs w:val="16"/>
        </w:rPr>
        <w:t>power</w:t>
      </w:r>
      <w:proofErr w:type="spellEnd"/>
      <w:r w:rsidRPr="00041B20">
        <w:rPr>
          <w:rFonts w:cs="Arial"/>
          <w:sz w:val="16"/>
          <w:szCs w:val="16"/>
        </w:rPr>
        <w:t xml:space="preserve"> standard«)</w:t>
      </w:r>
      <w:bookmarkStart w:id="28" w:name="_Ref29976797"/>
    </w:p>
    <w:p w14:paraId="2D116EB5" w14:textId="623002B7" w:rsidR="00C75FB1" w:rsidRDefault="0048003A" w:rsidP="00F42F8F">
      <w:pPr>
        <w:spacing w:before="120" w:after="240" w:line="264" w:lineRule="auto"/>
        <w:rPr>
          <w:rFonts w:cs="Arial"/>
          <w:bCs/>
          <w:i/>
          <w:szCs w:val="20"/>
        </w:rPr>
      </w:pPr>
      <w:r>
        <w:rPr>
          <w:rFonts w:eastAsia="Arial" w:cs="Arial"/>
          <w:bCs/>
          <w:sz w:val="16"/>
          <w:szCs w:val="16"/>
        </w:rPr>
        <w:t xml:space="preserve">Vir: C.09 - </w:t>
      </w:r>
      <w:proofErr w:type="spellStart"/>
      <w:r w:rsidRPr="004629B1">
        <w:rPr>
          <w:rFonts w:eastAsia="Calibri"/>
          <w:sz w:val="16"/>
          <w:szCs w:val="16"/>
        </w:rPr>
        <w:t>Dashboard</w:t>
      </w:r>
      <w:proofErr w:type="spellEnd"/>
      <w:r w:rsidRPr="004629B1">
        <w:rPr>
          <w:rFonts w:eastAsia="Calibri"/>
          <w:sz w:val="16"/>
          <w:szCs w:val="16"/>
        </w:rPr>
        <w:t xml:space="preserve"> </w:t>
      </w:r>
      <w:proofErr w:type="spellStart"/>
      <w:r w:rsidRPr="004629B1">
        <w:rPr>
          <w:rFonts w:eastAsia="Calibri"/>
          <w:sz w:val="16"/>
          <w:szCs w:val="16"/>
        </w:rPr>
        <w:t>Indicators</w:t>
      </w:r>
      <w:proofErr w:type="spellEnd"/>
      <w:r w:rsidRPr="004629B1">
        <w:rPr>
          <w:rFonts w:cs="Arial"/>
          <w:sz w:val="16"/>
          <w:szCs w:val="16"/>
        </w:rPr>
        <w:t xml:space="preserve"> </w:t>
      </w:r>
      <w:r w:rsidRPr="004629B1">
        <w:rPr>
          <w:rFonts w:eastAsia="Arial" w:cs="Arial"/>
          <w:bCs/>
          <w:sz w:val="16"/>
          <w:szCs w:val="16"/>
        </w:rPr>
        <w:t>https://agridata.ec.europa.eu/extensions/DashboardIndicators/DataExplorer.html?select=EU27_FLAG,1)</w:t>
      </w:r>
      <w:r w:rsidRPr="00826383" w:rsidDel="0048003A">
        <w:rPr>
          <w:rFonts w:cs="Arial"/>
          <w:bCs/>
          <w:i/>
          <w:szCs w:val="20"/>
        </w:rPr>
        <w:t xml:space="preserve"> </w:t>
      </w:r>
    </w:p>
    <w:p w14:paraId="4C119CE8" w14:textId="3A47F093" w:rsidR="006C63D5" w:rsidRPr="00E73231" w:rsidRDefault="00826383" w:rsidP="00826383">
      <w:pPr>
        <w:pStyle w:val="SCslika"/>
        <w:rPr>
          <w:color w:val="FF0000"/>
          <w:highlight w:val="green"/>
        </w:rPr>
      </w:pPr>
      <w:bookmarkStart w:id="29" w:name="_Toc55913756"/>
      <w:r w:rsidRPr="003D6FF8">
        <w:t xml:space="preserve">Slika </w:t>
      </w:r>
      <w:r w:rsidR="007A077E">
        <w:fldChar w:fldCharType="begin"/>
      </w:r>
      <w:r w:rsidR="007A077E">
        <w:instrText xml:space="preserve"> SEQ Slika \* ARABIC </w:instrText>
      </w:r>
      <w:r w:rsidR="007A077E">
        <w:fldChar w:fldCharType="separate"/>
      </w:r>
      <w:r w:rsidR="0040635C">
        <w:t>5</w:t>
      </w:r>
      <w:r w:rsidR="007A077E">
        <w:fldChar w:fldCharType="end"/>
      </w:r>
      <w:bookmarkEnd w:id="28"/>
      <w:r w:rsidRPr="003D6FF8">
        <w:t>: BDP na prebivalca, indeks standarda kupne moči EU-28=100;</w:t>
      </w:r>
      <w:bookmarkEnd w:id="29"/>
    </w:p>
    <w:p w14:paraId="2DDC55E3" w14:textId="27757BBA" w:rsidR="006C63D5" w:rsidRPr="00826383" w:rsidRDefault="006C63D5" w:rsidP="00826383">
      <w:pPr>
        <w:keepNext/>
        <w:rPr>
          <w:sz w:val="16"/>
          <w:szCs w:val="16"/>
        </w:rPr>
      </w:pPr>
      <w:r w:rsidRPr="00041B20">
        <w:rPr>
          <w:noProof/>
          <w:lang w:eastAsia="sl-SI"/>
        </w:rPr>
        <w:drawing>
          <wp:inline distT="0" distB="0" distL="0" distR="0" wp14:anchorId="65C93C43" wp14:editId="7419C049">
            <wp:extent cx="5760720" cy="2168525"/>
            <wp:effectExtent l="0" t="0" r="0" b="3175"/>
            <wp:docPr id="1631865547" name="Slika 163186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65547" name="BDP na preb po PPS.png"/>
                    <pic:cNvPicPr/>
                  </pic:nvPicPr>
                  <pic:blipFill>
                    <a:blip r:embed="rId20">
                      <a:extLst>
                        <a:ext uri="{28A0092B-C50C-407E-A947-70E740481C1C}">
                          <a14:useLocalDpi xmlns:a14="http://schemas.microsoft.com/office/drawing/2010/main" val="0"/>
                        </a:ext>
                      </a:extLst>
                    </a:blip>
                    <a:stretch>
                      <a:fillRect/>
                    </a:stretch>
                  </pic:blipFill>
                  <pic:spPr>
                    <a:xfrm>
                      <a:off x="0" y="0"/>
                      <a:ext cx="5760720" cy="2168525"/>
                    </a:xfrm>
                    <a:prstGeom prst="rect">
                      <a:avLst/>
                    </a:prstGeom>
                  </pic:spPr>
                </pic:pic>
              </a:graphicData>
            </a:graphic>
          </wp:inline>
        </w:drawing>
      </w:r>
      <w:r w:rsidRPr="00826383">
        <w:rPr>
          <w:rFonts w:cs="Arial"/>
          <w:bCs/>
          <w:sz w:val="16"/>
          <w:szCs w:val="16"/>
        </w:rPr>
        <w:t xml:space="preserve">Vir: </w:t>
      </w:r>
      <w:proofErr w:type="spellStart"/>
      <w:r w:rsidRPr="00826383">
        <w:rPr>
          <w:rFonts w:cs="Arial"/>
          <w:bCs/>
          <w:sz w:val="16"/>
          <w:szCs w:val="16"/>
        </w:rPr>
        <w:t>Analytical</w:t>
      </w:r>
      <w:proofErr w:type="spellEnd"/>
      <w:r w:rsidRPr="00826383">
        <w:rPr>
          <w:rFonts w:cs="Arial"/>
          <w:bCs/>
          <w:sz w:val="16"/>
          <w:szCs w:val="16"/>
        </w:rPr>
        <w:t xml:space="preserve"> </w:t>
      </w:r>
      <w:proofErr w:type="spellStart"/>
      <w:r w:rsidRPr="00826383">
        <w:rPr>
          <w:rFonts w:cs="Arial"/>
          <w:bCs/>
          <w:sz w:val="16"/>
          <w:szCs w:val="16"/>
        </w:rPr>
        <w:t>factsheet</w:t>
      </w:r>
      <w:proofErr w:type="spellEnd"/>
      <w:r w:rsidRPr="00826383">
        <w:rPr>
          <w:rFonts w:cs="Arial"/>
          <w:bCs/>
          <w:sz w:val="16"/>
          <w:szCs w:val="16"/>
        </w:rPr>
        <w:t>; EUROSTAT</w:t>
      </w:r>
    </w:p>
    <w:p w14:paraId="78D7BA95" w14:textId="77777777" w:rsidR="006C63D5" w:rsidRPr="00041B20" w:rsidRDefault="006C63D5" w:rsidP="006C63D5"/>
    <w:p w14:paraId="071DCD29" w14:textId="184F55DB" w:rsidR="006C63D5" w:rsidRPr="00DE12FE" w:rsidRDefault="006C63D5" w:rsidP="00DE12FE">
      <w:pPr>
        <w:spacing w:after="120" w:line="360" w:lineRule="auto"/>
        <w:jc w:val="both"/>
        <w:rPr>
          <w:rFonts w:cs="Arial"/>
          <w:szCs w:val="20"/>
        </w:rPr>
      </w:pPr>
      <w:r w:rsidRPr="00DE12FE">
        <w:rPr>
          <w:rFonts w:cs="Arial"/>
          <w:szCs w:val="20"/>
        </w:rPr>
        <w:t>Bruto dodana vrednost skupaj raste (41.882,30 mio EUR v letu 2019) in se je od leta 2010 povečala za 32,1 %. Delež podeželskih regij v BDV v letu 2017 je bil 48,73 % in je stabilen (</w:t>
      </w:r>
      <w:r w:rsidRPr="00DE12FE">
        <w:rPr>
          <w:rFonts w:cs="Arial"/>
          <w:szCs w:val="20"/>
        </w:rPr>
        <w:fldChar w:fldCharType="begin"/>
      </w:r>
      <w:r w:rsidRPr="00DE12FE">
        <w:rPr>
          <w:rFonts w:cs="Arial"/>
          <w:szCs w:val="20"/>
        </w:rPr>
        <w:instrText xml:space="preserve"> REF _Ref29976879 \h  \* MERGEFORMAT </w:instrText>
      </w:r>
      <w:r w:rsidRPr="00DE12FE">
        <w:rPr>
          <w:rFonts w:cs="Arial"/>
          <w:szCs w:val="20"/>
        </w:rPr>
      </w:r>
      <w:r w:rsidRPr="00DE12FE">
        <w:rPr>
          <w:rFonts w:cs="Arial"/>
          <w:szCs w:val="20"/>
        </w:rPr>
        <w:fldChar w:fldCharType="separate"/>
      </w:r>
      <w:r w:rsidR="00C9160B">
        <w:rPr>
          <w:rFonts w:cs="Arial"/>
          <w:szCs w:val="20"/>
        </w:rPr>
        <w:t>Tabela</w:t>
      </w:r>
      <w:r w:rsidRPr="00DE12FE">
        <w:rPr>
          <w:rFonts w:cs="Arial"/>
          <w:szCs w:val="20"/>
        </w:rPr>
        <w:t xml:space="preserve"> </w:t>
      </w:r>
      <w:r w:rsidRPr="00DE12FE">
        <w:rPr>
          <w:rFonts w:cs="Arial"/>
          <w:szCs w:val="20"/>
        </w:rPr>
        <w:fldChar w:fldCharType="end"/>
      </w:r>
      <w:r w:rsidR="001646D1">
        <w:rPr>
          <w:rFonts w:cs="Arial"/>
          <w:szCs w:val="20"/>
        </w:rPr>
        <w:t>10</w:t>
      </w:r>
      <w:r w:rsidRPr="00DE12FE">
        <w:rPr>
          <w:rFonts w:cs="Arial"/>
          <w:szCs w:val="20"/>
        </w:rPr>
        <w:t xml:space="preserve">; Vir: EUROSTAT). </w:t>
      </w:r>
    </w:p>
    <w:p w14:paraId="1D544815" w14:textId="77777777" w:rsidR="006C63D5" w:rsidRPr="00DE12FE" w:rsidRDefault="006C63D5" w:rsidP="00DE12FE">
      <w:pPr>
        <w:spacing w:after="120" w:line="360" w:lineRule="auto"/>
        <w:jc w:val="both"/>
        <w:rPr>
          <w:rFonts w:cs="Arial"/>
          <w:szCs w:val="20"/>
        </w:rPr>
      </w:pPr>
      <w:r w:rsidRPr="00DE12FE">
        <w:rPr>
          <w:rFonts w:cs="Arial"/>
          <w:szCs w:val="20"/>
        </w:rPr>
        <w:lastRenderedPageBreak/>
        <w:t>Po podatkih nacionalnih računov je kmetijstvo skupaj z lovstvom, gozdarstvom in ribištvom leta 2019 k skupni ustvarjeni dodani vrednosti prispevalo 2,3 % (leta 2018: 2,4 %), k skupni zaposlenosti pa 6,9 % (leta 2018: 7,2 %). Delež zaposlenih v kmetijstvu ima trend upadanja in se tako iz leta v leto zmanjšuje.</w:t>
      </w:r>
    </w:p>
    <w:p w14:paraId="34BB3150" w14:textId="5128B3A3" w:rsidR="006C63D5" w:rsidRPr="00DE12FE" w:rsidRDefault="006C63D5" w:rsidP="00DE12FE">
      <w:pPr>
        <w:spacing w:after="120" w:line="360" w:lineRule="auto"/>
        <w:jc w:val="both"/>
        <w:rPr>
          <w:rFonts w:cs="Arial"/>
          <w:szCs w:val="20"/>
        </w:rPr>
      </w:pPr>
      <w:r w:rsidRPr="00DE12FE">
        <w:rPr>
          <w:rFonts w:cs="Arial"/>
          <w:szCs w:val="20"/>
        </w:rPr>
        <w:t xml:space="preserve">Delež zaposlenosti v kmetijstvu, podobno kot v zadnjih nekaj letih, še naprej upada. Industrija je k regionalni bruto dodani vrednosti prispevala največji delež v jugovzhodni Sloveniji (50 %) in koroški statistični regiji (49 %) ter v posavski statistični regiji (48 %), kmetijstvo pa v primorsko–notranjski in pomurski statistični regiji (v vsaki 6 % bruto dodane vrednosti).  </w:t>
      </w:r>
    </w:p>
    <w:p w14:paraId="0C5FA481" w14:textId="6A1DE47A" w:rsidR="006C63D5" w:rsidRDefault="00C9160B" w:rsidP="00826383">
      <w:pPr>
        <w:pStyle w:val="SCPreglednica"/>
      </w:pPr>
      <w:bookmarkStart w:id="30" w:name="_Ref29976879"/>
      <w:bookmarkStart w:id="31" w:name="_Toc55913722"/>
      <w:r>
        <w:t>Tabela</w:t>
      </w:r>
      <w:r w:rsidR="006C63D5" w:rsidRPr="003D6FF8">
        <w:t xml:space="preserve"> </w:t>
      </w:r>
      <w:bookmarkEnd w:id="30"/>
      <w:r w:rsidR="006C63D5" w:rsidRPr="003D6FF8">
        <w:fldChar w:fldCharType="begin"/>
      </w:r>
      <w:r w:rsidR="006C63D5" w:rsidRPr="003D6FF8">
        <w:instrText xml:space="preserve"> SEQ Tabela \* ARABIC </w:instrText>
      </w:r>
      <w:r w:rsidR="006C63D5" w:rsidRPr="003D6FF8">
        <w:fldChar w:fldCharType="separate"/>
      </w:r>
      <w:r w:rsidR="00DF0D48">
        <w:rPr>
          <w:noProof/>
        </w:rPr>
        <w:t>11</w:t>
      </w:r>
      <w:r w:rsidR="006C63D5" w:rsidRPr="003D6FF8">
        <w:fldChar w:fldCharType="end"/>
      </w:r>
      <w:r w:rsidR="006C63D5" w:rsidRPr="003D6FF8">
        <w:t>: Bruto dodana vrednost</w:t>
      </w:r>
      <w:bookmarkEnd w:id="31"/>
    </w:p>
    <w:tbl>
      <w:tblPr>
        <w:tblW w:w="5000" w:type="pct"/>
        <w:tblLayout w:type="fixed"/>
        <w:tblCellMar>
          <w:left w:w="70" w:type="dxa"/>
          <w:right w:w="70" w:type="dxa"/>
        </w:tblCellMar>
        <w:tblLook w:val="04A0" w:firstRow="1" w:lastRow="0" w:firstColumn="1" w:lastColumn="0" w:noHBand="0" w:noVBand="1"/>
      </w:tblPr>
      <w:tblGrid>
        <w:gridCol w:w="703"/>
        <w:gridCol w:w="2191"/>
        <w:gridCol w:w="1028"/>
        <w:gridCol w:w="1028"/>
        <w:gridCol w:w="1028"/>
        <w:gridCol w:w="1028"/>
        <w:gridCol w:w="1028"/>
        <w:gridCol w:w="1028"/>
      </w:tblGrid>
      <w:tr w:rsidR="006C63D5" w:rsidRPr="00F44FA4" w14:paraId="469EE4B5" w14:textId="77777777" w:rsidTr="00F42F8F">
        <w:trPr>
          <w:trHeight w:val="315"/>
        </w:trPr>
        <w:tc>
          <w:tcPr>
            <w:tcW w:w="388"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C36A58E" w14:textId="77777777" w:rsidR="006C63D5" w:rsidRPr="00F44FA4" w:rsidRDefault="006C63D5" w:rsidP="004167E8">
            <w:pPr>
              <w:rPr>
                <w:rFonts w:cs="Arial"/>
                <w:b/>
                <w:bCs/>
                <w:color w:val="000000"/>
                <w:szCs w:val="20"/>
                <w:lang w:eastAsia="sl-SI"/>
              </w:rPr>
            </w:pPr>
            <w:r w:rsidRPr="00F44FA4">
              <w:rPr>
                <w:rFonts w:cs="Arial"/>
                <w:b/>
                <w:bCs/>
                <w:color w:val="000000"/>
                <w:szCs w:val="20"/>
                <w:lang w:eastAsia="sl-SI"/>
              </w:rPr>
              <w:t>C.11</w:t>
            </w:r>
          </w:p>
        </w:tc>
        <w:tc>
          <w:tcPr>
            <w:tcW w:w="1209" w:type="pct"/>
            <w:tcBorders>
              <w:top w:val="single" w:sz="4" w:space="0" w:color="auto"/>
              <w:left w:val="nil"/>
              <w:bottom w:val="single" w:sz="4" w:space="0" w:color="auto"/>
              <w:right w:val="single" w:sz="4" w:space="0" w:color="auto"/>
            </w:tcBorders>
            <w:shd w:val="clear" w:color="000000" w:fill="92D050"/>
            <w:noWrap/>
            <w:vAlign w:val="bottom"/>
            <w:hideMark/>
          </w:tcPr>
          <w:p w14:paraId="677A175E" w14:textId="77777777" w:rsidR="006C63D5" w:rsidRPr="00F44FA4" w:rsidRDefault="006C63D5" w:rsidP="004167E8">
            <w:pPr>
              <w:rPr>
                <w:rFonts w:cs="Arial"/>
                <w:b/>
                <w:bCs/>
                <w:color w:val="000000"/>
                <w:szCs w:val="20"/>
                <w:lang w:eastAsia="sl-SI"/>
              </w:rPr>
            </w:pPr>
            <w:r w:rsidRPr="00F44FA4">
              <w:rPr>
                <w:rFonts w:cs="Arial"/>
                <w:b/>
                <w:bCs/>
                <w:color w:val="000000"/>
                <w:szCs w:val="20"/>
                <w:lang w:eastAsia="sl-SI"/>
              </w:rPr>
              <w:t>Bruto dodana vrednost</w:t>
            </w:r>
          </w:p>
        </w:tc>
        <w:tc>
          <w:tcPr>
            <w:tcW w:w="567" w:type="pct"/>
            <w:tcBorders>
              <w:top w:val="single" w:sz="4" w:space="0" w:color="auto"/>
              <w:left w:val="nil"/>
              <w:bottom w:val="single" w:sz="4" w:space="0" w:color="auto"/>
              <w:right w:val="single" w:sz="4" w:space="0" w:color="auto"/>
            </w:tcBorders>
            <w:shd w:val="clear" w:color="000000" w:fill="92D050"/>
            <w:noWrap/>
            <w:vAlign w:val="center"/>
            <w:hideMark/>
          </w:tcPr>
          <w:p w14:paraId="51DF68BC" w14:textId="77777777" w:rsidR="006C63D5" w:rsidRPr="00F44FA4" w:rsidRDefault="006C63D5" w:rsidP="004167E8">
            <w:pPr>
              <w:jc w:val="center"/>
              <w:rPr>
                <w:rFonts w:cs="Arial"/>
                <w:b/>
                <w:bCs/>
                <w:color w:val="000000"/>
                <w:szCs w:val="20"/>
                <w:lang w:eastAsia="sl-SI"/>
              </w:rPr>
            </w:pPr>
            <w:r w:rsidRPr="00F44FA4">
              <w:rPr>
                <w:rFonts w:cs="Arial"/>
                <w:b/>
                <w:bCs/>
                <w:color w:val="000000"/>
                <w:szCs w:val="20"/>
                <w:lang w:eastAsia="sl-SI"/>
              </w:rPr>
              <w:t>2010</w:t>
            </w:r>
          </w:p>
        </w:tc>
        <w:tc>
          <w:tcPr>
            <w:tcW w:w="567" w:type="pct"/>
            <w:tcBorders>
              <w:top w:val="single" w:sz="4" w:space="0" w:color="auto"/>
              <w:left w:val="nil"/>
              <w:bottom w:val="single" w:sz="4" w:space="0" w:color="auto"/>
              <w:right w:val="single" w:sz="4" w:space="0" w:color="auto"/>
            </w:tcBorders>
            <w:shd w:val="clear" w:color="000000" w:fill="92D050"/>
            <w:noWrap/>
            <w:vAlign w:val="center"/>
            <w:hideMark/>
          </w:tcPr>
          <w:p w14:paraId="02C1CA3E" w14:textId="77777777" w:rsidR="006C63D5" w:rsidRPr="00F44FA4" w:rsidRDefault="006C63D5" w:rsidP="004167E8">
            <w:pPr>
              <w:jc w:val="center"/>
              <w:rPr>
                <w:rFonts w:cs="Arial"/>
                <w:b/>
                <w:bCs/>
                <w:color w:val="000000"/>
                <w:szCs w:val="20"/>
                <w:lang w:eastAsia="sl-SI"/>
              </w:rPr>
            </w:pPr>
            <w:r w:rsidRPr="00F44FA4">
              <w:rPr>
                <w:rFonts w:cs="Arial"/>
                <w:b/>
                <w:bCs/>
                <w:color w:val="000000"/>
                <w:szCs w:val="20"/>
                <w:lang w:eastAsia="sl-SI"/>
              </w:rPr>
              <w:t>2013</w:t>
            </w:r>
          </w:p>
        </w:tc>
        <w:tc>
          <w:tcPr>
            <w:tcW w:w="567" w:type="pct"/>
            <w:tcBorders>
              <w:top w:val="single" w:sz="4" w:space="0" w:color="auto"/>
              <w:left w:val="nil"/>
              <w:bottom w:val="single" w:sz="4" w:space="0" w:color="auto"/>
              <w:right w:val="single" w:sz="4" w:space="0" w:color="auto"/>
            </w:tcBorders>
            <w:shd w:val="clear" w:color="000000" w:fill="92D050"/>
            <w:noWrap/>
            <w:vAlign w:val="center"/>
            <w:hideMark/>
          </w:tcPr>
          <w:p w14:paraId="5F786D1C" w14:textId="77777777" w:rsidR="006C63D5" w:rsidRPr="00F44FA4" w:rsidRDefault="006C63D5" w:rsidP="004167E8">
            <w:pPr>
              <w:jc w:val="center"/>
              <w:rPr>
                <w:rFonts w:cs="Arial"/>
                <w:b/>
                <w:bCs/>
                <w:color w:val="000000"/>
                <w:szCs w:val="20"/>
                <w:lang w:eastAsia="sl-SI"/>
              </w:rPr>
            </w:pPr>
            <w:r w:rsidRPr="00F44FA4">
              <w:rPr>
                <w:rFonts w:cs="Arial"/>
                <w:b/>
                <w:bCs/>
                <w:color w:val="000000"/>
                <w:szCs w:val="20"/>
                <w:lang w:eastAsia="sl-SI"/>
              </w:rPr>
              <w:t>2016</w:t>
            </w:r>
          </w:p>
        </w:tc>
        <w:tc>
          <w:tcPr>
            <w:tcW w:w="567" w:type="pct"/>
            <w:tcBorders>
              <w:top w:val="single" w:sz="4" w:space="0" w:color="auto"/>
              <w:left w:val="nil"/>
              <w:bottom w:val="single" w:sz="4" w:space="0" w:color="auto"/>
              <w:right w:val="single" w:sz="4" w:space="0" w:color="auto"/>
            </w:tcBorders>
            <w:shd w:val="clear" w:color="000000" w:fill="92D050"/>
            <w:noWrap/>
            <w:vAlign w:val="center"/>
            <w:hideMark/>
          </w:tcPr>
          <w:p w14:paraId="29FEBB0B" w14:textId="77777777" w:rsidR="006C63D5" w:rsidRPr="00F44FA4" w:rsidRDefault="006C63D5" w:rsidP="004167E8">
            <w:pPr>
              <w:jc w:val="center"/>
              <w:rPr>
                <w:rFonts w:cs="Arial"/>
                <w:b/>
                <w:bCs/>
                <w:color w:val="000000"/>
                <w:szCs w:val="20"/>
                <w:lang w:eastAsia="sl-SI"/>
              </w:rPr>
            </w:pPr>
            <w:r w:rsidRPr="00F44FA4">
              <w:rPr>
                <w:rFonts w:cs="Arial"/>
                <w:b/>
                <w:bCs/>
                <w:color w:val="000000"/>
                <w:szCs w:val="20"/>
                <w:lang w:eastAsia="sl-SI"/>
              </w:rPr>
              <w:t>2017</w:t>
            </w:r>
          </w:p>
        </w:tc>
        <w:tc>
          <w:tcPr>
            <w:tcW w:w="567" w:type="pct"/>
            <w:tcBorders>
              <w:top w:val="single" w:sz="4" w:space="0" w:color="auto"/>
              <w:left w:val="nil"/>
              <w:bottom w:val="single" w:sz="4" w:space="0" w:color="auto"/>
              <w:right w:val="single" w:sz="4" w:space="0" w:color="auto"/>
            </w:tcBorders>
            <w:shd w:val="clear" w:color="000000" w:fill="92D050"/>
            <w:noWrap/>
            <w:vAlign w:val="center"/>
            <w:hideMark/>
          </w:tcPr>
          <w:p w14:paraId="2C5A66BF" w14:textId="77777777" w:rsidR="006C63D5" w:rsidRPr="00F44FA4" w:rsidRDefault="006C63D5" w:rsidP="004167E8">
            <w:pPr>
              <w:jc w:val="center"/>
              <w:rPr>
                <w:rFonts w:cs="Arial"/>
                <w:b/>
                <w:bCs/>
                <w:color w:val="000000"/>
                <w:szCs w:val="20"/>
                <w:lang w:eastAsia="sl-SI"/>
              </w:rPr>
            </w:pPr>
            <w:r w:rsidRPr="00F44FA4">
              <w:rPr>
                <w:rFonts w:cs="Arial"/>
                <w:b/>
                <w:bCs/>
                <w:color w:val="000000"/>
                <w:szCs w:val="20"/>
                <w:lang w:eastAsia="sl-SI"/>
              </w:rPr>
              <w:t>2018</w:t>
            </w:r>
          </w:p>
        </w:tc>
        <w:tc>
          <w:tcPr>
            <w:tcW w:w="567" w:type="pct"/>
            <w:tcBorders>
              <w:top w:val="single" w:sz="4" w:space="0" w:color="auto"/>
              <w:left w:val="nil"/>
              <w:bottom w:val="single" w:sz="4" w:space="0" w:color="auto"/>
              <w:right w:val="single" w:sz="4" w:space="0" w:color="auto"/>
            </w:tcBorders>
            <w:shd w:val="clear" w:color="000000" w:fill="92D050"/>
            <w:noWrap/>
            <w:vAlign w:val="center"/>
            <w:hideMark/>
          </w:tcPr>
          <w:p w14:paraId="23246762" w14:textId="77777777" w:rsidR="006C63D5" w:rsidRPr="00F44FA4" w:rsidRDefault="006C63D5" w:rsidP="004167E8">
            <w:pPr>
              <w:jc w:val="center"/>
              <w:rPr>
                <w:rFonts w:cs="Arial"/>
                <w:b/>
                <w:bCs/>
                <w:color w:val="000000"/>
                <w:szCs w:val="20"/>
                <w:lang w:eastAsia="sl-SI"/>
              </w:rPr>
            </w:pPr>
            <w:r w:rsidRPr="00F44FA4">
              <w:rPr>
                <w:rFonts w:cs="Arial"/>
                <w:b/>
                <w:bCs/>
                <w:color w:val="000000"/>
                <w:szCs w:val="20"/>
                <w:lang w:eastAsia="sl-SI"/>
              </w:rPr>
              <w:t>2019</w:t>
            </w:r>
          </w:p>
        </w:tc>
      </w:tr>
      <w:tr w:rsidR="006C63D5" w:rsidRPr="00F44FA4" w14:paraId="25CCE363" w14:textId="77777777" w:rsidTr="00F42F8F">
        <w:trPr>
          <w:trHeight w:val="315"/>
        </w:trPr>
        <w:tc>
          <w:tcPr>
            <w:tcW w:w="38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8B8BFE1" w14:textId="77777777" w:rsidR="006C63D5" w:rsidRPr="00F44FA4" w:rsidRDefault="006C63D5" w:rsidP="004167E8">
            <w:pPr>
              <w:rPr>
                <w:rFonts w:cs="Arial"/>
                <w:color w:val="000000"/>
                <w:szCs w:val="20"/>
                <w:lang w:eastAsia="sl-SI"/>
              </w:rPr>
            </w:pPr>
            <w:r w:rsidRPr="00F44FA4">
              <w:rPr>
                <w:rFonts w:cs="Arial"/>
                <w:color w:val="000000"/>
                <w:szCs w:val="20"/>
                <w:lang w:eastAsia="sl-SI"/>
              </w:rPr>
              <w:t> </w:t>
            </w:r>
          </w:p>
        </w:tc>
        <w:tc>
          <w:tcPr>
            <w:tcW w:w="1209" w:type="pct"/>
            <w:tcBorders>
              <w:top w:val="nil"/>
              <w:left w:val="nil"/>
              <w:bottom w:val="single" w:sz="4" w:space="0" w:color="auto"/>
              <w:right w:val="single" w:sz="4" w:space="0" w:color="auto"/>
            </w:tcBorders>
            <w:shd w:val="clear" w:color="auto" w:fill="auto"/>
            <w:vAlign w:val="bottom"/>
            <w:hideMark/>
          </w:tcPr>
          <w:p w14:paraId="42A6098F" w14:textId="77777777" w:rsidR="006C63D5" w:rsidRPr="00F44FA4" w:rsidRDefault="006C63D5" w:rsidP="004167E8">
            <w:pPr>
              <w:rPr>
                <w:rFonts w:cs="Arial"/>
                <w:color w:val="000000"/>
                <w:szCs w:val="20"/>
                <w:lang w:eastAsia="sl-SI"/>
              </w:rPr>
            </w:pPr>
            <w:r w:rsidRPr="00F44FA4">
              <w:rPr>
                <w:rFonts w:cs="Arial"/>
                <w:color w:val="000000"/>
                <w:szCs w:val="20"/>
                <w:lang w:eastAsia="sl-SI"/>
              </w:rPr>
              <w:t>BDV skupaj (mio EUR)</w:t>
            </w:r>
          </w:p>
        </w:tc>
        <w:tc>
          <w:tcPr>
            <w:tcW w:w="567" w:type="pct"/>
            <w:tcBorders>
              <w:top w:val="nil"/>
              <w:left w:val="nil"/>
              <w:bottom w:val="single" w:sz="4" w:space="0" w:color="auto"/>
              <w:right w:val="single" w:sz="4" w:space="0" w:color="auto"/>
            </w:tcBorders>
            <w:shd w:val="clear" w:color="auto" w:fill="auto"/>
            <w:noWrap/>
            <w:vAlign w:val="center"/>
            <w:hideMark/>
          </w:tcPr>
          <w:p w14:paraId="76C97F39"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31.693,50</w:t>
            </w:r>
          </w:p>
        </w:tc>
        <w:tc>
          <w:tcPr>
            <w:tcW w:w="567" w:type="pct"/>
            <w:tcBorders>
              <w:top w:val="nil"/>
              <w:left w:val="nil"/>
              <w:bottom w:val="single" w:sz="4" w:space="0" w:color="auto"/>
              <w:right w:val="single" w:sz="4" w:space="0" w:color="auto"/>
            </w:tcBorders>
            <w:shd w:val="clear" w:color="auto" w:fill="auto"/>
            <w:noWrap/>
            <w:vAlign w:val="center"/>
            <w:hideMark/>
          </w:tcPr>
          <w:p w14:paraId="2B22AA77"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31.508,80</w:t>
            </w:r>
          </w:p>
        </w:tc>
        <w:tc>
          <w:tcPr>
            <w:tcW w:w="567" w:type="pct"/>
            <w:tcBorders>
              <w:top w:val="nil"/>
              <w:left w:val="nil"/>
              <w:bottom w:val="single" w:sz="4" w:space="0" w:color="auto"/>
              <w:right w:val="single" w:sz="4" w:space="0" w:color="auto"/>
            </w:tcBorders>
            <w:shd w:val="clear" w:color="auto" w:fill="auto"/>
            <w:noWrap/>
            <w:vAlign w:val="center"/>
            <w:hideMark/>
          </w:tcPr>
          <w:p w14:paraId="6BF25B57"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34.952,80</w:t>
            </w:r>
          </w:p>
        </w:tc>
        <w:tc>
          <w:tcPr>
            <w:tcW w:w="567" w:type="pct"/>
            <w:tcBorders>
              <w:top w:val="nil"/>
              <w:left w:val="nil"/>
              <w:bottom w:val="single" w:sz="4" w:space="0" w:color="auto"/>
              <w:right w:val="single" w:sz="4" w:space="0" w:color="auto"/>
            </w:tcBorders>
            <w:shd w:val="clear" w:color="auto" w:fill="auto"/>
            <w:noWrap/>
            <w:vAlign w:val="center"/>
            <w:hideMark/>
          </w:tcPr>
          <w:p w14:paraId="4BA6F6B7"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37.350,20</w:t>
            </w:r>
          </w:p>
        </w:tc>
        <w:tc>
          <w:tcPr>
            <w:tcW w:w="567" w:type="pct"/>
            <w:tcBorders>
              <w:top w:val="nil"/>
              <w:left w:val="nil"/>
              <w:bottom w:val="single" w:sz="4" w:space="0" w:color="auto"/>
              <w:right w:val="single" w:sz="4" w:space="0" w:color="auto"/>
            </w:tcBorders>
            <w:shd w:val="clear" w:color="auto" w:fill="auto"/>
            <w:noWrap/>
            <w:vAlign w:val="center"/>
            <w:hideMark/>
          </w:tcPr>
          <w:p w14:paraId="5F53A9B6"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39.838,50</w:t>
            </w:r>
          </w:p>
        </w:tc>
        <w:tc>
          <w:tcPr>
            <w:tcW w:w="567" w:type="pct"/>
            <w:tcBorders>
              <w:top w:val="nil"/>
              <w:left w:val="nil"/>
              <w:bottom w:val="single" w:sz="4" w:space="0" w:color="auto"/>
              <w:right w:val="single" w:sz="4" w:space="0" w:color="auto"/>
            </w:tcBorders>
            <w:shd w:val="clear" w:color="auto" w:fill="auto"/>
            <w:vAlign w:val="center"/>
            <w:hideMark/>
          </w:tcPr>
          <w:p w14:paraId="27A2A627"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41.882,30</w:t>
            </w:r>
          </w:p>
        </w:tc>
      </w:tr>
      <w:tr w:rsidR="006C63D5" w:rsidRPr="00F44FA4" w14:paraId="4CD3680C" w14:textId="77777777" w:rsidTr="00F42F8F">
        <w:trPr>
          <w:trHeight w:val="128"/>
        </w:trPr>
        <w:tc>
          <w:tcPr>
            <w:tcW w:w="388" w:type="pct"/>
            <w:vMerge/>
            <w:tcBorders>
              <w:top w:val="nil"/>
              <w:left w:val="single" w:sz="4" w:space="0" w:color="auto"/>
              <w:bottom w:val="single" w:sz="4" w:space="0" w:color="auto"/>
              <w:right w:val="single" w:sz="4" w:space="0" w:color="auto"/>
            </w:tcBorders>
            <w:vAlign w:val="center"/>
            <w:hideMark/>
          </w:tcPr>
          <w:p w14:paraId="403C0FCD" w14:textId="77777777" w:rsidR="006C63D5" w:rsidRPr="00F44FA4" w:rsidRDefault="006C63D5" w:rsidP="004167E8">
            <w:pPr>
              <w:rPr>
                <w:rFonts w:cs="Arial"/>
                <w:color w:val="000000"/>
                <w:szCs w:val="20"/>
                <w:lang w:eastAsia="sl-SI"/>
              </w:rPr>
            </w:pPr>
          </w:p>
        </w:tc>
        <w:tc>
          <w:tcPr>
            <w:tcW w:w="1209" w:type="pct"/>
            <w:tcBorders>
              <w:top w:val="nil"/>
              <w:left w:val="nil"/>
              <w:bottom w:val="single" w:sz="4" w:space="0" w:color="auto"/>
              <w:right w:val="single" w:sz="4" w:space="0" w:color="auto"/>
            </w:tcBorders>
            <w:shd w:val="clear" w:color="000000" w:fill="FFFFFF"/>
            <w:vAlign w:val="bottom"/>
            <w:hideMark/>
          </w:tcPr>
          <w:p w14:paraId="5B370636" w14:textId="77777777" w:rsidR="006C63D5" w:rsidRPr="00F44FA4" w:rsidRDefault="006C63D5" w:rsidP="004167E8">
            <w:pPr>
              <w:rPr>
                <w:rFonts w:cs="Arial"/>
                <w:color w:val="000000"/>
                <w:szCs w:val="20"/>
                <w:lang w:eastAsia="sl-SI"/>
              </w:rPr>
            </w:pPr>
            <w:r w:rsidRPr="00F44FA4">
              <w:rPr>
                <w:rFonts w:cs="Arial"/>
                <w:color w:val="000000"/>
                <w:szCs w:val="20"/>
                <w:lang w:eastAsia="sl-SI"/>
              </w:rPr>
              <w:t>Porazdelitev BDV po gospodarskih sektorjih - primarni sektor (%)</w:t>
            </w:r>
          </w:p>
        </w:tc>
        <w:tc>
          <w:tcPr>
            <w:tcW w:w="567" w:type="pct"/>
            <w:tcBorders>
              <w:top w:val="nil"/>
              <w:left w:val="nil"/>
              <w:bottom w:val="single" w:sz="4" w:space="0" w:color="auto"/>
              <w:right w:val="single" w:sz="4" w:space="0" w:color="auto"/>
            </w:tcBorders>
            <w:shd w:val="clear" w:color="auto" w:fill="auto"/>
            <w:noWrap/>
            <w:vAlign w:val="center"/>
            <w:hideMark/>
          </w:tcPr>
          <w:p w14:paraId="68F61E2E"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2,17</w:t>
            </w:r>
          </w:p>
        </w:tc>
        <w:tc>
          <w:tcPr>
            <w:tcW w:w="567" w:type="pct"/>
            <w:tcBorders>
              <w:top w:val="nil"/>
              <w:left w:val="nil"/>
              <w:bottom w:val="single" w:sz="4" w:space="0" w:color="auto"/>
              <w:right w:val="single" w:sz="4" w:space="0" w:color="auto"/>
            </w:tcBorders>
            <w:shd w:val="clear" w:color="auto" w:fill="auto"/>
            <w:noWrap/>
            <w:vAlign w:val="center"/>
            <w:hideMark/>
          </w:tcPr>
          <w:p w14:paraId="44F0BF60"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2,28</w:t>
            </w:r>
          </w:p>
        </w:tc>
        <w:tc>
          <w:tcPr>
            <w:tcW w:w="567" w:type="pct"/>
            <w:tcBorders>
              <w:top w:val="nil"/>
              <w:left w:val="nil"/>
              <w:bottom w:val="single" w:sz="4" w:space="0" w:color="auto"/>
              <w:right w:val="single" w:sz="4" w:space="0" w:color="auto"/>
            </w:tcBorders>
            <w:shd w:val="clear" w:color="auto" w:fill="auto"/>
            <w:noWrap/>
            <w:vAlign w:val="center"/>
            <w:hideMark/>
          </w:tcPr>
          <w:p w14:paraId="62EA9898"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2,31</w:t>
            </w:r>
          </w:p>
        </w:tc>
        <w:tc>
          <w:tcPr>
            <w:tcW w:w="567" w:type="pct"/>
            <w:tcBorders>
              <w:top w:val="nil"/>
              <w:left w:val="nil"/>
              <w:bottom w:val="single" w:sz="4" w:space="0" w:color="auto"/>
              <w:right w:val="single" w:sz="4" w:space="0" w:color="auto"/>
            </w:tcBorders>
            <w:shd w:val="clear" w:color="auto" w:fill="auto"/>
            <w:noWrap/>
            <w:vAlign w:val="center"/>
            <w:hideMark/>
          </w:tcPr>
          <w:p w14:paraId="5CECED70"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2,13</w:t>
            </w:r>
          </w:p>
        </w:tc>
        <w:tc>
          <w:tcPr>
            <w:tcW w:w="567" w:type="pct"/>
            <w:tcBorders>
              <w:top w:val="nil"/>
              <w:left w:val="nil"/>
              <w:bottom w:val="single" w:sz="4" w:space="0" w:color="auto"/>
              <w:right w:val="single" w:sz="4" w:space="0" w:color="auto"/>
            </w:tcBorders>
            <w:shd w:val="clear" w:color="auto" w:fill="auto"/>
            <w:noWrap/>
            <w:vAlign w:val="center"/>
            <w:hideMark/>
          </w:tcPr>
          <w:p w14:paraId="085DC2F3"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2,42</w:t>
            </w:r>
          </w:p>
        </w:tc>
        <w:tc>
          <w:tcPr>
            <w:tcW w:w="567" w:type="pct"/>
            <w:tcBorders>
              <w:top w:val="nil"/>
              <w:left w:val="nil"/>
              <w:bottom w:val="single" w:sz="4" w:space="0" w:color="auto"/>
              <w:right w:val="single" w:sz="4" w:space="0" w:color="auto"/>
            </w:tcBorders>
            <w:shd w:val="clear" w:color="auto" w:fill="auto"/>
            <w:vAlign w:val="center"/>
            <w:hideMark/>
          </w:tcPr>
          <w:p w14:paraId="100C8EEA"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2,26</w:t>
            </w:r>
          </w:p>
        </w:tc>
      </w:tr>
      <w:tr w:rsidR="006C63D5" w:rsidRPr="00F44FA4" w14:paraId="65C6B545" w14:textId="77777777" w:rsidTr="00F42F8F">
        <w:trPr>
          <w:trHeight w:val="330"/>
        </w:trPr>
        <w:tc>
          <w:tcPr>
            <w:tcW w:w="388" w:type="pct"/>
            <w:vMerge/>
            <w:tcBorders>
              <w:top w:val="nil"/>
              <w:left w:val="single" w:sz="4" w:space="0" w:color="auto"/>
              <w:bottom w:val="single" w:sz="4" w:space="0" w:color="auto"/>
              <w:right w:val="single" w:sz="4" w:space="0" w:color="auto"/>
            </w:tcBorders>
            <w:vAlign w:val="center"/>
            <w:hideMark/>
          </w:tcPr>
          <w:p w14:paraId="654B614F" w14:textId="77777777" w:rsidR="006C63D5" w:rsidRPr="00F44FA4" w:rsidRDefault="006C63D5" w:rsidP="004167E8">
            <w:pPr>
              <w:rPr>
                <w:rFonts w:cs="Arial"/>
                <w:color w:val="000000"/>
                <w:szCs w:val="20"/>
                <w:lang w:eastAsia="sl-SI"/>
              </w:rPr>
            </w:pPr>
          </w:p>
        </w:tc>
        <w:tc>
          <w:tcPr>
            <w:tcW w:w="1209" w:type="pct"/>
            <w:tcBorders>
              <w:top w:val="nil"/>
              <w:left w:val="nil"/>
              <w:bottom w:val="single" w:sz="4" w:space="0" w:color="auto"/>
              <w:right w:val="single" w:sz="4" w:space="0" w:color="auto"/>
            </w:tcBorders>
            <w:shd w:val="clear" w:color="000000" w:fill="FFFFFF"/>
            <w:vAlign w:val="bottom"/>
            <w:hideMark/>
          </w:tcPr>
          <w:p w14:paraId="17E10272" w14:textId="77777777" w:rsidR="006C63D5" w:rsidRPr="00F44FA4" w:rsidRDefault="006C63D5" w:rsidP="004167E8">
            <w:pPr>
              <w:rPr>
                <w:rFonts w:cs="Arial"/>
                <w:color w:val="000000"/>
                <w:szCs w:val="20"/>
                <w:lang w:eastAsia="sl-SI"/>
              </w:rPr>
            </w:pPr>
            <w:r w:rsidRPr="00F44FA4">
              <w:rPr>
                <w:rFonts w:cs="Arial"/>
                <w:color w:val="000000"/>
                <w:szCs w:val="20"/>
                <w:lang w:eastAsia="sl-SI"/>
              </w:rPr>
              <w:t>Porazdelitev BDV po gospodarskih sektorjih - sekundarni sektor (%)</w:t>
            </w:r>
          </w:p>
        </w:tc>
        <w:tc>
          <w:tcPr>
            <w:tcW w:w="567" w:type="pct"/>
            <w:tcBorders>
              <w:top w:val="nil"/>
              <w:left w:val="nil"/>
              <w:bottom w:val="single" w:sz="4" w:space="0" w:color="auto"/>
              <w:right w:val="single" w:sz="4" w:space="0" w:color="auto"/>
            </w:tcBorders>
            <w:shd w:val="clear" w:color="auto" w:fill="auto"/>
            <w:noWrap/>
            <w:vAlign w:val="center"/>
            <w:hideMark/>
          </w:tcPr>
          <w:p w14:paraId="2E2794B9"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30,41</w:t>
            </w:r>
          </w:p>
        </w:tc>
        <w:tc>
          <w:tcPr>
            <w:tcW w:w="567" w:type="pct"/>
            <w:tcBorders>
              <w:top w:val="nil"/>
              <w:left w:val="nil"/>
              <w:bottom w:val="single" w:sz="4" w:space="0" w:color="auto"/>
              <w:right w:val="single" w:sz="4" w:space="0" w:color="auto"/>
            </w:tcBorders>
            <w:shd w:val="clear" w:color="auto" w:fill="auto"/>
            <w:noWrap/>
            <w:vAlign w:val="center"/>
            <w:hideMark/>
          </w:tcPr>
          <w:p w14:paraId="3F8157B9"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31,80</w:t>
            </w:r>
          </w:p>
        </w:tc>
        <w:tc>
          <w:tcPr>
            <w:tcW w:w="567" w:type="pct"/>
            <w:tcBorders>
              <w:top w:val="nil"/>
              <w:left w:val="nil"/>
              <w:bottom w:val="single" w:sz="4" w:space="0" w:color="auto"/>
              <w:right w:val="single" w:sz="4" w:space="0" w:color="auto"/>
            </w:tcBorders>
            <w:shd w:val="clear" w:color="auto" w:fill="auto"/>
            <w:noWrap/>
            <w:vAlign w:val="center"/>
            <w:hideMark/>
          </w:tcPr>
          <w:p w14:paraId="600F17DE"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32,32</w:t>
            </w:r>
          </w:p>
        </w:tc>
        <w:tc>
          <w:tcPr>
            <w:tcW w:w="567" w:type="pct"/>
            <w:tcBorders>
              <w:top w:val="nil"/>
              <w:left w:val="nil"/>
              <w:bottom w:val="single" w:sz="4" w:space="0" w:color="auto"/>
              <w:right w:val="single" w:sz="4" w:space="0" w:color="auto"/>
            </w:tcBorders>
            <w:shd w:val="clear" w:color="auto" w:fill="auto"/>
            <w:noWrap/>
            <w:vAlign w:val="center"/>
            <w:hideMark/>
          </w:tcPr>
          <w:p w14:paraId="3E137A50"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32,71</w:t>
            </w:r>
          </w:p>
        </w:tc>
        <w:tc>
          <w:tcPr>
            <w:tcW w:w="567" w:type="pct"/>
            <w:tcBorders>
              <w:top w:val="nil"/>
              <w:left w:val="nil"/>
              <w:bottom w:val="single" w:sz="4" w:space="0" w:color="auto"/>
              <w:right w:val="single" w:sz="4" w:space="0" w:color="auto"/>
            </w:tcBorders>
            <w:shd w:val="clear" w:color="auto" w:fill="auto"/>
            <w:noWrap/>
            <w:vAlign w:val="center"/>
            <w:hideMark/>
          </w:tcPr>
          <w:p w14:paraId="0C4820AA"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32,66</w:t>
            </w:r>
          </w:p>
        </w:tc>
        <w:tc>
          <w:tcPr>
            <w:tcW w:w="567" w:type="pct"/>
            <w:tcBorders>
              <w:top w:val="nil"/>
              <w:left w:val="nil"/>
              <w:bottom w:val="single" w:sz="4" w:space="0" w:color="auto"/>
              <w:right w:val="single" w:sz="4" w:space="0" w:color="auto"/>
            </w:tcBorders>
            <w:shd w:val="clear" w:color="auto" w:fill="auto"/>
            <w:vAlign w:val="center"/>
            <w:hideMark/>
          </w:tcPr>
          <w:p w14:paraId="4619C5D1"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32,55</w:t>
            </w:r>
          </w:p>
        </w:tc>
      </w:tr>
      <w:tr w:rsidR="006C63D5" w:rsidRPr="00F44FA4" w14:paraId="3865A152" w14:textId="77777777" w:rsidTr="00F42F8F">
        <w:trPr>
          <w:trHeight w:val="315"/>
        </w:trPr>
        <w:tc>
          <w:tcPr>
            <w:tcW w:w="388" w:type="pct"/>
            <w:vMerge/>
            <w:tcBorders>
              <w:top w:val="nil"/>
              <w:left w:val="single" w:sz="4" w:space="0" w:color="auto"/>
              <w:bottom w:val="single" w:sz="4" w:space="0" w:color="auto"/>
              <w:right w:val="single" w:sz="4" w:space="0" w:color="auto"/>
            </w:tcBorders>
            <w:vAlign w:val="center"/>
            <w:hideMark/>
          </w:tcPr>
          <w:p w14:paraId="132509D0" w14:textId="77777777" w:rsidR="006C63D5" w:rsidRPr="00F44FA4" w:rsidRDefault="006C63D5" w:rsidP="004167E8">
            <w:pPr>
              <w:rPr>
                <w:rFonts w:cs="Arial"/>
                <w:color w:val="000000"/>
                <w:szCs w:val="20"/>
                <w:lang w:eastAsia="sl-SI"/>
              </w:rPr>
            </w:pPr>
          </w:p>
        </w:tc>
        <w:tc>
          <w:tcPr>
            <w:tcW w:w="1209" w:type="pct"/>
            <w:tcBorders>
              <w:top w:val="nil"/>
              <w:left w:val="nil"/>
              <w:bottom w:val="single" w:sz="4" w:space="0" w:color="auto"/>
              <w:right w:val="single" w:sz="4" w:space="0" w:color="auto"/>
            </w:tcBorders>
            <w:shd w:val="clear" w:color="000000" w:fill="FFFFFF"/>
            <w:vAlign w:val="bottom"/>
            <w:hideMark/>
          </w:tcPr>
          <w:p w14:paraId="0EF619B4" w14:textId="77777777" w:rsidR="006C63D5" w:rsidRPr="00F44FA4" w:rsidRDefault="006C63D5" w:rsidP="004167E8">
            <w:pPr>
              <w:rPr>
                <w:rFonts w:cs="Arial"/>
                <w:color w:val="000000"/>
                <w:szCs w:val="20"/>
                <w:lang w:eastAsia="sl-SI"/>
              </w:rPr>
            </w:pPr>
            <w:r w:rsidRPr="00F44FA4">
              <w:rPr>
                <w:rFonts w:cs="Arial"/>
                <w:color w:val="000000"/>
                <w:szCs w:val="20"/>
                <w:lang w:eastAsia="sl-SI"/>
              </w:rPr>
              <w:t>Porazdelitev BDV po gospodarskih sektorjih - terciarni sektor (%)</w:t>
            </w:r>
          </w:p>
        </w:tc>
        <w:tc>
          <w:tcPr>
            <w:tcW w:w="567" w:type="pct"/>
            <w:tcBorders>
              <w:top w:val="nil"/>
              <w:left w:val="nil"/>
              <w:bottom w:val="single" w:sz="4" w:space="0" w:color="auto"/>
              <w:right w:val="single" w:sz="4" w:space="0" w:color="auto"/>
            </w:tcBorders>
            <w:shd w:val="clear" w:color="auto" w:fill="auto"/>
            <w:noWrap/>
            <w:vAlign w:val="center"/>
            <w:hideMark/>
          </w:tcPr>
          <w:p w14:paraId="1244B728"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67,42</w:t>
            </w:r>
          </w:p>
        </w:tc>
        <w:tc>
          <w:tcPr>
            <w:tcW w:w="567" w:type="pct"/>
            <w:tcBorders>
              <w:top w:val="nil"/>
              <w:left w:val="nil"/>
              <w:bottom w:val="single" w:sz="4" w:space="0" w:color="auto"/>
              <w:right w:val="single" w:sz="4" w:space="0" w:color="auto"/>
            </w:tcBorders>
            <w:shd w:val="clear" w:color="auto" w:fill="auto"/>
            <w:noWrap/>
            <w:vAlign w:val="center"/>
            <w:hideMark/>
          </w:tcPr>
          <w:p w14:paraId="713325D0"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65,92</w:t>
            </w:r>
          </w:p>
        </w:tc>
        <w:tc>
          <w:tcPr>
            <w:tcW w:w="567" w:type="pct"/>
            <w:tcBorders>
              <w:top w:val="nil"/>
              <w:left w:val="nil"/>
              <w:bottom w:val="single" w:sz="4" w:space="0" w:color="auto"/>
              <w:right w:val="single" w:sz="4" w:space="0" w:color="auto"/>
            </w:tcBorders>
            <w:shd w:val="clear" w:color="auto" w:fill="auto"/>
            <w:noWrap/>
            <w:vAlign w:val="center"/>
            <w:hideMark/>
          </w:tcPr>
          <w:p w14:paraId="523E83D0"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65,37</w:t>
            </w:r>
          </w:p>
        </w:tc>
        <w:tc>
          <w:tcPr>
            <w:tcW w:w="567" w:type="pct"/>
            <w:tcBorders>
              <w:top w:val="nil"/>
              <w:left w:val="nil"/>
              <w:bottom w:val="single" w:sz="4" w:space="0" w:color="auto"/>
              <w:right w:val="single" w:sz="4" w:space="0" w:color="auto"/>
            </w:tcBorders>
            <w:shd w:val="clear" w:color="auto" w:fill="auto"/>
            <w:noWrap/>
            <w:vAlign w:val="center"/>
            <w:hideMark/>
          </w:tcPr>
          <w:p w14:paraId="4353A817"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65,16</w:t>
            </w:r>
          </w:p>
        </w:tc>
        <w:tc>
          <w:tcPr>
            <w:tcW w:w="567" w:type="pct"/>
            <w:tcBorders>
              <w:top w:val="nil"/>
              <w:left w:val="nil"/>
              <w:bottom w:val="single" w:sz="4" w:space="0" w:color="auto"/>
              <w:right w:val="single" w:sz="4" w:space="0" w:color="auto"/>
            </w:tcBorders>
            <w:shd w:val="clear" w:color="auto" w:fill="auto"/>
            <w:noWrap/>
            <w:vAlign w:val="center"/>
            <w:hideMark/>
          </w:tcPr>
          <w:p w14:paraId="7B6458E9"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64,93</w:t>
            </w:r>
          </w:p>
        </w:tc>
        <w:tc>
          <w:tcPr>
            <w:tcW w:w="567" w:type="pct"/>
            <w:tcBorders>
              <w:top w:val="nil"/>
              <w:left w:val="nil"/>
              <w:bottom w:val="single" w:sz="4" w:space="0" w:color="auto"/>
              <w:right w:val="single" w:sz="4" w:space="0" w:color="auto"/>
            </w:tcBorders>
            <w:shd w:val="clear" w:color="auto" w:fill="auto"/>
            <w:vAlign w:val="center"/>
            <w:hideMark/>
          </w:tcPr>
          <w:p w14:paraId="53B3EBB0"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65,19</w:t>
            </w:r>
          </w:p>
        </w:tc>
      </w:tr>
      <w:tr w:rsidR="006C63D5" w:rsidRPr="00F44FA4" w14:paraId="7723E3C7" w14:textId="77777777" w:rsidTr="00F42F8F">
        <w:trPr>
          <w:trHeight w:val="315"/>
        </w:trPr>
        <w:tc>
          <w:tcPr>
            <w:tcW w:w="388" w:type="pct"/>
            <w:vMerge/>
            <w:tcBorders>
              <w:top w:val="nil"/>
              <w:left w:val="single" w:sz="4" w:space="0" w:color="auto"/>
              <w:bottom w:val="single" w:sz="4" w:space="0" w:color="auto"/>
              <w:right w:val="single" w:sz="4" w:space="0" w:color="auto"/>
            </w:tcBorders>
            <w:vAlign w:val="center"/>
            <w:hideMark/>
          </w:tcPr>
          <w:p w14:paraId="2DEA8D39" w14:textId="77777777" w:rsidR="006C63D5" w:rsidRPr="00F44FA4" w:rsidRDefault="006C63D5" w:rsidP="004167E8">
            <w:pPr>
              <w:rPr>
                <w:rFonts w:cs="Arial"/>
                <w:color w:val="000000"/>
                <w:szCs w:val="20"/>
                <w:lang w:eastAsia="sl-SI"/>
              </w:rPr>
            </w:pPr>
          </w:p>
        </w:tc>
        <w:tc>
          <w:tcPr>
            <w:tcW w:w="1209" w:type="pct"/>
            <w:tcBorders>
              <w:top w:val="nil"/>
              <w:left w:val="nil"/>
              <w:bottom w:val="single" w:sz="4" w:space="0" w:color="auto"/>
              <w:right w:val="single" w:sz="4" w:space="0" w:color="auto"/>
            </w:tcBorders>
            <w:shd w:val="clear" w:color="000000" w:fill="FFFFFF"/>
            <w:vAlign w:val="bottom"/>
            <w:hideMark/>
          </w:tcPr>
          <w:p w14:paraId="1A3893A8" w14:textId="77777777" w:rsidR="006C63D5" w:rsidRPr="00F44FA4" w:rsidRDefault="006C63D5" w:rsidP="004167E8">
            <w:pPr>
              <w:rPr>
                <w:rFonts w:cs="Arial"/>
                <w:color w:val="000000"/>
                <w:szCs w:val="20"/>
                <w:lang w:eastAsia="sl-SI"/>
              </w:rPr>
            </w:pPr>
            <w:r w:rsidRPr="00F44FA4">
              <w:rPr>
                <w:rFonts w:cs="Arial"/>
                <w:color w:val="000000"/>
                <w:szCs w:val="20"/>
                <w:lang w:eastAsia="sl-SI"/>
              </w:rPr>
              <w:t>Porazdelitev BDV po vrstah regij - vmesne regije (%)</w:t>
            </w:r>
          </w:p>
        </w:tc>
        <w:tc>
          <w:tcPr>
            <w:tcW w:w="567" w:type="pct"/>
            <w:tcBorders>
              <w:top w:val="nil"/>
              <w:left w:val="nil"/>
              <w:bottom w:val="single" w:sz="4" w:space="0" w:color="auto"/>
              <w:right w:val="single" w:sz="4" w:space="0" w:color="auto"/>
            </w:tcBorders>
            <w:shd w:val="clear" w:color="000000" w:fill="FFFFFF"/>
            <w:noWrap/>
            <w:vAlign w:val="center"/>
            <w:hideMark/>
          </w:tcPr>
          <w:p w14:paraId="0785669B"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50,56</w:t>
            </w:r>
          </w:p>
        </w:tc>
        <w:tc>
          <w:tcPr>
            <w:tcW w:w="567" w:type="pct"/>
            <w:tcBorders>
              <w:top w:val="nil"/>
              <w:left w:val="nil"/>
              <w:bottom w:val="single" w:sz="4" w:space="0" w:color="auto"/>
              <w:right w:val="single" w:sz="4" w:space="0" w:color="auto"/>
            </w:tcBorders>
            <w:shd w:val="clear" w:color="000000" w:fill="FFFFFF"/>
            <w:noWrap/>
            <w:vAlign w:val="center"/>
            <w:hideMark/>
          </w:tcPr>
          <w:p w14:paraId="23BE023B"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50,24</w:t>
            </w:r>
          </w:p>
        </w:tc>
        <w:tc>
          <w:tcPr>
            <w:tcW w:w="567" w:type="pct"/>
            <w:tcBorders>
              <w:top w:val="nil"/>
              <w:left w:val="nil"/>
              <w:bottom w:val="single" w:sz="4" w:space="0" w:color="auto"/>
              <w:right w:val="single" w:sz="4" w:space="0" w:color="auto"/>
            </w:tcBorders>
            <w:shd w:val="clear" w:color="000000" w:fill="FFFFFF"/>
            <w:noWrap/>
            <w:vAlign w:val="center"/>
            <w:hideMark/>
          </w:tcPr>
          <w:p w14:paraId="4B685492"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51,04</w:t>
            </w:r>
          </w:p>
        </w:tc>
        <w:tc>
          <w:tcPr>
            <w:tcW w:w="567" w:type="pct"/>
            <w:tcBorders>
              <w:top w:val="nil"/>
              <w:left w:val="nil"/>
              <w:bottom w:val="single" w:sz="4" w:space="0" w:color="auto"/>
              <w:right w:val="single" w:sz="4" w:space="0" w:color="auto"/>
            </w:tcBorders>
            <w:shd w:val="clear" w:color="auto" w:fill="auto"/>
            <w:noWrap/>
            <w:vAlign w:val="center"/>
            <w:hideMark/>
          </w:tcPr>
          <w:p w14:paraId="7C813549"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51,31</w:t>
            </w:r>
          </w:p>
        </w:tc>
        <w:tc>
          <w:tcPr>
            <w:tcW w:w="567" w:type="pct"/>
            <w:tcBorders>
              <w:top w:val="nil"/>
              <w:left w:val="nil"/>
              <w:bottom w:val="single" w:sz="4" w:space="0" w:color="auto"/>
              <w:right w:val="single" w:sz="4" w:space="0" w:color="auto"/>
            </w:tcBorders>
            <w:shd w:val="clear" w:color="auto" w:fill="auto"/>
            <w:noWrap/>
            <w:vAlign w:val="center"/>
            <w:hideMark/>
          </w:tcPr>
          <w:p w14:paraId="03E61FF8"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w:t>
            </w:r>
          </w:p>
        </w:tc>
        <w:tc>
          <w:tcPr>
            <w:tcW w:w="567" w:type="pct"/>
            <w:tcBorders>
              <w:top w:val="nil"/>
              <w:left w:val="nil"/>
              <w:bottom w:val="single" w:sz="4" w:space="0" w:color="auto"/>
              <w:right w:val="single" w:sz="4" w:space="0" w:color="auto"/>
            </w:tcBorders>
            <w:shd w:val="clear" w:color="auto" w:fill="auto"/>
            <w:vAlign w:val="center"/>
            <w:hideMark/>
          </w:tcPr>
          <w:p w14:paraId="2E6516AE"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w:t>
            </w:r>
          </w:p>
        </w:tc>
      </w:tr>
      <w:tr w:rsidR="006C63D5" w:rsidRPr="00F44FA4" w14:paraId="2B4E04D5" w14:textId="77777777" w:rsidTr="00F42F8F">
        <w:trPr>
          <w:trHeight w:val="315"/>
        </w:trPr>
        <w:tc>
          <w:tcPr>
            <w:tcW w:w="388" w:type="pct"/>
            <w:vMerge/>
            <w:tcBorders>
              <w:top w:val="nil"/>
              <w:left w:val="single" w:sz="4" w:space="0" w:color="auto"/>
              <w:bottom w:val="single" w:sz="4" w:space="0" w:color="auto"/>
              <w:right w:val="single" w:sz="4" w:space="0" w:color="auto"/>
            </w:tcBorders>
            <w:vAlign w:val="center"/>
            <w:hideMark/>
          </w:tcPr>
          <w:p w14:paraId="36E64FF1" w14:textId="77777777" w:rsidR="006C63D5" w:rsidRPr="00F44FA4" w:rsidRDefault="006C63D5" w:rsidP="004167E8">
            <w:pPr>
              <w:rPr>
                <w:rFonts w:cs="Arial"/>
                <w:color w:val="000000"/>
                <w:szCs w:val="20"/>
                <w:lang w:eastAsia="sl-SI"/>
              </w:rPr>
            </w:pPr>
          </w:p>
        </w:tc>
        <w:tc>
          <w:tcPr>
            <w:tcW w:w="1209" w:type="pct"/>
            <w:tcBorders>
              <w:top w:val="nil"/>
              <w:left w:val="nil"/>
              <w:bottom w:val="single" w:sz="4" w:space="0" w:color="auto"/>
              <w:right w:val="single" w:sz="4" w:space="0" w:color="auto"/>
            </w:tcBorders>
            <w:shd w:val="clear" w:color="auto" w:fill="auto"/>
            <w:vAlign w:val="bottom"/>
            <w:hideMark/>
          </w:tcPr>
          <w:p w14:paraId="3C9593C3" w14:textId="77777777" w:rsidR="006C63D5" w:rsidRPr="00F44FA4" w:rsidRDefault="006C63D5" w:rsidP="004167E8">
            <w:pPr>
              <w:rPr>
                <w:rFonts w:cs="Arial"/>
                <w:color w:val="000000"/>
                <w:szCs w:val="20"/>
                <w:lang w:eastAsia="sl-SI"/>
              </w:rPr>
            </w:pPr>
            <w:r w:rsidRPr="00F44FA4">
              <w:rPr>
                <w:rFonts w:cs="Arial"/>
                <w:color w:val="000000"/>
                <w:szCs w:val="20"/>
                <w:lang w:eastAsia="sl-SI"/>
              </w:rPr>
              <w:t>Porazdelitev BDV po vrstah regij - podeželske regije (%)</w:t>
            </w:r>
          </w:p>
        </w:tc>
        <w:tc>
          <w:tcPr>
            <w:tcW w:w="567" w:type="pct"/>
            <w:tcBorders>
              <w:top w:val="nil"/>
              <w:left w:val="nil"/>
              <w:bottom w:val="single" w:sz="4" w:space="0" w:color="auto"/>
              <w:right w:val="single" w:sz="4" w:space="0" w:color="auto"/>
            </w:tcBorders>
            <w:shd w:val="clear" w:color="000000" w:fill="FFFFFF"/>
            <w:noWrap/>
            <w:vAlign w:val="center"/>
            <w:hideMark/>
          </w:tcPr>
          <w:p w14:paraId="5152770E"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49,10</w:t>
            </w:r>
          </w:p>
        </w:tc>
        <w:tc>
          <w:tcPr>
            <w:tcW w:w="567" w:type="pct"/>
            <w:tcBorders>
              <w:top w:val="nil"/>
              <w:left w:val="nil"/>
              <w:bottom w:val="single" w:sz="4" w:space="0" w:color="auto"/>
              <w:right w:val="single" w:sz="4" w:space="0" w:color="auto"/>
            </w:tcBorders>
            <w:shd w:val="clear" w:color="000000" w:fill="FFFFFF"/>
            <w:noWrap/>
            <w:vAlign w:val="center"/>
            <w:hideMark/>
          </w:tcPr>
          <w:p w14:paraId="63AE3E68"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49,08</w:t>
            </w:r>
          </w:p>
        </w:tc>
        <w:tc>
          <w:tcPr>
            <w:tcW w:w="567" w:type="pct"/>
            <w:tcBorders>
              <w:top w:val="nil"/>
              <w:left w:val="nil"/>
              <w:bottom w:val="single" w:sz="4" w:space="0" w:color="auto"/>
              <w:right w:val="single" w:sz="4" w:space="0" w:color="auto"/>
            </w:tcBorders>
            <w:shd w:val="clear" w:color="000000" w:fill="FFFFFF"/>
            <w:noWrap/>
            <w:vAlign w:val="center"/>
            <w:hideMark/>
          </w:tcPr>
          <w:p w14:paraId="2E9D1252"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48,94</w:t>
            </w:r>
          </w:p>
        </w:tc>
        <w:tc>
          <w:tcPr>
            <w:tcW w:w="567" w:type="pct"/>
            <w:tcBorders>
              <w:top w:val="nil"/>
              <w:left w:val="nil"/>
              <w:bottom w:val="single" w:sz="4" w:space="0" w:color="auto"/>
              <w:right w:val="single" w:sz="4" w:space="0" w:color="auto"/>
            </w:tcBorders>
            <w:shd w:val="clear" w:color="auto" w:fill="auto"/>
            <w:noWrap/>
            <w:vAlign w:val="center"/>
            <w:hideMark/>
          </w:tcPr>
          <w:p w14:paraId="5AD494E7"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48,73</w:t>
            </w:r>
          </w:p>
        </w:tc>
        <w:tc>
          <w:tcPr>
            <w:tcW w:w="567" w:type="pct"/>
            <w:tcBorders>
              <w:top w:val="nil"/>
              <w:left w:val="nil"/>
              <w:bottom w:val="single" w:sz="4" w:space="0" w:color="auto"/>
              <w:right w:val="single" w:sz="4" w:space="0" w:color="auto"/>
            </w:tcBorders>
            <w:shd w:val="clear" w:color="auto" w:fill="auto"/>
            <w:noWrap/>
            <w:vAlign w:val="center"/>
            <w:hideMark/>
          </w:tcPr>
          <w:p w14:paraId="286135D7"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w:t>
            </w:r>
          </w:p>
        </w:tc>
        <w:tc>
          <w:tcPr>
            <w:tcW w:w="567" w:type="pct"/>
            <w:tcBorders>
              <w:top w:val="nil"/>
              <w:left w:val="nil"/>
              <w:bottom w:val="single" w:sz="4" w:space="0" w:color="auto"/>
              <w:right w:val="single" w:sz="4" w:space="0" w:color="auto"/>
            </w:tcBorders>
            <w:shd w:val="clear" w:color="auto" w:fill="auto"/>
            <w:vAlign w:val="center"/>
            <w:hideMark/>
          </w:tcPr>
          <w:p w14:paraId="345B3D5E"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w:t>
            </w:r>
          </w:p>
        </w:tc>
      </w:tr>
    </w:tbl>
    <w:p w14:paraId="345EAFEE" w14:textId="6D3B11CF" w:rsidR="006C63D5" w:rsidRPr="00E73231" w:rsidRDefault="006C63D5" w:rsidP="006C63D5">
      <w:pPr>
        <w:keepNext/>
        <w:keepLines/>
        <w:autoSpaceDE w:val="0"/>
        <w:autoSpaceDN w:val="0"/>
        <w:adjustRightInd w:val="0"/>
        <w:rPr>
          <w:rFonts w:cs="Arial"/>
          <w:sz w:val="16"/>
          <w:szCs w:val="16"/>
        </w:rPr>
      </w:pPr>
      <w:r w:rsidRPr="00E73231">
        <w:rPr>
          <w:rFonts w:cs="Arial"/>
          <w:sz w:val="16"/>
          <w:szCs w:val="16"/>
        </w:rPr>
        <w:t>Vir: EUROSTAT</w:t>
      </w:r>
    </w:p>
    <w:p w14:paraId="464231FD" w14:textId="39FA5A55" w:rsidR="006C63D5" w:rsidRPr="00DE12FE" w:rsidRDefault="006C63D5" w:rsidP="00DE12FE">
      <w:pPr>
        <w:spacing w:after="120" w:line="360" w:lineRule="auto"/>
        <w:jc w:val="both"/>
        <w:rPr>
          <w:rFonts w:cs="Arial"/>
          <w:szCs w:val="20"/>
        </w:rPr>
      </w:pPr>
      <w:r w:rsidRPr="00DE12FE">
        <w:rPr>
          <w:rFonts w:cs="Arial"/>
          <w:szCs w:val="20"/>
        </w:rPr>
        <w:t xml:space="preserve">V letu 2019 je delovalo 67.178 gospodarskih družb in zadrug. Samostojnih podjetnikov je bilo 52.713. Po podatkih Poslovnega registra Slovenije je bilo v letu 2019 ustanovljenih  3.988 družb. Družbe, ki so poslovale v letu 2019, so zaposlovale 519.505 zaposlenih, kar je za 5 % več zaposlenih kot v predhodnem letu. Največji delež predstavljajo </w:t>
      </w:r>
      <w:proofErr w:type="spellStart"/>
      <w:r w:rsidRPr="00DE12FE">
        <w:rPr>
          <w:rFonts w:cs="Arial"/>
          <w:szCs w:val="20"/>
        </w:rPr>
        <w:t>mikro</w:t>
      </w:r>
      <w:proofErr w:type="spellEnd"/>
      <w:r w:rsidRPr="00DE12FE">
        <w:rPr>
          <w:rFonts w:cs="Arial"/>
          <w:szCs w:val="20"/>
        </w:rPr>
        <w:t xml:space="preserve"> družbe (85,1 %), ki so imele 18,3 % vseh zaposlenih, sledi delež majhnih (12,6 %), ki so imele 27,2 % vseh zaposlenih, in srednjih družb (1,6 %), ki so imele 20,2 % vseh zaposlenih. Najmanj je velikih družb (0,6 %), vendar zaposlujejo največ zaposlenih (34,3 % vseh) in so v letu 2019 tudi najbolj odločilno vplivale na izboljšanje rezultatov poslovanja družb.</w:t>
      </w:r>
    </w:p>
    <w:p w14:paraId="74849564" w14:textId="77777777" w:rsidR="006C63D5" w:rsidRDefault="006C63D5" w:rsidP="00DE12FE">
      <w:pPr>
        <w:spacing w:after="120" w:line="360" w:lineRule="auto"/>
        <w:jc w:val="both"/>
        <w:rPr>
          <w:rFonts w:cs="Arial"/>
        </w:rPr>
      </w:pPr>
      <w:r w:rsidRPr="00DE12FE">
        <w:rPr>
          <w:rFonts w:cs="Arial"/>
          <w:szCs w:val="20"/>
        </w:rPr>
        <w:lastRenderedPageBreak/>
        <w:t xml:space="preserve">V letu 2018 je v Sloveniji poslovalo 200.174 podjetij. Zaposlovala so 914.224 oseb in ustvarila 117.041 milijonov EUR prihodka. Vrednosti vseh navedenih podatkov so bile višje kot v prejšnjem letu, tj. v letu 2017: število podjetij je bilo višje za 2,3 %, število oseb, ki delajo, za 3,7 %, ustvarjeni prihodek pa za 7,5 %. Z vidika velikosti podjetij (glede na število oseb, ki delajo) se je v letu 2018 največ podjetij, ki so poslovala v 2018, uvrščalo med </w:t>
      </w:r>
      <w:proofErr w:type="spellStart"/>
      <w:r w:rsidRPr="00DE12FE">
        <w:rPr>
          <w:rFonts w:cs="Arial"/>
          <w:szCs w:val="20"/>
        </w:rPr>
        <w:t>mikropodjetja</w:t>
      </w:r>
      <w:proofErr w:type="spellEnd"/>
      <w:r w:rsidRPr="00DE12FE">
        <w:rPr>
          <w:rFonts w:cs="Arial"/>
          <w:szCs w:val="20"/>
        </w:rPr>
        <w:t xml:space="preserve"> (94,9 %); to so podjetja, ki zaposlujejo manj kot 10 oseb. Kljub temu so največji del prihodka ustvarila sicer manj številna srednje velika in velika podjetja, tj. podjetja, ki zaposlujejo najmanj</w:t>
      </w:r>
      <w:r w:rsidRPr="00146602">
        <w:rPr>
          <w:rFonts w:cs="Arial"/>
        </w:rPr>
        <w:t xml:space="preserve"> 50 oseb. Srednje velika podjetja so ustvarila 23,7 % prihodka, velika pa 35,5 % prihodka; zaposlovala pa so skupaj več kot polovico vseh oseb, ki so delale v podjetjih (54,3 %).</w:t>
      </w:r>
    </w:p>
    <w:p w14:paraId="251598D9" w14:textId="2C2800F3" w:rsidR="006C63D5" w:rsidRPr="00826383" w:rsidRDefault="006412DC" w:rsidP="00F57BE2">
      <w:pPr>
        <w:pStyle w:val="Naslov2"/>
        <w:ind w:left="578" w:hanging="578"/>
      </w:pPr>
      <w:bookmarkStart w:id="32" w:name="_Toc42067292"/>
      <w:bookmarkStart w:id="33" w:name="_Toc55912178"/>
      <w:r w:rsidRPr="00826383">
        <w:t>Trg dela in brezposelnost</w:t>
      </w:r>
      <w:bookmarkEnd w:id="32"/>
      <w:bookmarkEnd w:id="33"/>
    </w:p>
    <w:p w14:paraId="48957BEC" w14:textId="77777777" w:rsidR="006C63D5" w:rsidRPr="00DE12FE" w:rsidRDefault="006C63D5" w:rsidP="00DE12FE">
      <w:pPr>
        <w:spacing w:after="240" w:line="360" w:lineRule="auto"/>
        <w:jc w:val="both"/>
        <w:rPr>
          <w:rFonts w:cs="Arial"/>
          <w:szCs w:val="20"/>
        </w:rPr>
      </w:pPr>
      <w:r w:rsidRPr="00DE12FE">
        <w:rPr>
          <w:rFonts w:cs="Arial"/>
          <w:szCs w:val="20"/>
        </w:rPr>
        <w:t>V juniju 2020 je bilo v Sloveniji približno 884.300</w:t>
      </w:r>
      <w:r w:rsidRPr="00DE12FE" w:rsidDel="00A24A07">
        <w:rPr>
          <w:rFonts w:cs="Arial"/>
          <w:szCs w:val="20"/>
        </w:rPr>
        <w:t xml:space="preserve"> </w:t>
      </w:r>
      <w:r w:rsidRPr="00DE12FE">
        <w:rPr>
          <w:rFonts w:cs="Arial"/>
          <w:szCs w:val="20"/>
        </w:rPr>
        <w:t>delovno aktivnih oseb, kar je za 1,8 % manj kot v juniju 2019. Glede na junij 2019 se je število delovno aktivnih oseb pri obeh spolih zmanjšalo, in sicer pri moških za 1,8 %, pri ženskah pa za 1,0 %.</w:t>
      </w:r>
      <w:r w:rsidRPr="00DE12FE" w:rsidDel="00A2079D">
        <w:rPr>
          <w:rFonts w:cs="Arial"/>
          <w:szCs w:val="20"/>
        </w:rPr>
        <w:t xml:space="preserve"> </w:t>
      </w:r>
    </w:p>
    <w:p w14:paraId="29BFE454" w14:textId="77777777" w:rsidR="006C63D5" w:rsidRPr="00DE12FE" w:rsidRDefault="006C63D5" w:rsidP="00DE12FE">
      <w:pPr>
        <w:spacing w:after="240" w:line="360" w:lineRule="auto"/>
        <w:jc w:val="both"/>
        <w:rPr>
          <w:rFonts w:cs="Arial"/>
          <w:szCs w:val="20"/>
        </w:rPr>
      </w:pPr>
      <w:r w:rsidRPr="00DE12FE">
        <w:rPr>
          <w:rFonts w:cs="Arial"/>
          <w:szCs w:val="20"/>
        </w:rPr>
        <w:t>Število delovno aktivnih oseb se je junija 2020 v primerjavi z  majem 2020 zmanjšalo v osmih in povečalo v dvanajstih dejavnostih. Na mesečni ravni se je število delovno aktivnih oseb najbolj zmanjšalo v predelovalnih dejavnostih, in sicer za 0,7 % (na približno 201.300), najbolj povečalo pa v gostinstvu (za 2,9 %, na približno 35.100). Glede na isto obdobje lanskega leta je bilo v juniju 2020 v obeh omenjenih dejavnostih manj delovno aktivnih oseb, in sicer v predelovalnih dejavnostih za 3,4 %, v gostinstvu pa za 8,0 %.</w:t>
      </w:r>
      <w:r w:rsidRPr="00DE12FE" w:rsidDel="00B20591">
        <w:rPr>
          <w:rFonts w:cs="Arial"/>
          <w:szCs w:val="20"/>
        </w:rPr>
        <w:t xml:space="preserve"> </w:t>
      </w:r>
    </w:p>
    <w:p w14:paraId="41A72AF4" w14:textId="77777777" w:rsidR="006C63D5" w:rsidRPr="00DE12FE" w:rsidRDefault="006C63D5" w:rsidP="00DE12FE">
      <w:pPr>
        <w:spacing w:after="240" w:line="360" w:lineRule="auto"/>
        <w:jc w:val="both"/>
        <w:rPr>
          <w:rFonts w:cs="Arial"/>
          <w:szCs w:val="20"/>
        </w:rPr>
      </w:pPr>
      <w:r w:rsidRPr="00DE12FE">
        <w:rPr>
          <w:rFonts w:cs="Arial"/>
          <w:szCs w:val="20"/>
        </w:rPr>
        <w:t>V letu 2019 je bila v Sloveniji stopnja zaposlenosti 76,4 %. Leta 2008, tik pred izbruhom gospodarske krize, so bile vrednosti stopnje zaposlenosti najvišje, leta 2013, ko se je bilo krize konec, pa so bile vrednosti najnižje. V EU se zaposlenost žensk med krizo skorajda ni spremenila, medtem ko se je v Sloveniji znižala za 5,5 odstotnih točk. Po koncu krize pa se je zaposlenost žensk pri nas tudi bolj povečala v primerjavi z moškimi (za 6,7 odstotnih točk).</w:t>
      </w:r>
    </w:p>
    <w:p w14:paraId="4527B492" w14:textId="5DE4685A" w:rsidR="006C63D5" w:rsidRPr="00DE12FE" w:rsidRDefault="006C63D5" w:rsidP="00DE12FE">
      <w:pPr>
        <w:spacing w:after="240" w:line="360" w:lineRule="auto"/>
        <w:jc w:val="both"/>
        <w:rPr>
          <w:rFonts w:cs="Arial"/>
          <w:szCs w:val="20"/>
        </w:rPr>
      </w:pPr>
      <w:r w:rsidRPr="00DE12FE">
        <w:rPr>
          <w:rFonts w:cs="Arial"/>
          <w:szCs w:val="20"/>
        </w:rPr>
        <w:t xml:space="preserve">Po podatkih Eurostata je delež zaposlenih žensk v RS je v povprečju nižji kot delež zaposlenih moških (dolgoletno povprečje 66,8 % žensk, 74,2 moški). Delež zaposlenih žensk v RS pa z leti raste (po podatkih Eurostata je bil leta 2010 delež 66,5 %, leta 2019 pa 72,9 %). Prav tako raste v enakem obdobju delež zaposlenih moških (leta 2010 74 %, leta 2019 pa 79,7 %). </w:t>
      </w:r>
    </w:p>
    <w:p w14:paraId="1F472E64" w14:textId="3349DE91" w:rsidR="006C63D5" w:rsidRPr="003D6FF8" w:rsidRDefault="00C9160B" w:rsidP="00D454A7">
      <w:pPr>
        <w:pStyle w:val="SCPreglednica"/>
        <w:keepNext/>
        <w:keepLines/>
      </w:pPr>
      <w:bookmarkStart w:id="34" w:name="_Toc55913723"/>
      <w:r>
        <w:lastRenderedPageBreak/>
        <w:t>Tabela</w:t>
      </w:r>
      <w:r w:rsidR="006C63D5" w:rsidRPr="003D6FF8">
        <w:t xml:space="preserve"> </w:t>
      </w:r>
      <w:r w:rsidR="0001708D">
        <w:rPr>
          <w:noProof/>
        </w:rPr>
        <w:fldChar w:fldCharType="begin"/>
      </w:r>
      <w:r w:rsidR="0001708D">
        <w:rPr>
          <w:noProof/>
        </w:rPr>
        <w:instrText xml:space="preserve"> SEQ Tabela \* ARABIC </w:instrText>
      </w:r>
      <w:r w:rsidR="0001708D">
        <w:rPr>
          <w:noProof/>
        </w:rPr>
        <w:fldChar w:fldCharType="separate"/>
      </w:r>
      <w:r w:rsidR="00DF0D48">
        <w:rPr>
          <w:noProof/>
        </w:rPr>
        <w:t>12</w:t>
      </w:r>
      <w:r w:rsidR="0001708D">
        <w:rPr>
          <w:noProof/>
        </w:rPr>
        <w:fldChar w:fldCharType="end"/>
      </w:r>
      <w:r w:rsidR="006C63D5" w:rsidRPr="003D6FF8">
        <w:t>: Stopnja zaposlenosti</w:t>
      </w:r>
      <w:bookmarkEnd w:id="34"/>
    </w:p>
    <w:tbl>
      <w:tblPr>
        <w:tblW w:w="5000" w:type="pct"/>
        <w:tblCellMar>
          <w:left w:w="70" w:type="dxa"/>
          <w:right w:w="70" w:type="dxa"/>
        </w:tblCellMar>
        <w:tblLook w:val="04A0" w:firstRow="1" w:lastRow="0" w:firstColumn="1" w:lastColumn="0" w:noHBand="0" w:noVBand="1"/>
      </w:tblPr>
      <w:tblGrid>
        <w:gridCol w:w="563"/>
        <w:gridCol w:w="3181"/>
        <w:gridCol w:w="906"/>
        <w:gridCol w:w="906"/>
        <w:gridCol w:w="890"/>
        <w:gridCol w:w="890"/>
        <w:gridCol w:w="892"/>
        <w:gridCol w:w="834"/>
      </w:tblGrid>
      <w:tr w:rsidR="006C63D5" w:rsidRPr="00F44FA4" w14:paraId="3AF4DDCC" w14:textId="77777777" w:rsidTr="00A86E94">
        <w:trPr>
          <w:trHeight w:val="315"/>
        </w:trPr>
        <w:tc>
          <w:tcPr>
            <w:tcW w:w="311"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8CB74A5" w14:textId="77777777" w:rsidR="006C63D5" w:rsidRPr="00F44FA4" w:rsidRDefault="006C63D5" w:rsidP="00D454A7">
            <w:pPr>
              <w:keepNext/>
              <w:keepLines/>
              <w:rPr>
                <w:rFonts w:cs="Arial"/>
                <w:b/>
                <w:bCs/>
                <w:color w:val="000000"/>
                <w:szCs w:val="20"/>
                <w:lang w:eastAsia="sl-SI"/>
              </w:rPr>
            </w:pPr>
            <w:r w:rsidRPr="00F44FA4">
              <w:rPr>
                <w:rFonts w:cs="Arial"/>
                <w:b/>
                <w:bCs/>
                <w:color w:val="000000"/>
                <w:szCs w:val="20"/>
                <w:lang w:eastAsia="sl-SI"/>
              </w:rPr>
              <w:t>C.06</w:t>
            </w:r>
          </w:p>
        </w:tc>
        <w:tc>
          <w:tcPr>
            <w:tcW w:w="1755" w:type="pct"/>
            <w:tcBorders>
              <w:top w:val="single" w:sz="4" w:space="0" w:color="auto"/>
              <w:left w:val="nil"/>
              <w:bottom w:val="single" w:sz="4" w:space="0" w:color="auto"/>
              <w:right w:val="single" w:sz="4" w:space="0" w:color="auto"/>
            </w:tcBorders>
            <w:shd w:val="clear" w:color="000000" w:fill="92D050"/>
            <w:vAlign w:val="bottom"/>
            <w:hideMark/>
          </w:tcPr>
          <w:p w14:paraId="004687E8" w14:textId="77777777" w:rsidR="006C63D5" w:rsidRPr="00F44FA4" w:rsidRDefault="006C63D5" w:rsidP="00D454A7">
            <w:pPr>
              <w:keepNext/>
              <w:keepLines/>
              <w:rPr>
                <w:rFonts w:cs="Arial"/>
                <w:b/>
                <w:bCs/>
                <w:color w:val="000000"/>
                <w:szCs w:val="20"/>
                <w:lang w:eastAsia="sl-SI"/>
              </w:rPr>
            </w:pPr>
            <w:r w:rsidRPr="00F44FA4">
              <w:rPr>
                <w:rFonts w:cs="Arial"/>
                <w:b/>
                <w:bCs/>
                <w:color w:val="000000"/>
                <w:szCs w:val="20"/>
                <w:lang w:eastAsia="sl-SI"/>
              </w:rPr>
              <w:t>Stopnja zaposlenosti</w:t>
            </w:r>
          </w:p>
        </w:tc>
        <w:tc>
          <w:tcPr>
            <w:tcW w:w="500" w:type="pct"/>
            <w:tcBorders>
              <w:top w:val="single" w:sz="4" w:space="0" w:color="auto"/>
              <w:left w:val="nil"/>
              <w:bottom w:val="single" w:sz="4" w:space="0" w:color="auto"/>
              <w:right w:val="single" w:sz="4" w:space="0" w:color="auto"/>
            </w:tcBorders>
            <w:shd w:val="clear" w:color="000000" w:fill="92D050"/>
            <w:noWrap/>
            <w:vAlign w:val="center"/>
            <w:hideMark/>
          </w:tcPr>
          <w:p w14:paraId="2CD877F8" w14:textId="77777777" w:rsidR="006C63D5" w:rsidRPr="00F44FA4" w:rsidRDefault="006C63D5" w:rsidP="00D454A7">
            <w:pPr>
              <w:keepNext/>
              <w:keepLines/>
              <w:jc w:val="center"/>
              <w:rPr>
                <w:rFonts w:cs="Arial"/>
                <w:b/>
                <w:bCs/>
                <w:color w:val="000000"/>
                <w:szCs w:val="20"/>
                <w:lang w:eastAsia="sl-SI"/>
              </w:rPr>
            </w:pPr>
            <w:r w:rsidRPr="00F44FA4">
              <w:rPr>
                <w:rFonts w:cs="Arial"/>
                <w:b/>
                <w:bCs/>
                <w:color w:val="000000"/>
                <w:szCs w:val="20"/>
                <w:lang w:eastAsia="sl-SI"/>
              </w:rPr>
              <w:t>2010</w:t>
            </w:r>
          </w:p>
        </w:tc>
        <w:tc>
          <w:tcPr>
            <w:tcW w:w="500" w:type="pct"/>
            <w:tcBorders>
              <w:top w:val="single" w:sz="4" w:space="0" w:color="auto"/>
              <w:left w:val="nil"/>
              <w:bottom w:val="single" w:sz="4" w:space="0" w:color="auto"/>
              <w:right w:val="single" w:sz="4" w:space="0" w:color="auto"/>
            </w:tcBorders>
            <w:shd w:val="clear" w:color="000000" w:fill="92D050"/>
            <w:noWrap/>
            <w:vAlign w:val="center"/>
            <w:hideMark/>
          </w:tcPr>
          <w:p w14:paraId="077F30C7" w14:textId="77777777" w:rsidR="006C63D5" w:rsidRPr="00F44FA4" w:rsidRDefault="006C63D5" w:rsidP="00D454A7">
            <w:pPr>
              <w:keepNext/>
              <w:keepLines/>
              <w:jc w:val="center"/>
              <w:rPr>
                <w:rFonts w:cs="Arial"/>
                <w:b/>
                <w:bCs/>
                <w:color w:val="000000"/>
                <w:szCs w:val="20"/>
                <w:lang w:eastAsia="sl-SI"/>
              </w:rPr>
            </w:pPr>
            <w:r w:rsidRPr="00F44FA4">
              <w:rPr>
                <w:rFonts w:cs="Arial"/>
                <w:b/>
                <w:bCs/>
                <w:color w:val="000000"/>
                <w:szCs w:val="20"/>
                <w:lang w:eastAsia="sl-SI"/>
              </w:rPr>
              <w:t>2013</w:t>
            </w:r>
          </w:p>
        </w:tc>
        <w:tc>
          <w:tcPr>
            <w:tcW w:w="491" w:type="pct"/>
            <w:tcBorders>
              <w:top w:val="single" w:sz="4" w:space="0" w:color="auto"/>
              <w:left w:val="nil"/>
              <w:bottom w:val="single" w:sz="4" w:space="0" w:color="auto"/>
              <w:right w:val="single" w:sz="4" w:space="0" w:color="auto"/>
            </w:tcBorders>
            <w:shd w:val="clear" w:color="000000" w:fill="92D050"/>
            <w:noWrap/>
            <w:vAlign w:val="center"/>
            <w:hideMark/>
          </w:tcPr>
          <w:p w14:paraId="357EEF53" w14:textId="77777777" w:rsidR="006C63D5" w:rsidRPr="00F44FA4" w:rsidRDefault="006C63D5" w:rsidP="00D454A7">
            <w:pPr>
              <w:keepNext/>
              <w:keepLines/>
              <w:jc w:val="center"/>
              <w:rPr>
                <w:rFonts w:cs="Arial"/>
                <w:b/>
                <w:bCs/>
                <w:color w:val="000000"/>
                <w:szCs w:val="20"/>
                <w:lang w:eastAsia="sl-SI"/>
              </w:rPr>
            </w:pPr>
            <w:r w:rsidRPr="00F44FA4">
              <w:rPr>
                <w:rFonts w:cs="Arial"/>
                <w:b/>
                <w:bCs/>
                <w:color w:val="000000"/>
                <w:szCs w:val="20"/>
                <w:lang w:eastAsia="sl-SI"/>
              </w:rPr>
              <w:t>2016</w:t>
            </w:r>
          </w:p>
        </w:tc>
        <w:tc>
          <w:tcPr>
            <w:tcW w:w="491" w:type="pct"/>
            <w:tcBorders>
              <w:top w:val="single" w:sz="4" w:space="0" w:color="auto"/>
              <w:left w:val="nil"/>
              <w:bottom w:val="single" w:sz="4" w:space="0" w:color="auto"/>
              <w:right w:val="single" w:sz="4" w:space="0" w:color="auto"/>
            </w:tcBorders>
            <w:shd w:val="clear" w:color="000000" w:fill="92D050"/>
            <w:noWrap/>
            <w:vAlign w:val="center"/>
            <w:hideMark/>
          </w:tcPr>
          <w:p w14:paraId="61B0235C" w14:textId="77777777" w:rsidR="006C63D5" w:rsidRPr="00F44FA4" w:rsidRDefault="006C63D5" w:rsidP="00D454A7">
            <w:pPr>
              <w:keepNext/>
              <w:keepLines/>
              <w:jc w:val="center"/>
              <w:rPr>
                <w:rFonts w:cs="Arial"/>
                <w:b/>
                <w:bCs/>
                <w:color w:val="000000"/>
                <w:szCs w:val="20"/>
                <w:lang w:eastAsia="sl-SI"/>
              </w:rPr>
            </w:pPr>
            <w:r w:rsidRPr="00F44FA4">
              <w:rPr>
                <w:rFonts w:cs="Arial"/>
                <w:b/>
                <w:bCs/>
                <w:color w:val="000000"/>
                <w:szCs w:val="20"/>
                <w:lang w:eastAsia="sl-SI"/>
              </w:rPr>
              <w:t>2017</w:t>
            </w:r>
          </w:p>
        </w:tc>
        <w:tc>
          <w:tcPr>
            <w:tcW w:w="492" w:type="pct"/>
            <w:tcBorders>
              <w:top w:val="single" w:sz="4" w:space="0" w:color="auto"/>
              <w:left w:val="nil"/>
              <w:bottom w:val="single" w:sz="4" w:space="0" w:color="auto"/>
              <w:right w:val="single" w:sz="4" w:space="0" w:color="auto"/>
            </w:tcBorders>
            <w:shd w:val="clear" w:color="000000" w:fill="92D050"/>
            <w:noWrap/>
            <w:vAlign w:val="center"/>
            <w:hideMark/>
          </w:tcPr>
          <w:p w14:paraId="3D4962F4" w14:textId="77777777" w:rsidR="006C63D5" w:rsidRPr="00F44FA4" w:rsidRDefault="006C63D5" w:rsidP="00D454A7">
            <w:pPr>
              <w:keepNext/>
              <w:keepLines/>
              <w:jc w:val="center"/>
              <w:rPr>
                <w:rFonts w:cs="Arial"/>
                <w:b/>
                <w:bCs/>
                <w:color w:val="000000"/>
                <w:szCs w:val="20"/>
                <w:lang w:eastAsia="sl-SI"/>
              </w:rPr>
            </w:pPr>
            <w:r w:rsidRPr="00F44FA4">
              <w:rPr>
                <w:rFonts w:cs="Arial"/>
                <w:b/>
                <w:bCs/>
                <w:color w:val="000000"/>
                <w:szCs w:val="20"/>
                <w:lang w:eastAsia="sl-SI"/>
              </w:rPr>
              <w:t>2018</w:t>
            </w:r>
          </w:p>
        </w:tc>
        <w:tc>
          <w:tcPr>
            <w:tcW w:w="460" w:type="pct"/>
            <w:tcBorders>
              <w:top w:val="single" w:sz="4" w:space="0" w:color="auto"/>
              <w:left w:val="nil"/>
              <w:bottom w:val="single" w:sz="4" w:space="0" w:color="auto"/>
              <w:right w:val="single" w:sz="4" w:space="0" w:color="auto"/>
            </w:tcBorders>
            <w:shd w:val="clear" w:color="000000" w:fill="92D050"/>
            <w:noWrap/>
            <w:vAlign w:val="center"/>
            <w:hideMark/>
          </w:tcPr>
          <w:p w14:paraId="4365FF03" w14:textId="77777777" w:rsidR="006C63D5" w:rsidRPr="00F44FA4" w:rsidRDefault="006C63D5" w:rsidP="00D454A7">
            <w:pPr>
              <w:keepNext/>
              <w:keepLines/>
              <w:jc w:val="center"/>
              <w:rPr>
                <w:rFonts w:cs="Arial"/>
                <w:b/>
                <w:bCs/>
                <w:color w:val="000000"/>
                <w:szCs w:val="20"/>
                <w:lang w:eastAsia="sl-SI"/>
              </w:rPr>
            </w:pPr>
            <w:r w:rsidRPr="00F44FA4">
              <w:rPr>
                <w:rFonts w:cs="Arial"/>
                <w:b/>
                <w:bCs/>
                <w:color w:val="000000"/>
                <w:szCs w:val="20"/>
                <w:lang w:eastAsia="sl-SI"/>
              </w:rPr>
              <w:t>2019</w:t>
            </w:r>
          </w:p>
        </w:tc>
      </w:tr>
      <w:tr w:rsidR="006C63D5" w:rsidRPr="00F44FA4" w14:paraId="401F80D6" w14:textId="77777777" w:rsidTr="00A86E94">
        <w:trPr>
          <w:trHeight w:val="374"/>
        </w:trPr>
        <w:tc>
          <w:tcPr>
            <w:tcW w:w="311" w:type="pct"/>
            <w:tcBorders>
              <w:top w:val="nil"/>
              <w:left w:val="single" w:sz="4" w:space="0" w:color="auto"/>
              <w:bottom w:val="single" w:sz="4" w:space="0" w:color="auto"/>
              <w:right w:val="single" w:sz="4" w:space="0" w:color="auto"/>
            </w:tcBorders>
            <w:shd w:val="clear" w:color="auto" w:fill="auto"/>
            <w:noWrap/>
            <w:vAlign w:val="bottom"/>
            <w:hideMark/>
          </w:tcPr>
          <w:p w14:paraId="5EEDAE6E" w14:textId="77777777" w:rsidR="006C63D5" w:rsidRPr="00F44FA4" w:rsidRDefault="006C63D5" w:rsidP="00D454A7">
            <w:pPr>
              <w:keepNext/>
              <w:keepLines/>
              <w:rPr>
                <w:rFonts w:cs="Arial"/>
                <w:color w:val="000000"/>
                <w:szCs w:val="20"/>
                <w:lang w:eastAsia="sl-SI"/>
              </w:rPr>
            </w:pPr>
            <w:r w:rsidRPr="00F44FA4">
              <w:rPr>
                <w:rFonts w:cs="Arial"/>
                <w:color w:val="000000"/>
                <w:szCs w:val="20"/>
                <w:lang w:eastAsia="sl-SI"/>
              </w:rPr>
              <w:t> </w:t>
            </w:r>
          </w:p>
        </w:tc>
        <w:tc>
          <w:tcPr>
            <w:tcW w:w="1755" w:type="pct"/>
            <w:tcBorders>
              <w:top w:val="nil"/>
              <w:left w:val="nil"/>
              <w:bottom w:val="single" w:sz="4" w:space="0" w:color="auto"/>
              <w:right w:val="single" w:sz="4" w:space="0" w:color="auto"/>
            </w:tcBorders>
            <w:shd w:val="clear" w:color="000000" w:fill="FFFFFF"/>
            <w:vAlign w:val="bottom"/>
            <w:hideMark/>
          </w:tcPr>
          <w:p w14:paraId="5F498B33" w14:textId="77777777" w:rsidR="006C63D5" w:rsidRPr="00F44FA4" w:rsidRDefault="006C63D5" w:rsidP="00D454A7">
            <w:pPr>
              <w:keepNext/>
              <w:keepLines/>
              <w:rPr>
                <w:rFonts w:cs="Arial"/>
                <w:color w:val="000000"/>
                <w:szCs w:val="20"/>
                <w:lang w:eastAsia="sl-SI"/>
              </w:rPr>
            </w:pPr>
            <w:r w:rsidRPr="00F44FA4">
              <w:rPr>
                <w:rFonts w:cs="Arial"/>
                <w:color w:val="000000"/>
                <w:szCs w:val="20"/>
                <w:lang w:eastAsia="sl-SI"/>
              </w:rPr>
              <w:t>Stopnja zaposlenosti za starostno skupino 15-64 let - ženske</w:t>
            </w:r>
          </w:p>
        </w:tc>
        <w:tc>
          <w:tcPr>
            <w:tcW w:w="500" w:type="pct"/>
            <w:tcBorders>
              <w:top w:val="nil"/>
              <w:left w:val="nil"/>
              <w:bottom w:val="single" w:sz="4" w:space="0" w:color="auto"/>
              <w:right w:val="single" w:sz="4" w:space="0" w:color="auto"/>
            </w:tcBorders>
            <w:shd w:val="clear" w:color="000000" w:fill="FFFFFF"/>
            <w:noWrap/>
            <w:vAlign w:val="center"/>
            <w:hideMark/>
          </w:tcPr>
          <w:p w14:paraId="236E0A2E"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62,6</w:t>
            </w:r>
          </w:p>
        </w:tc>
        <w:tc>
          <w:tcPr>
            <w:tcW w:w="500" w:type="pct"/>
            <w:tcBorders>
              <w:top w:val="nil"/>
              <w:left w:val="nil"/>
              <w:bottom w:val="single" w:sz="4" w:space="0" w:color="auto"/>
              <w:right w:val="single" w:sz="4" w:space="0" w:color="auto"/>
            </w:tcBorders>
            <w:shd w:val="clear" w:color="auto" w:fill="auto"/>
            <w:noWrap/>
            <w:vAlign w:val="center"/>
            <w:hideMark/>
          </w:tcPr>
          <w:p w14:paraId="4F895AB4"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59,20</w:t>
            </w:r>
          </w:p>
        </w:tc>
        <w:tc>
          <w:tcPr>
            <w:tcW w:w="491" w:type="pct"/>
            <w:tcBorders>
              <w:top w:val="nil"/>
              <w:left w:val="nil"/>
              <w:bottom w:val="single" w:sz="4" w:space="0" w:color="auto"/>
              <w:right w:val="single" w:sz="4" w:space="0" w:color="auto"/>
            </w:tcBorders>
            <w:shd w:val="clear" w:color="auto" w:fill="auto"/>
            <w:noWrap/>
            <w:vAlign w:val="center"/>
            <w:hideMark/>
          </w:tcPr>
          <w:p w14:paraId="63699CFB"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62,60</w:t>
            </w:r>
          </w:p>
        </w:tc>
        <w:tc>
          <w:tcPr>
            <w:tcW w:w="491" w:type="pct"/>
            <w:tcBorders>
              <w:top w:val="nil"/>
              <w:left w:val="nil"/>
              <w:bottom w:val="single" w:sz="4" w:space="0" w:color="auto"/>
              <w:right w:val="single" w:sz="4" w:space="0" w:color="auto"/>
            </w:tcBorders>
            <w:shd w:val="clear" w:color="000000" w:fill="FFFFFF"/>
            <w:noWrap/>
            <w:vAlign w:val="center"/>
            <w:hideMark/>
          </w:tcPr>
          <w:p w14:paraId="65B8311B"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65,8</w:t>
            </w:r>
          </w:p>
        </w:tc>
        <w:tc>
          <w:tcPr>
            <w:tcW w:w="492" w:type="pct"/>
            <w:tcBorders>
              <w:top w:val="nil"/>
              <w:left w:val="nil"/>
              <w:bottom w:val="single" w:sz="4" w:space="0" w:color="auto"/>
              <w:right w:val="single" w:sz="4" w:space="0" w:color="auto"/>
            </w:tcBorders>
            <w:shd w:val="clear" w:color="000000" w:fill="FFFFFF"/>
            <w:noWrap/>
            <w:vAlign w:val="center"/>
            <w:hideMark/>
          </w:tcPr>
          <w:p w14:paraId="6640D689"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67,5</w:t>
            </w:r>
          </w:p>
        </w:tc>
        <w:tc>
          <w:tcPr>
            <w:tcW w:w="460" w:type="pct"/>
            <w:tcBorders>
              <w:top w:val="nil"/>
              <w:left w:val="nil"/>
              <w:bottom w:val="single" w:sz="4" w:space="0" w:color="auto"/>
              <w:right w:val="single" w:sz="4" w:space="0" w:color="auto"/>
            </w:tcBorders>
            <w:shd w:val="clear" w:color="000000" w:fill="FFFFFF"/>
            <w:vAlign w:val="center"/>
            <w:hideMark/>
          </w:tcPr>
          <w:p w14:paraId="60733E07"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68,6</w:t>
            </w:r>
          </w:p>
        </w:tc>
      </w:tr>
      <w:tr w:rsidR="006C63D5" w:rsidRPr="00F44FA4" w14:paraId="26EB7E51" w14:textId="77777777" w:rsidTr="00A86E94">
        <w:trPr>
          <w:trHeight w:val="156"/>
        </w:trPr>
        <w:tc>
          <w:tcPr>
            <w:tcW w:w="311" w:type="pct"/>
            <w:tcBorders>
              <w:top w:val="nil"/>
              <w:left w:val="single" w:sz="4" w:space="0" w:color="auto"/>
              <w:bottom w:val="single" w:sz="4" w:space="0" w:color="auto"/>
              <w:right w:val="single" w:sz="4" w:space="0" w:color="auto"/>
            </w:tcBorders>
            <w:shd w:val="clear" w:color="000000" w:fill="FFFFFF"/>
            <w:noWrap/>
            <w:vAlign w:val="bottom"/>
            <w:hideMark/>
          </w:tcPr>
          <w:p w14:paraId="139E79F8" w14:textId="77777777" w:rsidR="006C63D5" w:rsidRPr="00F44FA4" w:rsidRDefault="006C63D5" w:rsidP="00D454A7">
            <w:pPr>
              <w:keepNext/>
              <w:keepLines/>
              <w:rPr>
                <w:rFonts w:cs="Arial"/>
                <w:color w:val="000000"/>
                <w:szCs w:val="20"/>
                <w:lang w:eastAsia="sl-SI"/>
              </w:rPr>
            </w:pPr>
            <w:r w:rsidRPr="00F44FA4">
              <w:rPr>
                <w:rFonts w:cs="Arial"/>
                <w:color w:val="000000"/>
                <w:szCs w:val="20"/>
                <w:lang w:eastAsia="sl-SI"/>
              </w:rPr>
              <w:t> </w:t>
            </w:r>
          </w:p>
        </w:tc>
        <w:tc>
          <w:tcPr>
            <w:tcW w:w="1755" w:type="pct"/>
            <w:tcBorders>
              <w:top w:val="nil"/>
              <w:left w:val="nil"/>
              <w:bottom w:val="single" w:sz="4" w:space="0" w:color="auto"/>
              <w:right w:val="single" w:sz="4" w:space="0" w:color="auto"/>
            </w:tcBorders>
            <w:shd w:val="clear" w:color="000000" w:fill="FFFFFF"/>
            <w:vAlign w:val="bottom"/>
            <w:hideMark/>
          </w:tcPr>
          <w:p w14:paraId="41B9EBF8" w14:textId="77777777" w:rsidR="006C63D5" w:rsidRPr="00F44FA4" w:rsidRDefault="006C63D5" w:rsidP="00D454A7">
            <w:pPr>
              <w:keepNext/>
              <w:keepLines/>
              <w:rPr>
                <w:rFonts w:cs="Arial"/>
                <w:color w:val="000000"/>
                <w:szCs w:val="20"/>
                <w:lang w:eastAsia="sl-SI"/>
              </w:rPr>
            </w:pPr>
            <w:r w:rsidRPr="00F44FA4">
              <w:rPr>
                <w:rFonts w:cs="Arial"/>
                <w:color w:val="000000"/>
                <w:szCs w:val="20"/>
                <w:lang w:eastAsia="sl-SI"/>
              </w:rPr>
              <w:t>Stopnja zaposlenosti za starostno skupino 15-64 let - moški</w:t>
            </w:r>
          </w:p>
        </w:tc>
        <w:tc>
          <w:tcPr>
            <w:tcW w:w="500" w:type="pct"/>
            <w:tcBorders>
              <w:top w:val="nil"/>
              <w:left w:val="nil"/>
              <w:bottom w:val="single" w:sz="4" w:space="0" w:color="auto"/>
              <w:right w:val="single" w:sz="4" w:space="0" w:color="auto"/>
            </w:tcBorders>
            <w:shd w:val="clear" w:color="000000" w:fill="FFFFFF"/>
            <w:noWrap/>
            <w:vAlign w:val="center"/>
            <w:hideMark/>
          </w:tcPr>
          <w:p w14:paraId="149E70DF"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69,6</w:t>
            </w:r>
          </w:p>
        </w:tc>
        <w:tc>
          <w:tcPr>
            <w:tcW w:w="500" w:type="pct"/>
            <w:tcBorders>
              <w:top w:val="nil"/>
              <w:left w:val="nil"/>
              <w:bottom w:val="single" w:sz="4" w:space="0" w:color="auto"/>
              <w:right w:val="single" w:sz="4" w:space="0" w:color="auto"/>
            </w:tcBorders>
            <w:shd w:val="clear" w:color="auto" w:fill="auto"/>
            <w:noWrap/>
            <w:vAlign w:val="center"/>
            <w:hideMark/>
          </w:tcPr>
          <w:p w14:paraId="1D5CE472"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67,1</w:t>
            </w:r>
          </w:p>
        </w:tc>
        <w:tc>
          <w:tcPr>
            <w:tcW w:w="491" w:type="pct"/>
            <w:tcBorders>
              <w:top w:val="nil"/>
              <w:left w:val="nil"/>
              <w:bottom w:val="single" w:sz="4" w:space="0" w:color="auto"/>
              <w:right w:val="single" w:sz="4" w:space="0" w:color="auto"/>
            </w:tcBorders>
            <w:shd w:val="clear" w:color="auto" w:fill="auto"/>
            <w:noWrap/>
            <w:vAlign w:val="center"/>
            <w:hideMark/>
          </w:tcPr>
          <w:p w14:paraId="0FB49D31"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68,9</w:t>
            </w:r>
          </w:p>
        </w:tc>
        <w:tc>
          <w:tcPr>
            <w:tcW w:w="491" w:type="pct"/>
            <w:tcBorders>
              <w:top w:val="nil"/>
              <w:left w:val="nil"/>
              <w:bottom w:val="single" w:sz="4" w:space="0" w:color="auto"/>
              <w:right w:val="single" w:sz="4" w:space="0" w:color="auto"/>
            </w:tcBorders>
            <w:shd w:val="clear" w:color="000000" w:fill="FFFFFF"/>
            <w:noWrap/>
            <w:vAlign w:val="center"/>
            <w:hideMark/>
          </w:tcPr>
          <w:p w14:paraId="1EFF27FC"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72,5</w:t>
            </w:r>
          </w:p>
        </w:tc>
        <w:tc>
          <w:tcPr>
            <w:tcW w:w="492" w:type="pct"/>
            <w:tcBorders>
              <w:top w:val="nil"/>
              <w:left w:val="nil"/>
              <w:bottom w:val="single" w:sz="4" w:space="0" w:color="auto"/>
              <w:right w:val="single" w:sz="4" w:space="0" w:color="auto"/>
            </w:tcBorders>
            <w:shd w:val="clear" w:color="000000" w:fill="FFFFFF"/>
            <w:noWrap/>
            <w:vAlign w:val="center"/>
            <w:hideMark/>
          </w:tcPr>
          <w:p w14:paraId="3DADB774"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74,5</w:t>
            </w:r>
          </w:p>
        </w:tc>
        <w:tc>
          <w:tcPr>
            <w:tcW w:w="460" w:type="pct"/>
            <w:tcBorders>
              <w:top w:val="nil"/>
              <w:left w:val="nil"/>
              <w:bottom w:val="single" w:sz="4" w:space="0" w:color="auto"/>
              <w:right w:val="single" w:sz="4" w:space="0" w:color="auto"/>
            </w:tcBorders>
            <w:shd w:val="clear" w:color="auto" w:fill="auto"/>
            <w:noWrap/>
            <w:vAlign w:val="center"/>
            <w:hideMark/>
          </w:tcPr>
          <w:p w14:paraId="4C63ACDD"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74,8</w:t>
            </w:r>
          </w:p>
        </w:tc>
      </w:tr>
      <w:tr w:rsidR="006C63D5" w:rsidRPr="00F44FA4" w14:paraId="32B4B714" w14:textId="77777777" w:rsidTr="00A86E94">
        <w:trPr>
          <w:trHeight w:val="585"/>
        </w:trPr>
        <w:tc>
          <w:tcPr>
            <w:tcW w:w="311" w:type="pct"/>
            <w:tcBorders>
              <w:top w:val="nil"/>
              <w:left w:val="single" w:sz="4" w:space="0" w:color="auto"/>
              <w:bottom w:val="single" w:sz="4" w:space="0" w:color="auto"/>
              <w:right w:val="single" w:sz="4" w:space="0" w:color="auto"/>
            </w:tcBorders>
            <w:shd w:val="clear" w:color="000000" w:fill="FFFFFF"/>
            <w:noWrap/>
            <w:vAlign w:val="bottom"/>
            <w:hideMark/>
          </w:tcPr>
          <w:p w14:paraId="3359AFB6" w14:textId="77777777" w:rsidR="006C63D5" w:rsidRPr="00F44FA4" w:rsidRDefault="006C63D5" w:rsidP="00D454A7">
            <w:pPr>
              <w:keepNext/>
              <w:keepLines/>
              <w:rPr>
                <w:rFonts w:cs="Arial"/>
                <w:color w:val="000000"/>
                <w:szCs w:val="20"/>
                <w:lang w:eastAsia="sl-SI"/>
              </w:rPr>
            </w:pPr>
            <w:r w:rsidRPr="00F44FA4">
              <w:rPr>
                <w:rFonts w:cs="Arial"/>
                <w:color w:val="000000"/>
                <w:szCs w:val="20"/>
                <w:lang w:eastAsia="sl-SI"/>
              </w:rPr>
              <w:t> </w:t>
            </w:r>
          </w:p>
        </w:tc>
        <w:tc>
          <w:tcPr>
            <w:tcW w:w="1755" w:type="pct"/>
            <w:tcBorders>
              <w:top w:val="nil"/>
              <w:left w:val="nil"/>
              <w:bottom w:val="single" w:sz="4" w:space="0" w:color="auto"/>
              <w:right w:val="single" w:sz="4" w:space="0" w:color="auto"/>
            </w:tcBorders>
            <w:shd w:val="clear" w:color="000000" w:fill="FFFFFF"/>
            <w:vAlign w:val="bottom"/>
            <w:hideMark/>
          </w:tcPr>
          <w:p w14:paraId="12B69B22" w14:textId="77777777" w:rsidR="006C63D5" w:rsidRPr="00F44FA4" w:rsidRDefault="006C63D5" w:rsidP="00D454A7">
            <w:pPr>
              <w:keepNext/>
              <w:keepLines/>
              <w:rPr>
                <w:rFonts w:cs="Arial"/>
                <w:color w:val="000000"/>
                <w:szCs w:val="20"/>
                <w:lang w:eastAsia="sl-SI"/>
              </w:rPr>
            </w:pPr>
            <w:r w:rsidRPr="00F44FA4">
              <w:rPr>
                <w:rFonts w:cs="Arial"/>
                <w:color w:val="000000"/>
                <w:szCs w:val="20"/>
                <w:lang w:eastAsia="sl-SI"/>
              </w:rPr>
              <w:t>Stopnja zaposlenosti za starostno skupino 15-64 let - podeželske regije</w:t>
            </w:r>
          </w:p>
        </w:tc>
        <w:tc>
          <w:tcPr>
            <w:tcW w:w="500" w:type="pct"/>
            <w:tcBorders>
              <w:top w:val="nil"/>
              <w:left w:val="nil"/>
              <w:bottom w:val="single" w:sz="4" w:space="0" w:color="auto"/>
              <w:right w:val="single" w:sz="4" w:space="0" w:color="auto"/>
            </w:tcBorders>
            <w:shd w:val="clear" w:color="000000" w:fill="FFFFFF"/>
            <w:noWrap/>
            <w:vAlign w:val="center"/>
            <w:hideMark/>
          </w:tcPr>
          <w:p w14:paraId="026A1BCE"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67,4</w:t>
            </w:r>
          </w:p>
        </w:tc>
        <w:tc>
          <w:tcPr>
            <w:tcW w:w="500" w:type="pct"/>
            <w:tcBorders>
              <w:top w:val="nil"/>
              <w:left w:val="nil"/>
              <w:bottom w:val="single" w:sz="4" w:space="0" w:color="auto"/>
              <w:right w:val="single" w:sz="4" w:space="0" w:color="auto"/>
            </w:tcBorders>
            <w:shd w:val="clear" w:color="auto" w:fill="auto"/>
            <w:noWrap/>
            <w:vAlign w:val="center"/>
            <w:hideMark/>
          </w:tcPr>
          <w:p w14:paraId="3BB96702"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64,0</w:t>
            </w:r>
          </w:p>
        </w:tc>
        <w:tc>
          <w:tcPr>
            <w:tcW w:w="491" w:type="pct"/>
            <w:tcBorders>
              <w:top w:val="nil"/>
              <w:left w:val="nil"/>
              <w:bottom w:val="single" w:sz="4" w:space="0" w:color="auto"/>
              <w:right w:val="single" w:sz="4" w:space="0" w:color="auto"/>
            </w:tcBorders>
            <w:shd w:val="clear" w:color="auto" w:fill="auto"/>
            <w:noWrap/>
            <w:vAlign w:val="center"/>
            <w:hideMark/>
          </w:tcPr>
          <w:p w14:paraId="52B181E8"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66,4</w:t>
            </w:r>
          </w:p>
        </w:tc>
        <w:tc>
          <w:tcPr>
            <w:tcW w:w="491" w:type="pct"/>
            <w:tcBorders>
              <w:top w:val="nil"/>
              <w:left w:val="nil"/>
              <w:bottom w:val="single" w:sz="4" w:space="0" w:color="auto"/>
              <w:right w:val="single" w:sz="4" w:space="0" w:color="auto"/>
            </w:tcBorders>
            <w:shd w:val="clear" w:color="000000" w:fill="FFFFFF"/>
            <w:noWrap/>
            <w:vAlign w:val="center"/>
            <w:hideMark/>
          </w:tcPr>
          <w:p w14:paraId="7ED18B60"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69,8</w:t>
            </w:r>
          </w:p>
        </w:tc>
        <w:tc>
          <w:tcPr>
            <w:tcW w:w="492" w:type="pct"/>
            <w:tcBorders>
              <w:top w:val="nil"/>
              <w:left w:val="nil"/>
              <w:bottom w:val="single" w:sz="4" w:space="0" w:color="auto"/>
              <w:right w:val="single" w:sz="4" w:space="0" w:color="auto"/>
            </w:tcBorders>
            <w:shd w:val="clear" w:color="000000" w:fill="FFFFFF"/>
            <w:noWrap/>
            <w:vAlign w:val="center"/>
            <w:hideMark/>
          </w:tcPr>
          <w:p w14:paraId="47DCE9DF"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71</w:t>
            </w:r>
          </w:p>
        </w:tc>
        <w:tc>
          <w:tcPr>
            <w:tcW w:w="460" w:type="pct"/>
            <w:tcBorders>
              <w:top w:val="nil"/>
              <w:left w:val="nil"/>
              <w:bottom w:val="single" w:sz="4" w:space="0" w:color="auto"/>
              <w:right w:val="single" w:sz="4" w:space="0" w:color="auto"/>
            </w:tcBorders>
            <w:shd w:val="clear" w:color="auto" w:fill="auto"/>
            <w:noWrap/>
            <w:vAlign w:val="center"/>
            <w:hideMark/>
          </w:tcPr>
          <w:p w14:paraId="0104DD91"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71,7</w:t>
            </w:r>
          </w:p>
        </w:tc>
      </w:tr>
      <w:tr w:rsidR="006C63D5" w:rsidRPr="00F44FA4" w14:paraId="088DAD9C" w14:textId="77777777" w:rsidTr="00A86E94">
        <w:trPr>
          <w:trHeight w:val="585"/>
        </w:trPr>
        <w:tc>
          <w:tcPr>
            <w:tcW w:w="311" w:type="pct"/>
            <w:tcBorders>
              <w:top w:val="nil"/>
              <w:left w:val="single" w:sz="4" w:space="0" w:color="auto"/>
              <w:bottom w:val="single" w:sz="4" w:space="0" w:color="auto"/>
              <w:right w:val="single" w:sz="4" w:space="0" w:color="auto"/>
            </w:tcBorders>
            <w:shd w:val="clear" w:color="000000" w:fill="FFFFFF"/>
            <w:noWrap/>
            <w:vAlign w:val="bottom"/>
            <w:hideMark/>
          </w:tcPr>
          <w:p w14:paraId="59E044F8" w14:textId="77777777" w:rsidR="006C63D5" w:rsidRPr="00F44FA4" w:rsidRDefault="006C63D5" w:rsidP="00D454A7">
            <w:pPr>
              <w:keepNext/>
              <w:keepLines/>
              <w:rPr>
                <w:rFonts w:cs="Arial"/>
                <w:color w:val="000000"/>
                <w:szCs w:val="20"/>
                <w:lang w:eastAsia="sl-SI"/>
              </w:rPr>
            </w:pPr>
            <w:r w:rsidRPr="00F44FA4">
              <w:rPr>
                <w:rFonts w:cs="Arial"/>
                <w:color w:val="000000"/>
                <w:szCs w:val="20"/>
                <w:lang w:eastAsia="sl-SI"/>
              </w:rPr>
              <w:t> </w:t>
            </w:r>
          </w:p>
        </w:tc>
        <w:tc>
          <w:tcPr>
            <w:tcW w:w="1755" w:type="pct"/>
            <w:tcBorders>
              <w:top w:val="nil"/>
              <w:left w:val="nil"/>
              <w:bottom w:val="single" w:sz="4" w:space="0" w:color="auto"/>
              <w:right w:val="single" w:sz="4" w:space="0" w:color="auto"/>
            </w:tcBorders>
            <w:shd w:val="clear" w:color="000000" w:fill="FFFFFF"/>
            <w:vAlign w:val="bottom"/>
            <w:hideMark/>
          </w:tcPr>
          <w:p w14:paraId="0BC2C71C" w14:textId="77777777" w:rsidR="006C63D5" w:rsidRPr="00F44FA4" w:rsidRDefault="006C63D5" w:rsidP="00D454A7">
            <w:pPr>
              <w:keepNext/>
              <w:keepLines/>
              <w:rPr>
                <w:rFonts w:cs="Arial"/>
                <w:color w:val="000000"/>
                <w:szCs w:val="20"/>
                <w:lang w:eastAsia="sl-SI"/>
              </w:rPr>
            </w:pPr>
            <w:r w:rsidRPr="00F44FA4">
              <w:rPr>
                <w:rFonts w:cs="Arial"/>
                <w:color w:val="000000"/>
                <w:szCs w:val="20"/>
                <w:lang w:eastAsia="sl-SI"/>
              </w:rPr>
              <w:t>Stopnja zaposlenosti za starostno skupino 15-64 let - skupaj</w:t>
            </w:r>
          </w:p>
        </w:tc>
        <w:tc>
          <w:tcPr>
            <w:tcW w:w="500" w:type="pct"/>
            <w:tcBorders>
              <w:top w:val="nil"/>
              <w:left w:val="nil"/>
              <w:bottom w:val="single" w:sz="4" w:space="0" w:color="auto"/>
              <w:right w:val="single" w:sz="4" w:space="0" w:color="auto"/>
            </w:tcBorders>
            <w:shd w:val="clear" w:color="000000" w:fill="FFFFFF"/>
            <w:noWrap/>
            <w:vAlign w:val="center"/>
            <w:hideMark/>
          </w:tcPr>
          <w:p w14:paraId="4A5D3345"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66,2</w:t>
            </w:r>
          </w:p>
        </w:tc>
        <w:tc>
          <w:tcPr>
            <w:tcW w:w="500" w:type="pct"/>
            <w:tcBorders>
              <w:top w:val="nil"/>
              <w:left w:val="nil"/>
              <w:bottom w:val="single" w:sz="4" w:space="0" w:color="auto"/>
              <w:right w:val="single" w:sz="4" w:space="0" w:color="auto"/>
            </w:tcBorders>
            <w:shd w:val="clear" w:color="auto" w:fill="auto"/>
            <w:noWrap/>
            <w:vAlign w:val="center"/>
            <w:hideMark/>
          </w:tcPr>
          <w:p w14:paraId="7484BD72"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63,3</w:t>
            </w:r>
          </w:p>
        </w:tc>
        <w:tc>
          <w:tcPr>
            <w:tcW w:w="491" w:type="pct"/>
            <w:tcBorders>
              <w:top w:val="nil"/>
              <w:left w:val="nil"/>
              <w:bottom w:val="single" w:sz="4" w:space="0" w:color="auto"/>
              <w:right w:val="single" w:sz="4" w:space="0" w:color="auto"/>
            </w:tcBorders>
            <w:shd w:val="clear" w:color="auto" w:fill="auto"/>
            <w:noWrap/>
            <w:vAlign w:val="center"/>
            <w:hideMark/>
          </w:tcPr>
          <w:p w14:paraId="2364C763"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65,8</w:t>
            </w:r>
          </w:p>
        </w:tc>
        <w:tc>
          <w:tcPr>
            <w:tcW w:w="491" w:type="pct"/>
            <w:tcBorders>
              <w:top w:val="nil"/>
              <w:left w:val="nil"/>
              <w:bottom w:val="single" w:sz="4" w:space="0" w:color="auto"/>
              <w:right w:val="single" w:sz="4" w:space="0" w:color="auto"/>
            </w:tcBorders>
            <w:shd w:val="clear" w:color="000000" w:fill="FFFFFF"/>
            <w:noWrap/>
            <w:vAlign w:val="center"/>
            <w:hideMark/>
          </w:tcPr>
          <w:p w14:paraId="6C41D5F0"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69,3</w:t>
            </w:r>
          </w:p>
        </w:tc>
        <w:tc>
          <w:tcPr>
            <w:tcW w:w="492" w:type="pct"/>
            <w:tcBorders>
              <w:top w:val="nil"/>
              <w:left w:val="nil"/>
              <w:bottom w:val="single" w:sz="4" w:space="0" w:color="auto"/>
              <w:right w:val="single" w:sz="4" w:space="0" w:color="auto"/>
            </w:tcBorders>
            <w:shd w:val="clear" w:color="000000" w:fill="FFFFFF"/>
            <w:noWrap/>
            <w:vAlign w:val="center"/>
            <w:hideMark/>
          </w:tcPr>
          <w:p w14:paraId="34B94223"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71,1</w:t>
            </w:r>
          </w:p>
        </w:tc>
        <w:tc>
          <w:tcPr>
            <w:tcW w:w="460" w:type="pct"/>
            <w:tcBorders>
              <w:top w:val="nil"/>
              <w:left w:val="nil"/>
              <w:bottom w:val="single" w:sz="4" w:space="0" w:color="auto"/>
              <w:right w:val="single" w:sz="4" w:space="0" w:color="auto"/>
            </w:tcBorders>
            <w:shd w:val="clear" w:color="auto" w:fill="auto"/>
            <w:noWrap/>
            <w:vAlign w:val="center"/>
            <w:hideMark/>
          </w:tcPr>
          <w:p w14:paraId="422B0C8F"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71,8</w:t>
            </w:r>
          </w:p>
        </w:tc>
      </w:tr>
      <w:tr w:rsidR="006C63D5" w:rsidRPr="00F44FA4" w14:paraId="292EE0BD" w14:textId="77777777" w:rsidTr="00A86E94">
        <w:trPr>
          <w:trHeight w:val="240"/>
        </w:trPr>
        <w:tc>
          <w:tcPr>
            <w:tcW w:w="311" w:type="pct"/>
            <w:tcBorders>
              <w:top w:val="nil"/>
              <w:left w:val="single" w:sz="4" w:space="0" w:color="auto"/>
              <w:bottom w:val="single" w:sz="4" w:space="0" w:color="auto"/>
              <w:right w:val="single" w:sz="4" w:space="0" w:color="auto"/>
            </w:tcBorders>
            <w:shd w:val="clear" w:color="000000" w:fill="FFFFFF"/>
            <w:noWrap/>
            <w:vAlign w:val="bottom"/>
            <w:hideMark/>
          </w:tcPr>
          <w:p w14:paraId="3E49DD1D" w14:textId="77777777" w:rsidR="006C63D5" w:rsidRPr="00F44FA4" w:rsidRDefault="006C63D5" w:rsidP="00D454A7">
            <w:pPr>
              <w:keepNext/>
              <w:keepLines/>
              <w:rPr>
                <w:rFonts w:cs="Arial"/>
                <w:color w:val="000000"/>
                <w:szCs w:val="20"/>
                <w:lang w:eastAsia="sl-SI"/>
              </w:rPr>
            </w:pPr>
            <w:r w:rsidRPr="00F44FA4">
              <w:rPr>
                <w:rFonts w:cs="Arial"/>
                <w:color w:val="000000"/>
                <w:szCs w:val="20"/>
                <w:lang w:eastAsia="sl-SI"/>
              </w:rPr>
              <w:t> </w:t>
            </w:r>
          </w:p>
        </w:tc>
        <w:tc>
          <w:tcPr>
            <w:tcW w:w="1755" w:type="pct"/>
            <w:tcBorders>
              <w:top w:val="nil"/>
              <w:left w:val="nil"/>
              <w:bottom w:val="single" w:sz="4" w:space="0" w:color="auto"/>
              <w:right w:val="single" w:sz="4" w:space="0" w:color="auto"/>
            </w:tcBorders>
            <w:shd w:val="clear" w:color="000000" w:fill="FFFFFF"/>
            <w:vAlign w:val="bottom"/>
            <w:hideMark/>
          </w:tcPr>
          <w:p w14:paraId="32B47827" w14:textId="77777777" w:rsidR="006C63D5" w:rsidRPr="00F44FA4" w:rsidRDefault="006C63D5" w:rsidP="00D454A7">
            <w:pPr>
              <w:keepNext/>
              <w:keepLines/>
              <w:rPr>
                <w:rFonts w:cs="Arial"/>
                <w:color w:val="000000"/>
                <w:szCs w:val="20"/>
                <w:lang w:eastAsia="sl-SI"/>
              </w:rPr>
            </w:pPr>
            <w:r w:rsidRPr="00F44FA4">
              <w:rPr>
                <w:rFonts w:cs="Arial"/>
                <w:color w:val="000000"/>
                <w:szCs w:val="20"/>
                <w:lang w:eastAsia="sl-SI"/>
              </w:rPr>
              <w:t>Stopnja zaposlenosti za starostno skupino 20-64 let - ženske</w:t>
            </w:r>
          </w:p>
        </w:tc>
        <w:tc>
          <w:tcPr>
            <w:tcW w:w="500" w:type="pct"/>
            <w:tcBorders>
              <w:top w:val="nil"/>
              <w:left w:val="nil"/>
              <w:bottom w:val="single" w:sz="4" w:space="0" w:color="auto"/>
              <w:right w:val="single" w:sz="4" w:space="0" w:color="auto"/>
            </w:tcBorders>
            <w:shd w:val="clear" w:color="000000" w:fill="FFFFFF"/>
            <w:noWrap/>
            <w:vAlign w:val="center"/>
            <w:hideMark/>
          </w:tcPr>
          <w:p w14:paraId="5072491B"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66,5</w:t>
            </w:r>
          </w:p>
        </w:tc>
        <w:tc>
          <w:tcPr>
            <w:tcW w:w="500" w:type="pct"/>
            <w:tcBorders>
              <w:top w:val="nil"/>
              <w:left w:val="nil"/>
              <w:bottom w:val="single" w:sz="4" w:space="0" w:color="auto"/>
              <w:right w:val="single" w:sz="4" w:space="0" w:color="auto"/>
            </w:tcBorders>
            <w:shd w:val="clear" w:color="auto" w:fill="auto"/>
            <w:noWrap/>
            <w:vAlign w:val="center"/>
            <w:hideMark/>
          </w:tcPr>
          <w:p w14:paraId="4B6B81F3"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63,0</w:t>
            </w:r>
          </w:p>
        </w:tc>
        <w:tc>
          <w:tcPr>
            <w:tcW w:w="491" w:type="pct"/>
            <w:tcBorders>
              <w:top w:val="nil"/>
              <w:left w:val="nil"/>
              <w:bottom w:val="single" w:sz="4" w:space="0" w:color="auto"/>
              <w:right w:val="single" w:sz="4" w:space="0" w:color="auto"/>
            </w:tcBorders>
            <w:shd w:val="clear" w:color="auto" w:fill="auto"/>
            <w:noWrap/>
            <w:vAlign w:val="center"/>
            <w:hideMark/>
          </w:tcPr>
          <w:p w14:paraId="76652BC1"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66,7</w:t>
            </w:r>
          </w:p>
        </w:tc>
        <w:tc>
          <w:tcPr>
            <w:tcW w:w="491" w:type="pct"/>
            <w:tcBorders>
              <w:top w:val="nil"/>
              <w:left w:val="nil"/>
              <w:bottom w:val="single" w:sz="4" w:space="0" w:color="auto"/>
              <w:right w:val="single" w:sz="4" w:space="0" w:color="auto"/>
            </w:tcBorders>
            <w:shd w:val="clear" w:color="000000" w:fill="FFFFFF"/>
            <w:noWrap/>
            <w:vAlign w:val="center"/>
            <w:hideMark/>
          </w:tcPr>
          <w:p w14:paraId="224C7B35"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69,7</w:t>
            </w:r>
          </w:p>
        </w:tc>
        <w:tc>
          <w:tcPr>
            <w:tcW w:w="492" w:type="pct"/>
            <w:tcBorders>
              <w:top w:val="nil"/>
              <w:left w:val="nil"/>
              <w:bottom w:val="single" w:sz="4" w:space="0" w:color="auto"/>
              <w:right w:val="single" w:sz="4" w:space="0" w:color="auto"/>
            </w:tcBorders>
            <w:shd w:val="clear" w:color="000000" w:fill="FFFFFF"/>
            <w:noWrap/>
            <w:vAlign w:val="center"/>
            <w:hideMark/>
          </w:tcPr>
          <w:p w14:paraId="6B1F6FE6"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71,7</w:t>
            </w:r>
          </w:p>
        </w:tc>
        <w:tc>
          <w:tcPr>
            <w:tcW w:w="460" w:type="pct"/>
            <w:tcBorders>
              <w:top w:val="nil"/>
              <w:left w:val="nil"/>
              <w:bottom w:val="single" w:sz="4" w:space="0" w:color="auto"/>
              <w:right w:val="single" w:sz="4" w:space="0" w:color="auto"/>
            </w:tcBorders>
            <w:shd w:val="clear" w:color="auto" w:fill="auto"/>
            <w:noWrap/>
            <w:vAlign w:val="center"/>
            <w:hideMark/>
          </w:tcPr>
          <w:p w14:paraId="3014CDFB"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72,9</w:t>
            </w:r>
          </w:p>
        </w:tc>
      </w:tr>
      <w:tr w:rsidR="006C63D5" w:rsidRPr="00F44FA4" w14:paraId="350730EB" w14:textId="77777777" w:rsidTr="00A86E94">
        <w:trPr>
          <w:trHeight w:val="585"/>
        </w:trPr>
        <w:tc>
          <w:tcPr>
            <w:tcW w:w="311" w:type="pct"/>
            <w:tcBorders>
              <w:top w:val="nil"/>
              <w:left w:val="single" w:sz="4" w:space="0" w:color="auto"/>
              <w:bottom w:val="single" w:sz="4" w:space="0" w:color="auto"/>
              <w:right w:val="single" w:sz="4" w:space="0" w:color="auto"/>
            </w:tcBorders>
            <w:shd w:val="clear" w:color="000000" w:fill="FFFFFF"/>
            <w:noWrap/>
            <w:vAlign w:val="bottom"/>
            <w:hideMark/>
          </w:tcPr>
          <w:p w14:paraId="0670823D" w14:textId="77777777" w:rsidR="006C63D5" w:rsidRPr="00F44FA4" w:rsidRDefault="006C63D5" w:rsidP="00D454A7">
            <w:pPr>
              <w:keepNext/>
              <w:keepLines/>
              <w:rPr>
                <w:rFonts w:cs="Arial"/>
                <w:color w:val="000000"/>
                <w:szCs w:val="20"/>
                <w:lang w:eastAsia="sl-SI"/>
              </w:rPr>
            </w:pPr>
            <w:r w:rsidRPr="00F44FA4">
              <w:rPr>
                <w:rFonts w:cs="Arial"/>
                <w:color w:val="000000"/>
                <w:szCs w:val="20"/>
                <w:lang w:eastAsia="sl-SI"/>
              </w:rPr>
              <w:t> </w:t>
            </w:r>
          </w:p>
        </w:tc>
        <w:tc>
          <w:tcPr>
            <w:tcW w:w="1755" w:type="pct"/>
            <w:tcBorders>
              <w:top w:val="nil"/>
              <w:left w:val="nil"/>
              <w:bottom w:val="single" w:sz="4" w:space="0" w:color="auto"/>
              <w:right w:val="single" w:sz="4" w:space="0" w:color="auto"/>
            </w:tcBorders>
            <w:shd w:val="clear" w:color="000000" w:fill="FFFFFF"/>
            <w:vAlign w:val="bottom"/>
            <w:hideMark/>
          </w:tcPr>
          <w:p w14:paraId="25410DE4" w14:textId="77777777" w:rsidR="006C63D5" w:rsidRPr="00F44FA4" w:rsidRDefault="006C63D5" w:rsidP="00D454A7">
            <w:pPr>
              <w:keepNext/>
              <w:keepLines/>
              <w:rPr>
                <w:rFonts w:cs="Arial"/>
                <w:color w:val="000000"/>
                <w:szCs w:val="20"/>
                <w:lang w:eastAsia="sl-SI"/>
              </w:rPr>
            </w:pPr>
            <w:r w:rsidRPr="00F44FA4">
              <w:rPr>
                <w:rFonts w:cs="Arial"/>
                <w:color w:val="000000"/>
                <w:szCs w:val="20"/>
                <w:lang w:eastAsia="sl-SI"/>
              </w:rPr>
              <w:t>Stopnja zaposlenosti za starostno skupino 20-64 let - moški</w:t>
            </w:r>
          </w:p>
        </w:tc>
        <w:tc>
          <w:tcPr>
            <w:tcW w:w="500" w:type="pct"/>
            <w:tcBorders>
              <w:top w:val="nil"/>
              <w:left w:val="nil"/>
              <w:bottom w:val="single" w:sz="4" w:space="0" w:color="auto"/>
              <w:right w:val="single" w:sz="4" w:space="0" w:color="auto"/>
            </w:tcBorders>
            <w:shd w:val="clear" w:color="000000" w:fill="FFFFFF"/>
            <w:noWrap/>
            <w:vAlign w:val="center"/>
            <w:hideMark/>
          </w:tcPr>
          <w:p w14:paraId="4BBEB25A"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74,0</w:t>
            </w:r>
          </w:p>
        </w:tc>
        <w:tc>
          <w:tcPr>
            <w:tcW w:w="500" w:type="pct"/>
            <w:tcBorders>
              <w:top w:val="nil"/>
              <w:left w:val="nil"/>
              <w:bottom w:val="single" w:sz="4" w:space="0" w:color="auto"/>
              <w:right w:val="single" w:sz="4" w:space="0" w:color="auto"/>
            </w:tcBorders>
            <w:shd w:val="clear" w:color="auto" w:fill="auto"/>
            <w:noWrap/>
            <w:vAlign w:val="center"/>
            <w:hideMark/>
          </w:tcPr>
          <w:p w14:paraId="6DCD0E52"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71,2</w:t>
            </w:r>
          </w:p>
        </w:tc>
        <w:tc>
          <w:tcPr>
            <w:tcW w:w="491" w:type="pct"/>
            <w:tcBorders>
              <w:top w:val="nil"/>
              <w:left w:val="nil"/>
              <w:bottom w:val="single" w:sz="4" w:space="0" w:color="auto"/>
              <w:right w:val="single" w:sz="4" w:space="0" w:color="auto"/>
            </w:tcBorders>
            <w:shd w:val="clear" w:color="auto" w:fill="auto"/>
            <w:noWrap/>
            <w:vAlign w:val="center"/>
            <w:hideMark/>
          </w:tcPr>
          <w:p w14:paraId="6EAB41A5"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73,3</w:t>
            </w:r>
          </w:p>
        </w:tc>
        <w:tc>
          <w:tcPr>
            <w:tcW w:w="491" w:type="pct"/>
            <w:tcBorders>
              <w:top w:val="nil"/>
              <w:left w:val="nil"/>
              <w:bottom w:val="single" w:sz="4" w:space="0" w:color="auto"/>
              <w:right w:val="single" w:sz="4" w:space="0" w:color="auto"/>
            </w:tcBorders>
            <w:shd w:val="clear" w:color="000000" w:fill="FFFFFF"/>
            <w:noWrap/>
            <w:vAlign w:val="center"/>
            <w:hideMark/>
          </w:tcPr>
          <w:p w14:paraId="3B023979"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76,9</w:t>
            </w:r>
          </w:p>
        </w:tc>
        <w:tc>
          <w:tcPr>
            <w:tcW w:w="492" w:type="pct"/>
            <w:tcBorders>
              <w:top w:val="nil"/>
              <w:left w:val="nil"/>
              <w:bottom w:val="single" w:sz="4" w:space="0" w:color="auto"/>
              <w:right w:val="single" w:sz="4" w:space="0" w:color="auto"/>
            </w:tcBorders>
            <w:shd w:val="clear" w:color="000000" w:fill="FFFFFF"/>
            <w:noWrap/>
            <w:vAlign w:val="center"/>
            <w:hideMark/>
          </w:tcPr>
          <w:p w14:paraId="5F63AB66"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79</w:t>
            </w:r>
          </w:p>
        </w:tc>
        <w:tc>
          <w:tcPr>
            <w:tcW w:w="460" w:type="pct"/>
            <w:tcBorders>
              <w:top w:val="nil"/>
              <w:left w:val="nil"/>
              <w:bottom w:val="single" w:sz="4" w:space="0" w:color="auto"/>
              <w:right w:val="single" w:sz="4" w:space="0" w:color="auto"/>
            </w:tcBorders>
            <w:shd w:val="clear" w:color="auto" w:fill="auto"/>
            <w:noWrap/>
            <w:vAlign w:val="center"/>
            <w:hideMark/>
          </w:tcPr>
          <w:p w14:paraId="0DB35D19"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79,7</w:t>
            </w:r>
          </w:p>
        </w:tc>
      </w:tr>
      <w:tr w:rsidR="006C63D5" w:rsidRPr="00F44FA4" w14:paraId="13D354E3" w14:textId="77777777" w:rsidTr="00A86E94">
        <w:trPr>
          <w:trHeight w:val="585"/>
        </w:trPr>
        <w:tc>
          <w:tcPr>
            <w:tcW w:w="311" w:type="pct"/>
            <w:tcBorders>
              <w:top w:val="nil"/>
              <w:left w:val="single" w:sz="4" w:space="0" w:color="auto"/>
              <w:bottom w:val="single" w:sz="4" w:space="0" w:color="auto"/>
              <w:right w:val="single" w:sz="4" w:space="0" w:color="auto"/>
            </w:tcBorders>
            <w:shd w:val="clear" w:color="000000" w:fill="FFFFFF"/>
            <w:noWrap/>
            <w:vAlign w:val="bottom"/>
            <w:hideMark/>
          </w:tcPr>
          <w:p w14:paraId="6FEC80FC" w14:textId="77777777" w:rsidR="006C63D5" w:rsidRPr="00F44FA4" w:rsidRDefault="006C63D5" w:rsidP="00D454A7">
            <w:pPr>
              <w:keepNext/>
              <w:keepLines/>
              <w:rPr>
                <w:rFonts w:cs="Arial"/>
                <w:color w:val="000000"/>
                <w:szCs w:val="20"/>
                <w:lang w:eastAsia="sl-SI"/>
              </w:rPr>
            </w:pPr>
            <w:r w:rsidRPr="00F44FA4">
              <w:rPr>
                <w:rFonts w:cs="Arial"/>
                <w:color w:val="000000"/>
                <w:szCs w:val="20"/>
                <w:lang w:eastAsia="sl-SI"/>
              </w:rPr>
              <w:t> </w:t>
            </w:r>
          </w:p>
        </w:tc>
        <w:tc>
          <w:tcPr>
            <w:tcW w:w="1755" w:type="pct"/>
            <w:tcBorders>
              <w:top w:val="nil"/>
              <w:left w:val="nil"/>
              <w:bottom w:val="single" w:sz="4" w:space="0" w:color="auto"/>
              <w:right w:val="single" w:sz="4" w:space="0" w:color="auto"/>
            </w:tcBorders>
            <w:shd w:val="clear" w:color="000000" w:fill="FFFFFF"/>
            <w:vAlign w:val="bottom"/>
            <w:hideMark/>
          </w:tcPr>
          <w:p w14:paraId="5F1D26AD" w14:textId="77777777" w:rsidR="006C63D5" w:rsidRPr="00F44FA4" w:rsidRDefault="006C63D5" w:rsidP="00D454A7">
            <w:pPr>
              <w:keepNext/>
              <w:keepLines/>
              <w:rPr>
                <w:rFonts w:cs="Arial"/>
                <w:color w:val="000000"/>
                <w:szCs w:val="20"/>
                <w:lang w:eastAsia="sl-SI"/>
              </w:rPr>
            </w:pPr>
            <w:r w:rsidRPr="00F44FA4">
              <w:rPr>
                <w:rFonts w:cs="Arial"/>
                <w:color w:val="000000"/>
                <w:szCs w:val="20"/>
                <w:lang w:eastAsia="sl-SI"/>
              </w:rPr>
              <w:t>Stopnja zaposlenosti za starostno skupino 20-64 let - podeželske regije</w:t>
            </w:r>
          </w:p>
        </w:tc>
        <w:tc>
          <w:tcPr>
            <w:tcW w:w="500" w:type="pct"/>
            <w:tcBorders>
              <w:top w:val="nil"/>
              <w:left w:val="nil"/>
              <w:bottom w:val="single" w:sz="4" w:space="0" w:color="auto"/>
              <w:right w:val="single" w:sz="4" w:space="0" w:color="auto"/>
            </w:tcBorders>
            <w:shd w:val="clear" w:color="000000" w:fill="FFFFFF"/>
            <w:noWrap/>
            <w:vAlign w:val="center"/>
            <w:hideMark/>
          </w:tcPr>
          <w:p w14:paraId="7C61A0AC"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71,7</w:t>
            </w:r>
          </w:p>
        </w:tc>
        <w:tc>
          <w:tcPr>
            <w:tcW w:w="500" w:type="pct"/>
            <w:tcBorders>
              <w:top w:val="nil"/>
              <w:left w:val="nil"/>
              <w:bottom w:val="single" w:sz="4" w:space="0" w:color="auto"/>
              <w:right w:val="single" w:sz="4" w:space="0" w:color="auto"/>
            </w:tcBorders>
            <w:shd w:val="clear" w:color="auto" w:fill="auto"/>
            <w:noWrap/>
            <w:vAlign w:val="center"/>
            <w:hideMark/>
          </w:tcPr>
          <w:p w14:paraId="485DE0EB"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68,2</w:t>
            </w:r>
          </w:p>
        </w:tc>
        <w:tc>
          <w:tcPr>
            <w:tcW w:w="491" w:type="pct"/>
            <w:tcBorders>
              <w:top w:val="nil"/>
              <w:left w:val="nil"/>
              <w:bottom w:val="single" w:sz="4" w:space="0" w:color="auto"/>
              <w:right w:val="single" w:sz="4" w:space="0" w:color="auto"/>
            </w:tcBorders>
            <w:shd w:val="clear" w:color="auto" w:fill="auto"/>
            <w:noWrap/>
            <w:vAlign w:val="center"/>
            <w:hideMark/>
          </w:tcPr>
          <w:p w14:paraId="548A69B7"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70,8</w:t>
            </w:r>
          </w:p>
        </w:tc>
        <w:tc>
          <w:tcPr>
            <w:tcW w:w="491" w:type="pct"/>
            <w:tcBorders>
              <w:top w:val="nil"/>
              <w:left w:val="nil"/>
              <w:bottom w:val="single" w:sz="4" w:space="0" w:color="auto"/>
              <w:right w:val="single" w:sz="4" w:space="0" w:color="auto"/>
            </w:tcBorders>
            <w:shd w:val="clear" w:color="000000" w:fill="FFFFFF"/>
            <w:noWrap/>
            <w:vAlign w:val="center"/>
            <w:hideMark/>
          </w:tcPr>
          <w:p w14:paraId="5D068338"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74</w:t>
            </w:r>
          </w:p>
        </w:tc>
        <w:tc>
          <w:tcPr>
            <w:tcW w:w="492" w:type="pct"/>
            <w:tcBorders>
              <w:top w:val="nil"/>
              <w:left w:val="nil"/>
              <w:bottom w:val="single" w:sz="4" w:space="0" w:color="auto"/>
              <w:right w:val="single" w:sz="4" w:space="0" w:color="auto"/>
            </w:tcBorders>
            <w:shd w:val="clear" w:color="000000" w:fill="FFFFFF"/>
            <w:noWrap/>
            <w:vAlign w:val="center"/>
            <w:hideMark/>
          </w:tcPr>
          <w:p w14:paraId="5DE4F134"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75,3</w:t>
            </w:r>
          </w:p>
        </w:tc>
        <w:tc>
          <w:tcPr>
            <w:tcW w:w="460" w:type="pct"/>
            <w:tcBorders>
              <w:top w:val="nil"/>
              <w:left w:val="nil"/>
              <w:bottom w:val="single" w:sz="4" w:space="0" w:color="auto"/>
              <w:right w:val="single" w:sz="4" w:space="0" w:color="auto"/>
            </w:tcBorders>
            <w:shd w:val="clear" w:color="auto" w:fill="auto"/>
            <w:noWrap/>
            <w:vAlign w:val="center"/>
            <w:hideMark/>
          </w:tcPr>
          <w:p w14:paraId="33064D61"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76,2</w:t>
            </w:r>
          </w:p>
        </w:tc>
      </w:tr>
      <w:tr w:rsidR="006C63D5" w:rsidRPr="00F44FA4" w14:paraId="439E07D3" w14:textId="77777777" w:rsidTr="00F42F8F">
        <w:trPr>
          <w:trHeight w:val="585"/>
        </w:trPr>
        <w:tc>
          <w:tcPr>
            <w:tcW w:w="311" w:type="pct"/>
            <w:tcBorders>
              <w:top w:val="nil"/>
              <w:left w:val="single" w:sz="4" w:space="0" w:color="auto"/>
              <w:bottom w:val="nil"/>
              <w:right w:val="single" w:sz="4" w:space="0" w:color="auto"/>
            </w:tcBorders>
            <w:shd w:val="clear" w:color="000000" w:fill="FFFFFF"/>
            <w:noWrap/>
            <w:vAlign w:val="bottom"/>
            <w:hideMark/>
          </w:tcPr>
          <w:p w14:paraId="2D6C495B" w14:textId="77777777" w:rsidR="006C63D5" w:rsidRPr="00F44FA4" w:rsidRDefault="006C63D5" w:rsidP="00D454A7">
            <w:pPr>
              <w:keepNext/>
              <w:keepLines/>
              <w:rPr>
                <w:rFonts w:cs="Arial"/>
                <w:color w:val="000000"/>
                <w:szCs w:val="20"/>
                <w:lang w:eastAsia="sl-SI"/>
              </w:rPr>
            </w:pPr>
            <w:r w:rsidRPr="00F44FA4">
              <w:rPr>
                <w:rFonts w:cs="Arial"/>
                <w:color w:val="000000"/>
                <w:szCs w:val="20"/>
                <w:lang w:eastAsia="sl-SI"/>
              </w:rPr>
              <w:t> </w:t>
            </w:r>
          </w:p>
        </w:tc>
        <w:tc>
          <w:tcPr>
            <w:tcW w:w="1755" w:type="pct"/>
            <w:tcBorders>
              <w:top w:val="nil"/>
              <w:left w:val="nil"/>
              <w:bottom w:val="nil"/>
              <w:right w:val="single" w:sz="4" w:space="0" w:color="auto"/>
            </w:tcBorders>
            <w:shd w:val="clear" w:color="000000" w:fill="FFFFFF"/>
            <w:vAlign w:val="bottom"/>
            <w:hideMark/>
          </w:tcPr>
          <w:p w14:paraId="2E46E713" w14:textId="77777777" w:rsidR="006C63D5" w:rsidRPr="00F44FA4" w:rsidRDefault="006C63D5" w:rsidP="00D454A7">
            <w:pPr>
              <w:keepNext/>
              <w:keepLines/>
              <w:rPr>
                <w:rFonts w:cs="Arial"/>
                <w:color w:val="000000"/>
                <w:szCs w:val="20"/>
                <w:lang w:eastAsia="sl-SI"/>
              </w:rPr>
            </w:pPr>
            <w:r w:rsidRPr="00F44FA4">
              <w:rPr>
                <w:rFonts w:cs="Arial"/>
                <w:color w:val="000000"/>
                <w:szCs w:val="20"/>
                <w:lang w:eastAsia="sl-SI"/>
              </w:rPr>
              <w:t>Stopnja zaposlenosti za starostno skupino 20-64 let - skupaj</w:t>
            </w:r>
          </w:p>
        </w:tc>
        <w:tc>
          <w:tcPr>
            <w:tcW w:w="500" w:type="pct"/>
            <w:tcBorders>
              <w:top w:val="nil"/>
              <w:left w:val="nil"/>
              <w:bottom w:val="nil"/>
              <w:right w:val="single" w:sz="4" w:space="0" w:color="auto"/>
            </w:tcBorders>
            <w:shd w:val="clear" w:color="000000" w:fill="FFFFFF"/>
            <w:noWrap/>
            <w:vAlign w:val="center"/>
            <w:hideMark/>
          </w:tcPr>
          <w:p w14:paraId="711B9486"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70,30</w:t>
            </w:r>
          </w:p>
        </w:tc>
        <w:tc>
          <w:tcPr>
            <w:tcW w:w="500" w:type="pct"/>
            <w:tcBorders>
              <w:top w:val="nil"/>
              <w:left w:val="nil"/>
              <w:bottom w:val="nil"/>
              <w:right w:val="single" w:sz="4" w:space="0" w:color="auto"/>
            </w:tcBorders>
            <w:shd w:val="clear" w:color="auto" w:fill="auto"/>
            <w:noWrap/>
            <w:vAlign w:val="center"/>
            <w:hideMark/>
          </w:tcPr>
          <w:p w14:paraId="4A1DC39A"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67,20</w:t>
            </w:r>
          </w:p>
        </w:tc>
        <w:tc>
          <w:tcPr>
            <w:tcW w:w="491" w:type="pct"/>
            <w:tcBorders>
              <w:top w:val="nil"/>
              <w:left w:val="nil"/>
              <w:bottom w:val="nil"/>
              <w:right w:val="single" w:sz="4" w:space="0" w:color="auto"/>
            </w:tcBorders>
            <w:shd w:val="clear" w:color="auto" w:fill="auto"/>
            <w:noWrap/>
            <w:vAlign w:val="center"/>
            <w:hideMark/>
          </w:tcPr>
          <w:p w14:paraId="72E5CC93"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70,10</w:t>
            </w:r>
          </w:p>
        </w:tc>
        <w:tc>
          <w:tcPr>
            <w:tcW w:w="491" w:type="pct"/>
            <w:tcBorders>
              <w:top w:val="nil"/>
              <w:left w:val="nil"/>
              <w:bottom w:val="nil"/>
              <w:right w:val="single" w:sz="4" w:space="0" w:color="auto"/>
            </w:tcBorders>
            <w:shd w:val="clear" w:color="000000" w:fill="FFFFFF"/>
            <w:noWrap/>
            <w:vAlign w:val="center"/>
            <w:hideMark/>
          </w:tcPr>
          <w:p w14:paraId="74E6173D"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73,4</w:t>
            </w:r>
          </w:p>
        </w:tc>
        <w:tc>
          <w:tcPr>
            <w:tcW w:w="492" w:type="pct"/>
            <w:tcBorders>
              <w:top w:val="nil"/>
              <w:left w:val="nil"/>
              <w:bottom w:val="nil"/>
              <w:right w:val="single" w:sz="4" w:space="0" w:color="auto"/>
            </w:tcBorders>
            <w:shd w:val="clear" w:color="000000" w:fill="FFFFFF"/>
            <w:noWrap/>
            <w:vAlign w:val="center"/>
            <w:hideMark/>
          </w:tcPr>
          <w:p w14:paraId="3A167878"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75,4</w:t>
            </w:r>
          </w:p>
        </w:tc>
        <w:tc>
          <w:tcPr>
            <w:tcW w:w="460" w:type="pct"/>
            <w:tcBorders>
              <w:top w:val="nil"/>
              <w:left w:val="nil"/>
              <w:bottom w:val="nil"/>
              <w:right w:val="single" w:sz="4" w:space="0" w:color="auto"/>
            </w:tcBorders>
            <w:shd w:val="clear" w:color="auto" w:fill="auto"/>
            <w:noWrap/>
            <w:vAlign w:val="center"/>
            <w:hideMark/>
          </w:tcPr>
          <w:p w14:paraId="0B18706F"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76,4</w:t>
            </w:r>
          </w:p>
        </w:tc>
      </w:tr>
      <w:tr w:rsidR="00A86E94" w:rsidRPr="00F44FA4" w14:paraId="7C2A53AC" w14:textId="77777777" w:rsidTr="00A86E94">
        <w:trPr>
          <w:trHeight w:val="585"/>
        </w:trPr>
        <w:tc>
          <w:tcPr>
            <w:tcW w:w="311" w:type="pct"/>
            <w:tcBorders>
              <w:top w:val="nil"/>
              <w:left w:val="single" w:sz="4" w:space="0" w:color="auto"/>
              <w:bottom w:val="single" w:sz="4" w:space="0" w:color="auto"/>
              <w:right w:val="single" w:sz="4" w:space="0" w:color="auto"/>
            </w:tcBorders>
            <w:shd w:val="clear" w:color="000000" w:fill="FFFFFF"/>
            <w:noWrap/>
            <w:vAlign w:val="bottom"/>
          </w:tcPr>
          <w:p w14:paraId="4D30B350" w14:textId="77777777" w:rsidR="00A86E94" w:rsidRPr="00F44FA4" w:rsidRDefault="00A86E94" w:rsidP="00D454A7">
            <w:pPr>
              <w:keepNext/>
              <w:keepLines/>
              <w:rPr>
                <w:rFonts w:cs="Arial"/>
                <w:color w:val="000000"/>
                <w:szCs w:val="20"/>
                <w:lang w:eastAsia="sl-SI"/>
              </w:rPr>
            </w:pPr>
          </w:p>
        </w:tc>
        <w:tc>
          <w:tcPr>
            <w:tcW w:w="1755" w:type="pct"/>
            <w:tcBorders>
              <w:top w:val="nil"/>
              <w:left w:val="nil"/>
              <w:bottom w:val="single" w:sz="4" w:space="0" w:color="auto"/>
              <w:right w:val="single" w:sz="4" w:space="0" w:color="auto"/>
            </w:tcBorders>
            <w:shd w:val="clear" w:color="000000" w:fill="FFFFFF"/>
            <w:vAlign w:val="bottom"/>
          </w:tcPr>
          <w:p w14:paraId="605BDF53" w14:textId="77777777" w:rsidR="00A86E94" w:rsidRPr="00F44FA4" w:rsidRDefault="00A86E94" w:rsidP="00D454A7">
            <w:pPr>
              <w:keepNext/>
              <w:keepLines/>
              <w:rPr>
                <w:rFonts w:cs="Arial"/>
                <w:color w:val="000000"/>
                <w:szCs w:val="20"/>
                <w:lang w:eastAsia="sl-SI"/>
              </w:rPr>
            </w:pPr>
          </w:p>
        </w:tc>
        <w:tc>
          <w:tcPr>
            <w:tcW w:w="500" w:type="pct"/>
            <w:tcBorders>
              <w:top w:val="nil"/>
              <w:left w:val="nil"/>
              <w:bottom w:val="single" w:sz="4" w:space="0" w:color="auto"/>
              <w:right w:val="single" w:sz="4" w:space="0" w:color="auto"/>
            </w:tcBorders>
            <w:shd w:val="clear" w:color="000000" w:fill="FFFFFF"/>
            <w:noWrap/>
            <w:vAlign w:val="center"/>
          </w:tcPr>
          <w:p w14:paraId="3F935622" w14:textId="77777777" w:rsidR="00A86E94" w:rsidRPr="00F44FA4" w:rsidRDefault="00A86E94" w:rsidP="00D454A7">
            <w:pPr>
              <w:keepNext/>
              <w:keepLines/>
              <w:jc w:val="right"/>
              <w:rPr>
                <w:rFonts w:cs="Arial"/>
                <w:color w:val="000000"/>
                <w:szCs w:val="20"/>
                <w:lang w:eastAsia="sl-SI"/>
              </w:rPr>
            </w:pPr>
          </w:p>
        </w:tc>
        <w:tc>
          <w:tcPr>
            <w:tcW w:w="500" w:type="pct"/>
            <w:tcBorders>
              <w:top w:val="nil"/>
              <w:left w:val="nil"/>
              <w:bottom w:val="single" w:sz="4" w:space="0" w:color="auto"/>
              <w:right w:val="single" w:sz="4" w:space="0" w:color="auto"/>
            </w:tcBorders>
            <w:shd w:val="clear" w:color="auto" w:fill="auto"/>
            <w:noWrap/>
            <w:vAlign w:val="center"/>
          </w:tcPr>
          <w:p w14:paraId="125C2E2C" w14:textId="77777777" w:rsidR="00A86E94" w:rsidRPr="00F44FA4" w:rsidRDefault="00A86E94" w:rsidP="00D454A7">
            <w:pPr>
              <w:keepNext/>
              <w:keepLines/>
              <w:jc w:val="right"/>
              <w:rPr>
                <w:rFonts w:cs="Arial"/>
                <w:color w:val="000000"/>
                <w:szCs w:val="20"/>
                <w:lang w:eastAsia="sl-SI"/>
              </w:rPr>
            </w:pPr>
          </w:p>
        </w:tc>
        <w:tc>
          <w:tcPr>
            <w:tcW w:w="491" w:type="pct"/>
            <w:tcBorders>
              <w:top w:val="nil"/>
              <w:left w:val="nil"/>
              <w:bottom w:val="single" w:sz="4" w:space="0" w:color="auto"/>
              <w:right w:val="single" w:sz="4" w:space="0" w:color="auto"/>
            </w:tcBorders>
            <w:shd w:val="clear" w:color="auto" w:fill="auto"/>
            <w:noWrap/>
            <w:vAlign w:val="center"/>
          </w:tcPr>
          <w:p w14:paraId="7563FCF6" w14:textId="77777777" w:rsidR="00A86E94" w:rsidRPr="00F44FA4" w:rsidRDefault="00A86E94" w:rsidP="00D454A7">
            <w:pPr>
              <w:keepNext/>
              <w:keepLines/>
              <w:jc w:val="right"/>
              <w:rPr>
                <w:rFonts w:cs="Arial"/>
                <w:color w:val="000000"/>
                <w:szCs w:val="20"/>
                <w:lang w:eastAsia="sl-SI"/>
              </w:rPr>
            </w:pPr>
          </w:p>
        </w:tc>
        <w:tc>
          <w:tcPr>
            <w:tcW w:w="491" w:type="pct"/>
            <w:tcBorders>
              <w:top w:val="nil"/>
              <w:left w:val="nil"/>
              <w:bottom w:val="single" w:sz="4" w:space="0" w:color="auto"/>
              <w:right w:val="single" w:sz="4" w:space="0" w:color="auto"/>
            </w:tcBorders>
            <w:shd w:val="clear" w:color="000000" w:fill="FFFFFF"/>
            <w:noWrap/>
            <w:vAlign w:val="center"/>
          </w:tcPr>
          <w:p w14:paraId="17EC654D" w14:textId="77777777" w:rsidR="00A86E94" w:rsidRPr="00F44FA4" w:rsidRDefault="00A86E94" w:rsidP="00D454A7">
            <w:pPr>
              <w:keepNext/>
              <w:keepLines/>
              <w:jc w:val="right"/>
              <w:rPr>
                <w:rFonts w:cs="Arial"/>
                <w:color w:val="000000"/>
                <w:szCs w:val="20"/>
                <w:lang w:eastAsia="sl-SI"/>
              </w:rPr>
            </w:pPr>
          </w:p>
        </w:tc>
        <w:tc>
          <w:tcPr>
            <w:tcW w:w="492" w:type="pct"/>
            <w:tcBorders>
              <w:top w:val="nil"/>
              <w:left w:val="nil"/>
              <w:bottom w:val="single" w:sz="4" w:space="0" w:color="auto"/>
              <w:right w:val="single" w:sz="4" w:space="0" w:color="auto"/>
            </w:tcBorders>
            <w:shd w:val="clear" w:color="000000" w:fill="FFFFFF"/>
            <w:noWrap/>
            <w:vAlign w:val="center"/>
          </w:tcPr>
          <w:p w14:paraId="62F6FF3B" w14:textId="77777777" w:rsidR="00A86E94" w:rsidRPr="00F44FA4" w:rsidRDefault="00A86E94" w:rsidP="00D454A7">
            <w:pPr>
              <w:keepNext/>
              <w:keepLines/>
              <w:jc w:val="right"/>
              <w:rPr>
                <w:rFonts w:cs="Arial"/>
                <w:color w:val="000000"/>
                <w:szCs w:val="20"/>
                <w:lang w:eastAsia="sl-SI"/>
              </w:rPr>
            </w:pPr>
          </w:p>
        </w:tc>
        <w:tc>
          <w:tcPr>
            <w:tcW w:w="460" w:type="pct"/>
            <w:tcBorders>
              <w:top w:val="nil"/>
              <w:left w:val="nil"/>
              <w:bottom w:val="single" w:sz="4" w:space="0" w:color="auto"/>
              <w:right w:val="single" w:sz="4" w:space="0" w:color="auto"/>
            </w:tcBorders>
            <w:shd w:val="clear" w:color="auto" w:fill="auto"/>
            <w:noWrap/>
            <w:vAlign w:val="center"/>
          </w:tcPr>
          <w:p w14:paraId="38AA667B" w14:textId="77777777" w:rsidR="00A86E94" w:rsidRPr="00F44FA4" w:rsidRDefault="00A86E94" w:rsidP="00D454A7">
            <w:pPr>
              <w:keepNext/>
              <w:keepLines/>
              <w:jc w:val="right"/>
              <w:rPr>
                <w:rFonts w:cs="Arial"/>
                <w:color w:val="000000"/>
                <w:szCs w:val="20"/>
                <w:lang w:eastAsia="sl-SI"/>
              </w:rPr>
            </w:pPr>
          </w:p>
        </w:tc>
      </w:tr>
    </w:tbl>
    <w:p w14:paraId="209EF7A8" w14:textId="425B0A15" w:rsidR="006C63D5" w:rsidRDefault="00A86E94" w:rsidP="00F42F8F">
      <w:pPr>
        <w:spacing w:before="120" w:after="240" w:line="264" w:lineRule="auto"/>
        <w:rPr>
          <w:rFonts w:cs="Arial"/>
        </w:rPr>
      </w:pPr>
      <w:r>
        <w:rPr>
          <w:rFonts w:eastAsia="Arial" w:cs="Arial"/>
          <w:bCs/>
          <w:sz w:val="16"/>
          <w:szCs w:val="16"/>
        </w:rPr>
        <w:t xml:space="preserve">Vir: C.09 - </w:t>
      </w:r>
      <w:proofErr w:type="spellStart"/>
      <w:r w:rsidRPr="004629B1">
        <w:rPr>
          <w:rFonts w:eastAsia="Calibri"/>
          <w:sz w:val="16"/>
          <w:szCs w:val="16"/>
        </w:rPr>
        <w:t>Dashboard</w:t>
      </w:r>
      <w:proofErr w:type="spellEnd"/>
      <w:r w:rsidRPr="004629B1">
        <w:rPr>
          <w:rFonts w:eastAsia="Calibri"/>
          <w:sz w:val="16"/>
          <w:szCs w:val="16"/>
        </w:rPr>
        <w:t xml:space="preserve"> </w:t>
      </w:r>
      <w:proofErr w:type="spellStart"/>
      <w:r w:rsidRPr="004629B1">
        <w:rPr>
          <w:rFonts w:eastAsia="Calibri"/>
          <w:sz w:val="16"/>
          <w:szCs w:val="16"/>
        </w:rPr>
        <w:t>Indicators</w:t>
      </w:r>
      <w:proofErr w:type="spellEnd"/>
      <w:r w:rsidRPr="004629B1">
        <w:rPr>
          <w:rFonts w:cs="Arial"/>
          <w:sz w:val="16"/>
          <w:szCs w:val="16"/>
        </w:rPr>
        <w:t xml:space="preserve"> </w:t>
      </w:r>
      <w:r w:rsidRPr="004629B1">
        <w:rPr>
          <w:rFonts w:eastAsia="Arial" w:cs="Arial"/>
          <w:bCs/>
          <w:sz w:val="16"/>
          <w:szCs w:val="16"/>
        </w:rPr>
        <w:t>https://agridata.ec.europa.eu/extensions/DashboardIndicators/DataExplorer.html?select=EU27_FLAG,1)</w:t>
      </w:r>
      <w:r w:rsidRPr="00826383" w:rsidDel="0048003A">
        <w:rPr>
          <w:rFonts w:cs="Arial"/>
          <w:bCs/>
          <w:i/>
          <w:szCs w:val="20"/>
        </w:rPr>
        <w:t xml:space="preserve"> </w:t>
      </w:r>
    </w:p>
    <w:p w14:paraId="2408EE44" w14:textId="402BAB5F" w:rsidR="006C63D5" w:rsidRPr="00DE12FE" w:rsidRDefault="006C63D5" w:rsidP="00DE12FE">
      <w:pPr>
        <w:spacing w:after="240" w:line="360" w:lineRule="auto"/>
        <w:jc w:val="both"/>
        <w:rPr>
          <w:rFonts w:cs="Arial"/>
          <w:i/>
          <w:iCs/>
          <w:szCs w:val="20"/>
        </w:rPr>
      </w:pPr>
      <w:r w:rsidRPr="00DE12FE">
        <w:rPr>
          <w:rFonts w:cs="Arial"/>
          <w:szCs w:val="20"/>
        </w:rPr>
        <w:t xml:space="preserve">Po podatkih UMAR se stopnja delovne aktivnosti povečuje v vseh izobrazbenih skupinah, najbolj med nizko in srednje izobraženimi. Stopnja delovne aktivnosti narašča v vseh regijah Slovenije, najhitreje v vzhodni Sloveniji. Stopnja delovne aktivnosti v zahodni Sloveniji pa presega evropsko povprečje. V kohezijski regiji zahodna Slovenija se je skupna zaposlenost zvišala za 2,8 %, v regijah vzhodne kohezijske regije se je zvišala za 1,0 % (znižala se je le v zasavski regiji). Stopnja delovne aktivnosti se je v obdobju 2013–2016 povišala v vseh starostnih skupinah, glede na </w:t>
      </w:r>
      <w:proofErr w:type="spellStart"/>
      <w:r w:rsidRPr="00DE12FE">
        <w:rPr>
          <w:rFonts w:cs="Arial"/>
          <w:szCs w:val="20"/>
        </w:rPr>
        <w:t>predkrizno</w:t>
      </w:r>
      <w:proofErr w:type="spellEnd"/>
      <w:r w:rsidRPr="00DE12FE">
        <w:rPr>
          <w:rFonts w:cs="Arial"/>
          <w:szCs w:val="20"/>
        </w:rPr>
        <w:t xml:space="preserve"> raven pa je bila v letu 2016 višja le med starejšimi (55–64 let).</w:t>
      </w:r>
      <w:r w:rsidR="00484B3D" w:rsidRPr="00DE12FE">
        <w:rPr>
          <w:rFonts w:cs="Arial"/>
          <w:i/>
          <w:iCs/>
          <w:szCs w:val="20"/>
        </w:rPr>
        <w:t xml:space="preserve"> </w:t>
      </w:r>
    </w:p>
    <w:p w14:paraId="05A96D84" w14:textId="58B12866" w:rsidR="006C63D5" w:rsidRPr="00DE12FE" w:rsidRDefault="006C63D5" w:rsidP="00DE12FE">
      <w:pPr>
        <w:spacing w:after="240" w:line="360" w:lineRule="auto"/>
        <w:jc w:val="both"/>
        <w:rPr>
          <w:rFonts w:cs="Arial"/>
          <w:bCs/>
          <w:i/>
          <w:szCs w:val="20"/>
        </w:rPr>
      </w:pPr>
      <w:r w:rsidRPr="00DE12FE">
        <w:rPr>
          <w:rFonts w:cs="Arial"/>
          <w:szCs w:val="20"/>
        </w:rPr>
        <w:t xml:space="preserve">Po podatkih Eurostata število zaposlenih prebivalcev po letu 2013, ko je doseglo dno, raste (leta 2019 982.600 zaposlenih; </w:t>
      </w:r>
      <w:r w:rsidRPr="00DE12FE">
        <w:rPr>
          <w:rFonts w:cs="Arial"/>
          <w:szCs w:val="20"/>
        </w:rPr>
        <w:fldChar w:fldCharType="begin"/>
      </w:r>
      <w:r w:rsidRPr="00DE12FE">
        <w:rPr>
          <w:rFonts w:cs="Arial"/>
          <w:szCs w:val="20"/>
        </w:rPr>
        <w:instrText xml:space="preserve"> REF _Ref29907839 \h  \* MERGEFORMAT </w:instrText>
      </w:r>
      <w:r w:rsidRPr="00DE12FE">
        <w:rPr>
          <w:rFonts w:cs="Arial"/>
          <w:szCs w:val="20"/>
        </w:rPr>
      </w:r>
      <w:r w:rsidRPr="00DE12FE">
        <w:rPr>
          <w:rFonts w:cs="Arial"/>
          <w:szCs w:val="20"/>
        </w:rPr>
        <w:fldChar w:fldCharType="separate"/>
      </w:r>
      <w:r w:rsidR="00C9160B">
        <w:rPr>
          <w:rFonts w:cs="Arial"/>
          <w:szCs w:val="20"/>
        </w:rPr>
        <w:t>Tabela</w:t>
      </w:r>
      <w:r w:rsidRPr="00DE12FE">
        <w:rPr>
          <w:rFonts w:cs="Arial"/>
          <w:szCs w:val="20"/>
        </w:rPr>
        <w:t xml:space="preserve"> </w:t>
      </w:r>
      <w:r w:rsidRPr="00DE12FE">
        <w:rPr>
          <w:rFonts w:cs="Arial"/>
          <w:szCs w:val="20"/>
        </w:rPr>
        <w:fldChar w:fldCharType="end"/>
      </w:r>
      <w:r w:rsidRPr="00DE12FE">
        <w:rPr>
          <w:rFonts w:cs="Arial"/>
          <w:szCs w:val="20"/>
        </w:rPr>
        <w:t>11). Po zmanjšanju zaposlenosti v obdobju krize se ta zdaj povečuje.</w:t>
      </w:r>
      <w:bookmarkStart w:id="35" w:name="_Ref29907839"/>
      <w:r w:rsidRPr="00DE12FE">
        <w:rPr>
          <w:rFonts w:cs="Arial"/>
          <w:bCs/>
          <w:i/>
          <w:szCs w:val="20"/>
        </w:rPr>
        <w:t xml:space="preserve"> </w:t>
      </w:r>
    </w:p>
    <w:p w14:paraId="4FDB0704" w14:textId="25618D28" w:rsidR="006C63D5" w:rsidRPr="003D6FF8" w:rsidRDefault="00C9160B" w:rsidP="00D454A7">
      <w:pPr>
        <w:pStyle w:val="SCPreglednica"/>
        <w:keepNext/>
        <w:keepLines/>
      </w:pPr>
      <w:bookmarkStart w:id="36" w:name="_Toc55913724"/>
      <w:r>
        <w:lastRenderedPageBreak/>
        <w:t>Tabela</w:t>
      </w:r>
      <w:r w:rsidR="006C63D5" w:rsidRPr="003D6FF8">
        <w:t xml:space="preserve"> </w:t>
      </w:r>
      <w:bookmarkEnd w:id="35"/>
      <w:r w:rsidR="006C63D5" w:rsidRPr="003D6FF8">
        <w:fldChar w:fldCharType="begin"/>
      </w:r>
      <w:r w:rsidR="006C63D5" w:rsidRPr="003D6FF8">
        <w:instrText xml:space="preserve"> SEQ Tabela \* ARABIC </w:instrText>
      </w:r>
      <w:r w:rsidR="006C63D5" w:rsidRPr="003D6FF8">
        <w:fldChar w:fldCharType="separate"/>
      </w:r>
      <w:r w:rsidR="00DF0D48">
        <w:rPr>
          <w:noProof/>
        </w:rPr>
        <w:t>13</w:t>
      </w:r>
      <w:r w:rsidR="006C63D5" w:rsidRPr="003D6FF8">
        <w:fldChar w:fldCharType="end"/>
      </w:r>
      <w:r w:rsidR="006C63D5" w:rsidRPr="003D6FF8">
        <w:t>: Zaposlovanje po sektorjih</w:t>
      </w:r>
      <w:bookmarkEnd w:id="36"/>
    </w:p>
    <w:tbl>
      <w:tblPr>
        <w:tblW w:w="5000" w:type="pct"/>
        <w:tblCellMar>
          <w:left w:w="0" w:type="dxa"/>
          <w:right w:w="0" w:type="dxa"/>
        </w:tblCellMar>
        <w:tblLook w:val="04A0" w:firstRow="1" w:lastRow="0" w:firstColumn="1" w:lastColumn="0" w:noHBand="0" w:noVBand="1"/>
      </w:tblPr>
      <w:tblGrid>
        <w:gridCol w:w="453"/>
        <w:gridCol w:w="4680"/>
        <w:gridCol w:w="642"/>
        <w:gridCol w:w="642"/>
        <w:gridCol w:w="642"/>
        <w:gridCol w:w="642"/>
        <w:gridCol w:w="642"/>
        <w:gridCol w:w="719"/>
      </w:tblGrid>
      <w:tr w:rsidR="006C63D5" w:rsidRPr="00F44FA4" w14:paraId="5EC2A549" w14:textId="77777777" w:rsidTr="00F15E56">
        <w:trPr>
          <w:trHeight w:val="315"/>
        </w:trPr>
        <w:tc>
          <w:tcPr>
            <w:tcW w:w="250" w:type="pct"/>
            <w:tcBorders>
              <w:top w:val="single" w:sz="4" w:space="0" w:color="auto"/>
              <w:left w:val="single" w:sz="4" w:space="0" w:color="auto"/>
              <w:bottom w:val="single" w:sz="4" w:space="0" w:color="auto"/>
              <w:right w:val="single" w:sz="4" w:space="0" w:color="auto"/>
            </w:tcBorders>
            <w:shd w:val="clear" w:color="000000" w:fill="92D050"/>
            <w:noWrap/>
            <w:tcMar>
              <w:top w:w="15" w:type="dxa"/>
              <w:left w:w="15" w:type="dxa"/>
              <w:bottom w:w="0" w:type="dxa"/>
              <w:right w:w="15" w:type="dxa"/>
            </w:tcMar>
            <w:vAlign w:val="bottom"/>
            <w:hideMark/>
          </w:tcPr>
          <w:p w14:paraId="20A908C9" w14:textId="77777777" w:rsidR="006C63D5" w:rsidRPr="00F44FA4" w:rsidRDefault="006C63D5" w:rsidP="00D454A7">
            <w:pPr>
              <w:keepNext/>
              <w:keepLines/>
              <w:rPr>
                <w:rFonts w:cs="Arial"/>
                <w:b/>
                <w:bCs/>
                <w:color w:val="000000"/>
                <w:szCs w:val="20"/>
              </w:rPr>
            </w:pPr>
            <w:r w:rsidRPr="00F44FA4">
              <w:rPr>
                <w:rFonts w:cs="Arial"/>
                <w:b/>
                <w:bCs/>
                <w:color w:val="000000"/>
                <w:szCs w:val="20"/>
              </w:rPr>
              <w:t>C.08</w:t>
            </w:r>
          </w:p>
        </w:tc>
        <w:tc>
          <w:tcPr>
            <w:tcW w:w="2582" w:type="pct"/>
            <w:tcBorders>
              <w:top w:val="single" w:sz="4"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bottom"/>
            <w:hideMark/>
          </w:tcPr>
          <w:p w14:paraId="0FC2C2D1" w14:textId="77777777" w:rsidR="006C63D5" w:rsidRPr="00F44FA4" w:rsidRDefault="006C63D5" w:rsidP="00D454A7">
            <w:pPr>
              <w:keepNext/>
              <w:keepLines/>
              <w:rPr>
                <w:rFonts w:cs="Arial"/>
                <w:b/>
                <w:bCs/>
                <w:color w:val="000000"/>
                <w:szCs w:val="20"/>
              </w:rPr>
            </w:pPr>
            <w:r w:rsidRPr="00F44FA4">
              <w:rPr>
                <w:rFonts w:cs="Arial"/>
                <w:b/>
                <w:bCs/>
                <w:color w:val="000000"/>
                <w:szCs w:val="20"/>
              </w:rPr>
              <w:t>Zaposlovanje</w:t>
            </w:r>
          </w:p>
        </w:tc>
        <w:tc>
          <w:tcPr>
            <w:tcW w:w="354" w:type="pct"/>
            <w:tcBorders>
              <w:top w:val="single" w:sz="4"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3DB87D74" w14:textId="77777777" w:rsidR="006C63D5" w:rsidRPr="00F44FA4" w:rsidRDefault="006C63D5" w:rsidP="00D454A7">
            <w:pPr>
              <w:keepNext/>
              <w:keepLines/>
              <w:jc w:val="right"/>
              <w:rPr>
                <w:rFonts w:cs="Arial"/>
                <w:b/>
                <w:bCs/>
                <w:color w:val="000000"/>
                <w:szCs w:val="20"/>
              </w:rPr>
            </w:pPr>
            <w:r w:rsidRPr="00F44FA4">
              <w:rPr>
                <w:rFonts w:cs="Arial"/>
                <w:b/>
                <w:bCs/>
                <w:color w:val="000000"/>
                <w:szCs w:val="20"/>
              </w:rPr>
              <w:t>2010</w:t>
            </w:r>
          </w:p>
        </w:tc>
        <w:tc>
          <w:tcPr>
            <w:tcW w:w="354" w:type="pct"/>
            <w:tcBorders>
              <w:top w:val="single" w:sz="4"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69B1A773" w14:textId="77777777" w:rsidR="006C63D5" w:rsidRPr="00F44FA4" w:rsidRDefault="006C63D5" w:rsidP="00D454A7">
            <w:pPr>
              <w:keepNext/>
              <w:keepLines/>
              <w:jc w:val="right"/>
              <w:rPr>
                <w:rFonts w:cs="Arial"/>
                <w:b/>
                <w:bCs/>
                <w:color w:val="000000"/>
                <w:szCs w:val="20"/>
              </w:rPr>
            </w:pPr>
            <w:r w:rsidRPr="00F44FA4">
              <w:rPr>
                <w:rFonts w:cs="Arial"/>
                <w:b/>
                <w:bCs/>
                <w:color w:val="000000"/>
                <w:szCs w:val="20"/>
              </w:rPr>
              <w:t>2013</w:t>
            </w:r>
          </w:p>
        </w:tc>
        <w:tc>
          <w:tcPr>
            <w:tcW w:w="354" w:type="pct"/>
            <w:tcBorders>
              <w:top w:val="single" w:sz="4"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5F71DE96" w14:textId="77777777" w:rsidR="006C63D5" w:rsidRPr="00F44FA4" w:rsidRDefault="006C63D5" w:rsidP="00D454A7">
            <w:pPr>
              <w:keepNext/>
              <w:keepLines/>
              <w:jc w:val="right"/>
              <w:rPr>
                <w:rFonts w:cs="Arial"/>
                <w:b/>
                <w:bCs/>
                <w:color w:val="000000"/>
                <w:szCs w:val="20"/>
              </w:rPr>
            </w:pPr>
            <w:r w:rsidRPr="00F44FA4">
              <w:rPr>
                <w:rFonts w:cs="Arial"/>
                <w:b/>
                <w:bCs/>
                <w:color w:val="000000"/>
                <w:szCs w:val="20"/>
              </w:rPr>
              <w:t>2016</w:t>
            </w:r>
          </w:p>
        </w:tc>
        <w:tc>
          <w:tcPr>
            <w:tcW w:w="354" w:type="pct"/>
            <w:tcBorders>
              <w:top w:val="single" w:sz="4"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2E750B57" w14:textId="77777777" w:rsidR="006C63D5" w:rsidRPr="00F44FA4" w:rsidRDefault="006C63D5" w:rsidP="00D454A7">
            <w:pPr>
              <w:keepNext/>
              <w:keepLines/>
              <w:jc w:val="right"/>
              <w:rPr>
                <w:rFonts w:cs="Arial"/>
                <w:b/>
                <w:bCs/>
                <w:color w:val="000000"/>
                <w:szCs w:val="20"/>
              </w:rPr>
            </w:pPr>
            <w:r w:rsidRPr="00F44FA4">
              <w:rPr>
                <w:rFonts w:cs="Arial"/>
                <w:b/>
                <w:bCs/>
                <w:color w:val="000000"/>
                <w:szCs w:val="20"/>
              </w:rPr>
              <w:t>2017</w:t>
            </w:r>
          </w:p>
        </w:tc>
        <w:tc>
          <w:tcPr>
            <w:tcW w:w="354" w:type="pct"/>
            <w:tcBorders>
              <w:top w:val="single" w:sz="4"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5B40E331" w14:textId="77777777" w:rsidR="006C63D5" w:rsidRPr="00F44FA4" w:rsidRDefault="006C63D5" w:rsidP="00D454A7">
            <w:pPr>
              <w:keepNext/>
              <w:keepLines/>
              <w:jc w:val="right"/>
              <w:rPr>
                <w:rFonts w:cs="Arial"/>
                <w:b/>
                <w:bCs/>
                <w:color w:val="000000"/>
                <w:szCs w:val="20"/>
              </w:rPr>
            </w:pPr>
            <w:r w:rsidRPr="00F44FA4">
              <w:rPr>
                <w:rFonts w:cs="Arial"/>
                <w:b/>
                <w:bCs/>
                <w:color w:val="000000"/>
                <w:szCs w:val="20"/>
              </w:rPr>
              <w:t>2018</w:t>
            </w:r>
          </w:p>
        </w:tc>
        <w:tc>
          <w:tcPr>
            <w:tcW w:w="397" w:type="pct"/>
            <w:tcBorders>
              <w:top w:val="single" w:sz="4"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6358BFCA" w14:textId="77777777" w:rsidR="006C63D5" w:rsidRPr="00F44FA4" w:rsidRDefault="006C63D5" w:rsidP="00D454A7">
            <w:pPr>
              <w:keepNext/>
              <w:keepLines/>
              <w:jc w:val="right"/>
              <w:rPr>
                <w:rFonts w:cs="Arial"/>
                <w:b/>
                <w:bCs/>
                <w:color w:val="000000"/>
                <w:szCs w:val="20"/>
              </w:rPr>
            </w:pPr>
            <w:r w:rsidRPr="00F44FA4">
              <w:rPr>
                <w:rFonts w:cs="Arial"/>
                <w:b/>
                <w:bCs/>
                <w:color w:val="000000"/>
                <w:szCs w:val="20"/>
              </w:rPr>
              <w:t>2019</w:t>
            </w:r>
          </w:p>
        </w:tc>
      </w:tr>
      <w:tr w:rsidR="006C63D5" w:rsidRPr="00F44FA4" w14:paraId="6D835127" w14:textId="77777777" w:rsidTr="00F15E56">
        <w:trPr>
          <w:trHeight w:val="673"/>
        </w:trPr>
        <w:tc>
          <w:tcPr>
            <w:tcW w:w="250"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BD9DA" w14:textId="77777777" w:rsidR="006C63D5" w:rsidRPr="00F44FA4" w:rsidRDefault="006C63D5" w:rsidP="00D454A7">
            <w:pPr>
              <w:keepNext/>
              <w:keepLines/>
              <w:rPr>
                <w:rFonts w:cs="Arial"/>
                <w:b/>
                <w:bCs/>
                <w:color w:val="000000"/>
                <w:szCs w:val="20"/>
              </w:rPr>
            </w:pPr>
            <w:r w:rsidRPr="00F44FA4">
              <w:rPr>
                <w:rFonts w:cs="Arial"/>
                <w:b/>
                <w:bCs/>
                <w:color w:val="000000"/>
                <w:szCs w:val="20"/>
              </w:rPr>
              <w:t> </w:t>
            </w:r>
          </w:p>
        </w:tc>
        <w:tc>
          <w:tcPr>
            <w:tcW w:w="258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4F17576" w14:textId="77777777" w:rsidR="006C63D5" w:rsidRPr="00F44FA4" w:rsidRDefault="006C63D5" w:rsidP="00D454A7">
            <w:pPr>
              <w:keepNext/>
              <w:keepLines/>
              <w:rPr>
                <w:rFonts w:cs="Arial"/>
                <w:color w:val="000000"/>
                <w:szCs w:val="20"/>
              </w:rPr>
            </w:pPr>
            <w:r w:rsidRPr="00F44FA4">
              <w:rPr>
                <w:rFonts w:cs="Arial"/>
                <w:color w:val="000000"/>
                <w:szCs w:val="20"/>
              </w:rPr>
              <w:t>Porazdelitev zaposlitev po gospodarskih sektorjih (%)</w:t>
            </w:r>
            <w:r w:rsidRPr="00F44FA4">
              <w:rPr>
                <w:rFonts w:cs="Arial"/>
                <w:color w:val="000000"/>
                <w:szCs w:val="20"/>
              </w:rPr>
              <w:br/>
              <w:t>primarni sektor</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E33EDAF" w14:textId="77777777" w:rsidR="006C63D5" w:rsidRPr="00F44FA4" w:rsidRDefault="006C63D5" w:rsidP="00D454A7">
            <w:pPr>
              <w:keepNext/>
              <w:keepLines/>
              <w:jc w:val="right"/>
              <w:rPr>
                <w:rFonts w:cs="Arial"/>
                <w:color w:val="000000"/>
                <w:szCs w:val="20"/>
              </w:rPr>
            </w:pPr>
            <w:r w:rsidRPr="00F44FA4">
              <w:rPr>
                <w:rFonts w:cs="Arial"/>
                <w:color w:val="000000"/>
                <w:szCs w:val="20"/>
              </w:rPr>
              <w:t>8,31</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93226CC" w14:textId="77777777" w:rsidR="006C63D5" w:rsidRPr="00F44FA4" w:rsidRDefault="006C63D5" w:rsidP="00D454A7">
            <w:pPr>
              <w:keepNext/>
              <w:keepLines/>
              <w:jc w:val="right"/>
              <w:rPr>
                <w:rFonts w:cs="Arial"/>
                <w:color w:val="000000"/>
                <w:szCs w:val="20"/>
              </w:rPr>
            </w:pPr>
            <w:r w:rsidRPr="00F44FA4">
              <w:rPr>
                <w:rFonts w:cs="Arial"/>
                <w:color w:val="000000"/>
                <w:szCs w:val="20"/>
              </w:rPr>
              <w:t>8,33</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40719E1" w14:textId="77777777" w:rsidR="006C63D5" w:rsidRPr="00F44FA4" w:rsidRDefault="006C63D5" w:rsidP="00D454A7">
            <w:pPr>
              <w:keepNext/>
              <w:keepLines/>
              <w:jc w:val="right"/>
              <w:rPr>
                <w:rFonts w:cs="Arial"/>
                <w:color w:val="000000"/>
                <w:szCs w:val="20"/>
              </w:rPr>
            </w:pPr>
            <w:r w:rsidRPr="00F44FA4">
              <w:rPr>
                <w:rFonts w:cs="Arial"/>
                <w:color w:val="000000"/>
                <w:szCs w:val="20"/>
              </w:rPr>
              <w:t>7,73</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F78A84E" w14:textId="77777777" w:rsidR="006C63D5" w:rsidRPr="00F44FA4" w:rsidRDefault="006C63D5" w:rsidP="00D454A7">
            <w:pPr>
              <w:keepNext/>
              <w:keepLines/>
              <w:jc w:val="right"/>
              <w:rPr>
                <w:rFonts w:cs="Arial"/>
                <w:color w:val="000000"/>
                <w:szCs w:val="20"/>
              </w:rPr>
            </w:pPr>
            <w:r w:rsidRPr="00F44FA4">
              <w:rPr>
                <w:rFonts w:cs="Arial"/>
                <w:color w:val="000000"/>
                <w:szCs w:val="20"/>
              </w:rPr>
              <w:t>7,43</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2DD6A77" w14:textId="77777777" w:rsidR="006C63D5" w:rsidRPr="00F44FA4" w:rsidRDefault="006C63D5" w:rsidP="00D454A7">
            <w:pPr>
              <w:keepNext/>
              <w:keepLines/>
              <w:jc w:val="right"/>
              <w:rPr>
                <w:rFonts w:cs="Arial"/>
                <w:color w:val="000000"/>
                <w:szCs w:val="20"/>
              </w:rPr>
            </w:pPr>
            <w:r w:rsidRPr="00F44FA4">
              <w:rPr>
                <w:rFonts w:cs="Arial"/>
                <w:color w:val="000000"/>
                <w:szCs w:val="20"/>
              </w:rPr>
              <w:t>7,16</w:t>
            </w:r>
          </w:p>
        </w:tc>
        <w:tc>
          <w:tcPr>
            <w:tcW w:w="3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A1E90" w14:textId="77777777" w:rsidR="006C63D5" w:rsidRPr="00F44FA4" w:rsidRDefault="006C63D5" w:rsidP="00D454A7">
            <w:pPr>
              <w:keepNext/>
              <w:keepLines/>
              <w:jc w:val="right"/>
              <w:rPr>
                <w:rFonts w:cs="Arial"/>
                <w:color w:val="000000"/>
                <w:szCs w:val="20"/>
              </w:rPr>
            </w:pPr>
            <w:r w:rsidRPr="00F44FA4">
              <w:rPr>
                <w:rFonts w:cs="Arial"/>
                <w:color w:val="000000"/>
                <w:szCs w:val="20"/>
              </w:rPr>
              <w:t>6,90</w:t>
            </w:r>
          </w:p>
        </w:tc>
      </w:tr>
      <w:tr w:rsidR="006C63D5" w:rsidRPr="00F44FA4" w14:paraId="0A5C72D9" w14:textId="77777777" w:rsidTr="00F15E56">
        <w:trPr>
          <w:trHeight w:val="245"/>
        </w:trPr>
        <w:tc>
          <w:tcPr>
            <w:tcW w:w="250" w:type="pct"/>
            <w:vMerge/>
            <w:tcBorders>
              <w:top w:val="nil"/>
              <w:left w:val="single" w:sz="4" w:space="0" w:color="auto"/>
              <w:bottom w:val="single" w:sz="4" w:space="0" w:color="auto"/>
              <w:right w:val="single" w:sz="4" w:space="0" w:color="auto"/>
            </w:tcBorders>
            <w:vAlign w:val="center"/>
            <w:hideMark/>
          </w:tcPr>
          <w:p w14:paraId="61CD3303" w14:textId="77777777" w:rsidR="006C63D5" w:rsidRPr="00F44FA4" w:rsidRDefault="006C63D5" w:rsidP="00F42F8F">
            <w:pPr>
              <w:keepNext/>
              <w:keepLines/>
              <w:rPr>
                <w:rFonts w:cs="Arial"/>
                <w:b/>
                <w:bCs/>
                <w:color w:val="000000"/>
                <w:szCs w:val="20"/>
              </w:rPr>
            </w:pPr>
          </w:p>
        </w:tc>
        <w:tc>
          <w:tcPr>
            <w:tcW w:w="2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ADF05" w14:textId="77777777" w:rsidR="006C63D5" w:rsidRPr="00F44FA4" w:rsidRDefault="006C63D5" w:rsidP="00F42F8F">
            <w:pPr>
              <w:keepNext/>
              <w:keepLines/>
              <w:rPr>
                <w:rFonts w:cs="Arial"/>
                <w:color w:val="000000"/>
                <w:szCs w:val="20"/>
              </w:rPr>
            </w:pPr>
            <w:r w:rsidRPr="00F44FA4">
              <w:rPr>
                <w:rFonts w:cs="Arial"/>
                <w:color w:val="000000"/>
                <w:szCs w:val="20"/>
              </w:rPr>
              <w:t>sekundarni sektor</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FBA8FFE" w14:textId="77777777" w:rsidR="006C63D5" w:rsidRPr="00F44FA4" w:rsidRDefault="006C63D5" w:rsidP="00F42F8F">
            <w:pPr>
              <w:keepNext/>
              <w:keepLines/>
              <w:jc w:val="right"/>
              <w:rPr>
                <w:rFonts w:cs="Arial"/>
                <w:color w:val="000000"/>
                <w:szCs w:val="20"/>
              </w:rPr>
            </w:pPr>
            <w:r w:rsidRPr="00F44FA4">
              <w:rPr>
                <w:rFonts w:cs="Arial"/>
                <w:color w:val="000000"/>
                <w:szCs w:val="20"/>
              </w:rPr>
              <w:t>31,14</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332E08E" w14:textId="77777777" w:rsidR="006C63D5" w:rsidRPr="00F44FA4" w:rsidRDefault="006C63D5" w:rsidP="00F42F8F">
            <w:pPr>
              <w:keepNext/>
              <w:keepLines/>
              <w:jc w:val="right"/>
              <w:rPr>
                <w:rFonts w:cs="Arial"/>
                <w:color w:val="000000"/>
                <w:szCs w:val="20"/>
              </w:rPr>
            </w:pPr>
            <w:r w:rsidRPr="00F44FA4">
              <w:rPr>
                <w:rFonts w:cs="Arial"/>
                <w:color w:val="000000"/>
                <w:szCs w:val="20"/>
              </w:rPr>
              <w:t>29,40</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1DDAD43" w14:textId="77777777" w:rsidR="006C63D5" w:rsidRPr="00F44FA4" w:rsidRDefault="006C63D5" w:rsidP="00F42F8F">
            <w:pPr>
              <w:keepNext/>
              <w:keepLines/>
              <w:jc w:val="right"/>
              <w:rPr>
                <w:rFonts w:cs="Arial"/>
                <w:color w:val="000000"/>
                <w:szCs w:val="20"/>
              </w:rPr>
            </w:pPr>
            <w:r w:rsidRPr="00F44FA4">
              <w:rPr>
                <w:rFonts w:cs="Arial"/>
                <w:color w:val="000000"/>
                <w:szCs w:val="20"/>
              </w:rPr>
              <w:t>29,30</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04C989D" w14:textId="77777777" w:rsidR="006C63D5" w:rsidRPr="00F44FA4" w:rsidRDefault="006C63D5" w:rsidP="00F42F8F">
            <w:pPr>
              <w:keepNext/>
              <w:keepLines/>
              <w:jc w:val="right"/>
              <w:rPr>
                <w:rFonts w:cs="Arial"/>
                <w:color w:val="000000"/>
                <w:szCs w:val="20"/>
              </w:rPr>
            </w:pPr>
            <w:r w:rsidRPr="00F44FA4">
              <w:rPr>
                <w:rFonts w:cs="Arial"/>
                <w:color w:val="000000"/>
                <w:szCs w:val="20"/>
              </w:rPr>
              <w:t>29,28</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5879E80" w14:textId="77777777" w:rsidR="006C63D5" w:rsidRPr="00F44FA4" w:rsidRDefault="006C63D5" w:rsidP="00F42F8F">
            <w:pPr>
              <w:keepNext/>
              <w:keepLines/>
              <w:jc w:val="right"/>
              <w:rPr>
                <w:rFonts w:cs="Arial"/>
                <w:color w:val="000000"/>
                <w:szCs w:val="20"/>
              </w:rPr>
            </w:pPr>
            <w:r w:rsidRPr="00F44FA4">
              <w:rPr>
                <w:rFonts w:cs="Arial"/>
                <w:color w:val="000000"/>
                <w:szCs w:val="20"/>
              </w:rPr>
              <w:t>29,73</w:t>
            </w:r>
          </w:p>
        </w:tc>
        <w:tc>
          <w:tcPr>
            <w:tcW w:w="3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D8485A" w14:textId="77777777" w:rsidR="006C63D5" w:rsidRPr="00F44FA4" w:rsidRDefault="006C63D5" w:rsidP="00F42F8F">
            <w:pPr>
              <w:keepNext/>
              <w:keepLines/>
              <w:jc w:val="right"/>
              <w:rPr>
                <w:rFonts w:cs="Arial"/>
                <w:color w:val="000000"/>
                <w:szCs w:val="20"/>
              </w:rPr>
            </w:pPr>
            <w:r w:rsidRPr="00F44FA4">
              <w:rPr>
                <w:rFonts w:cs="Arial"/>
                <w:color w:val="000000"/>
                <w:szCs w:val="20"/>
              </w:rPr>
              <w:t>30,15</w:t>
            </w:r>
          </w:p>
        </w:tc>
      </w:tr>
      <w:tr w:rsidR="006C63D5" w:rsidRPr="00F44FA4" w14:paraId="605C8298" w14:textId="77777777" w:rsidTr="00F15E56">
        <w:trPr>
          <w:trHeight w:val="315"/>
        </w:trPr>
        <w:tc>
          <w:tcPr>
            <w:tcW w:w="250" w:type="pct"/>
            <w:vMerge/>
            <w:tcBorders>
              <w:top w:val="nil"/>
              <w:left w:val="single" w:sz="4" w:space="0" w:color="auto"/>
              <w:bottom w:val="single" w:sz="4" w:space="0" w:color="auto"/>
              <w:right w:val="single" w:sz="4" w:space="0" w:color="auto"/>
            </w:tcBorders>
            <w:vAlign w:val="center"/>
            <w:hideMark/>
          </w:tcPr>
          <w:p w14:paraId="17AEB39E" w14:textId="77777777" w:rsidR="006C63D5" w:rsidRPr="00F44FA4" w:rsidRDefault="006C63D5" w:rsidP="00F42F8F">
            <w:pPr>
              <w:keepNext/>
              <w:keepLines/>
              <w:rPr>
                <w:rFonts w:cs="Arial"/>
                <w:b/>
                <w:bCs/>
                <w:color w:val="000000"/>
                <w:szCs w:val="20"/>
              </w:rPr>
            </w:pPr>
          </w:p>
        </w:tc>
        <w:tc>
          <w:tcPr>
            <w:tcW w:w="2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D8480" w14:textId="77777777" w:rsidR="006C63D5" w:rsidRPr="00F44FA4" w:rsidRDefault="006C63D5" w:rsidP="00F42F8F">
            <w:pPr>
              <w:keepNext/>
              <w:keepLines/>
              <w:rPr>
                <w:rFonts w:cs="Arial"/>
                <w:color w:val="000000"/>
                <w:szCs w:val="20"/>
              </w:rPr>
            </w:pPr>
            <w:r w:rsidRPr="00F44FA4">
              <w:rPr>
                <w:rFonts w:cs="Arial"/>
                <w:color w:val="000000"/>
                <w:szCs w:val="20"/>
              </w:rPr>
              <w:t>terciarni sektor</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140DCA6" w14:textId="77777777" w:rsidR="006C63D5" w:rsidRPr="00F44FA4" w:rsidRDefault="006C63D5" w:rsidP="00F42F8F">
            <w:pPr>
              <w:keepNext/>
              <w:keepLines/>
              <w:jc w:val="right"/>
              <w:rPr>
                <w:rFonts w:cs="Arial"/>
                <w:color w:val="000000"/>
                <w:szCs w:val="20"/>
              </w:rPr>
            </w:pPr>
            <w:r w:rsidRPr="00F44FA4">
              <w:rPr>
                <w:rFonts w:cs="Arial"/>
                <w:color w:val="000000"/>
                <w:szCs w:val="20"/>
              </w:rPr>
              <w:t>60,55</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05D7DFC" w14:textId="77777777" w:rsidR="006C63D5" w:rsidRPr="00F44FA4" w:rsidRDefault="006C63D5" w:rsidP="00F42F8F">
            <w:pPr>
              <w:keepNext/>
              <w:keepLines/>
              <w:jc w:val="right"/>
              <w:rPr>
                <w:rFonts w:cs="Arial"/>
                <w:color w:val="000000"/>
                <w:szCs w:val="20"/>
              </w:rPr>
            </w:pPr>
            <w:r w:rsidRPr="00F44FA4">
              <w:rPr>
                <w:rFonts w:cs="Arial"/>
                <w:color w:val="000000"/>
                <w:szCs w:val="20"/>
              </w:rPr>
              <w:t>62,27</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DB6F070" w14:textId="77777777" w:rsidR="006C63D5" w:rsidRPr="00F44FA4" w:rsidRDefault="006C63D5" w:rsidP="00F42F8F">
            <w:pPr>
              <w:keepNext/>
              <w:keepLines/>
              <w:jc w:val="right"/>
              <w:rPr>
                <w:rFonts w:cs="Arial"/>
                <w:color w:val="000000"/>
                <w:szCs w:val="20"/>
              </w:rPr>
            </w:pPr>
            <w:r w:rsidRPr="00F44FA4">
              <w:rPr>
                <w:rFonts w:cs="Arial"/>
                <w:color w:val="000000"/>
                <w:szCs w:val="20"/>
              </w:rPr>
              <w:t>62,98</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E32A708" w14:textId="77777777" w:rsidR="006C63D5" w:rsidRPr="00F44FA4" w:rsidRDefault="006C63D5" w:rsidP="00F42F8F">
            <w:pPr>
              <w:keepNext/>
              <w:keepLines/>
              <w:jc w:val="right"/>
              <w:rPr>
                <w:rFonts w:cs="Arial"/>
                <w:color w:val="000000"/>
                <w:szCs w:val="20"/>
              </w:rPr>
            </w:pPr>
            <w:r w:rsidRPr="00F44FA4">
              <w:rPr>
                <w:rFonts w:cs="Arial"/>
                <w:color w:val="000000"/>
                <w:szCs w:val="20"/>
              </w:rPr>
              <w:t>63,30</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83EB1CA" w14:textId="77777777" w:rsidR="006C63D5" w:rsidRPr="00F44FA4" w:rsidRDefault="006C63D5" w:rsidP="00F42F8F">
            <w:pPr>
              <w:keepNext/>
              <w:keepLines/>
              <w:jc w:val="right"/>
              <w:rPr>
                <w:rFonts w:cs="Arial"/>
                <w:color w:val="000000"/>
                <w:szCs w:val="20"/>
              </w:rPr>
            </w:pPr>
            <w:r w:rsidRPr="00F44FA4">
              <w:rPr>
                <w:rFonts w:cs="Arial"/>
                <w:color w:val="000000"/>
                <w:szCs w:val="20"/>
              </w:rPr>
              <w:t>63,11</w:t>
            </w:r>
          </w:p>
        </w:tc>
        <w:tc>
          <w:tcPr>
            <w:tcW w:w="3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37664D" w14:textId="77777777" w:rsidR="006C63D5" w:rsidRPr="00F44FA4" w:rsidRDefault="006C63D5" w:rsidP="00F42F8F">
            <w:pPr>
              <w:keepNext/>
              <w:keepLines/>
              <w:jc w:val="right"/>
              <w:rPr>
                <w:rFonts w:cs="Arial"/>
                <w:color w:val="000000"/>
                <w:szCs w:val="20"/>
              </w:rPr>
            </w:pPr>
            <w:r w:rsidRPr="00F44FA4">
              <w:rPr>
                <w:rFonts w:cs="Arial"/>
                <w:color w:val="000000"/>
                <w:szCs w:val="20"/>
              </w:rPr>
              <w:t>62,95</w:t>
            </w:r>
          </w:p>
        </w:tc>
      </w:tr>
      <w:tr w:rsidR="006C63D5" w:rsidRPr="00F44FA4" w14:paraId="03F75C08" w14:textId="77777777" w:rsidTr="00F15E56">
        <w:trPr>
          <w:trHeight w:val="585"/>
        </w:trPr>
        <w:tc>
          <w:tcPr>
            <w:tcW w:w="250" w:type="pct"/>
            <w:vMerge/>
            <w:tcBorders>
              <w:top w:val="nil"/>
              <w:left w:val="single" w:sz="4" w:space="0" w:color="auto"/>
              <w:bottom w:val="single" w:sz="4" w:space="0" w:color="auto"/>
              <w:right w:val="single" w:sz="4" w:space="0" w:color="auto"/>
            </w:tcBorders>
            <w:vAlign w:val="center"/>
            <w:hideMark/>
          </w:tcPr>
          <w:p w14:paraId="580AED44" w14:textId="77777777" w:rsidR="006C63D5" w:rsidRPr="00F44FA4" w:rsidRDefault="006C63D5" w:rsidP="00F42F8F">
            <w:pPr>
              <w:keepNext/>
              <w:keepLines/>
              <w:rPr>
                <w:rFonts w:cs="Arial"/>
                <w:b/>
                <w:bCs/>
                <w:color w:val="000000"/>
                <w:szCs w:val="20"/>
              </w:rPr>
            </w:pPr>
          </w:p>
        </w:tc>
        <w:tc>
          <w:tcPr>
            <w:tcW w:w="258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63D20B2" w14:textId="77777777" w:rsidR="006C63D5" w:rsidRPr="00F44FA4" w:rsidRDefault="006C63D5" w:rsidP="00F42F8F">
            <w:pPr>
              <w:keepNext/>
              <w:keepLines/>
              <w:rPr>
                <w:rFonts w:cs="Arial"/>
                <w:color w:val="000000"/>
                <w:szCs w:val="20"/>
              </w:rPr>
            </w:pPr>
            <w:r w:rsidRPr="00F44FA4">
              <w:rPr>
                <w:rFonts w:cs="Arial"/>
                <w:color w:val="000000"/>
                <w:szCs w:val="20"/>
              </w:rPr>
              <w:t>Porazdelitev zaposlitev po vrstah regij  (%)</w:t>
            </w:r>
            <w:r w:rsidRPr="00F44FA4">
              <w:rPr>
                <w:rFonts w:cs="Arial"/>
                <w:color w:val="000000"/>
                <w:szCs w:val="20"/>
              </w:rPr>
              <w:br/>
              <w:t>vmesne regije</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21C2215" w14:textId="77777777" w:rsidR="006C63D5" w:rsidRPr="00F44FA4" w:rsidRDefault="006C63D5" w:rsidP="00F42F8F">
            <w:pPr>
              <w:keepNext/>
              <w:keepLines/>
              <w:jc w:val="right"/>
              <w:rPr>
                <w:rFonts w:cs="Arial"/>
                <w:color w:val="000000"/>
                <w:szCs w:val="20"/>
              </w:rPr>
            </w:pPr>
            <w:r w:rsidRPr="00F44FA4">
              <w:rPr>
                <w:rFonts w:cs="Arial"/>
                <w:color w:val="000000"/>
                <w:szCs w:val="20"/>
              </w:rPr>
              <w:t>45,89</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C545C2A" w14:textId="77777777" w:rsidR="006C63D5" w:rsidRPr="00F44FA4" w:rsidRDefault="006C63D5" w:rsidP="00F42F8F">
            <w:pPr>
              <w:keepNext/>
              <w:keepLines/>
              <w:jc w:val="right"/>
              <w:rPr>
                <w:rFonts w:cs="Arial"/>
                <w:color w:val="000000"/>
                <w:szCs w:val="20"/>
              </w:rPr>
            </w:pPr>
            <w:r w:rsidRPr="00F44FA4">
              <w:rPr>
                <w:rFonts w:cs="Arial"/>
                <w:color w:val="000000"/>
                <w:szCs w:val="20"/>
              </w:rPr>
              <w:t>46,60</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B609D9B" w14:textId="77777777" w:rsidR="006C63D5" w:rsidRPr="00F44FA4" w:rsidRDefault="006C63D5" w:rsidP="00F42F8F">
            <w:pPr>
              <w:keepNext/>
              <w:keepLines/>
              <w:jc w:val="right"/>
              <w:rPr>
                <w:rFonts w:cs="Arial"/>
                <w:color w:val="000000"/>
                <w:szCs w:val="20"/>
              </w:rPr>
            </w:pPr>
            <w:r w:rsidRPr="00F44FA4">
              <w:rPr>
                <w:rFonts w:cs="Arial"/>
                <w:color w:val="000000"/>
                <w:szCs w:val="20"/>
              </w:rPr>
              <w:t>47,26</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48B484E" w14:textId="77777777" w:rsidR="006C63D5" w:rsidRPr="00F44FA4" w:rsidRDefault="006C63D5" w:rsidP="00F42F8F">
            <w:pPr>
              <w:keepNext/>
              <w:keepLines/>
              <w:jc w:val="right"/>
              <w:rPr>
                <w:rFonts w:cs="Arial"/>
                <w:color w:val="000000"/>
                <w:szCs w:val="20"/>
              </w:rPr>
            </w:pPr>
            <w:r w:rsidRPr="00F44FA4">
              <w:rPr>
                <w:rFonts w:cs="Arial"/>
                <w:color w:val="000000"/>
                <w:szCs w:val="20"/>
              </w:rPr>
              <w:t>47,36</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E61C210" w14:textId="77777777" w:rsidR="006C63D5" w:rsidRPr="00F44FA4" w:rsidRDefault="006C63D5" w:rsidP="00F42F8F">
            <w:pPr>
              <w:keepNext/>
              <w:keepLines/>
              <w:jc w:val="right"/>
              <w:rPr>
                <w:rFonts w:cs="Arial"/>
                <w:color w:val="000000"/>
                <w:szCs w:val="20"/>
              </w:rPr>
            </w:pPr>
            <w:r w:rsidRPr="00F44FA4">
              <w:rPr>
                <w:rFonts w:cs="Arial"/>
                <w:color w:val="000000"/>
                <w:szCs w:val="20"/>
              </w:rPr>
              <w:t>-</w:t>
            </w:r>
          </w:p>
        </w:tc>
        <w:tc>
          <w:tcPr>
            <w:tcW w:w="3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5E9E99" w14:textId="77777777" w:rsidR="006C63D5" w:rsidRPr="00F44FA4" w:rsidRDefault="006C63D5" w:rsidP="00F42F8F">
            <w:pPr>
              <w:keepNext/>
              <w:keepLines/>
              <w:jc w:val="right"/>
              <w:rPr>
                <w:rFonts w:cs="Arial"/>
                <w:color w:val="000000"/>
                <w:szCs w:val="20"/>
              </w:rPr>
            </w:pPr>
            <w:r w:rsidRPr="00F44FA4">
              <w:rPr>
                <w:rFonts w:cs="Arial"/>
                <w:color w:val="000000"/>
                <w:szCs w:val="20"/>
              </w:rPr>
              <w:t>-</w:t>
            </w:r>
          </w:p>
        </w:tc>
      </w:tr>
      <w:tr w:rsidR="006C63D5" w:rsidRPr="00F44FA4" w14:paraId="3A6156DB" w14:textId="77777777" w:rsidTr="00F15E56">
        <w:trPr>
          <w:trHeight w:val="315"/>
        </w:trPr>
        <w:tc>
          <w:tcPr>
            <w:tcW w:w="250" w:type="pct"/>
            <w:vMerge/>
            <w:tcBorders>
              <w:top w:val="nil"/>
              <w:left w:val="single" w:sz="4" w:space="0" w:color="auto"/>
              <w:bottom w:val="single" w:sz="4" w:space="0" w:color="auto"/>
              <w:right w:val="single" w:sz="4" w:space="0" w:color="auto"/>
            </w:tcBorders>
            <w:vAlign w:val="center"/>
            <w:hideMark/>
          </w:tcPr>
          <w:p w14:paraId="4392498A" w14:textId="77777777" w:rsidR="006C63D5" w:rsidRPr="00F44FA4" w:rsidRDefault="006C63D5" w:rsidP="00F42F8F">
            <w:pPr>
              <w:keepNext/>
              <w:keepLines/>
              <w:rPr>
                <w:rFonts w:cs="Arial"/>
                <w:b/>
                <w:bCs/>
                <w:color w:val="000000"/>
                <w:szCs w:val="20"/>
              </w:rPr>
            </w:pPr>
          </w:p>
        </w:tc>
        <w:tc>
          <w:tcPr>
            <w:tcW w:w="2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C1A88" w14:textId="77777777" w:rsidR="006C63D5" w:rsidRPr="00F44FA4" w:rsidRDefault="006C63D5" w:rsidP="00F42F8F">
            <w:pPr>
              <w:keepNext/>
              <w:keepLines/>
              <w:rPr>
                <w:rFonts w:cs="Arial"/>
                <w:color w:val="000000"/>
                <w:szCs w:val="20"/>
              </w:rPr>
            </w:pPr>
            <w:r w:rsidRPr="00F44FA4">
              <w:rPr>
                <w:rFonts w:cs="Arial"/>
                <w:color w:val="000000"/>
                <w:szCs w:val="20"/>
              </w:rPr>
              <w:t>podeželske regije</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732C6B8" w14:textId="77777777" w:rsidR="006C63D5" w:rsidRPr="00F44FA4" w:rsidRDefault="006C63D5" w:rsidP="00F42F8F">
            <w:pPr>
              <w:keepNext/>
              <w:keepLines/>
              <w:jc w:val="right"/>
              <w:rPr>
                <w:rFonts w:cs="Arial"/>
                <w:color w:val="000000"/>
                <w:szCs w:val="20"/>
              </w:rPr>
            </w:pPr>
            <w:r w:rsidRPr="00F44FA4">
              <w:rPr>
                <w:rFonts w:cs="Arial"/>
                <w:color w:val="000000"/>
                <w:szCs w:val="20"/>
              </w:rPr>
              <w:t>53,98</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1FE6F96" w14:textId="77777777" w:rsidR="006C63D5" w:rsidRPr="00F44FA4" w:rsidRDefault="006C63D5" w:rsidP="00F42F8F">
            <w:pPr>
              <w:keepNext/>
              <w:keepLines/>
              <w:jc w:val="right"/>
              <w:rPr>
                <w:rFonts w:cs="Arial"/>
                <w:color w:val="000000"/>
                <w:szCs w:val="20"/>
              </w:rPr>
            </w:pPr>
            <w:r w:rsidRPr="00F44FA4">
              <w:rPr>
                <w:rFonts w:cs="Arial"/>
                <w:color w:val="000000"/>
                <w:szCs w:val="20"/>
              </w:rPr>
              <w:t>53,29</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90BB950" w14:textId="77777777" w:rsidR="006C63D5" w:rsidRPr="00F44FA4" w:rsidRDefault="006C63D5" w:rsidP="00F42F8F">
            <w:pPr>
              <w:keepNext/>
              <w:keepLines/>
              <w:jc w:val="right"/>
              <w:rPr>
                <w:rFonts w:cs="Arial"/>
                <w:color w:val="000000"/>
                <w:szCs w:val="20"/>
              </w:rPr>
            </w:pPr>
            <w:r w:rsidRPr="00F44FA4">
              <w:rPr>
                <w:rFonts w:cs="Arial"/>
                <w:color w:val="000000"/>
                <w:szCs w:val="20"/>
              </w:rPr>
              <w:t>52,62</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1D11A96" w14:textId="77777777" w:rsidR="006C63D5" w:rsidRPr="00F44FA4" w:rsidRDefault="006C63D5" w:rsidP="00F42F8F">
            <w:pPr>
              <w:keepNext/>
              <w:keepLines/>
              <w:jc w:val="right"/>
              <w:rPr>
                <w:rFonts w:cs="Arial"/>
                <w:color w:val="000000"/>
                <w:szCs w:val="20"/>
              </w:rPr>
            </w:pPr>
            <w:r w:rsidRPr="00F44FA4">
              <w:rPr>
                <w:rFonts w:cs="Arial"/>
                <w:color w:val="000000"/>
                <w:szCs w:val="20"/>
              </w:rPr>
              <w:t>52,48</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DF5D53E" w14:textId="77777777" w:rsidR="006C63D5" w:rsidRPr="00F44FA4" w:rsidRDefault="006C63D5" w:rsidP="00F42F8F">
            <w:pPr>
              <w:keepNext/>
              <w:keepLines/>
              <w:jc w:val="right"/>
              <w:rPr>
                <w:rFonts w:cs="Arial"/>
                <w:color w:val="000000"/>
                <w:szCs w:val="20"/>
              </w:rPr>
            </w:pPr>
            <w:r w:rsidRPr="00F44FA4">
              <w:rPr>
                <w:rFonts w:cs="Arial"/>
                <w:color w:val="000000"/>
                <w:szCs w:val="20"/>
              </w:rPr>
              <w:t>-</w:t>
            </w:r>
          </w:p>
        </w:tc>
        <w:tc>
          <w:tcPr>
            <w:tcW w:w="3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0282D1" w14:textId="77777777" w:rsidR="006C63D5" w:rsidRPr="00F44FA4" w:rsidRDefault="006C63D5" w:rsidP="00F42F8F">
            <w:pPr>
              <w:keepNext/>
              <w:keepLines/>
              <w:jc w:val="right"/>
              <w:rPr>
                <w:rFonts w:cs="Arial"/>
                <w:color w:val="000000"/>
                <w:szCs w:val="20"/>
              </w:rPr>
            </w:pPr>
            <w:r w:rsidRPr="00F44FA4">
              <w:rPr>
                <w:rFonts w:cs="Arial"/>
                <w:color w:val="000000"/>
                <w:szCs w:val="20"/>
              </w:rPr>
              <w:t>-</w:t>
            </w:r>
          </w:p>
        </w:tc>
      </w:tr>
      <w:tr w:rsidR="006C63D5" w:rsidRPr="00F44FA4" w14:paraId="7AA972C5" w14:textId="77777777" w:rsidTr="00F15E56">
        <w:trPr>
          <w:trHeight w:val="585"/>
        </w:trPr>
        <w:tc>
          <w:tcPr>
            <w:tcW w:w="250" w:type="pct"/>
            <w:vMerge/>
            <w:tcBorders>
              <w:top w:val="nil"/>
              <w:left w:val="single" w:sz="4" w:space="0" w:color="auto"/>
              <w:bottom w:val="single" w:sz="4" w:space="0" w:color="auto"/>
              <w:right w:val="single" w:sz="4" w:space="0" w:color="auto"/>
            </w:tcBorders>
            <w:vAlign w:val="center"/>
            <w:hideMark/>
          </w:tcPr>
          <w:p w14:paraId="434DDB9C" w14:textId="77777777" w:rsidR="006C63D5" w:rsidRPr="00F44FA4" w:rsidRDefault="006C63D5" w:rsidP="00F42F8F">
            <w:pPr>
              <w:keepNext/>
              <w:keepLines/>
              <w:rPr>
                <w:rFonts w:cs="Arial"/>
                <w:b/>
                <w:bCs/>
                <w:color w:val="000000"/>
                <w:szCs w:val="20"/>
              </w:rPr>
            </w:pPr>
          </w:p>
        </w:tc>
        <w:tc>
          <w:tcPr>
            <w:tcW w:w="258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CEED786" w14:textId="77777777" w:rsidR="006C63D5" w:rsidRPr="00F44FA4" w:rsidRDefault="006C63D5" w:rsidP="00F42F8F">
            <w:pPr>
              <w:keepNext/>
              <w:keepLines/>
              <w:rPr>
                <w:rFonts w:cs="Arial"/>
                <w:color w:val="000000"/>
                <w:szCs w:val="20"/>
              </w:rPr>
            </w:pPr>
            <w:r w:rsidRPr="00F44FA4">
              <w:rPr>
                <w:rFonts w:cs="Arial"/>
                <w:color w:val="000000"/>
                <w:szCs w:val="20"/>
              </w:rPr>
              <w:t>Porazdelitev zaposlitev v vmesnih regijah (%)</w:t>
            </w:r>
            <w:r w:rsidRPr="00F44FA4">
              <w:rPr>
                <w:rFonts w:cs="Arial"/>
                <w:color w:val="000000"/>
                <w:szCs w:val="20"/>
              </w:rPr>
              <w:br/>
              <w:t>primarni sektor</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1CF0015" w14:textId="77777777" w:rsidR="006C63D5" w:rsidRPr="00F44FA4" w:rsidRDefault="006C63D5" w:rsidP="00F42F8F">
            <w:pPr>
              <w:keepNext/>
              <w:keepLines/>
              <w:jc w:val="right"/>
              <w:rPr>
                <w:rFonts w:cs="Arial"/>
                <w:color w:val="000000"/>
                <w:szCs w:val="20"/>
              </w:rPr>
            </w:pPr>
            <w:r w:rsidRPr="00F44FA4">
              <w:rPr>
                <w:rFonts w:cs="Arial"/>
                <w:color w:val="000000"/>
                <w:szCs w:val="20"/>
              </w:rPr>
              <w:t>3,96</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D42D548" w14:textId="77777777" w:rsidR="006C63D5" w:rsidRPr="00F44FA4" w:rsidRDefault="006C63D5" w:rsidP="00F42F8F">
            <w:pPr>
              <w:keepNext/>
              <w:keepLines/>
              <w:jc w:val="right"/>
              <w:rPr>
                <w:rFonts w:cs="Arial"/>
                <w:color w:val="000000"/>
                <w:szCs w:val="20"/>
              </w:rPr>
            </w:pPr>
            <w:r w:rsidRPr="00F44FA4">
              <w:rPr>
                <w:rFonts w:cs="Arial"/>
                <w:color w:val="000000"/>
                <w:szCs w:val="20"/>
              </w:rPr>
              <w:t>3,84</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7FD1914" w14:textId="77777777" w:rsidR="006C63D5" w:rsidRPr="00F44FA4" w:rsidRDefault="006C63D5" w:rsidP="00F42F8F">
            <w:pPr>
              <w:keepNext/>
              <w:keepLines/>
              <w:jc w:val="right"/>
              <w:rPr>
                <w:rFonts w:cs="Arial"/>
                <w:color w:val="000000"/>
                <w:szCs w:val="20"/>
              </w:rPr>
            </w:pPr>
            <w:r w:rsidRPr="00F44FA4">
              <w:rPr>
                <w:rFonts w:cs="Arial"/>
                <w:color w:val="000000"/>
                <w:szCs w:val="20"/>
              </w:rPr>
              <w:t>3,63</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3B7D9A6" w14:textId="77777777" w:rsidR="006C63D5" w:rsidRPr="00F44FA4" w:rsidRDefault="006C63D5" w:rsidP="00F42F8F">
            <w:pPr>
              <w:keepNext/>
              <w:keepLines/>
              <w:jc w:val="right"/>
              <w:rPr>
                <w:rFonts w:cs="Arial"/>
                <w:color w:val="000000"/>
                <w:szCs w:val="20"/>
              </w:rPr>
            </w:pPr>
            <w:r w:rsidRPr="00F44FA4">
              <w:rPr>
                <w:rFonts w:cs="Arial"/>
                <w:color w:val="000000"/>
                <w:szCs w:val="20"/>
              </w:rPr>
              <w:t>3,49</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F2596CA" w14:textId="77777777" w:rsidR="006C63D5" w:rsidRPr="00F44FA4" w:rsidRDefault="006C63D5" w:rsidP="00F42F8F">
            <w:pPr>
              <w:keepNext/>
              <w:keepLines/>
              <w:jc w:val="right"/>
              <w:rPr>
                <w:rFonts w:cs="Arial"/>
                <w:color w:val="000000"/>
                <w:szCs w:val="20"/>
              </w:rPr>
            </w:pPr>
            <w:r w:rsidRPr="00F44FA4">
              <w:rPr>
                <w:rFonts w:cs="Arial"/>
                <w:color w:val="000000"/>
                <w:szCs w:val="20"/>
              </w:rPr>
              <w:t>-</w:t>
            </w:r>
          </w:p>
        </w:tc>
        <w:tc>
          <w:tcPr>
            <w:tcW w:w="3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1682ED" w14:textId="77777777" w:rsidR="006C63D5" w:rsidRPr="00F44FA4" w:rsidRDefault="006C63D5" w:rsidP="00F42F8F">
            <w:pPr>
              <w:keepNext/>
              <w:keepLines/>
              <w:jc w:val="right"/>
              <w:rPr>
                <w:rFonts w:cs="Arial"/>
                <w:color w:val="000000"/>
                <w:szCs w:val="20"/>
              </w:rPr>
            </w:pPr>
            <w:r w:rsidRPr="00F44FA4">
              <w:rPr>
                <w:rFonts w:cs="Arial"/>
                <w:color w:val="000000"/>
                <w:szCs w:val="20"/>
              </w:rPr>
              <w:t>-</w:t>
            </w:r>
          </w:p>
        </w:tc>
      </w:tr>
      <w:tr w:rsidR="006C63D5" w:rsidRPr="00F44FA4" w14:paraId="29DC22EA" w14:textId="77777777" w:rsidTr="00F15E56">
        <w:trPr>
          <w:trHeight w:val="315"/>
        </w:trPr>
        <w:tc>
          <w:tcPr>
            <w:tcW w:w="250" w:type="pct"/>
            <w:vMerge/>
            <w:tcBorders>
              <w:top w:val="nil"/>
              <w:left w:val="single" w:sz="4" w:space="0" w:color="auto"/>
              <w:bottom w:val="single" w:sz="4" w:space="0" w:color="auto"/>
              <w:right w:val="single" w:sz="4" w:space="0" w:color="auto"/>
            </w:tcBorders>
            <w:vAlign w:val="center"/>
            <w:hideMark/>
          </w:tcPr>
          <w:p w14:paraId="51A4E401" w14:textId="77777777" w:rsidR="006C63D5" w:rsidRPr="00F44FA4" w:rsidRDefault="006C63D5" w:rsidP="00F42F8F">
            <w:pPr>
              <w:keepNext/>
              <w:keepLines/>
              <w:rPr>
                <w:rFonts w:cs="Arial"/>
                <w:b/>
                <w:bCs/>
                <w:color w:val="000000"/>
                <w:szCs w:val="20"/>
              </w:rPr>
            </w:pPr>
          </w:p>
        </w:tc>
        <w:tc>
          <w:tcPr>
            <w:tcW w:w="2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BEC54" w14:textId="77777777" w:rsidR="006C63D5" w:rsidRPr="00F44FA4" w:rsidRDefault="006C63D5" w:rsidP="00F42F8F">
            <w:pPr>
              <w:keepNext/>
              <w:keepLines/>
              <w:rPr>
                <w:rFonts w:cs="Arial"/>
                <w:color w:val="000000"/>
                <w:szCs w:val="20"/>
              </w:rPr>
            </w:pPr>
            <w:r w:rsidRPr="00F44FA4">
              <w:rPr>
                <w:rFonts w:cs="Arial"/>
                <w:color w:val="000000"/>
                <w:szCs w:val="20"/>
              </w:rPr>
              <w:t>sekundarni sektor</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33636EB" w14:textId="77777777" w:rsidR="006C63D5" w:rsidRPr="00F44FA4" w:rsidRDefault="006C63D5" w:rsidP="00F42F8F">
            <w:pPr>
              <w:keepNext/>
              <w:keepLines/>
              <w:jc w:val="right"/>
              <w:rPr>
                <w:rFonts w:cs="Arial"/>
                <w:color w:val="000000"/>
                <w:szCs w:val="20"/>
              </w:rPr>
            </w:pPr>
            <w:r w:rsidRPr="00F44FA4">
              <w:rPr>
                <w:rFonts w:cs="Arial"/>
                <w:color w:val="000000"/>
                <w:szCs w:val="20"/>
              </w:rPr>
              <w:t>24,37</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1E5BE7E" w14:textId="77777777" w:rsidR="006C63D5" w:rsidRPr="00F44FA4" w:rsidRDefault="006C63D5" w:rsidP="00F42F8F">
            <w:pPr>
              <w:keepNext/>
              <w:keepLines/>
              <w:jc w:val="right"/>
              <w:rPr>
                <w:rFonts w:cs="Arial"/>
                <w:color w:val="000000"/>
                <w:szCs w:val="20"/>
              </w:rPr>
            </w:pPr>
            <w:r w:rsidRPr="00F44FA4">
              <w:rPr>
                <w:rFonts w:cs="Arial"/>
                <w:color w:val="000000"/>
                <w:szCs w:val="20"/>
              </w:rPr>
              <w:t>22,60</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5C9E1E8" w14:textId="77777777" w:rsidR="006C63D5" w:rsidRPr="00F44FA4" w:rsidRDefault="006C63D5" w:rsidP="00F42F8F">
            <w:pPr>
              <w:keepNext/>
              <w:keepLines/>
              <w:jc w:val="right"/>
              <w:rPr>
                <w:rFonts w:cs="Arial"/>
                <w:color w:val="000000"/>
                <w:szCs w:val="20"/>
              </w:rPr>
            </w:pPr>
            <w:r w:rsidRPr="00F44FA4">
              <w:rPr>
                <w:rFonts w:cs="Arial"/>
                <w:color w:val="000000"/>
                <w:szCs w:val="20"/>
              </w:rPr>
              <w:t>22,35</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CEC5DF7" w14:textId="77777777" w:rsidR="006C63D5" w:rsidRPr="00F44FA4" w:rsidRDefault="006C63D5" w:rsidP="00F42F8F">
            <w:pPr>
              <w:keepNext/>
              <w:keepLines/>
              <w:jc w:val="right"/>
              <w:rPr>
                <w:rFonts w:cs="Arial"/>
                <w:color w:val="000000"/>
                <w:szCs w:val="20"/>
              </w:rPr>
            </w:pPr>
            <w:r w:rsidRPr="00F44FA4">
              <w:rPr>
                <w:rFonts w:cs="Arial"/>
                <w:color w:val="000000"/>
                <w:szCs w:val="20"/>
              </w:rPr>
              <w:t>22,33</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2DDC105" w14:textId="77777777" w:rsidR="006C63D5" w:rsidRPr="00F44FA4" w:rsidRDefault="006C63D5" w:rsidP="00F42F8F">
            <w:pPr>
              <w:keepNext/>
              <w:keepLines/>
              <w:jc w:val="right"/>
              <w:rPr>
                <w:rFonts w:cs="Arial"/>
                <w:color w:val="000000"/>
                <w:szCs w:val="20"/>
              </w:rPr>
            </w:pPr>
            <w:r w:rsidRPr="00F44FA4">
              <w:rPr>
                <w:rFonts w:cs="Arial"/>
                <w:color w:val="000000"/>
                <w:szCs w:val="20"/>
              </w:rPr>
              <w:t>-</w:t>
            </w:r>
          </w:p>
        </w:tc>
        <w:tc>
          <w:tcPr>
            <w:tcW w:w="3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42B30F" w14:textId="77777777" w:rsidR="006C63D5" w:rsidRPr="00F44FA4" w:rsidRDefault="006C63D5" w:rsidP="00F42F8F">
            <w:pPr>
              <w:keepNext/>
              <w:keepLines/>
              <w:jc w:val="right"/>
              <w:rPr>
                <w:rFonts w:cs="Arial"/>
                <w:color w:val="000000"/>
                <w:szCs w:val="20"/>
              </w:rPr>
            </w:pPr>
            <w:r w:rsidRPr="00F44FA4">
              <w:rPr>
                <w:rFonts w:cs="Arial"/>
                <w:color w:val="000000"/>
                <w:szCs w:val="20"/>
              </w:rPr>
              <w:t>-</w:t>
            </w:r>
          </w:p>
        </w:tc>
      </w:tr>
      <w:tr w:rsidR="006C63D5" w:rsidRPr="00F44FA4" w14:paraId="4D80FD99" w14:textId="77777777" w:rsidTr="00F15E56">
        <w:trPr>
          <w:trHeight w:val="315"/>
        </w:trPr>
        <w:tc>
          <w:tcPr>
            <w:tcW w:w="250" w:type="pct"/>
            <w:vMerge/>
            <w:tcBorders>
              <w:top w:val="nil"/>
              <w:left w:val="single" w:sz="4" w:space="0" w:color="auto"/>
              <w:bottom w:val="single" w:sz="4" w:space="0" w:color="auto"/>
              <w:right w:val="single" w:sz="4" w:space="0" w:color="auto"/>
            </w:tcBorders>
            <w:vAlign w:val="center"/>
            <w:hideMark/>
          </w:tcPr>
          <w:p w14:paraId="7D342406" w14:textId="77777777" w:rsidR="006C63D5" w:rsidRPr="00F44FA4" w:rsidRDefault="006C63D5" w:rsidP="00F42F8F">
            <w:pPr>
              <w:keepNext/>
              <w:keepLines/>
              <w:rPr>
                <w:rFonts w:cs="Arial"/>
                <w:b/>
                <w:bCs/>
                <w:color w:val="000000"/>
                <w:szCs w:val="20"/>
              </w:rPr>
            </w:pPr>
          </w:p>
        </w:tc>
        <w:tc>
          <w:tcPr>
            <w:tcW w:w="2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70326" w14:textId="77777777" w:rsidR="006C63D5" w:rsidRPr="00F44FA4" w:rsidRDefault="006C63D5" w:rsidP="00F42F8F">
            <w:pPr>
              <w:keepNext/>
              <w:keepLines/>
              <w:rPr>
                <w:rFonts w:cs="Arial"/>
                <w:color w:val="000000"/>
                <w:szCs w:val="20"/>
              </w:rPr>
            </w:pPr>
            <w:proofErr w:type="spellStart"/>
            <w:r w:rsidRPr="00F44FA4">
              <w:rPr>
                <w:rFonts w:cs="Arial"/>
                <w:color w:val="000000"/>
                <w:szCs w:val="20"/>
              </w:rPr>
              <w:t>tercirarni</w:t>
            </w:r>
            <w:proofErr w:type="spellEnd"/>
            <w:r w:rsidRPr="00F44FA4">
              <w:rPr>
                <w:rFonts w:cs="Arial"/>
                <w:color w:val="000000"/>
                <w:szCs w:val="20"/>
              </w:rPr>
              <w:t xml:space="preserve"> sektor</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920A425" w14:textId="77777777" w:rsidR="006C63D5" w:rsidRPr="00F44FA4" w:rsidRDefault="006C63D5" w:rsidP="00F42F8F">
            <w:pPr>
              <w:keepNext/>
              <w:keepLines/>
              <w:jc w:val="right"/>
              <w:rPr>
                <w:rFonts w:cs="Arial"/>
                <w:color w:val="000000"/>
                <w:szCs w:val="20"/>
              </w:rPr>
            </w:pPr>
            <w:r w:rsidRPr="00F44FA4">
              <w:rPr>
                <w:rFonts w:cs="Arial"/>
                <w:color w:val="000000"/>
                <w:szCs w:val="20"/>
              </w:rPr>
              <w:t>71,66</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445E306" w14:textId="77777777" w:rsidR="006C63D5" w:rsidRPr="00F44FA4" w:rsidRDefault="006C63D5" w:rsidP="00F42F8F">
            <w:pPr>
              <w:keepNext/>
              <w:keepLines/>
              <w:jc w:val="right"/>
              <w:rPr>
                <w:rFonts w:cs="Arial"/>
                <w:color w:val="000000"/>
                <w:szCs w:val="20"/>
              </w:rPr>
            </w:pPr>
            <w:r w:rsidRPr="00F44FA4">
              <w:rPr>
                <w:rFonts w:cs="Arial"/>
                <w:color w:val="000000"/>
                <w:szCs w:val="20"/>
              </w:rPr>
              <w:t>73,56</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823573C" w14:textId="77777777" w:rsidR="006C63D5" w:rsidRPr="00F44FA4" w:rsidRDefault="006C63D5" w:rsidP="00F42F8F">
            <w:pPr>
              <w:keepNext/>
              <w:keepLines/>
              <w:jc w:val="right"/>
              <w:rPr>
                <w:rFonts w:cs="Arial"/>
                <w:color w:val="000000"/>
                <w:szCs w:val="20"/>
              </w:rPr>
            </w:pPr>
            <w:r w:rsidRPr="00F44FA4">
              <w:rPr>
                <w:rFonts w:cs="Arial"/>
                <w:color w:val="000000"/>
                <w:szCs w:val="20"/>
              </w:rPr>
              <w:t>74,02</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ED694E1" w14:textId="77777777" w:rsidR="006C63D5" w:rsidRPr="00F44FA4" w:rsidRDefault="006C63D5" w:rsidP="00F42F8F">
            <w:pPr>
              <w:keepNext/>
              <w:keepLines/>
              <w:jc w:val="right"/>
              <w:rPr>
                <w:rFonts w:cs="Arial"/>
                <w:color w:val="000000"/>
                <w:szCs w:val="20"/>
              </w:rPr>
            </w:pPr>
            <w:r w:rsidRPr="00F44FA4">
              <w:rPr>
                <w:rFonts w:cs="Arial"/>
                <w:color w:val="000000"/>
                <w:szCs w:val="20"/>
              </w:rPr>
              <w:t>74,18</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91A4DC8" w14:textId="77777777" w:rsidR="006C63D5" w:rsidRPr="00F44FA4" w:rsidRDefault="006C63D5" w:rsidP="00F42F8F">
            <w:pPr>
              <w:keepNext/>
              <w:keepLines/>
              <w:jc w:val="right"/>
              <w:rPr>
                <w:rFonts w:cs="Arial"/>
                <w:color w:val="000000"/>
                <w:szCs w:val="20"/>
              </w:rPr>
            </w:pPr>
            <w:r w:rsidRPr="00F44FA4">
              <w:rPr>
                <w:rFonts w:cs="Arial"/>
                <w:color w:val="000000"/>
                <w:szCs w:val="20"/>
              </w:rPr>
              <w:t>-</w:t>
            </w:r>
          </w:p>
        </w:tc>
        <w:tc>
          <w:tcPr>
            <w:tcW w:w="3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26EDE4" w14:textId="77777777" w:rsidR="006C63D5" w:rsidRPr="00F44FA4" w:rsidRDefault="006C63D5" w:rsidP="00F42F8F">
            <w:pPr>
              <w:keepNext/>
              <w:keepLines/>
              <w:jc w:val="right"/>
              <w:rPr>
                <w:rFonts w:cs="Arial"/>
                <w:color w:val="000000"/>
                <w:szCs w:val="20"/>
              </w:rPr>
            </w:pPr>
            <w:r w:rsidRPr="00F44FA4">
              <w:rPr>
                <w:rFonts w:cs="Arial"/>
                <w:color w:val="000000"/>
                <w:szCs w:val="20"/>
              </w:rPr>
              <w:t>-</w:t>
            </w:r>
          </w:p>
        </w:tc>
      </w:tr>
      <w:tr w:rsidR="006C63D5" w:rsidRPr="00F44FA4" w14:paraId="0ED1C1B6" w14:textId="77777777" w:rsidTr="00F15E56">
        <w:trPr>
          <w:trHeight w:val="585"/>
        </w:trPr>
        <w:tc>
          <w:tcPr>
            <w:tcW w:w="250" w:type="pct"/>
            <w:vMerge/>
            <w:tcBorders>
              <w:top w:val="nil"/>
              <w:left w:val="single" w:sz="4" w:space="0" w:color="auto"/>
              <w:bottom w:val="single" w:sz="4" w:space="0" w:color="auto"/>
              <w:right w:val="single" w:sz="4" w:space="0" w:color="auto"/>
            </w:tcBorders>
            <w:vAlign w:val="center"/>
            <w:hideMark/>
          </w:tcPr>
          <w:p w14:paraId="688DB225" w14:textId="77777777" w:rsidR="006C63D5" w:rsidRPr="00F44FA4" w:rsidRDefault="006C63D5" w:rsidP="00F42F8F">
            <w:pPr>
              <w:keepNext/>
              <w:keepLines/>
              <w:rPr>
                <w:rFonts w:cs="Arial"/>
                <w:b/>
                <w:bCs/>
                <w:color w:val="000000"/>
                <w:szCs w:val="20"/>
              </w:rPr>
            </w:pPr>
          </w:p>
        </w:tc>
        <w:tc>
          <w:tcPr>
            <w:tcW w:w="258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EF81966" w14:textId="77777777" w:rsidR="006C63D5" w:rsidRPr="00F44FA4" w:rsidRDefault="006C63D5" w:rsidP="00F42F8F">
            <w:pPr>
              <w:keepNext/>
              <w:keepLines/>
              <w:rPr>
                <w:rFonts w:cs="Arial"/>
                <w:color w:val="000000"/>
                <w:szCs w:val="20"/>
              </w:rPr>
            </w:pPr>
            <w:r w:rsidRPr="00F44FA4">
              <w:rPr>
                <w:rFonts w:cs="Arial"/>
                <w:color w:val="000000"/>
                <w:szCs w:val="20"/>
              </w:rPr>
              <w:t>Porazdelitev zaposlitev v podeželskih regijah  (%)</w:t>
            </w:r>
            <w:r w:rsidRPr="00F44FA4">
              <w:rPr>
                <w:rFonts w:cs="Arial"/>
                <w:color w:val="000000"/>
                <w:szCs w:val="20"/>
              </w:rPr>
              <w:br/>
              <w:t>primarni sektor</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EF31D5F" w14:textId="77777777" w:rsidR="006C63D5" w:rsidRPr="00F44FA4" w:rsidRDefault="006C63D5" w:rsidP="00F42F8F">
            <w:pPr>
              <w:keepNext/>
              <w:keepLines/>
              <w:jc w:val="right"/>
              <w:rPr>
                <w:rFonts w:cs="Arial"/>
                <w:color w:val="000000"/>
                <w:szCs w:val="20"/>
              </w:rPr>
            </w:pPr>
            <w:r w:rsidRPr="00F44FA4">
              <w:rPr>
                <w:rFonts w:cs="Arial"/>
                <w:color w:val="000000"/>
                <w:szCs w:val="20"/>
              </w:rPr>
              <w:t>12,02</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FBA8BA5" w14:textId="77777777" w:rsidR="006C63D5" w:rsidRPr="00F44FA4" w:rsidRDefault="006C63D5" w:rsidP="00F42F8F">
            <w:pPr>
              <w:keepNext/>
              <w:keepLines/>
              <w:jc w:val="right"/>
              <w:rPr>
                <w:rFonts w:cs="Arial"/>
                <w:color w:val="000000"/>
                <w:szCs w:val="20"/>
              </w:rPr>
            </w:pPr>
            <w:r w:rsidRPr="00F44FA4">
              <w:rPr>
                <w:rFonts w:cs="Arial"/>
                <w:color w:val="000000"/>
                <w:szCs w:val="20"/>
              </w:rPr>
              <w:t>12,27</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28C1361" w14:textId="77777777" w:rsidR="006C63D5" w:rsidRPr="00F44FA4" w:rsidRDefault="006C63D5" w:rsidP="00F42F8F">
            <w:pPr>
              <w:keepNext/>
              <w:keepLines/>
              <w:jc w:val="right"/>
              <w:rPr>
                <w:rFonts w:cs="Arial"/>
                <w:color w:val="000000"/>
                <w:szCs w:val="20"/>
              </w:rPr>
            </w:pPr>
            <w:r w:rsidRPr="00F44FA4">
              <w:rPr>
                <w:rFonts w:cs="Arial"/>
                <w:color w:val="000000"/>
                <w:szCs w:val="20"/>
              </w:rPr>
              <w:t>11,43</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2D0534C" w14:textId="77777777" w:rsidR="006C63D5" w:rsidRPr="00F44FA4" w:rsidRDefault="006C63D5" w:rsidP="00F42F8F">
            <w:pPr>
              <w:keepNext/>
              <w:keepLines/>
              <w:jc w:val="right"/>
              <w:rPr>
                <w:rFonts w:cs="Arial"/>
                <w:color w:val="000000"/>
                <w:szCs w:val="20"/>
              </w:rPr>
            </w:pPr>
            <w:r w:rsidRPr="00F44FA4">
              <w:rPr>
                <w:rFonts w:cs="Arial"/>
                <w:color w:val="000000"/>
                <w:szCs w:val="20"/>
              </w:rPr>
              <w:t>11,01</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D18432F" w14:textId="77777777" w:rsidR="006C63D5" w:rsidRPr="00F44FA4" w:rsidRDefault="006C63D5" w:rsidP="00F42F8F">
            <w:pPr>
              <w:keepNext/>
              <w:keepLines/>
              <w:jc w:val="right"/>
              <w:rPr>
                <w:rFonts w:cs="Arial"/>
                <w:color w:val="000000"/>
                <w:szCs w:val="20"/>
              </w:rPr>
            </w:pPr>
            <w:r w:rsidRPr="00F44FA4">
              <w:rPr>
                <w:rFonts w:cs="Arial"/>
                <w:color w:val="000000"/>
                <w:szCs w:val="20"/>
              </w:rPr>
              <w:t>-</w:t>
            </w:r>
          </w:p>
        </w:tc>
        <w:tc>
          <w:tcPr>
            <w:tcW w:w="3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D61ADF" w14:textId="77777777" w:rsidR="006C63D5" w:rsidRPr="00F44FA4" w:rsidRDefault="006C63D5" w:rsidP="00F42F8F">
            <w:pPr>
              <w:keepNext/>
              <w:keepLines/>
              <w:jc w:val="right"/>
              <w:rPr>
                <w:rFonts w:cs="Arial"/>
                <w:color w:val="000000"/>
                <w:szCs w:val="20"/>
              </w:rPr>
            </w:pPr>
            <w:r w:rsidRPr="00F44FA4">
              <w:rPr>
                <w:rFonts w:cs="Arial"/>
                <w:color w:val="000000"/>
                <w:szCs w:val="20"/>
              </w:rPr>
              <w:t>-</w:t>
            </w:r>
          </w:p>
        </w:tc>
      </w:tr>
      <w:tr w:rsidR="006C63D5" w:rsidRPr="00F44FA4" w14:paraId="1A8E59EC" w14:textId="77777777" w:rsidTr="00F15E56">
        <w:trPr>
          <w:trHeight w:val="315"/>
        </w:trPr>
        <w:tc>
          <w:tcPr>
            <w:tcW w:w="250" w:type="pct"/>
            <w:vMerge/>
            <w:tcBorders>
              <w:top w:val="nil"/>
              <w:left w:val="single" w:sz="4" w:space="0" w:color="auto"/>
              <w:bottom w:val="single" w:sz="4" w:space="0" w:color="auto"/>
              <w:right w:val="single" w:sz="4" w:space="0" w:color="auto"/>
            </w:tcBorders>
            <w:vAlign w:val="center"/>
            <w:hideMark/>
          </w:tcPr>
          <w:p w14:paraId="20010C41" w14:textId="77777777" w:rsidR="006C63D5" w:rsidRPr="00F44FA4" w:rsidRDefault="006C63D5" w:rsidP="00F42F8F">
            <w:pPr>
              <w:keepNext/>
              <w:keepLines/>
              <w:rPr>
                <w:rFonts w:cs="Arial"/>
                <w:b/>
                <w:bCs/>
                <w:color w:val="000000"/>
                <w:szCs w:val="20"/>
              </w:rPr>
            </w:pPr>
          </w:p>
        </w:tc>
        <w:tc>
          <w:tcPr>
            <w:tcW w:w="2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FE8BC" w14:textId="77777777" w:rsidR="006C63D5" w:rsidRPr="00F44FA4" w:rsidRDefault="006C63D5" w:rsidP="00F42F8F">
            <w:pPr>
              <w:keepNext/>
              <w:keepLines/>
              <w:rPr>
                <w:rFonts w:cs="Arial"/>
                <w:color w:val="000000"/>
                <w:szCs w:val="20"/>
              </w:rPr>
            </w:pPr>
            <w:r w:rsidRPr="00F44FA4">
              <w:rPr>
                <w:rFonts w:cs="Arial"/>
                <w:color w:val="000000"/>
                <w:szCs w:val="20"/>
              </w:rPr>
              <w:t>sekundarni sektor</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5D06D4F" w14:textId="77777777" w:rsidR="006C63D5" w:rsidRPr="00F44FA4" w:rsidRDefault="006C63D5" w:rsidP="00F42F8F">
            <w:pPr>
              <w:keepNext/>
              <w:keepLines/>
              <w:jc w:val="right"/>
              <w:rPr>
                <w:rFonts w:cs="Arial"/>
                <w:color w:val="000000"/>
                <w:szCs w:val="20"/>
              </w:rPr>
            </w:pPr>
            <w:r w:rsidRPr="00F44FA4">
              <w:rPr>
                <w:rFonts w:cs="Arial"/>
                <w:color w:val="000000"/>
                <w:szCs w:val="20"/>
              </w:rPr>
              <w:t>36,86</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7FE3096" w14:textId="77777777" w:rsidR="006C63D5" w:rsidRPr="00F44FA4" w:rsidRDefault="006C63D5" w:rsidP="00F42F8F">
            <w:pPr>
              <w:keepNext/>
              <w:keepLines/>
              <w:jc w:val="right"/>
              <w:rPr>
                <w:rFonts w:cs="Arial"/>
                <w:color w:val="000000"/>
                <w:szCs w:val="20"/>
              </w:rPr>
            </w:pPr>
            <w:r w:rsidRPr="00F44FA4">
              <w:rPr>
                <w:rFonts w:cs="Arial"/>
                <w:color w:val="000000"/>
                <w:szCs w:val="20"/>
              </w:rPr>
              <w:t>35,34</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D9ACFDE" w14:textId="77777777" w:rsidR="006C63D5" w:rsidRPr="00F44FA4" w:rsidRDefault="006C63D5" w:rsidP="00F42F8F">
            <w:pPr>
              <w:keepNext/>
              <w:keepLines/>
              <w:jc w:val="right"/>
              <w:rPr>
                <w:rFonts w:cs="Arial"/>
                <w:color w:val="000000"/>
                <w:szCs w:val="20"/>
              </w:rPr>
            </w:pPr>
            <w:r w:rsidRPr="00F44FA4">
              <w:rPr>
                <w:rFonts w:cs="Arial"/>
                <w:color w:val="000000"/>
                <w:szCs w:val="20"/>
              </w:rPr>
              <w:t>35,19</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7256EA3" w14:textId="77777777" w:rsidR="006C63D5" w:rsidRPr="00F44FA4" w:rsidRDefault="006C63D5" w:rsidP="00F42F8F">
            <w:pPr>
              <w:keepNext/>
              <w:keepLines/>
              <w:jc w:val="right"/>
              <w:rPr>
                <w:rFonts w:cs="Arial"/>
                <w:color w:val="000000"/>
                <w:szCs w:val="20"/>
              </w:rPr>
            </w:pPr>
            <w:r w:rsidRPr="00F44FA4">
              <w:rPr>
                <w:rFonts w:cs="Arial"/>
                <w:color w:val="000000"/>
                <w:szCs w:val="20"/>
              </w:rPr>
              <w:t>35,34</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21227C7" w14:textId="77777777" w:rsidR="006C63D5" w:rsidRPr="00F44FA4" w:rsidRDefault="006C63D5" w:rsidP="00F42F8F">
            <w:pPr>
              <w:keepNext/>
              <w:keepLines/>
              <w:jc w:val="right"/>
              <w:rPr>
                <w:rFonts w:cs="Arial"/>
                <w:color w:val="000000"/>
                <w:szCs w:val="20"/>
              </w:rPr>
            </w:pPr>
            <w:r w:rsidRPr="00F44FA4">
              <w:rPr>
                <w:rFonts w:cs="Arial"/>
                <w:color w:val="000000"/>
                <w:szCs w:val="20"/>
              </w:rPr>
              <w:t>-</w:t>
            </w:r>
          </w:p>
        </w:tc>
        <w:tc>
          <w:tcPr>
            <w:tcW w:w="3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8CB87C" w14:textId="77777777" w:rsidR="006C63D5" w:rsidRPr="00F44FA4" w:rsidRDefault="006C63D5" w:rsidP="00F42F8F">
            <w:pPr>
              <w:keepNext/>
              <w:keepLines/>
              <w:jc w:val="right"/>
              <w:rPr>
                <w:rFonts w:cs="Arial"/>
                <w:color w:val="000000"/>
                <w:szCs w:val="20"/>
              </w:rPr>
            </w:pPr>
            <w:r w:rsidRPr="00F44FA4">
              <w:rPr>
                <w:rFonts w:cs="Arial"/>
                <w:color w:val="000000"/>
                <w:szCs w:val="20"/>
              </w:rPr>
              <w:t>-</w:t>
            </w:r>
          </w:p>
        </w:tc>
      </w:tr>
      <w:tr w:rsidR="006C63D5" w:rsidRPr="00F44FA4" w14:paraId="5586C2F9" w14:textId="77777777" w:rsidTr="00F15E56">
        <w:trPr>
          <w:trHeight w:val="315"/>
        </w:trPr>
        <w:tc>
          <w:tcPr>
            <w:tcW w:w="250" w:type="pct"/>
            <w:vMerge/>
            <w:tcBorders>
              <w:top w:val="nil"/>
              <w:left w:val="single" w:sz="4" w:space="0" w:color="auto"/>
              <w:bottom w:val="single" w:sz="4" w:space="0" w:color="auto"/>
              <w:right w:val="single" w:sz="4" w:space="0" w:color="auto"/>
            </w:tcBorders>
            <w:vAlign w:val="center"/>
            <w:hideMark/>
          </w:tcPr>
          <w:p w14:paraId="621C635C" w14:textId="77777777" w:rsidR="006C63D5" w:rsidRPr="00F44FA4" w:rsidRDefault="006C63D5" w:rsidP="00F42F8F">
            <w:pPr>
              <w:keepNext/>
              <w:keepLines/>
              <w:rPr>
                <w:rFonts w:cs="Arial"/>
                <w:b/>
                <w:bCs/>
                <w:color w:val="000000"/>
                <w:szCs w:val="20"/>
              </w:rPr>
            </w:pPr>
          </w:p>
        </w:tc>
        <w:tc>
          <w:tcPr>
            <w:tcW w:w="2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CBC33" w14:textId="77777777" w:rsidR="006C63D5" w:rsidRPr="00F44FA4" w:rsidRDefault="006C63D5" w:rsidP="00F42F8F">
            <w:pPr>
              <w:keepNext/>
              <w:keepLines/>
              <w:rPr>
                <w:rFonts w:cs="Arial"/>
                <w:color w:val="000000"/>
                <w:szCs w:val="20"/>
              </w:rPr>
            </w:pPr>
            <w:r w:rsidRPr="00F44FA4">
              <w:rPr>
                <w:rFonts w:cs="Arial"/>
                <w:color w:val="000000"/>
                <w:szCs w:val="20"/>
              </w:rPr>
              <w:t>terciarni sektor</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76CF36D" w14:textId="77777777" w:rsidR="006C63D5" w:rsidRPr="00F44FA4" w:rsidRDefault="006C63D5" w:rsidP="00F42F8F">
            <w:pPr>
              <w:keepNext/>
              <w:keepLines/>
              <w:jc w:val="right"/>
              <w:rPr>
                <w:rFonts w:cs="Arial"/>
                <w:color w:val="000000"/>
                <w:szCs w:val="20"/>
              </w:rPr>
            </w:pPr>
            <w:r w:rsidRPr="00F44FA4">
              <w:rPr>
                <w:rFonts w:cs="Arial"/>
                <w:color w:val="000000"/>
                <w:szCs w:val="20"/>
              </w:rPr>
              <w:t>51,11</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9C38306" w14:textId="77777777" w:rsidR="006C63D5" w:rsidRPr="00F44FA4" w:rsidRDefault="006C63D5" w:rsidP="00F42F8F">
            <w:pPr>
              <w:keepNext/>
              <w:keepLines/>
              <w:jc w:val="right"/>
              <w:rPr>
                <w:rFonts w:cs="Arial"/>
                <w:color w:val="000000"/>
                <w:szCs w:val="20"/>
              </w:rPr>
            </w:pPr>
            <w:r w:rsidRPr="00F44FA4">
              <w:rPr>
                <w:rFonts w:cs="Arial"/>
                <w:color w:val="000000"/>
                <w:szCs w:val="20"/>
              </w:rPr>
              <w:t>52,39</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C8662A3" w14:textId="77777777" w:rsidR="006C63D5" w:rsidRPr="00F44FA4" w:rsidRDefault="006C63D5" w:rsidP="00F42F8F">
            <w:pPr>
              <w:keepNext/>
              <w:keepLines/>
              <w:jc w:val="right"/>
              <w:rPr>
                <w:rFonts w:cs="Arial"/>
                <w:color w:val="000000"/>
                <w:szCs w:val="20"/>
              </w:rPr>
            </w:pPr>
            <w:r w:rsidRPr="00F44FA4">
              <w:rPr>
                <w:rFonts w:cs="Arial"/>
                <w:color w:val="000000"/>
                <w:szCs w:val="20"/>
              </w:rPr>
              <w:t>53,37</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A82B871" w14:textId="77777777" w:rsidR="006C63D5" w:rsidRPr="00F44FA4" w:rsidRDefault="006C63D5" w:rsidP="00F42F8F">
            <w:pPr>
              <w:keepNext/>
              <w:keepLines/>
              <w:jc w:val="right"/>
              <w:rPr>
                <w:rFonts w:cs="Arial"/>
                <w:color w:val="000000"/>
                <w:szCs w:val="20"/>
              </w:rPr>
            </w:pPr>
            <w:r w:rsidRPr="00F44FA4">
              <w:rPr>
                <w:rFonts w:cs="Arial"/>
                <w:color w:val="000000"/>
                <w:szCs w:val="20"/>
              </w:rPr>
              <w:t>53,66</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3EAADDA" w14:textId="77777777" w:rsidR="006C63D5" w:rsidRPr="00F44FA4" w:rsidRDefault="006C63D5" w:rsidP="00F42F8F">
            <w:pPr>
              <w:keepNext/>
              <w:keepLines/>
              <w:jc w:val="right"/>
              <w:rPr>
                <w:rFonts w:cs="Arial"/>
                <w:color w:val="000000"/>
                <w:szCs w:val="20"/>
              </w:rPr>
            </w:pPr>
            <w:r w:rsidRPr="00F44FA4">
              <w:rPr>
                <w:rFonts w:cs="Arial"/>
                <w:color w:val="000000"/>
                <w:szCs w:val="20"/>
              </w:rPr>
              <w:t>-</w:t>
            </w:r>
          </w:p>
        </w:tc>
        <w:tc>
          <w:tcPr>
            <w:tcW w:w="3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1C6620" w14:textId="77777777" w:rsidR="006C63D5" w:rsidRPr="00F44FA4" w:rsidRDefault="006C63D5" w:rsidP="00F42F8F">
            <w:pPr>
              <w:keepNext/>
              <w:keepLines/>
              <w:jc w:val="right"/>
              <w:rPr>
                <w:rFonts w:cs="Arial"/>
                <w:color w:val="000000"/>
                <w:szCs w:val="20"/>
              </w:rPr>
            </w:pPr>
            <w:r w:rsidRPr="00F44FA4">
              <w:rPr>
                <w:rFonts w:cs="Arial"/>
                <w:color w:val="000000"/>
                <w:szCs w:val="20"/>
              </w:rPr>
              <w:t>-</w:t>
            </w:r>
          </w:p>
        </w:tc>
      </w:tr>
      <w:tr w:rsidR="006C63D5" w:rsidRPr="00F44FA4" w14:paraId="3889F458" w14:textId="77777777" w:rsidTr="00F15E56">
        <w:trPr>
          <w:trHeight w:val="315"/>
        </w:trPr>
        <w:tc>
          <w:tcPr>
            <w:tcW w:w="250" w:type="pct"/>
            <w:vMerge/>
            <w:tcBorders>
              <w:top w:val="nil"/>
              <w:left w:val="single" w:sz="4" w:space="0" w:color="auto"/>
              <w:bottom w:val="single" w:sz="4" w:space="0" w:color="auto"/>
              <w:right w:val="single" w:sz="4" w:space="0" w:color="auto"/>
            </w:tcBorders>
            <w:vAlign w:val="center"/>
            <w:hideMark/>
          </w:tcPr>
          <w:p w14:paraId="2DF2B322" w14:textId="77777777" w:rsidR="006C63D5" w:rsidRPr="00F44FA4" w:rsidRDefault="006C63D5" w:rsidP="00F42F8F">
            <w:pPr>
              <w:keepNext/>
              <w:keepLines/>
              <w:rPr>
                <w:rFonts w:cs="Arial"/>
                <w:b/>
                <w:bCs/>
                <w:color w:val="000000"/>
                <w:szCs w:val="20"/>
              </w:rPr>
            </w:pPr>
          </w:p>
        </w:tc>
        <w:tc>
          <w:tcPr>
            <w:tcW w:w="25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EEFAD" w14:textId="77777777" w:rsidR="006C63D5" w:rsidRPr="00F44FA4" w:rsidRDefault="006C63D5" w:rsidP="00F42F8F">
            <w:pPr>
              <w:keepNext/>
              <w:keepLines/>
              <w:rPr>
                <w:rFonts w:cs="Arial"/>
                <w:color w:val="000000"/>
                <w:szCs w:val="20"/>
              </w:rPr>
            </w:pPr>
            <w:r w:rsidRPr="00F44FA4">
              <w:rPr>
                <w:rFonts w:cs="Arial"/>
                <w:color w:val="000000"/>
                <w:szCs w:val="20"/>
              </w:rPr>
              <w:t>Zaposlitve skupaj (1000 oseb)</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7CD8EE5" w14:textId="77777777" w:rsidR="006C63D5" w:rsidRPr="00F44FA4" w:rsidRDefault="006C63D5" w:rsidP="00F42F8F">
            <w:pPr>
              <w:keepNext/>
              <w:keepLines/>
              <w:jc w:val="right"/>
              <w:rPr>
                <w:rFonts w:cs="Arial"/>
                <w:color w:val="000000"/>
                <w:szCs w:val="20"/>
              </w:rPr>
            </w:pPr>
            <w:r w:rsidRPr="00F44FA4">
              <w:rPr>
                <w:rFonts w:cs="Arial"/>
                <w:color w:val="000000"/>
                <w:szCs w:val="20"/>
              </w:rPr>
              <w:t>966,00</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3EFD93B" w14:textId="77777777" w:rsidR="006C63D5" w:rsidRPr="00F44FA4" w:rsidRDefault="006C63D5" w:rsidP="00F42F8F">
            <w:pPr>
              <w:keepNext/>
              <w:keepLines/>
              <w:jc w:val="right"/>
              <w:rPr>
                <w:rFonts w:cs="Arial"/>
                <w:color w:val="000000"/>
                <w:szCs w:val="20"/>
              </w:rPr>
            </w:pPr>
            <w:r w:rsidRPr="00F44FA4">
              <w:rPr>
                <w:rFonts w:cs="Arial"/>
                <w:color w:val="000000"/>
                <w:szCs w:val="20"/>
              </w:rPr>
              <w:t>905,90</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36D97CF" w14:textId="77777777" w:rsidR="006C63D5" w:rsidRPr="00F44FA4" w:rsidRDefault="006C63D5" w:rsidP="00F42F8F">
            <w:pPr>
              <w:keepNext/>
              <w:keepLines/>
              <w:jc w:val="right"/>
              <w:rPr>
                <w:rFonts w:cs="Arial"/>
                <w:color w:val="000000"/>
                <w:szCs w:val="20"/>
              </w:rPr>
            </w:pPr>
            <w:r w:rsidRPr="00F44FA4">
              <w:rPr>
                <w:rFonts w:cs="Arial"/>
                <w:color w:val="000000"/>
                <w:szCs w:val="20"/>
              </w:rPr>
              <w:t>915,00</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E659ED8" w14:textId="77777777" w:rsidR="006C63D5" w:rsidRPr="00F44FA4" w:rsidRDefault="006C63D5" w:rsidP="00F42F8F">
            <w:pPr>
              <w:keepNext/>
              <w:keepLines/>
              <w:jc w:val="right"/>
              <w:rPr>
                <w:rFonts w:cs="Arial"/>
                <w:color w:val="000000"/>
                <w:szCs w:val="20"/>
              </w:rPr>
            </w:pPr>
            <w:r w:rsidRPr="00F44FA4">
              <w:rPr>
                <w:rFonts w:cs="Arial"/>
                <w:color w:val="000000"/>
                <w:szCs w:val="20"/>
              </w:rPr>
              <w:t>959,10</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B8B723F" w14:textId="77777777" w:rsidR="006C63D5" w:rsidRPr="00F44FA4" w:rsidRDefault="006C63D5" w:rsidP="00F42F8F">
            <w:pPr>
              <w:keepNext/>
              <w:keepLines/>
              <w:jc w:val="right"/>
              <w:rPr>
                <w:rFonts w:cs="Arial"/>
                <w:color w:val="000000"/>
                <w:szCs w:val="20"/>
              </w:rPr>
            </w:pPr>
            <w:r w:rsidRPr="00F44FA4">
              <w:rPr>
                <w:rFonts w:cs="Arial"/>
                <w:color w:val="000000"/>
                <w:szCs w:val="20"/>
              </w:rPr>
              <w:t>980,60</w:t>
            </w:r>
          </w:p>
        </w:tc>
        <w:tc>
          <w:tcPr>
            <w:tcW w:w="3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AADA6A" w14:textId="77777777" w:rsidR="006C63D5" w:rsidRPr="00F44FA4" w:rsidRDefault="006C63D5" w:rsidP="00F42F8F">
            <w:pPr>
              <w:keepNext/>
              <w:keepLines/>
              <w:jc w:val="right"/>
              <w:rPr>
                <w:rFonts w:cs="Arial"/>
                <w:color w:val="000000"/>
                <w:szCs w:val="20"/>
              </w:rPr>
            </w:pPr>
            <w:r w:rsidRPr="00F44FA4">
              <w:rPr>
                <w:rFonts w:cs="Arial"/>
                <w:color w:val="000000"/>
                <w:szCs w:val="20"/>
              </w:rPr>
              <w:t>982,60</w:t>
            </w:r>
          </w:p>
        </w:tc>
      </w:tr>
      <w:tr w:rsidR="006C63D5" w:rsidRPr="00F44FA4" w14:paraId="353F743E" w14:textId="77777777" w:rsidTr="00F15E56">
        <w:trPr>
          <w:trHeight w:val="315"/>
        </w:trPr>
        <w:tc>
          <w:tcPr>
            <w:tcW w:w="250" w:type="pct"/>
            <w:vMerge/>
            <w:tcBorders>
              <w:top w:val="nil"/>
              <w:left w:val="single" w:sz="4" w:space="0" w:color="auto"/>
              <w:bottom w:val="single" w:sz="4" w:space="0" w:color="auto"/>
              <w:right w:val="single" w:sz="4" w:space="0" w:color="auto"/>
            </w:tcBorders>
            <w:vAlign w:val="center"/>
            <w:hideMark/>
          </w:tcPr>
          <w:p w14:paraId="1F6F93A9" w14:textId="77777777" w:rsidR="006C63D5" w:rsidRPr="00F44FA4" w:rsidRDefault="006C63D5" w:rsidP="00F42F8F">
            <w:pPr>
              <w:keepNext/>
              <w:keepLines/>
              <w:rPr>
                <w:rFonts w:cs="Arial"/>
                <w:b/>
                <w:bCs/>
                <w:color w:val="000000"/>
                <w:szCs w:val="20"/>
              </w:rPr>
            </w:pPr>
          </w:p>
        </w:tc>
        <w:tc>
          <w:tcPr>
            <w:tcW w:w="258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6807D02" w14:textId="77777777" w:rsidR="006C63D5" w:rsidRPr="00F44FA4" w:rsidRDefault="006C63D5" w:rsidP="00F42F8F">
            <w:pPr>
              <w:keepNext/>
              <w:keepLines/>
              <w:rPr>
                <w:rFonts w:cs="Arial"/>
                <w:color w:val="000000"/>
                <w:szCs w:val="20"/>
              </w:rPr>
            </w:pPr>
            <w:r w:rsidRPr="00F44FA4">
              <w:rPr>
                <w:rFonts w:cs="Arial"/>
                <w:color w:val="000000"/>
                <w:szCs w:val="20"/>
              </w:rPr>
              <w:t>Zaposlovanje v kmetijstvu - delež</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A487B8F" w14:textId="77777777" w:rsidR="006C63D5" w:rsidRPr="00F44FA4" w:rsidRDefault="006C63D5" w:rsidP="00F42F8F">
            <w:pPr>
              <w:keepNext/>
              <w:keepLines/>
              <w:jc w:val="right"/>
              <w:rPr>
                <w:rFonts w:cs="Arial"/>
                <w:color w:val="000000"/>
                <w:szCs w:val="20"/>
              </w:rPr>
            </w:pPr>
            <w:r w:rsidRPr="00F44FA4">
              <w:rPr>
                <w:rFonts w:cs="Arial"/>
                <w:color w:val="000000"/>
                <w:szCs w:val="20"/>
              </w:rPr>
              <w:t>8,46</w:t>
            </w:r>
          </w:p>
        </w:tc>
        <w:tc>
          <w:tcPr>
            <w:tcW w:w="3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B901E1" w14:textId="77777777" w:rsidR="006C63D5" w:rsidRPr="00F44FA4" w:rsidRDefault="006C63D5" w:rsidP="00F42F8F">
            <w:pPr>
              <w:keepNext/>
              <w:keepLines/>
              <w:jc w:val="right"/>
              <w:rPr>
                <w:rFonts w:cs="Arial"/>
                <w:color w:val="000000"/>
                <w:szCs w:val="20"/>
              </w:rPr>
            </w:pPr>
            <w:r w:rsidRPr="00F44FA4">
              <w:rPr>
                <w:rFonts w:cs="Arial"/>
                <w:color w:val="000000"/>
                <w:szCs w:val="20"/>
              </w:rPr>
              <w:t>8,00</w:t>
            </w:r>
          </w:p>
        </w:tc>
        <w:tc>
          <w:tcPr>
            <w:tcW w:w="3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89E1EA" w14:textId="77777777" w:rsidR="006C63D5" w:rsidRPr="00F44FA4" w:rsidRDefault="006C63D5" w:rsidP="00F42F8F">
            <w:pPr>
              <w:keepNext/>
              <w:keepLines/>
              <w:jc w:val="right"/>
              <w:rPr>
                <w:rFonts w:cs="Arial"/>
                <w:color w:val="000000"/>
                <w:szCs w:val="20"/>
              </w:rPr>
            </w:pPr>
            <w:r w:rsidRPr="00F44FA4">
              <w:rPr>
                <w:rFonts w:cs="Arial"/>
                <w:color w:val="000000"/>
                <w:szCs w:val="20"/>
              </w:rPr>
              <w:t>4,62</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9ACAB4A" w14:textId="77777777" w:rsidR="006C63D5" w:rsidRPr="00F44FA4" w:rsidRDefault="006C63D5" w:rsidP="00F42F8F">
            <w:pPr>
              <w:keepNext/>
              <w:keepLines/>
              <w:jc w:val="right"/>
              <w:rPr>
                <w:rFonts w:cs="Arial"/>
                <w:color w:val="000000"/>
                <w:szCs w:val="20"/>
              </w:rPr>
            </w:pPr>
            <w:r w:rsidRPr="00F44FA4">
              <w:rPr>
                <w:rFonts w:cs="Arial"/>
                <w:color w:val="000000"/>
                <w:szCs w:val="20"/>
              </w:rPr>
              <w:t>5,15</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0343B8D" w14:textId="77777777" w:rsidR="006C63D5" w:rsidRPr="00F44FA4" w:rsidRDefault="006C63D5" w:rsidP="00F42F8F">
            <w:pPr>
              <w:keepNext/>
              <w:keepLines/>
              <w:jc w:val="right"/>
              <w:rPr>
                <w:rFonts w:cs="Arial"/>
                <w:color w:val="000000"/>
                <w:szCs w:val="20"/>
              </w:rPr>
            </w:pPr>
            <w:r w:rsidRPr="00F44FA4">
              <w:rPr>
                <w:rFonts w:cs="Arial"/>
                <w:color w:val="000000"/>
                <w:szCs w:val="20"/>
              </w:rPr>
              <w:t>5,13</w:t>
            </w:r>
          </w:p>
        </w:tc>
        <w:tc>
          <w:tcPr>
            <w:tcW w:w="3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DD923A" w14:textId="77777777" w:rsidR="006C63D5" w:rsidRPr="00F44FA4" w:rsidRDefault="006C63D5" w:rsidP="00F42F8F">
            <w:pPr>
              <w:keepNext/>
              <w:keepLines/>
              <w:jc w:val="right"/>
              <w:rPr>
                <w:rFonts w:cs="Arial"/>
                <w:color w:val="000000"/>
                <w:szCs w:val="20"/>
              </w:rPr>
            </w:pPr>
            <w:r w:rsidRPr="00F44FA4">
              <w:rPr>
                <w:rFonts w:cs="Arial"/>
                <w:color w:val="000000"/>
                <w:szCs w:val="20"/>
              </w:rPr>
              <w:t>3,91</w:t>
            </w:r>
          </w:p>
        </w:tc>
      </w:tr>
      <w:tr w:rsidR="006C63D5" w:rsidRPr="00F44FA4" w14:paraId="40486CEE" w14:textId="77777777" w:rsidTr="00F15E56">
        <w:trPr>
          <w:trHeight w:val="315"/>
        </w:trPr>
        <w:tc>
          <w:tcPr>
            <w:tcW w:w="250" w:type="pct"/>
            <w:vMerge/>
            <w:tcBorders>
              <w:top w:val="nil"/>
              <w:left w:val="single" w:sz="4" w:space="0" w:color="auto"/>
              <w:bottom w:val="single" w:sz="4" w:space="0" w:color="auto"/>
              <w:right w:val="single" w:sz="4" w:space="0" w:color="auto"/>
            </w:tcBorders>
            <w:vAlign w:val="center"/>
            <w:hideMark/>
          </w:tcPr>
          <w:p w14:paraId="5E5B38B3" w14:textId="77777777" w:rsidR="006C63D5" w:rsidRPr="00F44FA4" w:rsidRDefault="006C63D5" w:rsidP="00F42F8F">
            <w:pPr>
              <w:keepNext/>
              <w:keepLines/>
              <w:rPr>
                <w:rFonts w:cs="Arial"/>
                <w:b/>
                <w:bCs/>
                <w:color w:val="000000"/>
                <w:szCs w:val="20"/>
              </w:rPr>
            </w:pPr>
          </w:p>
        </w:tc>
        <w:tc>
          <w:tcPr>
            <w:tcW w:w="258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C9B247C" w14:textId="77777777" w:rsidR="006C63D5" w:rsidRPr="00F44FA4" w:rsidRDefault="006C63D5" w:rsidP="00F42F8F">
            <w:pPr>
              <w:keepNext/>
              <w:keepLines/>
              <w:rPr>
                <w:rFonts w:cs="Arial"/>
                <w:color w:val="000000"/>
                <w:szCs w:val="20"/>
              </w:rPr>
            </w:pPr>
            <w:r w:rsidRPr="00F44FA4">
              <w:rPr>
                <w:rFonts w:cs="Arial"/>
                <w:color w:val="000000"/>
                <w:szCs w:val="20"/>
              </w:rPr>
              <w:t>Zaposlovanje v kmetijstvu - skupaj (1000 oseb)</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6D393BF" w14:textId="77777777" w:rsidR="006C63D5" w:rsidRPr="00F44FA4" w:rsidRDefault="006C63D5" w:rsidP="00F42F8F">
            <w:pPr>
              <w:keepNext/>
              <w:keepLines/>
              <w:jc w:val="right"/>
              <w:rPr>
                <w:rFonts w:cs="Arial"/>
                <w:color w:val="000000"/>
                <w:szCs w:val="20"/>
              </w:rPr>
            </w:pPr>
            <w:r w:rsidRPr="00F44FA4">
              <w:rPr>
                <w:rFonts w:cs="Arial"/>
                <w:color w:val="000000"/>
                <w:szCs w:val="20"/>
              </w:rPr>
              <w:t>81,70</w:t>
            </w:r>
          </w:p>
        </w:tc>
        <w:tc>
          <w:tcPr>
            <w:tcW w:w="3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D7D30A" w14:textId="77777777" w:rsidR="006C63D5" w:rsidRPr="00F44FA4" w:rsidRDefault="006C63D5" w:rsidP="00F42F8F">
            <w:pPr>
              <w:keepNext/>
              <w:keepLines/>
              <w:jc w:val="right"/>
              <w:rPr>
                <w:rFonts w:cs="Arial"/>
                <w:color w:val="000000"/>
                <w:szCs w:val="20"/>
              </w:rPr>
            </w:pPr>
            <w:r w:rsidRPr="00F44FA4">
              <w:rPr>
                <w:rFonts w:cs="Arial"/>
                <w:color w:val="000000"/>
                <w:szCs w:val="20"/>
              </w:rPr>
              <w:t>72,50</w:t>
            </w:r>
          </w:p>
        </w:tc>
        <w:tc>
          <w:tcPr>
            <w:tcW w:w="3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C7F980" w14:textId="77777777" w:rsidR="006C63D5" w:rsidRPr="00F44FA4" w:rsidRDefault="006C63D5" w:rsidP="00F42F8F">
            <w:pPr>
              <w:keepNext/>
              <w:keepLines/>
              <w:jc w:val="right"/>
              <w:rPr>
                <w:rFonts w:cs="Arial"/>
                <w:color w:val="000000"/>
                <w:szCs w:val="20"/>
              </w:rPr>
            </w:pPr>
            <w:r w:rsidRPr="00F44FA4">
              <w:rPr>
                <w:rFonts w:cs="Arial"/>
                <w:color w:val="000000"/>
                <w:szCs w:val="20"/>
              </w:rPr>
              <w:t>42,30</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1BB9FA7" w14:textId="77777777" w:rsidR="006C63D5" w:rsidRPr="00F44FA4" w:rsidRDefault="006C63D5" w:rsidP="00F42F8F">
            <w:pPr>
              <w:keepNext/>
              <w:keepLines/>
              <w:jc w:val="right"/>
              <w:rPr>
                <w:rFonts w:cs="Arial"/>
                <w:color w:val="000000"/>
                <w:szCs w:val="20"/>
              </w:rPr>
            </w:pPr>
            <w:r w:rsidRPr="00F44FA4">
              <w:rPr>
                <w:rFonts w:cs="Arial"/>
                <w:color w:val="000000"/>
                <w:szCs w:val="20"/>
              </w:rPr>
              <w:t>49,40</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5E8C91F" w14:textId="77777777" w:rsidR="006C63D5" w:rsidRPr="00F44FA4" w:rsidRDefault="006C63D5" w:rsidP="00F42F8F">
            <w:pPr>
              <w:keepNext/>
              <w:keepLines/>
              <w:jc w:val="right"/>
              <w:rPr>
                <w:rFonts w:cs="Arial"/>
                <w:color w:val="000000"/>
                <w:szCs w:val="20"/>
              </w:rPr>
            </w:pPr>
            <w:r w:rsidRPr="00F44FA4">
              <w:rPr>
                <w:rFonts w:cs="Arial"/>
                <w:color w:val="000000"/>
                <w:szCs w:val="20"/>
              </w:rPr>
              <w:t>50,30</w:t>
            </w:r>
          </w:p>
        </w:tc>
        <w:tc>
          <w:tcPr>
            <w:tcW w:w="3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78830E" w14:textId="77777777" w:rsidR="006C63D5" w:rsidRPr="00F44FA4" w:rsidRDefault="006C63D5" w:rsidP="00F42F8F">
            <w:pPr>
              <w:keepNext/>
              <w:keepLines/>
              <w:jc w:val="right"/>
              <w:rPr>
                <w:rFonts w:cs="Arial"/>
                <w:color w:val="000000"/>
                <w:szCs w:val="20"/>
              </w:rPr>
            </w:pPr>
            <w:r w:rsidRPr="00F44FA4">
              <w:rPr>
                <w:rFonts w:cs="Arial"/>
                <w:color w:val="000000"/>
                <w:szCs w:val="20"/>
              </w:rPr>
              <w:t>38,40</w:t>
            </w:r>
          </w:p>
        </w:tc>
      </w:tr>
      <w:tr w:rsidR="006C63D5" w:rsidRPr="00F44FA4" w14:paraId="1217496B" w14:textId="77777777" w:rsidTr="00F15E56">
        <w:trPr>
          <w:trHeight w:val="315"/>
        </w:trPr>
        <w:tc>
          <w:tcPr>
            <w:tcW w:w="250" w:type="pct"/>
            <w:vMerge/>
            <w:tcBorders>
              <w:top w:val="nil"/>
              <w:left w:val="single" w:sz="4" w:space="0" w:color="auto"/>
              <w:bottom w:val="single" w:sz="4" w:space="0" w:color="auto"/>
              <w:right w:val="single" w:sz="4" w:space="0" w:color="auto"/>
            </w:tcBorders>
            <w:vAlign w:val="center"/>
            <w:hideMark/>
          </w:tcPr>
          <w:p w14:paraId="3587ACD2" w14:textId="77777777" w:rsidR="006C63D5" w:rsidRPr="00F44FA4" w:rsidRDefault="006C63D5" w:rsidP="00F42F8F">
            <w:pPr>
              <w:keepNext/>
              <w:keepLines/>
              <w:rPr>
                <w:rFonts w:cs="Arial"/>
                <w:b/>
                <w:bCs/>
                <w:color w:val="000000"/>
                <w:szCs w:val="20"/>
              </w:rPr>
            </w:pPr>
          </w:p>
        </w:tc>
        <w:tc>
          <w:tcPr>
            <w:tcW w:w="258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0FDBD45" w14:textId="77777777" w:rsidR="006C63D5" w:rsidRPr="00F44FA4" w:rsidRDefault="006C63D5" w:rsidP="00F42F8F">
            <w:pPr>
              <w:keepNext/>
              <w:keepLines/>
              <w:rPr>
                <w:rFonts w:cs="Arial"/>
                <w:color w:val="000000"/>
                <w:szCs w:val="20"/>
              </w:rPr>
            </w:pPr>
            <w:r w:rsidRPr="00F44FA4">
              <w:rPr>
                <w:rFonts w:cs="Arial"/>
                <w:color w:val="000000"/>
                <w:szCs w:val="20"/>
              </w:rPr>
              <w:t xml:space="preserve">Zaposlovanje v gozdarstvu - delež </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152D6C3" w14:textId="77777777" w:rsidR="006C63D5" w:rsidRPr="00F44FA4" w:rsidRDefault="006C63D5" w:rsidP="00F42F8F">
            <w:pPr>
              <w:keepNext/>
              <w:keepLines/>
              <w:jc w:val="right"/>
              <w:rPr>
                <w:rFonts w:cs="Arial"/>
                <w:color w:val="000000"/>
                <w:szCs w:val="20"/>
              </w:rPr>
            </w:pPr>
            <w:r w:rsidRPr="00F44FA4">
              <w:rPr>
                <w:rFonts w:cs="Arial"/>
                <w:color w:val="000000"/>
                <w:szCs w:val="20"/>
              </w:rPr>
              <w:t>0,31</w:t>
            </w:r>
          </w:p>
        </w:tc>
        <w:tc>
          <w:tcPr>
            <w:tcW w:w="3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05B063" w14:textId="77777777" w:rsidR="006C63D5" w:rsidRPr="00F44FA4" w:rsidRDefault="006C63D5" w:rsidP="00F42F8F">
            <w:pPr>
              <w:keepNext/>
              <w:keepLines/>
              <w:jc w:val="right"/>
              <w:rPr>
                <w:rFonts w:cs="Arial"/>
                <w:color w:val="000000"/>
                <w:szCs w:val="20"/>
              </w:rPr>
            </w:pPr>
            <w:r w:rsidRPr="00F44FA4">
              <w:rPr>
                <w:rFonts w:cs="Arial"/>
                <w:color w:val="000000"/>
                <w:szCs w:val="20"/>
              </w:rPr>
              <w:t>0,40</w:t>
            </w:r>
          </w:p>
        </w:tc>
        <w:tc>
          <w:tcPr>
            <w:tcW w:w="3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4C8CA0" w14:textId="77777777" w:rsidR="006C63D5" w:rsidRPr="00F44FA4" w:rsidRDefault="006C63D5" w:rsidP="00F42F8F">
            <w:pPr>
              <w:keepNext/>
              <w:keepLines/>
              <w:jc w:val="right"/>
              <w:rPr>
                <w:rFonts w:cs="Arial"/>
                <w:color w:val="000000"/>
                <w:szCs w:val="20"/>
              </w:rPr>
            </w:pPr>
            <w:r w:rsidRPr="00F44FA4">
              <w:rPr>
                <w:rFonts w:cs="Arial"/>
                <w:color w:val="000000"/>
                <w:szCs w:val="20"/>
              </w:rPr>
              <w:t>0,36</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6BB949D" w14:textId="77777777" w:rsidR="006C63D5" w:rsidRPr="00F44FA4" w:rsidRDefault="006C63D5" w:rsidP="00F42F8F">
            <w:pPr>
              <w:keepNext/>
              <w:keepLines/>
              <w:jc w:val="right"/>
              <w:rPr>
                <w:rFonts w:cs="Arial"/>
                <w:color w:val="000000"/>
                <w:szCs w:val="20"/>
              </w:rPr>
            </w:pPr>
            <w:r w:rsidRPr="00F44FA4">
              <w:rPr>
                <w:rFonts w:cs="Arial"/>
                <w:color w:val="000000"/>
                <w:szCs w:val="20"/>
              </w:rPr>
              <w:t>0,38</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541379A" w14:textId="77777777" w:rsidR="006C63D5" w:rsidRPr="00F44FA4" w:rsidRDefault="006C63D5" w:rsidP="00F42F8F">
            <w:pPr>
              <w:keepNext/>
              <w:keepLines/>
              <w:jc w:val="right"/>
              <w:rPr>
                <w:rFonts w:cs="Arial"/>
                <w:color w:val="000000"/>
                <w:szCs w:val="20"/>
              </w:rPr>
            </w:pPr>
            <w:r w:rsidRPr="00F44FA4">
              <w:rPr>
                <w:rFonts w:cs="Arial"/>
                <w:color w:val="000000"/>
                <w:szCs w:val="20"/>
              </w:rPr>
              <w:t>0,31</w:t>
            </w:r>
          </w:p>
        </w:tc>
        <w:tc>
          <w:tcPr>
            <w:tcW w:w="3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FF16B7" w14:textId="77777777" w:rsidR="006C63D5" w:rsidRPr="00F44FA4" w:rsidRDefault="006C63D5" w:rsidP="00F42F8F">
            <w:pPr>
              <w:keepNext/>
              <w:keepLines/>
              <w:jc w:val="right"/>
              <w:rPr>
                <w:rFonts w:cs="Arial"/>
                <w:color w:val="000000"/>
                <w:szCs w:val="20"/>
              </w:rPr>
            </w:pPr>
            <w:r w:rsidRPr="00F44FA4">
              <w:rPr>
                <w:rFonts w:cs="Arial"/>
                <w:color w:val="000000"/>
                <w:szCs w:val="20"/>
              </w:rPr>
              <w:t>0,35</w:t>
            </w:r>
          </w:p>
        </w:tc>
      </w:tr>
      <w:tr w:rsidR="006C63D5" w:rsidRPr="00F44FA4" w14:paraId="4973B10B" w14:textId="77777777" w:rsidTr="00F15E56">
        <w:trPr>
          <w:trHeight w:val="315"/>
        </w:trPr>
        <w:tc>
          <w:tcPr>
            <w:tcW w:w="250" w:type="pct"/>
            <w:vMerge/>
            <w:tcBorders>
              <w:top w:val="nil"/>
              <w:left w:val="single" w:sz="4" w:space="0" w:color="auto"/>
              <w:bottom w:val="single" w:sz="4" w:space="0" w:color="auto"/>
              <w:right w:val="single" w:sz="4" w:space="0" w:color="auto"/>
            </w:tcBorders>
            <w:vAlign w:val="center"/>
            <w:hideMark/>
          </w:tcPr>
          <w:p w14:paraId="226846AB" w14:textId="77777777" w:rsidR="006C63D5" w:rsidRPr="00F44FA4" w:rsidRDefault="006C63D5" w:rsidP="00F42F8F">
            <w:pPr>
              <w:keepNext/>
              <w:keepLines/>
              <w:rPr>
                <w:rFonts w:cs="Arial"/>
                <w:b/>
                <w:bCs/>
                <w:color w:val="000000"/>
                <w:szCs w:val="20"/>
              </w:rPr>
            </w:pPr>
          </w:p>
        </w:tc>
        <w:tc>
          <w:tcPr>
            <w:tcW w:w="258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156BDBD3" w14:textId="77777777" w:rsidR="006C63D5" w:rsidRPr="00F44FA4" w:rsidRDefault="006C63D5" w:rsidP="00F42F8F">
            <w:pPr>
              <w:keepNext/>
              <w:keepLines/>
              <w:rPr>
                <w:rFonts w:cs="Arial"/>
                <w:color w:val="000000"/>
                <w:szCs w:val="20"/>
              </w:rPr>
            </w:pPr>
            <w:r w:rsidRPr="00F44FA4">
              <w:rPr>
                <w:rFonts w:cs="Arial"/>
                <w:color w:val="000000"/>
                <w:szCs w:val="20"/>
              </w:rPr>
              <w:t>Zaposlovanje v gozdarstvu - skupaj (1000 oseb)</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5DCEEFD" w14:textId="77777777" w:rsidR="006C63D5" w:rsidRPr="00F44FA4" w:rsidRDefault="006C63D5" w:rsidP="00F42F8F">
            <w:pPr>
              <w:keepNext/>
              <w:keepLines/>
              <w:jc w:val="right"/>
              <w:rPr>
                <w:rFonts w:cs="Arial"/>
                <w:color w:val="000000"/>
                <w:szCs w:val="20"/>
              </w:rPr>
            </w:pPr>
            <w:r w:rsidRPr="00F44FA4">
              <w:rPr>
                <w:rFonts w:cs="Arial"/>
                <w:color w:val="000000"/>
                <w:szCs w:val="20"/>
              </w:rPr>
              <w:t>3,00</w:t>
            </w:r>
          </w:p>
        </w:tc>
        <w:tc>
          <w:tcPr>
            <w:tcW w:w="3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C948BC" w14:textId="77777777" w:rsidR="006C63D5" w:rsidRPr="00F44FA4" w:rsidRDefault="006C63D5" w:rsidP="00F42F8F">
            <w:pPr>
              <w:keepNext/>
              <w:keepLines/>
              <w:jc w:val="right"/>
              <w:rPr>
                <w:rFonts w:cs="Arial"/>
                <w:color w:val="000000"/>
                <w:szCs w:val="20"/>
              </w:rPr>
            </w:pPr>
            <w:r w:rsidRPr="00F44FA4">
              <w:rPr>
                <w:rFonts w:cs="Arial"/>
                <w:color w:val="000000"/>
                <w:szCs w:val="20"/>
              </w:rPr>
              <w:t>3,60</w:t>
            </w:r>
          </w:p>
        </w:tc>
        <w:tc>
          <w:tcPr>
            <w:tcW w:w="3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F8328F" w14:textId="77777777" w:rsidR="006C63D5" w:rsidRPr="00F44FA4" w:rsidRDefault="006C63D5" w:rsidP="00F42F8F">
            <w:pPr>
              <w:keepNext/>
              <w:keepLines/>
              <w:jc w:val="right"/>
              <w:rPr>
                <w:rFonts w:cs="Arial"/>
                <w:color w:val="000000"/>
                <w:szCs w:val="20"/>
              </w:rPr>
            </w:pPr>
            <w:r w:rsidRPr="00F44FA4">
              <w:rPr>
                <w:rFonts w:cs="Arial"/>
                <w:color w:val="000000"/>
                <w:szCs w:val="20"/>
              </w:rPr>
              <w:t>3,30</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FB85EC1" w14:textId="77777777" w:rsidR="006C63D5" w:rsidRPr="00F44FA4" w:rsidRDefault="006C63D5" w:rsidP="00F42F8F">
            <w:pPr>
              <w:keepNext/>
              <w:keepLines/>
              <w:jc w:val="right"/>
              <w:rPr>
                <w:rFonts w:cs="Arial"/>
                <w:color w:val="000000"/>
                <w:szCs w:val="20"/>
              </w:rPr>
            </w:pPr>
            <w:r w:rsidRPr="00F44FA4">
              <w:rPr>
                <w:rFonts w:cs="Arial"/>
                <w:color w:val="000000"/>
                <w:szCs w:val="20"/>
              </w:rPr>
              <w:t>3,60</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F1804E7" w14:textId="77777777" w:rsidR="006C63D5" w:rsidRPr="00F44FA4" w:rsidRDefault="006C63D5" w:rsidP="00F42F8F">
            <w:pPr>
              <w:keepNext/>
              <w:keepLines/>
              <w:jc w:val="right"/>
              <w:rPr>
                <w:rFonts w:cs="Arial"/>
                <w:color w:val="000000"/>
                <w:szCs w:val="20"/>
              </w:rPr>
            </w:pPr>
            <w:r w:rsidRPr="00F44FA4">
              <w:rPr>
                <w:rFonts w:cs="Arial"/>
                <w:color w:val="000000"/>
                <w:szCs w:val="20"/>
              </w:rPr>
              <w:t>3,00</w:t>
            </w:r>
          </w:p>
        </w:tc>
        <w:tc>
          <w:tcPr>
            <w:tcW w:w="3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80F640" w14:textId="77777777" w:rsidR="006C63D5" w:rsidRPr="00F44FA4" w:rsidRDefault="006C63D5" w:rsidP="00F42F8F">
            <w:pPr>
              <w:keepNext/>
              <w:keepLines/>
              <w:jc w:val="right"/>
              <w:rPr>
                <w:rFonts w:cs="Arial"/>
                <w:color w:val="000000"/>
                <w:szCs w:val="20"/>
              </w:rPr>
            </w:pPr>
            <w:r w:rsidRPr="00F44FA4">
              <w:rPr>
                <w:rFonts w:cs="Arial"/>
                <w:color w:val="000000"/>
                <w:szCs w:val="20"/>
              </w:rPr>
              <w:t>3,40</w:t>
            </w:r>
          </w:p>
        </w:tc>
      </w:tr>
      <w:tr w:rsidR="006C63D5" w:rsidRPr="00F44FA4" w14:paraId="7991D043" w14:textId="77777777" w:rsidTr="00F15E56">
        <w:trPr>
          <w:trHeight w:val="315"/>
        </w:trPr>
        <w:tc>
          <w:tcPr>
            <w:tcW w:w="250" w:type="pct"/>
            <w:vMerge/>
            <w:tcBorders>
              <w:top w:val="nil"/>
              <w:left w:val="single" w:sz="4" w:space="0" w:color="auto"/>
              <w:bottom w:val="single" w:sz="4" w:space="0" w:color="auto"/>
              <w:right w:val="single" w:sz="4" w:space="0" w:color="auto"/>
            </w:tcBorders>
            <w:vAlign w:val="center"/>
            <w:hideMark/>
          </w:tcPr>
          <w:p w14:paraId="765BCAE2" w14:textId="77777777" w:rsidR="006C63D5" w:rsidRPr="00F44FA4" w:rsidRDefault="006C63D5" w:rsidP="00F42F8F">
            <w:pPr>
              <w:keepNext/>
              <w:keepLines/>
              <w:rPr>
                <w:rFonts w:cs="Arial"/>
                <w:b/>
                <w:bCs/>
                <w:color w:val="000000"/>
                <w:szCs w:val="20"/>
              </w:rPr>
            </w:pPr>
          </w:p>
        </w:tc>
        <w:tc>
          <w:tcPr>
            <w:tcW w:w="258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3A8342C7" w14:textId="77777777" w:rsidR="006C63D5" w:rsidRPr="00F44FA4" w:rsidRDefault="006C63D5" w:rsidP="00F42F8F">
            <w:pPr>
              <w:keepNext/>
              <w:keepLines/>
              <w:rPr>
                <w:rFonts w:cs="Arial"/>
                <w:color w:val="000000"/>
                <w:szCs w:val="20"/>
              </w:rPr>
            </w:pPr>
            <w:r w:rsidRPr="00F44FA4">
              <w:rPr>
                <w:rFonts w:cs="Arial"/>
                <w:color w:val="000000"/>
                <w:szCs w:val="20"/>
              </w:rPr>
              <w:t>Zaposlovanje v živilski industriji - delež</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8A59DBD" w14:textId="77777777" w:rsidR="006C63D5" w:rsidRPr="00F44FA4" w:rsidRDefault="006C63D5" w:rsidP="00F42F8F">
            <w:pPr>
              <w:keepNext/>
              <w:keepLines/>
              <w:jc w:val="right"/>
              <w:rPr>
                <w:rFonts w:cs="Arial"/>
                <w:color w:val="000000"/>
                <w:szCs w:val="20"/>
              </w:rPr>
            </w:pPr>
            <w:r w:rsidRPr="00F44FA4">
              <w:rPr>
                <w:rFonts w:cs="Arial"/>
                <w:color w:val="000000"/>
                <w:szCs w:val="20"/>
              </w:rPr>
              <w:t>1,85</w:t>
            </w:r>
          </w:p>
        </w:tc>
        <w:tc>
          <w:tcPr>
            <w:tcW w:w="3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A14682" w14:textId="77777777" w:rsidR="006C63D5" w:rsidRPr="00F44FA4" w:rsidRDefault="006C63D5" w:rsidP="00F42F8F">
            <w:pPr>
              <w:keepNext/>
              <w:keepLines/>
              <w:jc w:val="right"/>
              <w:rPr>
                <w:rFonts w:cs="Arial"/>
                <w:color w:val="000000"/>
                <w:szCs w:val="20"/>
              </w:rPr>
            </w:pPr>
            <w:r w:rsidRPr="00F44FA4">
              <w:rPr>
                <w:rFonts w:cs="Arial"/>
                <w:color w:val="000000"/>
                <w:szCs w:val="20"/>
              </w:rPr>
              <w:t>1,93</w:t>
            </w:r>
          </w:p>
        </w:tc>
        <w:tc>
          <w:tcPr>
            <w:tcW w:w="3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1AC3D1" w14:textId="77777777" w:rsidR="006C63D5" w:rsidRPr="00F44FA4" w:rsidRDefault="006C63D5" w:rsidP="00F42F8F">
            <w:pPr>
              <w:keepNext/>
              <w:keepLines/>
              <w:jc w:val="right"/>
              <w:rPr>
                <w:rFonts w:cs="Arial"/>
                <w:color w:val="000000"/>
                <w:szCs w:val="20"/>
              </w:rPr>
            </w:pPr>
            <w:r w:rsidRPr="00F44FA4">
              <w:rPr>
                <w:rFonts w:cs="Arial"/>
                <w:color w:val="000000"/>
                <w:szCs w:val="20"/>
              </w:rPr>
              <w:t>1,86</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FD6F38F" w14:textId="77777777" w:rsidR="006C63D5" w:rsidRPr="00F44FA4" w:rsidRDefault="006C63D5" w:rsidP="00F42F8F">
            <w:pPr>
              <w:keepNext/>
              <w:keepLines/>
              <w:jc w:val="right"/>
              <w:rPr>
                <w:rFonts w:cs="Arial"/>
                <w:color w:val="000000"/>
                <w:szCs w:val="20"/>
              </w:rPr>
            </w:pPr>
            <w:r w:rsidRPr="00F44FA4">
              <w:rPr>
                <w:rFonts w:cs="Arial"/>
                <w:color w:val="000000"/>
                <w:szCs w:val="20"/>
              </w:rPr>
              <w:t>2,15</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44A6521" w14:textId="77777777" w:rsidR="006C63D5" w:rsidRPr="00F44FA4" w:rsidRDefault="006C63D5" w:rsidP="00F42F8F">
            <w:pPr>
              <w:keepNext/>
              <w:keepLines/>
              <w:jc w:val="right"/>
              <w:rPr>
                <w:rFonts w:cs="Arial"/>
                <w:color w:val="000000"/>
                <w:szCs w:val="20"/>
              </w:rPr>
            </w:pPr>
            <w:r w:rsidRPr="00F44FA4">
              <w:rPr>
                <w:rFonts w:cs="Arial"/>
                <w:color w:val="000000"/>
                <w:szCs w:val="20"/>
              </w:rPr>
              <w:t>1,99</w:t>
            </w:r>
          </w:p>
        </w:tc>
        <w:tc>
          <w:tcPr>
            <w:tcW w:w="3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1674F5" w14:textId="77777777" w:rsidR="006C63D5" w:rsidRPr="00F44FA4" w:rsidRDefault="006C63D5" w:rsidP="00F42F8F">
            <w:pPr>
              <w:keepNext/>
              <w:keepLines/>
              <w:jc w:val="right"/>
              <w:rPr>
                <w:rFonts w:cs="Arial"/>
                <w:color w:val="000000"/>
                <w:szCs w:val="20"/>
              </w:rPr>
            </w:pPr>
            <w:r w:rsidRPr="00F44FA4">
              <w:rPr>
                <w:rFonts w:cs="Arial"/>
                <w:color w:val="000000"/>
                <w:szCs w:val="20"/>
              </w:rPr>
              <w:t>2,27</w:t>
            </w:r>
          </w:p>
        </w:tc>
      </w:tr>
      <w:tr w:rsidR="006C63D5" w:rsidRPr="00F44FA4" w14:paraId="3496CADE" w14:textId="77777777" w:rsidTr="00F15E56">
        <w:trPr>
          <w:trHeight w:val="315"/>
        </w:trPr>
        <w:tc>
          <w:tcPr>
            <w:tcW w:w="250" w:type="pct"/>
            <w:vMerge/>
            <w:tcBorders>
              <w:top w:val="nil"/>
              <w:left w:val="single" w:sz="4" w:space="0" w:color="auto"/>
              <w:bottom w:val="single" w:sz="4" w:space="0" w:color="auto"/>
              <w:right w:val="single" w:sz="4" w:space="0" w:color="auto"/>
            </w:tcBorders>
            <w:vAlign w:val="center"/>
            <w:hideMark/>
          </w:tcPr>
          <w:p w14:paraId="69EFA4E1" w14:textId="77777777" w:rsidR="006C63D5" w:rsidRPr="00F44FA4" w:rsidRDefault="006C63D5" w:rsidP="00F42F8F">
            <w:pPr>
              <w:keepNext/>
              <w:keepLines/>
              <w:rPr>
                <w:rFonts w:cs="Arial"/>
                <w:b/>
                <w:bCs/>
                <w:color w:val="000000"/>
                <w:szCs w:val="20"/>
              </w:rPr>
            </w:pPr>
          </w:p>
        </w:tc>
        <w:tc>
          <w:tcPr>
            <w:tcW w:w="258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9954666" w14:textId="77777777" w:rsidR="006C63D5" w:rsidRPr="00F44FA4" w:rsidRDefault="006C63D5" w:rsidP="00F42F8F">
            <w:pPr>
              <w:keepNext/>
              <w:keepLines/>
              <w:rPr>
                <w:rFonts w:cs="Arial"/>
                <w:color w:val="000000"/>
                <w:szCs w:val="20"/>
              </w:rPr>
            </w:pPr>
            <w:r w:rsidRPr="00F44FA4">
              <w:rPr>
                <w:rFonts w:cs="Arial"/>
                <w:color w:val="000000"/>
                <w:szCs w:val="20"/>
              </w:rPr>
              <w:t>Zaposlovanje v živilski industriji - skupaj (1000 oseb)</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EBA77CB" w14:textId="77777777" w:rsidR="006C63D5" w:rsidRPr="00F44FA4" w:rsidRDefault="006C63D5" w:rsidP="00F42F8F">
            <w:pPr>
              <w:keepNext/>
              <w:keepLines/>
              <w:jc w:val="right"/>
              <w:rPr>
                <w:rFonts w:cs="Arial"/>
                <w:color w:val="000000"/>
                <w:szCs w:val="20"/>
              </w:rPr>
            </w:pPr>
            <w:r w:rsidRPr="00F44FA4">
              <w:rPr>
                <w:rFonts w:cs="Arial"/>
                <w:color w:val="000000"/>
                <w:szCs w:val="20"/>
              </w:rPr>
              <w:t>17,90</w:t>
            </w:r>
          </w:p>
        </w:tc>
        <w:tc>
          <w:tcPr>
            <w:tcW w:w="3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927E30" w14:textId="77777777" w:rsidR="006C63D5" w:rsidRPr="00F44FA4" w:rsidRDefault="006C63D5" w:rsidP="00F42F8F">
            <w:pPr>
              <w:keepNext/>
              <w:keepLines/>
              <w:jc w:val="right"/>
              <w:rPr>
                <w:rFonts w:cs="Arial"/>
                <w:color w:val="000000"/>
                <w:szCs w:val="20"/>
              </w:rPr>
            </w:pPr>
            <w:r w:rsidRPr="00F44FA4">
              <w:rPr>
                <w:rFonts w:cs="Arial"/>
                <w:color w:val="000000"/>
                <w:szCs w:val="20"/>
              </w:rPr>
              <w:t>17,50</w:t>
            </w:r>
          </w:p>
        </w:tc>
        <w:tc>
          <w:tcPr>
            <w:tcW w:w="3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FFD04E" w14:textId="77777777" w:rsidR="006C63D5" w:rsidRPr="00F44FA4" w:rsidRDefault="006C63D5" w:rsidP="00F42F8F">
            <w:pPr>
              <w:keepNext/>
              <w:keepLines/>
              <w:jc w:val="right"/>
              <w:rPr>
                <w:rFonts w:cs="Arial"/>
                <w:color w:val="000000"/>
                <w:szCs w:val="20"/>
              </w:rPr>
            </w:pPr>
            <w:r w:rsidRPr="00F44FA4">
              <w:rPr>
                <w:rFonts w:cs="Arial"/>
                <w:color w:val="000000"/>
                <w:szCs w:val="20"/>
              </w:rPr>
              <w:t>17,00</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8E70425" w14:textId="77777777" w:rsidR="006C63D5" w:rsidRPr="00F44FA4" w:rsidRDefault="006C63D5" w:rsidP="00F42F8F">
            <w:pPr>
              <w:keepNext/>
              <w:keepLines/>
              <w:jc w:val="right"/>
              <w:rPr>
                <w:rFonts w:cs="Arial"/>
                <w:color w:val="000000"/>
                <w:szCs w:val="20"/>
              </w:rPr>
            </w:pPr>
            <w:r w:rsidRPr="00F44FA4">
              <w:rPr>
                <w:rFonts w:cs="Arial"/>
                <w:color w:val="000000"/>
                <w:szCs w:val="20"/>
              </w:rPr>
              <w:t>20,60</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196E80A" w14:textId="77777777" w:rsidR="006C63D5" w:rsidRPr="00F44FA4" w:rsidRDefault="006C63D5" w:rsidP="00F42F8F">
            <w:pPr>
              <w:keepNext/>
              <w:keepLines/>
              <w:jc w:val="right"/>
              <w:rPr>
                <w:rFonts w:cs="Arial"/>
                <w:color w:val="000000"/>
                <w:szCs w:val="20"/>
              </w:rPr>
            </w:pPr>
            <w:r w:rsidRPr="00F44FA4">
              <w:rPr>
                <w:rFonts w:cs="Arial"/>
                <w:color w:val="000000"/>
                <w:szCs w:val="20"/>
              </w:rPr>
              <w:t>19,50</w:t>
            </w:r>
          </w:p>
        </w:tc>
        <w:tc>
          <w:tcPr>
            <w:tcW w:w="3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50B759" w14:textId="77777777" w:rsidR="006C63D5" w:rsidRPr="00F44FA4" w:rsidRDefault="006C63D5" w:rsidP="00F42F8F">
            <w:pPr>
              <w:keepNext/>
              <w:keepLines/>
              <w:jc w:val="right"/>
              <w:rPr>
                <w:rFonts w:cs="Arial"/>
                <w:color w:val="000000"/>
                <w:szCs w:val="20"/>
              </w:rPr>
            </w:pPr>
            <w:r w:rsidRPr="00F44FA4">
              <w:rPr>
                <w:rFonts w:cs="Arial"/>
                <w:color w:val="000000"/>
                <w:szCs w:val="20"/>
              </w:rPr>
              <w:t>22,30</w:t>
            </w:r>
          </w:p>
        </w:tc>
      </w:tr>
      <w:tr w:rsidR="006C63D5" w:rsidRPr="00F44FA4" w14:paraId="4A1EB1DB" w14:textId="77777777" w:rsidTr="00F15E56">
        <w:trPr>
          <w:trHeight w:val="315"/>
        </w:trPr>
        <w:tc>
          <w:tcPr>
            <w:tcW w:w="250" w:type="pct"/>
            <w:vMerge/>
            <w:tcBorders>
              <w:top w:val="nil"/>
              <w:left w:val="single" w:sz="4" w:space="0" w:color="auto"/>
              <w:bottom w:val="single" w:sz="4" w:space="0" w:color="auto"/>
              <w:right w:val="single" w:sz="4" w:space="0" w:color="auto"/>
            </w:tcBorders>
            <w:vAlign w:val="center"/>
            <w:hideMark/>
          </w:tcPr>
          <w:p w14:paraId="17F1721B" w14:textId="77777777" w:rsidR="006C63D5" w:rsidRPr="00F44FA4" w:rsidRDefault="006C63D5" w:rsidP="00F42F8F">
            <w:pPr>
              <w:keepNext/>
              <w:keepLines/>
              <w:rPr>
                <w:rFonts w:cs="Arial"/>
                <w:b/>
                <w:bCs/>
                <w:color w:val="000000"/>
                <w:szCs w:val="20"/>
              </w:rPr>
            </w:pPr>
          </w:p>
        </w:tc>
        <w:tc>
          <w:tcPr>
            <w:tcW w:w="258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4B325EA" w14:textId="77777777" w:rsidR="006C63D5" w:rsidRPr="00F44FA4" w:rsidRDefault="006C63D5" w:rsidP="00F42F8F">
            <w:pPr>
              <w:keepNext/>
              <w:keepLines/>
              <w:rPr>
                <w:rFonts w:cs="Arial"/>
                <w:color w:val="000000"/>
                <w:szCs w:val="20"/>
              </w:rPr>
            </w:pPr>
            <w:r w:rsidRPr="00F44FA4">
              <w:rPr>
                <w:rFonts w:cs="Arial"/>
                <w:color w:val="000000"/>
                <w:szCs w:val="20"/>
              </w:rPr>
              <w:t>Zaposlovanje v turizmu - delež</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7C24D04" w14:textId="77777777" w:rsidR="006C63D5" w:rsidRPr="00F44FA4" w:rsidRDefault="006C63D5" w:rsidP="00F42F8F">
            <w:pPr>
              <w:keepNext/>
              <w:keepLines/>
              <w:jc w:val="right"/>
              <w:rPr>
                <w:rFonts w:cs="Arial"/>
                <w:color w:val="000000"/>
                <w:szCs w:val="20"/>
              </w:rPr>
            </w:pPr>
            <w:r w:rsidRPr="00F44FA4">
              <w:rPr>
                <w:rFonts w:cs="Arial"/>
                <w:color w:val="000000"/>
                <w:szCs w:val="20"/>
              </w:rPr>
              <w:t>4,80</w:t>
            </w:r>
          </w:p>
        </w:tc>
        <w:tc>
          <w:tcPr>
            <w:tcW w:w="3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113F1C" w14:textId="77777777" w:rsidR="006C63D5" w:rsidRPr="00F44FA4" w:rsidRDefault="006C63D5" w:rsidP="00F42F8F">
            <w:pPr>
              <w:keepNext/>
              <w:keepLines/>
              <w:jc w:val="right"/>
              <w:rPr>
                <w:rFonts w:cs="Arial"/>
                <w:color w:val="000000"/>
                <w:szCs w:val="20"/>
              </w:rPr>
            </w:pPr>
            <w:r w:rsidRPr="00F44FA4">
              <w:rPr>
                <w:rFonts w:cs="Arial"/>
                <w:color w:val="000000"/>
                <w:szCs w:val="20"/>
              </w:rPr>
              <w:t>4,18</w:t>
            </w:r>
          </w:p>
        </w:tc>
        <w:tc>
          <w:tcPr>
            <w:tcW w:w="3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AEF8E6" w14:textId="77777777" w:rsidR="006C63D5" w:rsidRPr="00F44FA4" w:rsidRDefault="006C63D5" w:rsidP="00F42F8F">
            <w:pPr>
              <w:keepNext/>
              <w:keepLines/>
              <w:jc w:val="right"/>
              <w:rPr>
                <w:rFonts w:cs="Arial"/>
                <w:color w:val="000000"/>
                <w:szCs w:val="20"/>
              </w:rPr>
            </w:pPr>
            <w:r w:rsidRPr="00F44FA4">
              <w:rPr>
                <w:rFonts w:cs="Arial"/>
                <w:color w:val="000000"/>
                <w:szCs w:val="20"/>
              </w:rPr>
              <w:t>4,46</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78F86B1" w14:textId="77777777" w:rsidR="006C63D5" w:rsidRPr="00F44FA4" w:rsidRDefault="006C63D5" w:rsidP="00F42F8F">
            <w:pPr>
              <w:keepNext/>
              <w:keepLines/>
              <w:jc w:val="right"/>
              <w:rPr>
                <w:rFonts w:cs="Arial"/>
                <w:color w:val="000000"/>
                <w:szCs w:val="20"/>
              </w:rPr>
            </w:pPr>
            <w:r w:rsidRPr="00F44FA4">
              <w:rPr>
                <w:rFonts w:cs="Arial"/>
                <w:color w:val="000000"/>
                <w:szCs w:val="20"/>
              </w:rPr>
              <w:t>4,67</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82F06CC" w14:textId="77777777" w:rsidR="006C63D5" w:rsidRPr="00F44FA4" w:rsidRDefault="006C63D5" w:rsidP="00F42F8F">
            <w:pPr>
              <w:keepNext/>
              <w:keepLines/>
              <w:jc w:val="right"/>
              <w:rPr>
                <w:rFonts w:cs="Arial"/>
                <w:color w:val="000000"/>
                <w:szCs w:val="20"/>
              </w:rPr>
            </w:pPr>
            <w:r w:rsidRPr="00F44FA4">
              <w:rPr>
                <w:rFonts w:cs="Arial"/>
                <w:color w:val="000000"/>
                <w:szCs w:val="20"/>
              </w:rPr>
              <w:t>4,45</w:t>
            </w:r>
          </w:p>
        </w:tc>
        <w:tc>
          <w:tcPr>
            <w:tcW w:w="3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24996C" w14:textId="77777777" w:rsidR="006C63D5" w:rsidRPr="00F44FA4" w:rsidRDefault="006C63D5" w:rsidP="00F42F8F">
            <w:pPr>
              <w:keepNext/>
              <w:keepLines/>
              <w:jc w:val="right"/>
              <w:rPr>
                <w:rFonts w:cs="Arial"/>
                <w:color w:val="000000"/>
                <w:szCs w:val="20"/>
              </w:rPr>
            </w:pPr>
            <w:r w:rsidRPr="00F44FA4">
              <w:rPr>
                <w:rFonts w:cs="Arial"/>
                <w:color w:val="000000"/>
                <w:szCs w:val="20"/>
              </w:rPr>
              <w:t>4,12</w:t>
            </w:r>
          </w:p>
        </w:tc>
      </w:tr>
      <w:tr w:rsidR="006C63D5" w:rsidRPr="00F44FA4" w14:paraId="1BA8A977" w14:textId="77777777" w:rsidTr="00F15E56">
        <w:trPr>
          <w:trHeight w:val="315"/>
        </w:trPr>
        <w:tc>
          <w:tcPr>
            <w:tcW w:w="250" w:type="pct"/>
            <w:vMerge/>
            <w:tcBorders>
              <w:top w:val="nil"/>
              <w:left w:val="single" w:sz="4" w:space="0" w:color="auto"/>
              <w:bottom w:val="single" w:sz="4" w:space="0" w:color="auto"/>
              <w:right w:val="single" w:sz="4" w:space="0" w:color="auto"/>
            </w:tcBorders>
            <w:vAlign w:val="center"/>
            <w:hideMark/>
          </w:tcPr>
          <w:p w14:paraId="1699EE6F" w14:textId="77777777" w:rsidR="006C63D5" w:rsidRPr="00F44FA4" w:rsidRDefault="006C63D5" w:rsidP="00F42F8F">
            <w:pPr>
              <w:keepNext/>
              <w:keepLines/>
              <w:rPr>
                <w:rFonts w:cs="Arial"/>
                <w:b/>
                <w:bCs/>
                <w:color w:val="000000"/>
                <w:szCs w:val="20"/>
              </w:rPr>
            </w:pPr>
          </w:p>
        </w:tc>
        <w:tc>
          <w:tcPr>
            <w:tcW w:w="2582"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2A5CE3EE" w14:textId="77777777" w:rsidR="006C63D5" w:rsidRPr="00F44FA4" w:rsidRDefault="006C63D5" w:rsidP="00F42F8F">
            <w:pPr>
              <w:keepNext/>
              <w:keepLines/>
              <w:rPr>
                <w:rFonts w:cs="Arial"/>
                <w:color w:val="000000"/>
                <w:szCs w:val="20"/>
              </w:rPr>
            </w:pPr>
            <w:r w:rsidRPr="00F44FA4">
              <w:rPr>
                <w:rFonts w:cs="Arial"/>
                <w:color w:val="000000"/>
                <w:szCs w:val="20"/>
              </w:rPr>
              <w:t>Zaposlovanje v turizmu - skupaj (1000 oseb)</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8A0DF80" w14:textId="77777777" w:rsidR="006C63D5" w:rsidRPr="00F44FA4" w:rsidRDefault="006C63D5" w:rsidP="00F42F8F">
            <w:pPr>
              <w:keepNext/>
              <w:keepLines/>
              <w:jc w:val="right"/>
              <w:rPr>
                <w:rFonts w:cs="Arial"/>
                <w:color w:val="000000"/>
                <w:szCs w:val="20"/>
              </w:rPr>
            </w:pPr>
            <w:r w:rsidRPr="00F44FA4">
              <w:rPr>
                <w:rFonts w:cs="Arial"/>
                <w:color w:val="000000"/>
                <w:szCs w:val="20"/>
              </w:rPr>
              <w:t>46,40</w:t>
            </w:r>
          </w:p>
        </w:tc>
        <w:tc>
          <w:tcPr>
            <w:tcW w:w="3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AB1A9F" w14:textId="77777777" w:rsidR="006C63D5" w:rsidRPr="00F44FA4" w:rsidRDefault="006C63D5" w:rsidP="00F42F8F">
            <w:pPr>
              <w:keepNext/>
              <w:keepLines/>
              <w:jc w:val="right"/>
              <w:rPr>
                <w:rFonts w:cs="Arial"/>
                <w:color w:val="000000"/>
                <w:szCs w:val="20"/>
              </w:rPr>
            </w:pPr>
            <w:r w:rsidRPr="00F44FA4">
              <w:rPr>
                <w:rFonts w:cs="Arial"/>
                <w:color w:val="000000"/>
                <w:szCs w:val="20"/>
              </w:rPr>
              <w:t>37,90</w:t>
            </w:r>
          </w:p>
        </w:tc>
        <w:tc>
          <w:tcPr>
            <w:tcW w:w="35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293FE5" w14:textId="77777777" w:rsidR="006C63D5" w:rsidRPr="00F44FA4" w:rsidRDefault="006C63D5" w:rsidP="00F42F8F">
            <w:pPr>
              <w:keepNext/>
              <w:keepLines/>
              <w:jc w:val="right"/>
              <w:rPr>
                <w:rFonts w:cs="Arial"/>
                <w:color w:val="000000"/>
                <w:szCs w:val="20"/>
              </w:rPr>
            </w:pPr>
            <w:r w:rsidRPr="00F44FA4">
              <w:rPr>
                <w:rFonts w:cs="Arial"/>
                <w:color w:val="000000"/>
                <w:szCs w:val="20"/>
              </w:rPr>
              <w:t>40,80</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A8510E0" w14:textId="77777777" w:rsidR="006C63D5" w:rsidRPr="00F44FA4" w:rsidRDefault="006C63D5" w:rsidP="00F42F8F">
            <w:pPr>
              <w:keepNext/>
              <w:keepLines/>
              <w:jc w:val="right"/>
              <w:rPr>
                <w:rFonts w:cs="Arial"/>
                <w:color w:val="000000"/>
                <w:szCs w:val="20"/>
              </w:rPr>
            </w:pPr>
            <w:r w:rsidRPr="00F44FA4">
              <w:rPr>
                <w:rFonts w:cs="Arial"/>
                <w:color w:val="000000"/>
                <w:szCs w:val="20"/>
              </w:rPr>
              <w:t>44,80</w:t>
            </w:r>
          </w:p>
        </w:tc>
        <w:tc>
          <w:tcPr>
            <w:tcW w:w="354"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DE555AA" w14:textId="77777777" w:rsidR="006C63D5" w:rsidRPr="00F44FA4" w:rsidRDefault="006C63D5" w:rsidP="00F42F8F">
            <w:pPr>
              <w:keepNext/>
              <w:keepLines/>
              <w:jc w:val="right"/>
              <w:rPr>
                <w:rFonts w:cs="Arial"/>
                <w:color w:val="000000"/>
                <w:szCs w:val="20"/>
              </w:rPr>
            </w:pPr>
            <w:r w:rsidRPr="00F44FA4">
              <w:rPr>
                <w:rFonts w:cs="Arial"/>
                <w:color w:val="000000"/>
                <w:szCs w:val="20"/>
              </w:rPr>
              <w:t>43,60</w:t>
            </w:r>
          </w:p>
        </w:tc>
        <w:tc>
          <w:tcPr>
            <w:tcW w:w="3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143100" w14:textId="77777777" w:rsidR="006C63D5" w:rsidRPr="00F44FA4" w:rsidRDefault="006C63D5" w:rsidP="00F42F8F">
            <w:pPr>
              <w:keepNext/>
              <w:keepLines/>
              <w:jc w:val="right"/>
              <w:rPr>
                <w:rFonts w:cs="Arial"/>
                <w:color w:val="000000"/>
                <w:szCs w:val="20"/>
              </w:rPr>
            </w:pPr>
            <w:r w:rsidRPr="00F44FA4">
              <w:rPr>
                <w:rFonts w:cs="Arial"/>
                <w:color w:val="000000"/>
                <w:szCs w:val="20"/>
              </w:rPr>
              <w:t>40,50</w:t>
            </w:r>
          </w:p>
        </w:tc>
      </w:tr>
    </w:tbl>
    <w:p w14:paraId="1D1BBDDD" w14:textId="77A0DB4E" w:rsidR="008A25A9" w:rsidRDefault="00F15E56" w:rsidP="00F42F8F">
      <w:pPr>
        <w:spacing w:before="120" w:after="240" w:line="264" w:lineRule="auto"/>
        <w:rPr>
          <w:rFonts w:cs="Arial"/>
          <w:bCs/>
          <w:i/>
          <w:szCs w:val="20"/>
        </w:rPr>
      </w:pPr>
      <w:r>
        <w:rPr>
          <w:rFonts w:eastAsia="Arial" w:cs="Arial"/>
          <w:bCs/>
          <w:sz w:val="16"/>
          <w:szCs w:val="16"/>
        </w:rPr>
        <w:t xml:space="preserve">Vir: </w:t>
      </w:r>
      <w:proofErr w:type="spellStart"/>
      <w:r w:rsidRPr="004629B1">
        <w:rPr>
          <w:rFonts w:eastAsia="Calibri"/>
          <w:sz w:val="16"/>
          <w:szCs w:val="16"/>
        </w:rPr>
        <w:t>Dashboard</w:t>
      </w:r>
      <w:proofErr w:type="spellEnd"/>
      <w:r w:rsidRPr="004629B1">
        <w:rPr>
          <w:rFonts w:eastAsia="Calibri"/>
          <w:sz w:val="16"/>
          <w:szCs w:val="16"/>
        </w:rPr>
        <w:t xml:space="preserve"> </w:t>
      </w:r>
      <w:proofErr w:type="spellStart"/>
      <w:r w:rsidRPr="004629B1">
        <w:rPr>
          <w:rFonts w:eastAsia="Calibri"/>
          <w:sz w:val="16"/>
          <w:szCs w:val="16"/>
        </w:rPr>
        <w:t>Indicators</w:t>
      </w:r>
      <w:proofErr w:type="spellEnd"/>
      <w:r w:rsidRPr="004629B1">
        <w:rPr>
          <w:rFonts w:cs="Arial"/>
          <w:sz w:val="16"/>
          <w:szCs w:val="16"/>
        </w:rPr>
        <w:t xml:space="preserve"> </w:t>
      </w:r>
      <w:r w:rsidRPr="004629B1">
        <w:rPr>
          <w:rFonts w:eastAsia="Arial" w:cs="Arial"/>
          <w:bCs/>
          <w:sz w:val="16"/>
          <w:szCs w:val="16"/>
        </w:rPr>
        <w:t>https://agridata.ec.europa.eu/extensions/DashboardIndicators/DataExplorer.html?select=EU27_FLAG,1)</w:t>
      </w:r>
      <w:r w:rsidRPr="00826383" w:rsidDel="0048003A">
        <w:rPr>
          <w:rFonts w:cs="Arial"/>
          <w:bCs/>
          <w:i/>
          <w:szCs w:val="20"/>
        </w:rPr>
        <w:t xml:space="preserve"> </w:t>
      </w:r>
    </w:p>
    <w:p w14:paraId="280816B1" w14:textId="77777777" w:rsidR="008A25A9" w:rsidRDefault="008A25A9" w:rsidP="00DE12FE">
      <w:pPr>
        <w:spacing w:after="240" w:line="360" w:lineRule="auto"/>
        <w:jc w:val="both"/>
        <w:rPr>
          <w:rFonts w:cs="Arial"/>
          <w:szCs w:val="20"/>
        </w:rPr>
      </w:pPr>
    </w:p>
    <w:p w14:paraId="5175C0DB" w14:textId="3BD651AC" w:rsidR="006C63D5" w:rsidRPr="00DE12FE" w:rsidRDefault="006C63D5" w:rsidP="00DE12FE">
      <w:pPr>
        <w:spacing w:after="240" w:line="360" w:lineRule="auto"/>
        <w:jc w:val="both"/>
        <w:rPr>
          <w:rFonts w:cs="Arial"/>
          <w:szCs w:val="20"/>
        </w:rPr>
      </w:pPr>
      <w:r w:rsidRPr="00DE12FE">
        <w:rPr>
          <w:rFonts w:cs="Arial"/>
          <w:szCs w:val="20"/>
        </w:rPr>
        <w:lastRenderedPageBreak/>
        <w:t>Samozaposlenih je v povprečju okoli 10,3 % vsega zaposlenega prebivalstva RS.</w:t>
      </w:r>
    </w:p>
    <w:p w14:paraId="2D746CE6" w14:textId="77777777" w:rsidR="006C63D5" w:rsidRPr="00DE12FE" w:rsidRDefault="006C63D5" w:rsidP="00DE12FE">
      <w:pPr>
        <w:spacing w:after="240" w:line="360" w:lineRule="auto"/>
        <w:jc w:val="both"/>
        <w:rPr>
          <w:rFonts w:cs="Arial"/>
          <w:szCs w:val="20"/>
        </w:rPr>
      </w:pPr>
      <w:r w:rsidRPr="00DE12FE">
        <w:rPr>
          <w:rFonts w:cs="Arial"/>
          <w:szCs w:val="20"/>
        </w:rPr>
        <w:t>Po podatkih AJPES se je v letu 2019 povprečna mesečna plača na zaposlenega povečala in je znašala 1.714 evrov, vendar so se za 1,7 % povišale tudi cene življenjskih potrebščin.</w:t>
      </w:r>
    </w:p>
    <w:p w14:paraId="66827723" w14:textId="2A2A007D" w:rsidR="006C63D5" w:rsidRPr="00DE12FE" w:rsidRDefault="006C63D5" w:rsidP="00DE12FE">
      <w:pPr>
        <w:autoSpaceDE w:val="0"/>
        <w:autoSpaceDN w:val="0"/>
        <w:spacing w:after="240" w:line="360" w:lineRule="auto"/>
        <w:jc w:val="both"/>
        <w:rPr>
          <w:rFonts w:cs="Arial"/>
          <w:szCs w:val="20"/>
        </w:rPr>
      </w:pPr>
      <w:r w:rsidRPr="00DE12FE">
        <w:rPr>
          <w:rFonts w:cs="Arial"/>
          <w:szCs w:val="20"/>
        </w:rPr>
        <w:t>Najpomembnejše področje po številu zaposlenih in po vrednosti sredstev v letu 2019 je bilo področje predelovalnih dejavnosti (36,7 % vseh zaposlenih, 30,7 % vseh prihodkov). Od teh jih je največ sodilo v področje trgovine, vzdrževanja in popravil motornih vozil. Po številu družb je drugo najpomembnejše področje strokovne, znanstvene in tehnične dejavnosti (6,3 % vseh zaposlenih), tretje najpomembnejše področje je gradbeništvo (8,8 % vseh zaposlenih), na četrtem mestu pa področje prometa in skladiščenja (8 % vseh zaposlenih).</w:t>
      </w:r>
    </w:p>
    <w:p w14:paraId="362173C6" w14:textId="77777777" w:rsidR="006C63D5" w:rsidRPr="00DE12FE" w:rsidRDefault="006C63D5" w:rsidP="00DE12FE">
      <w:pPr>
        <w:spacing w:after="240" w:line="360" w:lineRule="auto"/>
        <w:jc w:val="both"/>
        <w:rPr>
          <w:rFonts w:cs="Arial"/>
          <w:szCs w:val="20"/>
        </w:rPr>
      </w:pPr>
      <w:r w:rsidRPr="00DE12FE">
        <w:rPr>
          <w:rFonts w:cs="Arial"/>
          <w:szCs w:val="20"/>
        </w:rPr>
        <w:t>Število zaposlenih na področju gozdarstva se je v zadnjih 30-ih letih močno zmanjšalo. Pred letom 1990 je gozdarstvo zaposlovalo okrog 8.000 ljudi. Število zaposlenih se je od leta 2010 do 2015  povečevalo, potem je bilo nestabilno. V letu 2019 se je zaposlenost ponovno povečala.</w:t>
      </w:r>
    </w:p>
    <w:p w14:paraId="47801AA7" w14:textId="0612F9D5" w:rsidR="005A6936" w:rsidRDefault="006C63D5" w:rsidP="00D454A7">
      <w:pPr>
        <w:spacing w:after="240" w:line="360" w:lineRule="auto"/>
        <w:jc w:val="both"/>
        <w:rPr>
          <w:rFonts w:cs="Arial"/>
        </w:rPr>
      </w:pPr>
      <w:r w:rsidRPr="00DE12FE">
        <w:rPr>
          <w:rFonts w:cs="Arial"/>
          <w:szCs w:val="20"/>
        </w:rPr>
        <w:t xml:space="preserve">Po podatkih za leto 2018, je v 1.053 podjetjih s področja gozdarstva zaposlenih 2.476 oseb. Od tega je 4 srednjih, 24 majhnih in 1.025 </w:t>
      </w:r>
      <w:proofErr w:type="spellStart"/>
      <w:r w:rsidRPr="00DE12FE">
        <w:rPr>
          <w:rFonts w:cs="Arial"/>
          <w:szCs w:val="20"/>
        </w:rPr>
        <w:t>mikro</w:t>
      </w:r>
      <w:proofErr w:type="spellEnd"/>
      <w:r w:rsidRPr="00DE12FE">
        <w:rPr>
          <w:rFonts w:cs="Arial"/>
          <w:szCs w:val="20"/>
        </w:rPr>
        <w:t xml:space="preserve"> podjetij.</w:t>
      </w:r>
    </w:p>
    <w:p w14:paraId="47E6DA5A" w14:textId="592F6C35" w:rsidR="006C63D5" w:rsidRPr="00041B20" w:rsidRDefault="005A6936" w:rsidP="005A6936">
      <w:pPr>
        <w:pStyle w:val="SCslika"/>
      </w:pPr>
      <w:bookmarkStart w:id="37" w:name="_Toc55913757"/>
      <w:r w:rsidRPr="003D6FF8">
        <w:t xml:space="preserve">Slika </w:t>
      </w:r>
      <w:r w:rsidR="007A077E">
        <w:fldChar w:fldCharType="begin"/>
      </w:r>
      <w:r w:rsidR="007A077E">
        <w:instrText xml:space="preserve"> SEQ Slika \* ARABIC </w:instrText>
      </w:r>
      <w:r w:rsidR="007A077E">
        <w:fldChar w:fldCharType="separate"/>
      </w:r>
      <w:r w:rsidR="0040635C">
        <w:t>6</w:t>
      </w:r>
      <w:r w:rsidR="007A077E">
        <w:fldChar w:fldCharType="end"/>
      </w:r>
      <w:r w:rsidRPr="003D6FF8">
        <w:t>: Delež zaposlenih po sektorjih glede na vse zaposlene v RS</w:t>
      </w:r>
      <w:bookmarkEnd w:id="37"/>
    </w:p>
    <w:p w14:paraId="1B60F15B" w14:textId="77777777" w:rsidR="005A6936" w:rsidRDefault="006C63D5" w:rsidP="0035086C">
      <w:pPr>
        <w:rPr>
          <w:lang w:val="en-GB"/>
        </w:rPr>
      </w:pPr>
      <w:r w:rsidRPr="00041B20">
        <w:rPr>
          <w:noProof/>
          <w:lang w:eastAsia="sl-SI"/>
        </w:rPr>
        <w:drawing>
          <wp:inline distT="0" distB="0" distL="0" distR="0" wp14:anchorId="4F55D7F7" wp14:editId="2B4AF07B">
            <wp:extent cx="4972050" cy="3076575"/>
            <wp:effectExtent l="0" t="0" r="19050" b="9525"/>
            <wp:docPr id="12" name="Grafikon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511684B" w14:textId="009CD340" w:rsidR="006C63D5" w:rsidRPr="005A6936" w:rsidRDefault="006C63D5" w:rsidP="005A6936">
      <w:pPr>
        <w:keepNext/>
        <w:keepLines/>
        <w:spacing w:after="240"/>
        <w:rPr>
          <w:rFonts w:cs="Arial"/>
          <w:sz w:val="16"/>
          <w:szCs w:val="16"/>
          <w:lang w:val="en-GB"/>
        </w:rPr>
      </w:pPr>
      <w:r w:rsidRPr="005A6936">
        <w:rPr>
          <w:rFonts w:cs="Arial"/>
          <w:bCs/>
          <w:sz w:val="16"/>
          <w:szCs w:val="16"/>
        </w:rPr>
        <w:t>Vir: Eurostat</w:t>
      </w:r>
    </w:p>
    <w:p w14:paraId="45346E00" w14:textId="055E1629" w:rsidR="006C63D5" w:rsidRPr="00AD76B1" w:rsidRDefault="006C63D5" w:rsidP="00AD76B1">
      <w:pPr>
        <w:widowControl w:val="0"/>
        <w:spacing w:after="240" w:line="360" w:lineRule="auto"/>
        <w:jc w:val="both"/>
        <w:rPr>
          <w:rFonts w:cs="Arial"/>
          <w:szCs w:val="20"/>
        </w:rPr>
      </w:pPr>
      <w:r w:rsidRPr="00AD76B1">
        <w:rPr>
          <w:rFonts w:cs="Arial"/>
          <w:szCs w:val="20"/>
        </w:rPr>
        <w:t>Stopnja registrirane brezposelnosti v Sloveniji je bila v juniju 2020 po podatkih Zavoda RS za zaposlovanje 9,2 % (moški 8,4 % in ženske 10,2 %). Največja stopnja brezpose</w:t>
      </w:r>
      <w:r w:rsidR="00EF2850">
        <w:rPr>
          <w:rFonts w:cs="Arial"/>
          <w:szCs w:val="20"/>
        </w:rPr>
        <w:t>l</w:t>
      </w:r>
      <w:r w:rsidRPr="00AD76B1">
        <w:rPr>
          <w:rFonts w:cs="Arial"/>
          <w:szCs w:val="20"/>
        </w:rPr>
        <w:t>nosti je bila leta 2013 13,1 %.</w:t>
      </w:r>
    </w:p>
    <w:p w14:paraId="076CBCD0" w14:textId="2C4AF150" w:rsidR="006C63D5" w:rsidRPr="003D6FF8" w:rsidRDefault="00C9160B" w:rsidP="00D454A7">
      <w:pPr>
        <w:pStyle w:val="SCPreglednica"/>
        <w:keepNext/>
        <w:keepLines/>
      </w:pPr>
      <w:bookmarkStart w:id="38" w:name="_Toc55913725"/>
      <w:r>
        <w:lastRenderedPageBreak/>
        <w:t>Tabela</w:t>
      </w:r>
      <w:r w:rsidR="006C63D5" w:rsidRPr="003D6FF8">
        <w:t xml:space="preserve"> </w:t>
      </w:r>
      <w:r w:rsidR="0001708D">
        <w:rPr>
          <w:noProof/>
        </w:rPr>
        <w:fldChar w:fldCharType="begin"/>
      </w:r>
      <w:r w:rsidR="0001708D">
        <w:rPr>
          <w:noProof/>
        </w:rPr>
        <w:instrText xml:space="preserve"> SEQ Tabela \* ARABIC </w:instrText>
      </w:r>
      <w:r w:rsidR="0001708D">
        <w:rPr>
          <w:noProof/>
        </w:rPr>
        <w:fldChar w:fldCharType="separate"/>
      </w:r>
      <w:r w:rsidR="00DF0D48">
        <w:rPr>
          <w:noProof/>
        </w:rPr>
        <w:t>14</w:t>
      </w:r>
      <w:r w:rsidR="0001708D">
        <w:rPr>
          <w:noProof/>
        </w:rPr>
        <w:fldChar w:fldCharType="end"/>
      </w:r>
      <w:r w:rsidR="006C63D5" w:rsidRPr="003D6FF8">
        <w:t xml:space="preserve">: </w:t>
      </w:r>
      <w:r w:rsidR="006C63D5">
        <w:t>Povprečna stopnja registrirane brezpose</w:t>
      </w:r>
      <w:r w:rsidR="00EF2850">
        <w:t>l</w:t>
      </w:r>
      <w:r w:rsidR="006C63D5">
        <w:t>nosti</w:t>
      </w:r>
      <w:bookmarkEnd w:id="38"/>
    </w:p>
    <w:tbl>
      <w:tblPr>
        <w:tblW w:w="5000" w:type="pct"/>
        <w:tblCellMar>
          <w:left w:w="70" w:type="dxa"/>
          <w:right w:w="70" w:type="dxa"/>
        </w:tblCellMar>
        <w:tblLook w:val="04A0" w:firstRow="1" w:lastRow="0" w:firstColumn="1" w:lastColumn="0" w:noHBand="0" w:noVBand="1"/>
      </w:tblPr>
      <w:tblGrid>
        <w:gridCol w:w="3671"/>
        <w:gridCol w:w="909"/>
        <w:gridCol w:w="910"/>
        <w:gridCol w:w="894"/>
        <w:gridCol w:w="894"/>
        <w:gridCol w:w="894"/>
        <w:gridCol w:w="890"/>
      </w:tblGrid>
      <w:tr w:rsidR="006C63D5" w:rsidRPr="00F44FA4" w14:paraId="3E168ECA" w14:textId="77777777" w:rsidTr="005A6936">
        <w:trPr>
          <w:trHeight w:val="315"/>
        </w:trPr>
        <w:tc>
          <w:tcPr>
            <w:tcW w:w="2026"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1941DA0" w14:textId="77777777" w:rsidR="006C63D5" w:rsidRPr="00F44FA4" w:rsidRDefault="006C63D5" w:rsidP="00D454A7">
            <w:pPr>
              <w:keepNext/>
              <w:keepLines/>
              <w:rPr>
                <w:rFonts w:cs="Arial"/>
                <w:b/>
                <w:bCs/>
                <w:color w:val="000000"/>
                <w:szCs w:val="20"/>
                <w:lang w:eastAsia="sl-SI"/>
              </w:rPr>
            </w:pPr>
            <w:r w:rsidRPr="00F44FA4">
              <w:rPr>
                <w:rFonts w:cs="Arial"/>
                <w:b/>
                <w:bCs/>
                <w:color w:val="000000"/>
                <w:szCs w:val="20"/>
                <w:lang w:eastAsia="sl-SI"/>
              </w:rPr>
              <w:t> </w:t>
            </w:r>
          </w:p>
        </w:tc>
        <w:tc>
          <w:tcPr>
            <w:tcW w:w="502" w:type="pct"/>
            <w:tcBorders>
              <w:top w:val="single" w:sz="4" w:space="0" w:color="auto"/>
              <w:left w:val="nil"/>
              <w:bottom w:val="single" w:sz="4" w:space="0" w:color="auto"/>
              <w:right w:val="single" w:sz="4" w:space="0" w:color="auto"/>
            </w:tcBorders>
            <w:shd w:val="clear" w:color="000000" w:fill="92D050"/>
            <w:noWrap/>
            <w:vAlign w:val="center"/>
            <w:hideMark/>
          </w:tcPr>
          <w:p w14:paraId="5A416774" w14:textId="77777777" w:rsidR="006C63D5" w:rsidRPr="00F44FA4" w:rsidRDefault="006C63D5" w:rsidP="00D454A7">
            <w:pPr>
              <w:keepNext/>
              <w:keepLines/>
              <w:jc w:val="center"/>
              <w:rPr>
                <w:rFonts w:cs="Arial"/>
                <w:b/>
                <w:bCs/>
                <w:color w:val="000000"/>
                <w:szCs w:val="20"/>
                <w:lang w:eastAsia="sl-SI"/>
              </w:rPr>
            </w:pPr>
            <w:r w:rsidRPr="00F44FA4">
              <w:rPr>
                <w:rFonts w:cs="Arial"/>
                <w:b/>
                <w:bCs/>
                <w:color w:val="000000"/>
                <w:szCs w:val="20"/>
                <w:lang w:eastAsia="sl-SI"/>
              </w:rPr>
              <w:t>2010</w:t>
            </w:r>
          </w:p>
        </w:tc>
        <w:tc>
          <w:tcPr>
            <w:tcW w:w="502" w:type="pct"/>
            <w:tcBorders>
              <w:top w:val="single" w:sz="4" w:space="0" w:color="auto"/>
              <w:left w:val="nil"/>
              <w:bottom w:val="single" w:sz="4" w:space="0" w:color="auto"/>
              <w:right w:val="single" w:sz="4" w:space="0" w:color="auto"/>
            </w:tcBorders>
            <w:shd w:val="clear" w:color="000000" w:fill="92D050"/>
            <w:noWrap/>
            <w:vAlign w:val="center"/>
            <w:hideMark/>
          </w:tcPr>
          <w:p w14:paraId="1A2AAF60" w14:textId="77777777" w:rsidR="006C63D5" w:rsidRPr="00F44FA4" w:rsidRDefault="006C63D5" w:rsidP="00D454A7">
            <w:pPr>
              <w:keepNext/>
              <w:keepLines/>
              <w:jc w:val="center"/>
              <w:rPr>
                <w:rFonts w:cs="Arial"/>
                <w:b/>
                <w:bCs/>
                <w:color w:val="000000"/>
                <w:szCs w:val="20"/>
                <w:lang w:eastAsia="sl-SI"/>
              </w:rPr>
            </w:pPr>
            <w:r w:rsidRPr="00F44FA4">
              <w:rPr>
                <w:rFonts w:cs="Arial"/>
                <w:b/>
                <w:bCs/>
                <w:color w:val="000000"/>
                <w:szCs w:val="20"/>
                <w:lang w:eastAsia="sl-SI"/>
              </w:rPr>
              <w:t>2013</w:t>
            </w:r>
          </w:p>
        </w:tc>
        <w:tc>
          <w:tcPr>
            <w:tcW w:w="493" w:type="pct"/>
            <w:tcBorders>
              <w:top w:val="single" w:sz="4" w:space="0" w:color="auto"/>
              <w:left w:val="nil"/>
              <w:bottom w:val="single" w:sz="4" w:space="0" w:color="auto"/>
              <w:right w:val="single" w:sz="4" w:space="0" w:color="auto"/>
            </w:tcBorders>
            <w:shd w:val="clear" w:color="000000" w:fill="92D050"/>
            <w:noWrap/>
            <w:vAlign w:val="center"/>
            <w:hideMark/>
          </w:tcPr>
          <w:p w14:paraId="7296AE5E" w14:textId="77777777" w:rsidR="006C63D5" w:rsidRPr="00F44FA4" w:rsidRDefault="006C63D5" w:rsidP="00D454A7">
            <w:pPr>
              <w:keepNext/>
              <w:keepLines/>
              <w:jc w:val="center"/>
              <w:rPr>
                <w:rFonts w:cs="Arial"/>
                <w:b/>
                <w:bCs/>
                <w:color w:val="000000"/>
                <w:szCs w:val="20"/>
                <w:lang w:eastAsia="sl-SI"/>
              </w:rPr>
            </w:pPr>
            <w:r w:rsidRPr="00F44FA4">
              <w:rPr>
                <w:rFonts w:cs="Arial"/>
                <w:b/>
                <w:bCs/>
                <w:color w:val="000000"/>
                <w:szCs w:val="20"/>
                <w:lang w:eastAsia="sl-SI"/>
              </w:rPr>
              <w:t>2016</w:t>
            </w:r>
          </w:p>
        </w:tc>
        <w:tc>
          <w:tcPr>
            <w:tcW w:w="493" w:type="pct"/>
            <w:tcBorders>
              <w:top w:val="single" w:sz="4" w:space="0" w:color="auto"/>
              <w:left w:val="nil"/>
              <w:bottom w:val="single" w:sz="4" w:space="0" w:color="auto"/>
              <w:right w:val="single" w:sz="4" w:space="0" w:color="auto"/>
            </w:tcBorders>
            <w:shd w:val="clear" w:color="000000" w:fill="92D050"/>
            <w:noWrap/>
            <w:vAlign w:val="center"/>
            <w:hideMark/>
          </w:tcPr>
          <w:p w14:paraId="19AC4AB4" w14:textId="77777777" w:rsidR="006C63D5" w:rsidRPr="00F44FA4" w:rsidRDefault="006C63D5" w:rsidP="00D454A7">
            <w:pPr>
              <w:keepNext/>
              <w:keepLines/>
              <w:jc w:val="center"/>
              <w:rPr>
                <w:rFonts w:cs="Arial"/>
                <w:b/>
                <w:bCs/>
                <w:color w:val="000000"/>
                <w:szCs w:val="20"/>
                <w:lang w:eastAsia="sl-SI"/>
              </w:rPr>
            </w:pPr>
            <w:r w:rsidRPr="00F44FA4">
              <w:rPr>
                <w:rFonts w:cs="Arial"/>
                <w:b/>
                <w:bCs/>
                <w:color w:val="000000"/>
                <w:szCs w:val="20"/>
                <w:lang w:eastAsia="sl-SI"/>
              </w:rPr>
              <w:t>2017</w:t>
            </w:r>
          </w:p>
        </w:tc>
        <w:tc>
          <w:tcPr>
            <w:tcW w:w="493" w:type="pct"/>
            <w:tcBorders>
              <w:top w:val="single" w:sz="4" w:space="0" w:color="auto"/>
              <w:left w:val="nil"/>
              <w:bottom w:val="single" w:sz="4" w:space="0" w:color="auto"/>
              <w:right w:val="single" w:sz="4" w:space="0" w:color="auto"/>
            </w:tcBorders>
            <w:shd w:val="clear" w:color="000000" w:fill="92D050"/>
            <w:noWrap/>
            <w:vAlign w:val="center"/>
            <w:hideMark/>
          </w:tcPr>
          <w:p w14:paraId="01BAAD4B" w14:textId="77777777" w:rsidR="006C63D5" w:rsidRPr="00F44FA4" w:rsidRDefault="006C63D5" w:rsidP="00D454A7">
            <w:pPr>
              <w:keepNext/>
              <w:keepLines/>
              <w:jc w:val="center"/>
              <w:rPr>
                <w:rFonts w:cs="Arial"/>
                <w:b/>
                <w:bCs/>
                <w:color w:val="000000"/>
                <w:szCs w:val="20"/>
                <w:lang w:eastAsia="sl-SI"/>
              </w:rPr>
            </w:pPr>
            <w:r w:rsidRPr="00F44FA4">
              <w:rPr>
                <w:rFonts w:cs="Arial"/>
                <w:b/>
                <w:bCs/>
                <w:color w:val="000000"/>
                <w:szCs w:val="20"/>
                <w:lang w:eastAsia="sl-SI"/>
              </w:rPr>
              <w:t>2018</w:t>
            </w:r>
          </w:p>
        </w:tc>
        <w:tc>
          <w:tcPr>
            <w:tcW w:w="493" w:type="pct"/>
            <w:tcBorders>
              <w:top w:val="single" w:sz="4" w:space="0" w:color="auto"/>
              <w:left w:val="nil"/>
              <w:bottom w:val="single" w:sz="4" w:space="0" w:color="auto"/>
              <w:right w:val="single" w:sz="4" w:space="0" w:color="auto"/>
            </w:tcBorders>
            <w:shd w:val="clear" w:color="000000" w:fill="92D050"/>
            <w:noWrap/>
            <w:vAlign w:val="center"/>
            <w:hideMark/>
          </w:tcPr>
          <w:p w14:paraId="7196B7D0" w14:textId="77777777" w:rsidR="006C63D5" w:rsidRPr="00F44FA4" w:rsidRDefault="006C63D5" w:rsidP="00D454A7">
            <w:pPr>
              <w:keepNext/>
              <w:keepLines/>
              <w:jc w:val="center"/>
              <w:rPr>
                <w:rFonts w:cs="Arial"/>
                <w:b/>
                <w:bCs/>
                <w:color w:val="000000"/>
                <w:szCs w:val="20"/>
                <w:lang w:eastAsia="sl-SI"/>
              </w:rPr>
            </w:pPr>
            <w:r w:rsidRPr="00F44FA4">
              <w:rPr>
                <w:rFonts w:cs="Arial"/>
                <w:b/>
                <w:bCs/>
                <w:color w:val="000000"/>
                <w:szCs w:val="20"/>
                <w:lang w:eastAsia="sl-SI"/>
              </w:rPr>
              <w:t>2019</w:t>
            </w:r>
          </w:p>
        </w:tc>
      </w:tr>
      <w:tr w:rsidR="006C63D5" w:rsidRPr="00F44FA4" w14:paraId="6EEAEA46" w14:textId="77777777" w:rsidTr="004167E8">
        <w:trPr>
          <w:trHeight w:val="315"/>
        </w:trPr>
        <w:tc>
          <w:tcPr>
            <w:tcW w:w="2026" w:type="pct"/>
            <w:tcBorders>
              <w:top w:val="nil"/>
              <w:left w:val="single" w:sz="4" w:space="0" w:color="auto"/>
              <w:bottom w:val="single" w:sz="4" w:space="0" w:color="auto"/>
              <w:right w:val="single" w:sz="4" w:space="0" w:color="auto"/>
            </w:tcBorders>
            <w:shd w:val="clear" w:color="000000" w:fill="FFFFFF"/>
            <w:vAlign w:val="bottom"/>
            <w:hideMark/>
          </w:tcPr>
          <w:p w14:paraId="0270BF44" w14:textId="77777777" w:rsidR="006C63D5" w:rsidRPr="00F44FA4" w:rsidRDefault="006C63D5" w:rsidP="00D454A7">
            <w:pPr>
              <w:keepNext/>
              <w:keepLines/>
              <w:rPr>
                <w:rFonts w:cs="Arial"/>
                <w:color w:val="000000"/>
                <w:szCs w:val="20"/>
                <w:lang w:eastAsia="sl-SI"/>
              </w:rPr>
            </w:pPr>
            <w:r w:rsidRPr="00F44FA4">
              <w:rPr>
                <w:rFonts w:cs="Arial"/>
                <w:color w:val="000000"/>
                <w:szCs w:val="20"/>
                <w:lang w:eastAsia="sl-SI"/>
              </w:rPr>
              <w:t xml:space="preserve">Povprečna stopnja registrirane </w:t>
            </w:r>
            <w:proofErr w:type="spellStart"/>
            <w:r w:rsidRPr="00F44FA4">
              <w:rPr>
                <w:rFonts w:cs="Arial"/>
                <w:color w:val="000000"/>
                <w:szCs w:val="20"/>
                <w:lang w:eastAsia="sl-SI"/>
              </w:rPr>
              <w:t>brezposlenosti</w:t>
            </w:r>
            <w:proofErr w:type="spellEnd"/>
          </w:p>
        </w:tc>
        <w:tc>
          <w:tcPr>
            <w:tcW w:w="502" w:type="pct"/>
            <w:tcBorders>
              <w:top w:val="nil"/>
              <w:left w:val="nil"/>
              <w:bottom w:val="single" w:sz="4" w:space="0" w:color="auto"/>
              <w:right w:val="single" w:sz="4" w:space="0" w:color="auto"/>
            </w:tcBorders>
            <w:shd w:val="clear" w:color="000000" w:fill="FFFFFF"/>
            <w:noWrap/>
            <w:vAlign w:val="center"/>
            <w:hideMark/>
          </w:tcPr>
          <w:p w14:paraId="3A664C0D"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10,7</w:t>
            </w:r>
          </w:p>
        </w:tc>
        <w:tc>
          <w:tcPr>
            <w:tcW w:w="502" w:type="pct"/>
            <w:tcBorders>
              <w:top w:val="nil"/>
              <w:left w:val="nil"/>
              <w:bottom w:val="single" w:sz="4" w:space="0" w:color="auto"/>
              <w:right w:val="single" w:sz="4" w:space="0" w:color="auto"/>
            </w:tcBorders>
            <w:shd w:val="clear" w:color="auto" w:fill="auto"/>
            <w:noWrap/>
            <w:vAlign w:val="center"/>
            <w:hideMark/>
          </w:tcPr>
          <w:p w14:paraId="018058FC"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13,1</w:t>
            </w:r>
          </w:p>
        </w:tc>
        <w:tc>
          <w:tcPr>
            <w:tcW w:w="493" w:type="pct"/>
            <w:tcBorders>
              <w:top w:val="nil"/>
              <w:left w:val="nil"/>
              <w:bottom w:val="single" w:sz="4" w:space="0" w:color="auto"/>
              <w:right w:val="single" w:sz="4" w:space="0" w:color="auto"/>
            </w:tcBorders>
            <w:shd w:val="clear" w:color="auto" w:fill="auto"/>
            <w:noWrap/>
            <w:vAlign w:val="center"/>
            <w:hideMark/>
          </w:tcPr>
          <w:p w14:paraId="33E25FE3"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11,2</w:t>
            </w:r>
          </w:p>
        </w:tc>
        <w:tc>
          <w:tcPr>
            <w:tcW w:w="493" w:type="pct"/>
            <w:tcBorders>
              <w:top w:val="nil"/>
              <w:left w:val="nil"/>
              <w:bottom w:val="single" w:sz="4" w:space="0" w:color="auto"/>
              <w:right w:val="single" w:sz="4" w:space="0" w:color="auto"/>
            </w:tcBorders>
            <w:shd w:val="clear" w:color="000000" w:fill="FFFFFF"/>
            <w:noWrap/>
            <w:vAlign w:val="center"/>
            <w:hideMark/>
          </w:tcPr>
          <w:p w14:paraId="0E8564FB"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9,5</w:t>
            </w:r>
          </w:p>
        </w:tc>
        <w:tc>
          <w:tcPr>
            <w:tcW w:w="493" w:type="pct"/>
            <w:tcBorders>
              <w:top w:val="nil"/>
              <w:left w:val="nil"/>
              <w:bottom w:val="single" w:sz="4" w:space="0" w:color="auto"/>
              <w:right w:val="single" w:sz="4" w:space="0" w:color="auto"/>
            </w:tcBorders>
            <w:shd w:val="clear" w:color="000000" w:fill="FFFFFF"/>
            <w:noWrap/>
            <w:vAlign w:val="center"/>
            <w:hideMark/>
          </w:tcPr>
          <w:p w14:paraId="2E7FA42C"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8,2</w:t>
            </w:r>
          </w:p>
        </w:tc>
        <w:tc>
          <w:tcPr>
            <w:tcW w:w="493" w:type="pct"/>
            <w:tcBorders>
              <w:top w:val="nil"/>
              <w:left w:val="nil"/>
              <w:bottom w:val="single" w:sz="4" w:space="0" w:color="auto"/>
              <w:right w:val="single" w:sz="4" w:space="0" w:color="auto"/>
            </w:tcBorders>
            <w:shd w:val="clear" w:color="000000" w:fill="FFFFFF"/>
            <w:noWrap/>
            <w:vAlign w:val="center"/>
            <w:hideMark/>
          </w:tcPr>
          <w:p w14:paraId="71CA09E7" w14:textId="77777777" w:rsidR="006C63D5" w:rsidRPr="00F44FA4" w:rsidRDefault="006C63D5" w:rsidP="00D454A7">
            <w:pPr>
              <w:keepNext/>
              <w:keepLines/>
              <w:jc w:val="right"/>
              <w:rPr>
                <w:rFonts w:cs="Arial"/>
                <w:color w:val="000000"/>
                <w:szCs w:val="20"/>
                <w:lang w:eastAsia="sl-SI"/>
              </w:rPr>
            </w:pPr>
            <w:r w:rsidRPr="00F44FA4">
              <w:rPr>
                <w:rFonts w:cs="Arial"/>
                <w:color w:val="000000"/>
                <w:szCs w:val="20"/>
                <w:lang w:eastAsia="sl-SI"/>
              </w:rPr>
              <w:t>7,7</w:t>
            </w:r>
          </w:p>
        </w:tc>
      </w:tr>
    </w:tbl>
    <w:p w14:paraId="452A71B2" w14:textId="4F4EA7FD" w:rsidR="006C63D5" w:rsidRPr="005A6936" w:rsidRDefault="006C63D5" w:rsidP="00D454A7">
      <w:pPr>
        <w:keepNext/>
        <w:keepLines/>
        <w:spacing w:after="240"/>
        <w:rPr>
          <w:rFonts w:cs="Arial"/>
          <w:sz w:val="16"/>
          <w:szCs w:val="16"/>
        </w:rPr>
      </w:pPr>
      <w:r w:rsidRPr="005A6936">
        <w:rPr>
          <w:rFonts w:cs="Arial"/>
          <w:sz w:val="16"/>
          <w:szCs w:val="16"/>
        </w:rPr>
        <w:t>Vir:</w:t>
      </w:r>
      <w:r w:rsidR="00D454A7">
        <w:rPr>
          <w:rFonts w:cs="Arial"/>
          <w:sz w:val="16"/>
          <w:szCs w:val="16"/>
        </w:rPr>
        <w:t xml:space="preserve"> </w:t>
      </w:r>
      <w:r w:rsidRPr="005A6936">
        <w:rPr>
          <w:rFonts w:cs="Arial"/>
          <w:sz w:val="16"/>
          <w:szCs w:val="16"/>
        </w:rPr>
        <w:t>ZRSZ</w:t>
      </w:r>
    </w:p>
    <w:p w14:paraId="085893A8" w14:textId="77777777" w:rsidR="006C63D5" w:rsidRPr="00AD76B1" w:rsidRDefault="006C63D5" w:rsidP="00D454A7">
      <w:pPr>
        <w:widowControl w:val="0"/>
        <w:spacing w:after="240" w:line="360" w:lineRule="auto"/>
        <w:jc w:val="both"/>
        <w:rPr>
          <w:rFonts w:cs="Arial"/>
          <w:szCs w:val="20"/>
        </w:rPr>
      </w:pPr>
      <w:r w:rsidRPr="00AD76B1">
        <w:rPr>
          <w:rFonts w:cs="Arial"/>
          <w:szCs w:val="20"/>
        </w:rPr>
        <w:t>Stopnja brezposelnosti na podeželju je nekoliko nižja kot stopnja brezposelnosti v celotni RS (po podatkih Eurostata je dolgoletno povprečje brezposelnosti podeželja 7,3 %, za RS pa 7,74 %. Stopnja brezposelnosti od leta 2013, ko je dosegla najvišjo stopnjo (podeželje 9,77 %), vztrajno pada (leta 2019 podeželje 4,35 %).</w:t>
      </w:r>
    </w:p>
    <w:p w14:paraId="49254D47" w14:textId="447B28BC" w:rsidR="006C63D5" w:rsidRPr="003D6FF8" w:rsidRDefault="00C9160B" w:rsidP="005A6936">
      <w:pPr>
        <w:pStyle w:val="SCPreglednica"/>
      </w:pPr>
      <w:bookmarkStart w:id="39" w:name="_Toc55913726"/>
      <w:r>
        <w:t>Tabela</w:t>
      </w:r>
      <w:r w:rsidR="006C63D5" w:rsidRPr="003D6FF8">
        <w:t xml:space="preserve"> </w:t>
      </w:r>
      <w:r w:rsidR="0001708D">
        <w:rPr>
          <w:noProof/>
        </w:rPr>
        <w:fldChar w:fldCharType="begin"/>
      </w:r>
      <w:r w:rsidR="0001708D">
        <w:rPr>
          <w:noProof/>
        </w:rPr>
        <w:instrText xml:space="preserve"> SEQ Tabela \* ARABIC </w:instrText>
      </w:r>
      <w:r w:rsidR="0001708D">
        <w:rPr>
          <w:noProof/>
        </w:rPr>
        <w:fldChar w:fldCharType="separate"/>
      </w:r>
      <w:r w:rsidR="00DF0D48">
        <w:rPr>
          <w:noProof/>
        </w:rPr>
        <w:t>15</w:t>
      </w:r>
      <w:r w:rsidR="0001708D">
        <w:rPr>
          <w:noProof/>
        </w:rPr>
        <w:fldChar w:fldCharType="end"/>
      </w:r>
      <w:r w:rsidR="006C63D5" w:rsidRPr="003D6FF8">
        <w:t xml:space="preserve">: </w:t>
      </w:r>
      <w:r w:rsidR="006C63D5">
        <w:t>Stopnja brezpose</w:t>
      </w:r>
      <w:r w:rsidR="00EF2850">
        <w:t>l</w:t>
      </w:r>
      <w:r w:rsidR="006C63D5">
        <w:t>nosti</w:t>
      </w:r>
      <w:bookmarkEnd w:id="39"/>
    </w:p>
    <w:tbl>
      <w:tblPr>
        <w:tblW w:w="5000" w:type="pct"/>
        <w:tblCellMar>
          <w:left w:w="70" w:type="dxa"/>
          <w:right w:w="70" w:type="dxa"/>
        </w:tblCellMar>
        <w:tblLook w:val="04A0" w:firstRow="1" w:lastRow="0" w:firstColumn="1" w:lastColumn="0" w:noHBand="0" w:noVBand="1"/>
      </w:tblPr>
      <w:tblGrid>
        <w:gridCol w:w="564"/>
        <w:gridCol w:w="3442"/>
        <w:gridCol w:w="854"/>
        <w:gridCol w:w="854"/>
        <w:gridCol w:w="837"/>
        <w:gridCol w:w="837"/>
        <w:gridCol w:w="837"/>
        <w:gridCol w:w="837"/>
      </w:tblGrid>
      <w:tr w:rsidR="006C63D5" w:rsidRPr="00F44FA4" w14:paraId="76F9EFC2" w14:textId="77777777" w:rsidTr="008A25A9">
        <w:trPr>
          <w:trHeight w:val="315"/>
        </w:trPr>
        <w:tc>
          <w:tcPr>
            <w:tcW w:w="311"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37126DF1" w14:textId="77777777" w:rsidR="006C63D5" w:rsidRPr="00F44FA4" w:rsidRDefault="006C63D5" w:rsidP="004167E8">
            <w:pPr>
              <w:rPr>
                <w:rFonts w:cs="Arial"/>
                <w:b/>
                <w:bCs/>
                <w:color w:val="000000"/>
                <w:szCs w:val="20"/>
                <w:lang w:eastAsia="sl-SI"/>
              </w:rPr>
            </w:pPr>
            <w:r w:rsidRPr="00F44FA4">
              <w:rPr>
                <w:rFonts w:cs="Arial"/>
                <w:b/>
                <w:bCs/>
                <w:color w:val="000000"/>
                <w:szCs w:val="20"/>
                <w:lang w:eastAsia="sl-SI"/>
              </w:rPr>
              <w:t>C.07</w:t>
            </w:r>
          </w:p>
        </w:tc>
        <w:tc>
          <w:tcPr>
            <w:tcW w:w="1899" w:type="pct"/>
            <w:tcBorders>
              <w:top w:val="single" w:sz="4" w:space="0" w:color="auto"/>
              <w:left w:val="nil"/>
              <w:bottom w:val="single" w:sz="4" w:space="0" w:color="auto"/>
              <w:right w:val="single" w:sz="4" w:space="0" w:color="auto"/>
            </w:tcBorders>
            <w:shd w:val="clear" w:color="000000" w:fill="92D050"/>
            <w:noWrap/>
            <w:vAlign w:val="bottom"/>
            <w:hideMark/>
          </w:tcPr>
          <w:p w14:paraId="59108586" w14:textId="77777777" w:rsidR="006C63D5" w:rsidRPr="00F44FA4" w:rsidRDefault="006C63D5" w:rsidP="004167E8">
            <w:pPr>
              <w:rPr>
                <w:rFonts w:cs="Arial"/>
                <w:b/>
                <w:bCs/>
                <w:color w:val="000000"/>
                <w:szCs w:val="20"/>
                <w:lang w:eastAsia="sl-SI"/>
              </w:rPr>
            </w:pPr>
            <w:r w:rsidRPr="00F44FA4">
              <w:rPr>
                <w:rFonts w:cs="Arial"/>
                <w:b/>
                <w:bCs/>
                <w:color w:val="000000"/>
                <w:szCs w:val="20"/>
                <w:lang w:eastAsia="sl-SI"/>
              </w:rPr>
              <w:t>Stopnja brezposelnosti</w:t>
            </w:r>
          </w:p>
        </w:tc>
        <w:tc>
          <w:tcPr>
            <w:tcW w:w="471" w:type="pct"/>
            <w:tcBorders>
              <w:top w:val="single" w:sz="4" w:space="0" w:color="auto"/>
              <w:left w:val="nil"/>
              <w:bottom w:val="single" w:sz="4" w:space="0" w:color="auto"/>
              <w:right w:val="single" w:sz="4" w:space="0" w:color="auto"/>
            </w:tcBorders>
            <w:shd w:val="clear" w:color="000000" w:fill="92D050"/>
            <w:noWrap/>
            <w:vAlign w:val="center"/>
            <w:hideMark/>
          </w:tcPr>
          <w:p w14:paraId="69DF50C0" w14:textId="77777777" w:rsidR="006C63D5" w:rsidRPr="00F44FA4" w:rsidRDefault="006C63D5" w:rsidP="004167E8">
            <w:pPr>
              <w:jc w:val="center"/>
              <w:rPr>
                <w:rFonts w:cs="Arial"/>
                <w:b/>
                <w:bCs/>
                <w:color w:val="000000"/>
                <w:szCs w:val="20"/>
                <w:lang w:eastAsia="sl-SI"/>
              </w:rPr>
            </w:pPr>
            <w:r w:rsidRPr="00F44FA4">
              <w:rPr>
                <w:rFonts w:cs="Arial"/>
                <w:b/>
                <w:bCs/>
                <w:color w:val="000000"/>
                <w:szCs w:val="20"/>
                <w:lang w:eastAsia="sl-SI"/>
              </w:rPr>
              <w:t>2010</w:t>
            </w:r>
          </w:p>
        </w:tc>
        <w:tc>
          <w:tcPr>
            <w:tcW w:w="471" w:type="pct"/>
            <w:tcBorders>
              <w:top w:val="single" w:sz="4" w:space="0" w:color="auto"/>
              <w:left w:val="nil"/>
              <w:bottom w:val="single" w:sz="4" w:space="0" w:color="auto"/>
              <w:right w:val="single" w:sz="4" w:space="0" w:color="auto"/>
            </w:tcBorders>
            <w:shd w:val="clear" w:color="000000" w:fill="92D050"/>
            <w:noWrap/>
            <w:vAlign w:val="center"/>
            <w:hideMark/>
          </w:tcPr>
          <w:p w14:paraId="3729C53F" w14:textId="77777777" w:rsidR="006C63D5" w:rsidRPr="00F44FA4" w:rsidRDefault="006C63D5" w:rsidP="004167E8">
            <w:pPr>
              <w:jc w:val="center"/>
              <w:rPr>
                <w:rFonts w:cs="Arial"/>
                <w:b/>
                <w:bCs/>
                <w:color w:val="000000"/>
                <w:szCs w:val="20"/>
                <w:lang w:eastAsia="sl-SI"/>
              </w:rPr>
            </w:pPr>
            <w:r w:rsidRPr="00F44FA4">
              <w:rPr>
                <w:rFonts w:cs="Arial"/>
                <w:b/>
                <w:bCs/>
                <w:color w:val="000000"/>
                <w:szCs w:val="20"/>
                <w:lang w:eastAsia="sl-SI"/>
              </w:rPr>
              <w:t>2013</w:t>
            </w:r>
          </w:p>
        </w:tc>
        <w:tc>
          <w:tcPr>
            <w:tcW w:w="462" w:type="pct"/>
            <w:tcBorders>
              <w:top w:val="single" w:sz="4" w:space="0" w:color="auto"/>
              <w:left w:val="nil"/>
              <w:bottom w:val="single" w:sz="4" w:space="0" w:color="auto"/>
              <w:right w:val="single" w:sz="4" w:space="0" w:color="auto"/>
            </w:tcBorders>
            <w:shd w:val="clear" w:color="000000" w:fill="92D050"/>
            <w:noWrap/>
            <w:vAlign w:val="center"/>
            <w:hideMark/>
          </w:tcPr>
          <w:p w14:paraId="5880C027" w14:textId="77777777" w:rsidR="006C63D5" w:rsidRPr="00F44FA4" w:rsidRDefault="006C63D5" w:rsidP="004167E8">
            <w:pPr>
              <w:jc w:val="center"/>
              <w:rPr>
                <w:rFonts w:cs="Arial"/>
                <w:b/>
                <w:bCs/>
                <w:color w:val="000000"/>
                <w:szCs w:val="20"/>
                <w:lang w:eastAsia="sl-SI"/>
              </w:rPr>
            </w:pPr>
            <w:r w:rsidRPr="00F44FA4">
              <w:rPr>
                <w:rFonts w:cs="Arial"/>
                <w:b/>
                <w:bCs/>
                <w:color w:val="000000"/>
                <w:szCs w:val="20"/>
                <w:lang w:eastAsia="sl-SI"/>
              </w:rPr>
              <w:t>2016</w:t>
            </w:r>
          </w:p>
        </w:tc>
        <w:tc>
          <w:tcPr>
            <w:tcW w:w="462" w:type="pct"/>
            <w:tcBorders>
              <w:top w:val="single" w:sz="4" w:space="0" w:color="auto"/>
              <w:left w:val="nil"/>
              <w:bottom w:val="single" w:sz="4" w:space="0" w:color="auto"/>
              <w:right w:val="single" w:sz="4" w:space="0" w:color="auto"/>
            </w:tcBorders>
            <w:shd w:val="clear" w:color="000000" w:fill="92D050"/>
            <w:noWrap/>
            <w:vAlign w:val="center"/>
            <w:hideMark/>
          </w:tcPr>
          <w:p w14:paraId="5E586FD5" w14:textId="77777777" w:rsidR="006C63D5" w:rsidRPr="00F44FA4" w:rsidRDefault="006C63D5" w:rsidP="004167E8">
            <w:pPr>
              <w:jc w:val="center"/>
              <w:rPr>
                <w:rFonts w:cs="Arial"/>
                <w:b/>
                <w:bCs/>
                <w:color w:val="000000"/>
                <w:szCs w:val="20"/>
                <w:lang w:eastAsia="sl-SI"/>
              </w:rPr>
            </w:pPr>
            <w:r w:rsidRPr="00F44FA4">
              <w:rPr>
                <w:rFonts w:cs="Arial"/>
                <w:b/>
                <w:bCs/>
                <w:color w:val="000000"/>
                <w:szCs w:val="20"/>
                <w:lang w:eastAsia="sl-SI"/>
              </w:rPr>
              <w:t>2017</w:t>
            </w:r>
          </w:p>
        </w:tc>
        <w:tc>
          <w:tcPr>
            <w:tcW w:w="462" w:type="pct"/>
            <w:tcBorders>
              <w:top w:val="single" w:sz="4" w:space="0" w:color="auto"/>
              <w:left w:val="nil"/>
              <w:bottom w:val="single" w:sz="4" w:space="0" w:color="auto"/>
              <w:right w:val="single" w:sz="4" w:space="0" w:color="auto"/>
            </w:tcBorders>
            <w:shd w:val="clear" w:color="000000" w:fill="92D050"/>
            <w:noWrap/>
            <w:vAlign w:val="center"/>
            <w:hideMark/>
          </w:tcPr>
          <w:p w14:paraId="01C72C27" w14:textId="77777777" w:rsidR="006C63D5" w:rsidRPr="00F44FA4" w:rsidRDefault="006C63D5" w:rsidP="004167E8">
            <w:pPr>
              <w:jc w:val="center"/>
              <w:rPr>
                <w:rFonts w:cs="Arial"/>
                <w:b/>
                <w:bCs/>
                <w:color w:val="000000"/>
                <w:szCs w:val="20"/>
                <w:lang w:eastAsia="sl-SI"/>
              </w:rPr>
            </w:pPr>
            <w:r w:rsidRPr="00F44FA4">
              <w:rPr>
                <w:rFonts w:cs="Arial"/>
                <w:b/>
                <w:bCs/>
                <w:color w:val="000000"/>
                <w:szCs w:val="20"/>
                <w:lang w:eastAsia="sl-SI"/>
              </w:rPr>
              <w:t>2018</w:t>
            </w:r>
          </w:p>
        </w:tc>
        <w:tc>
          <w:tcPr>
            <w:tcW w:w="462" w:type="pct"/>
            <w:tcBorders>
              <w:top w:val="single" w:sz="4" w:space="0" w:color="auto"/>
              <w:left w:val="nil"/>
              <w:bottom w:val="single" w:sz="4" w:space="0" w:color="auto"/>
              <w:right w:val="single" w:sz="4" w:space="0" w:color="auto"/>
            </w:tcBorders>
            <w:shd w:val="clear" w:color="000000" w:fill="92D050"/>
            <w:noWrap/>
            <w:vAlign w:val="center"/>
            <w:hideMark/>
          </w:tcPr>
          <w:p w14:paraId="50F58B9D" w14:textId="77777777" w:rsidR="006C63D5" w:rsidRPr="00F44FA4" w:rsidRDefault="006C63D5" w:rsidP="004167E8">
            <w:pPr>
              <w:jc w:val="center"/>
              <w:rPr>
                <w:rFonts w:cs="Arial"/>
                <w:b/>
                <w:bCs/>
                <w:color w:val="000000"/>
                <w:szCs w:val="20"/>
                <w:lang w:eastAsia="sl-SI"/>
              </w:rPr>
            </w:pPr>
            <w:r w:rsidRPr="00F44FA4">
              <w:rPr>
                <w:rFonts w:cs="Arial"/>
                <w:b/>
                <w:bCs/>
                <w:color w:val="000000"/>
                <w:szCs w:val="20"/>
                <w:lang w:eastAsia="sl-SI"/>
              </w:rPr>
              <w:t>2019</w:t>
            </w:r>
          </w:p>
        </w:tc>
      </w:tr>
      <w:tr w:rsidR="006C63D5" w:rsidRPr="00F44FA4" w14:paraId="01A53DC2" w14:textId="77777777" w:rsidTr="008A25A9">
        <w:trPr>
          <w:trHeight w:val="600"/>
        </w:trPr>
        <w:tc>
          <w:tcPr>
            <w:tcW w:w="311" w:type="pct"/>
            <w:vMerge w:val="restart"/>
            <w:tcBorders>
              <w:top w:val="nil"/>
              <w:left w:val="single" w:sz="4" w:space="0" w:color="auto"/>
              <w:bottom w:val="single" w:sz="4" w:space="0" w:color="auto"/>
              <w:right w:val="single" w:sz="4" w:space="0" w:color="auto"/>
            </w:tcBorders>
            <w:shd w:val="clear" w:color="000000" w:fill="FFFFFF"/>
            <w:noWrap/>
            <w:vAlign w:val="bottom"/>
            <w:hideMark/>
          </w:tcPr>
          <w:p w14:paraId="6D6FE1A1" w14:textId="77777777" w:rsidR="006C63D5" w:rsidRPr="00F44FA4" w:rsidRDefault="006C63D5" w:rsidP="004167E8">
            <w:pPr>
              <w:rPr>
                <w:rFonts w:cs="Arial"/>
                <w:color w:val="000000"/>
                <w:szCs w:val="20"/>
                <w:lang w:eastAsia="sl-SI"/>
              </w:rPr>
            </w:pPr>
            <w:r w:rsidRPr="00F44FA4">
              <w:rPr>
                <w:rFonts w:cs="Arial"/>
                <w:color w:val="000000"/>
                <w:szCs w:val="20"/>
                <w:lang w:eastAsia="sl-SI"/>
              </w:rPr>
              <w:t> </w:t>
            </w:r>
          </w:p>
        </w:tc>
        <w:tc>
          <w:tcPr>
            <w:tcW w:w="1899" w:type="pct"/>
            <w:tcBorders>
              <w:top w:val="nil"/>
              <w:left w:val="nil"/>
              <w:bottom w:val="single" w:sz="4" w:space="0" w:color="auto"/>
              <w:right w:val="single" w:sz="4" w:space="0" w:color="auto"/>
            </w:tcBorders>
            <w:shd w:val="clear" w:color="000000" w:fill="FFFFFF"/>
            <w:vAlign w:val="bottom"/>
            <w:hideMark/>
          </w:tcPr>
          <w:p w14:paraId="782FDCF0" w14:textId="18F51CF1" w:rsidR="006C63D5" w:rsidRPr="00F44FA4" w:rsidRDefault="006C63D5" w:rsidP="004167E8">
            <w:pPr>
              <w:rPr>
                <w:rFonts w:cs="Arial"/>
                <w:color w:val="000000"/>
                <w:szCs w:val="20"/>
                <w:lang w:eastAsia="sl-SI"/>
              </w:rPr>
            </w:pPr>
            <w:r w:rsidRPr="00F44FA4">
              <w:rPr>
                <w:rFonts w:cs="Arial"/>
                <w:color w:val="000000"/>
                <w:szCs w:val="20"/>
                <w:lang w:eastAsia="sl-SI"/>
              </w:rPr>
              <w:t>Stopnja brezpose</w:t>
            </w:r>
            <w:r w:rsidR="00EF2850">
              <w:rPr>
                <w:rFonts w:cs="Arial"/>
                <w:color w:val="000000"/>
                <w:szCs w:val="20"/>
                <w:lang w:eastAsia="sl-SI"/>
              </w:rPr>
              <w:t>l</w:t>
            </w:r>
            <w:r w:rsidRPr="00F44FA4">
              <w:rPr>
                <w:rFonts w:cs="Arial"/>
                <w:color w:val="000000"/>
                <w:szCs w:val="20"/>
                <w:lang w:eastAsia="sl-SI"/>
              </w:rPr>
              <w:t>nosti za starostno skupino 15-74 let - podeželske regije</w:t>
            </w:r>
          </w:p>
        </w:tc>
        <w:tc>
          <w:tcPr>
            <w:tcW w:w="471" w:type="pct"/>
            <w:tcBorders>
              <w:top w:val="nil"/>
              <w:left w:val="nil"/>
              <w:bottom w:val="single" w:sz="4" w:space="0" w:color="auto"/>
              <w:right w:val="single" w:sz="4" w:space="0" w:color="auto"/>
            </w:tcBorders>
            <w:shd w:val="clear" w:color="000000" w:fill="FFFFFF"/>
            <w:noWrap/>
            <w:vAlign w:val="center"/>
            <w:hideMark/>
          </w:tcPr>
          <w:p w14:paraId="5F3BE257"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6,61</w:t>
            </w:r>
          </w:p>
        </w:tc>
        <w:tc>
          <w:tcPr>
            <w:tcW w:w="471" w:type="pct"/>
            <w:tcBorders>
              <w:top w:val="nil"/>
              <w:left w:val="nil"/>
              <w:bottom w:val="single" w:sz="4" w:space="0" w:color="auto"/>
              <w:right w:val="single" w:sz="4" w:space="0" w:color="auto"/>
            </w:tcBorders>
            <w:shd w:val="clear" w:color="auto" w:fill="auto"/>
            <w:noWrap/>
            <w:vAlign w:val="center"/>
            <w:hideMark/>
          </w:tcPr>
          <w:p w14:paraId="176706E3"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9,77</w:t>
            </w:r>
          </w:p>
        </w:tc>
        <w:tc>
          <w:tcPr>
            <w:tcW w:w="462" w:type="pct"/>
            <w:tcBorders>
              <w:top w:val="nil"/>
              <w:left w:val="nil"/>
              <w:bottom w:val="single" w:sz="4" w:space="0" w:color="auto"/>
              <w:right w:val="single" w:sz="4" w:space="0" w:color="auto"/>
            </w:tcBorders>
            <w:shd w:val="clear" w:color="auto" w:fill="auto"/>
            <w:noWrap/>
            <w:vAlign w:val="center"/>
            <w:hideMark/>
          </w:tcPr>
          <w:p w14:paraId="667FFFCA"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7,21</w:t>
            </w:r>
          </w:p>
        </w:tc>
        <w:tc>
          <w:tcPr>
            <w:tcW w:w="462" w:type="pct"/>
            <w:tcBorders>
              <w:top w:val="nil"/>
              <w:left w:val="nil"/>
              <w:bottom w:val="single" w:sz="4" w:space="0" w:color="auto"/>
              <w:right w:val="single" w:sz="4" w:space="0" w:color="auto"/>
            </w:tcBorders>
            <w:shd w:val="clear" w:color="000000" w:fill="FFFFFF"/>
            <w:noWrap/>
            <w:vAlign w:val="center"/>
            <w:hideMark/>
          </w:tcPr>
          <w:p w14:paraId="5784D39B"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5,92</w:t>
            </w:r>
          </w:p>
        </w:tc>
        <w:tc>
          <w:tcPr>
            <w:tcW w:w="462" w:type="pct"/>
            <w:tcBorders>
              <w:top w:val="nil"/>
              <w:left w:val="nil"/>
              <w:bottom w:val="single" w:sz="4" w:space="0" w:color="auto"/>
              <w:right w:val="single" w:sz="4" w:space="0" w:color="auto"/>
            </w:tcBorders>
            <w:shd w:val="clear" w:color="000000" w:fill="FFFFFF"/>
            <w:noWrap/>
            <w:vAlign w:val="center"/>
            <w:hideMark/>
          </w:tcPr>
          <w:p w14:paraId="1DB6B861"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4,60</w:t>
            </w:r>
          </w:p>
        </w:tc>
        <w:tc>
          <w:tcPr>
            <w:tcW w:w="462" w:type="pct"/>
            <w:tcBorders>
              <w:top w:val="nil"/>
              <w:left w:val="nil"/>
              <w:bottom w:val="single" w:sz="4" w:space="0" w:color="auto"/>
              <w:right w:val="single" w:sz="4" w:space="0" w:color="auto"/>
            </w:tcBorders>
            <w:shd w:val="clear" w:color="000000" w:fill="FFFFFF"/>
            <w:noWrap/>
            <w:vAlign w:val="center"/>
            <w:hideMark/>
          </w:tcPr>
          <w:p w14:paraId="05CC1744"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4,35</w:t>
            </w:r>
          </w:p>
        </w:tc>
      </w:tr>
      <w:tr w:rsidR="006C63D5" w:rsidRPr="00F44FA4" w14:paraId="6E4F85EA" w14:textId="77777777" w:rsidTr="008A25A9">
        <w:trPr>
          <w:trHeight w:val="600"/>
        </w:trPr>
        <w:tc>
          <w:tcPr>
            <w:tcW w:w="311" w:type="pct"/>
            <w:vMerge/>
            <w:tcBorders>
              <w:top w:val="nil"/>
              <w:left w:val="single" w:sz="4" w:space="0" w:color="auto"/>
              <w:bottom w:val="single" w:sz="4" w:space="0" w:color="auto"/>
              <w:right w:val="single" w:sz="4" w:space="0" w:color="auto"/>
            </w:tcBorders>
            <w:vAlign w:val="center"/>
            <w:hideMark/>
          </w:tcPr>
          <w:p w14:paraId="3B3EFBD7" w14:textId="77777777" w:rsidR="006C63D5" w:rsidRPr="00F44FA4" w:rsidRDefault="006C63D5" w:rsidP="004167E8">
            <w:pPr>
              <w:rPr>
                <w:rFonts w:cs="Arial"/>
                <w:color w:val="000000"/>
                <w:szCs w:val="20"/>
                <w:lang w:eastAsia="sl-SI"/>
              </w:rPr>
            </w:pPr>
          </w:p>
        </w:tc>
        <w:tc>
          <w:tcPr>
            <w:tcW w:w="1899" w:type="pct"/>
            <w:tcBorders>
              <w:top w:val="nil"/>
              <w:left w:val="nil"/>
              <w:bottom w:val="single" w:sz="4" w:space="0" w:color="auto"/>
              <w:right w:val="single" w:sz="4" w:space="0" w:color="auto"/>
            </w:tcBorders>
            <w:shd w:val="clear" w:color="000000" w:fill="FFFFFF"/>
            <w:vAlign w:val="bottom"/>
            <w:hideMark/>
          </w:tcPr>
          <w:p w14:paraId="7A504211" w14:textId="7C68AAE4" w:rsidR="006C63D5" w:rsidRPr="00F44FA4" w:rsidRDefault="006C63D5" w:rsidP="004167E8">
            <w:pPr>
              <w:rPr>
                <w:rFonts w:cs="Arial"/>
                <w:color w:val="000000"/>
                <w:szCs w:val="20"/>
                <w:lang w:eastAsia="sl-SI"/>
              </w:rPr>
            </w:pPr>
            <w:r w:rsidRPr="00F44FA4">
              <w:rPr>
                <w:rFonts w:cs="Arial"/>
                <w:color w:val="000000"/>
                <w:szCs w:val="20"/>
                <w:lang w:eastAsia="sl-SI"/>
              </w:rPr>
              <w:t>Stopnja brezpose</w:t>
            </w:r>
            <w:r w:rsidR="00EF2850">
              <w:rPr>
                <w:rFonts w:cs="Arial"/>
                <w:color w:val="000000"/>
                <w:szCs w:val="20"/>
                <w:lang w:eastAsia="sl-SI"/>
              </w:rPr>
              <w:t>l</w:t>
            </w:r>
            <w:r w:rsidRPr="00F44FA4">
              <w:rPr>
                <w:rFonts w:cs="Arial"/>
                <w:color w:val="000000"/>
                <w:szCs w:val="20"/>
                <w:lang w:eastAsia="sl-SI"/>
              </w:rPr>
              <w:t>nosti za starostno skupino 15-74 let - skupaj</w:t>
            </w:r>
          </w:p>
        </w:tc>
        <w:tc>
          <w:tcPr>
            <w:tcW w:w="471" w:type="pct"/>
            <w:tcBorders>
              <w:top w:val="nil"/>
              <w:left w:val="nil"/>
              <w:bottom w:val="single" w:sz="4" w:space="0" w:color="auto"/>
              <w:right w:val="single" w:sz="4" w:space="0" w:color="auto"/>
            </w:tcBorders>
            <w:shd w:val="clear" w:color="000000" w:fill="FFFFFF"/>
            <w:noWrap/>
            <w:vAlign w:val="center"/>
            <w:hideMark/>
          </w:tcPr>
          <w:p w14:paraId="74037F1B"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7,28</w:t>
            </w:r>
          </w:p>
        </w:tc>
        <w:tc>
          <w:tcPr>
            <w:tcW w:w="471" w:type="pct"/>
            <w:tcBorders>
              <w:top w:val="nil"/>
              <w:left w:val="nil"/>
              <w:bottom w:val="single" w:sz="4" w:space="0" w:color="auto"/>
              <w:right w:val="single" w:sz="4" w:space="0" w:color="auto"/>
            </w:tcBorders>
            <w:shd w:val="clear" w:color="auto" w:fill="auto"/>
            <w:noWrap/>
            <w:vAlign w:val="center"/>
            <w:hideMark/>
          </w:tcPr>
          <w:p w14:paraId="4530359B"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10,14</w:t>
            </w:r>
          </w:p>
        </w:tc>
        <w:tc>
          <w:tcPr>
            <w:tcW w:w="462" w:type="pct"/>
            <w:tcBorders>
              <w:top w:val="nil"/>
              <w:left w:val="nil"/>
              <w:bottom w:val="single" w:sz="4" w:space="0" w:color="auto"/>
              <w:right w:val="single" w:sz="4" w:space="0" w:color="auto"/>
            </w:tcBorders>
            <w:shd w:val="clear" w:color="auto" w:fill="auto"/>
            <w:noWrap/>
            <w:vAlign w:val="center"/>
            <w:hideMark/>
          </w:tcPr>
          <w:p w14:paraId="65854C74"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8,02</w:t>
            </w:r>
          </w:p>
        </w:tc>
        <w:tc>
          <w:tcPr>
            <w:tcW w:w="462" w:type="pct"/>
            <w:tcBorders>
              <w:top w:val="nil"/>
              <w:left w:val="nil"/>
              <w:bottom w:val="single" w:sz="4" w:space="0" w:color="auto"/>
              <w:right w:val="single" w:sz="4" w:space="0" w:color="auto"/>
            </w:tcBorders>
            <w:shd w:val="clear" w:color="000000" w:fill="FFFFFF"/>
            <w:noWrap/>
            <w:vAlign w:val="center"/>
            <w:hideMark/>
          </w:tcPr>
          <w:p w14:paraId="45D2F37A"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6,59</w:t>
            </w:r>
          </w:p>
        </w:tc>
        <w:tc>
          <w:tcPr>
            <w:tcW w:w="462" w:type="pct"/>
            <w:tcBorders>
              <w:top w:val="nil"/>
              <w:left w:val="nil"/>
              <w:bottom w:val="single" w:sz="4" w:space="0" w:color="auto"/>
              <w:right w:val="single" w:sz="4" w:space="0" w:color="auto"/>
            </w:tcBorders>
            <w:shd w:val="clear" w:color="000000" w:fill="FFFFFF"/>
            <w:noWrap/>
            <w:vAlign w:val="center"/>
            <w:hideMark/>
          </w:tcPr>
          <w:p w14:paraId="48D37A65"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5,13</w:t>
            </w:r>
          </w:p>
        </w:tc>
        <w:tc>
          <w:tcPr>
            <w:tcW w:w="462" w:type="pct"/>
            <w:tcBorders>
              <w:top w:val="nil"/>
              <w:left w:val="nil"/>
              <w:bottom w:val="single" w:sz="4" w:space="0" w:color="auto"/>
              <w:right w:val="single" w:sz="4" w:space="0" w:color="auto"/>
            </w:tcBorders>
            <w:shd w:val="clear" w:color="000000" w:fill="FFFFFF"/>
            <w:noWrap/>
            <w:vAlign w:val="center"/>
            <w:hideMark/>
          </w:tcPr>
          <w:p w14:paraId="740B3DD2"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4,45</w:t>
            </w:r>
          </w:p>
        </w:tc>
      </w:tr>
      <w:tr w:rsidR="006C63D5" w:rsidRPr="00F44FA4" w14:paraId="42586320" w14:textId="77777777" w:rsidTr="008A25A9">
        <w:trPr>
          <w:trHeight w:val="600"/>
        </w:trPr>
        <w:tc>
          <w:tcPr>
            <w:tcW w:w="311" w:type="pct"/>
            <w:vMerge/>
            <w:tcBorders>
              <w:top w:val="nil"/>
              <w:left w:val="single" w:sz="4" w:space="0" w:color="auto"/>
              <w:bottom w:val="single" w:sz="4" w:space="0" w:color="auto"/>
              <w:right w:val="single" w:sz="4" w:space="0" w:color="auto"/>
            </w:tcBorders>
            <w:vAlign w:val="center"/>
            <w:hideMark/>
          </w:tcPr>
          <w:p w14:paraId="7BD1601C" w14:textId="77777777" w:rsidR="006C63D5" w:rsidRPr="00F44FA4" w:rsidRDefault="006C63D5" w:rsidP="004167E8">
            <w:pPr>
              <w:rPr>
                <w:rFonts w:cs="Arial"/>
                <w:color w:val="000000"/>
                <w:szCs w:val="20"/>
                <w:lang w:eastAsia="sl-SI"/>
              </w:rPr>
            </w:pPr>
          </w:p>
        </w:tc>
        <w:tc>
          <w:tcPr>
            <w:tcW w:w="1899" w:type="pct"/>
            <w:tcBorders>
              <w:top w:val="nil"/>
              <w:left w:val="nil"/>
              <w:bottom w:val="single" w:sz="4" w:space="0" w:color="auto"/>
              <w:right w:val="single" w:sz="4" w:space="0" w:color="auto"/>
            </w:tcBorders>
            <w:shd w:val="clear" w:color="000000" w:fill="FFFFFF"/>
            <w:vAlign w:val="bottom"/>
            <w:hideMark/>
          </w:tcPr>
          <w:p w14:paraId="2A6106FD" w14:textId="74B2CB0E" w:rsidR="006C63D5" w:rsidRPr="00F44FA4" w:rsidRDefault="006C63D5" w:rsidP="004167E8">
            <w:pPr>
              <w:rPr>
                <w:rFonts w:cs="Arial"/>
                <w:color w:val="000000"/>
                <w:szCs w:val="20"/>
                <w:lang w:eastAsia="sl-SI"/>
              </w:rPr>
            </w:pPr>
            <w:r w:rsidRPr="00F44FA4">
              <w:rPr>
                <w:rFonts w:cs="Arial"/>
                <w:color w:val="000000"/>
                <w:szCs w:val="20"/>
                <w:lang w:eastAsia="sl-SI"/>
              </w:rPr>
              <w:t>Stopnja brezpose</w:t>
            </w:r>
            <w:r w:rsidR="00EF2850">
              <w:rPr>
                <w:rFonts w:cs="Arial"/>
                <w:color w:val="000000"/>
                <w:szCs w:val="20"/>
                <w:lang w:eastAsia="sl-SI"/>
              </w:rPr>
              <w:t>l</w:t>
            </w:r>
            <w:r w:rsidRPr="00F44FA4">
              <w:rPr>
                <w:rFonts w:cs="Arial"/>
                <w:color w:val="000000"/>
                <w:szCs w:val="20"/>
                <w:lang w:eastAsia="sl-SI"/>
              </w:rPr>
              <w:t>nosti mladih (za starostno skupino 15-24) - podeželske regije</w:t>
            </w:r>
          </w:p>
        </w:tc>
        <w:tc>
          <w:tcPr>
            <w:tcW w:w="471" w:type="pct"/>
            <w:tcBorders>
              <w:top w:val="nil"/>
              <w:left w:val="nil"/>
              <w:bottom w:val="single" w:sz="4" w:space="0" w:color="auto"/>
              <w:right w:val="single" w:sz="4" w:space="0" w:color="auto"/>
            </w:tcBorders>
            <w:shd w:val="clear" w:color="000000" w:fill="FFFFFF"/>
            <w:noWrap/>
            <w:vAlign w:val="center"/>
            <w:hideMark/>
          </w:tcPr>
          <w:p w14:paraId="6755D247"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12,53</w:t>
            </w:r>
          </w:p>
        </w:tc>
        <w:tc>
          <w:tcPr>
            <w:tcW w:w="471" w:type="pct"/>
            <w:tcBorders>
              <w:top w:val="nil"/>
              <w:left w:val="nil"/>
              <w:bottom w:val="single" w:sz="4" w:space="0" w:color="auto"/>
              <w:right w:val="single" w:sz="4" w:space="0" w:color="auto"/>
            </w:tcBorders>
            <w:shd w:val="clear" w:color="auto" w:fill="auto"/>
            <w:noWrap/>
            <w:vAlign w:val="center"/>
            <w:hideMark/>
          </w:tcPr>
          <w:p w14:paraId="6270DABD"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21,07</w:t>
            </w:r>
          </w:p>
        </w:tc>
        <w:tc>
          <w:tcPr>
            <w:tcW w:w="462" w:type="pct"/>
            <w:tcBorders>
              <w:top w:val="nil"/>
              <w:left w:val="nil"/>
              <w:bottom w:val="single" w:sz="4" w:space="0" w:color="auto"/>
              <w:right w:val="single" w:sz="4" w:space="0" w:color="auto"/>
            </w:tcBorders>
            <w:shd w:val="clear" w:color="auto" w:fill="auto"/>
            <w:noWrap/>
            <w:vAlign w:val="center"/>
            <w:hideMark/>
          </w:tcPr>
          <w:p w14:paraId="1E84628C"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12,02</w:t>
            </w:r>
          </w:p>
        </w:tc>
        <w:tc>
          <w:tcPr>
            <w:tcW w:w="462" w:type="pct"/>
            <w:tcBorders>
              <w:top w:val="nil"/>
              <w:left w:val="nil"/>
              <w:bottom w:val="single" w:sz="4" w:space="0" w:color="auto"/>
              <w:right w:val="single" w:sz="4" w:space="0" w:color="auto"/>
            </w:tcBorders>
            <w:shd w:val="clear" w:color="000000" w:fill="FFFFFF"/>
            <w:noWrap/>
            <w:vAlign w:val="center"/>
            <w:hideMark/>
          </w:tcPr>
          <w:p w14:paraId="57C55F30"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9,80</w:t>
            </w:r>
          </w:p>
        </w:tc>
        <w:tc>
          <w:tcPr>
            <w:tcW w:w="462" w:type="pct"/>
            <w:tcBorders>
              <w:top w:val="nil"/>
              <w:left w:val="nil"/>
              <w:bottom w:val="single" w:sz="4" w:space="0" w:color="auto"/>
              <w:right w:val="single" w:sz="4" w:space="0" w:color="auto"/>
            </w:tcBorders>
            <w:shd w:val="clear" w:color="000000" w:fill="FFFFFF"/>
            <w:noWrap/>
            <w:vAlign w:val="center"/>
            <w:hideMark/>
          </w:tcPr>
          <w:p w14:paraId="49E19578"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7,74</w:t>
            </w:r>
          </w:p>
        </w:tc>
        <w:tc>
          <w:tcPr>
            <w:tcW w:w="462" w:type="pct"/>
            <w:tcBorders>
              <w:top w:val="nil"/>
              <w:left w:val="nil"/>
              <w:bottom w:val="single" w:sz="4" w:space="0" w:color="auto"/>
              <w:right w:val="single" w:sz="4" w:space="0" w:color="auto"/>
            </w:tcBorders>
            <w:shd w:val="clear" w:color="000000" w:fill="FFFFFF"/>
            <w:noWrap/>
            <w:vAlign w:val="center"/>
            <w:hideMark/>
          </w:tcPr>
          <w:p w14:paraId="6E2FFF0C"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7,18</w:t>
            </w:r>
          </w:p>
        </w:tc>
      </w:tr>
      <w:tr w:rsidR="006C63D5" w:rsidRPr="00F44FA4" w14:paraId="74909CDD" w14:textId="77777777" w:rsidTr="008A25A9">
        <w:trPr>
          <w:trHeight w:val="600"/>
        </w:trPr>
        <w:tc>
          <w:tcPr>
            <w:tcW w:w="311" w:type="pct"/>
            <w:vMerge/>
            <w:tcBorders>
              <w:top w:val="nil"/>
              <w:left w:val="single" w:sz="4" w:space="0" w:color="auto"/>
              <w:bottom w:val="single" w:sz="4" w:space="0" w:color="auto"/>
              <w:right w:val="single" w:sz="4" w:space="0" w:color="auto"/>
            </w:tcBorders>
            <w:vAlign w:val="center"/>
            <w:hideMark/>
          </w:tcPr>
          <w:p w14:paraId="53DF8E87" w14:textId="77777777" w:rsidR="006C63D5" w:rsidRPr="00F44FA4" w:rsidRDefault="006C63D5" w:rsidP="004167E8">
            <w:pPr>
              <w:rPr>
                <w:rFonts w:cs="Arial"/>
                <w:color w:val="000000"/>
                <w:szCs w:val="20"/>
                <w:lang w:eastAsia="sl-SI"/>
              </w:rPr>
            </w:pPr>
          </w:p>
        </w:tc>
        <w:tc>
          <w:tcPr>
            <w:tcW w:w="1899" w:type="pct"/>
            <w:tcBorders>
              <w:top w:val="nil"/>
              <w:left w:val="nil"/>
              <w:bottom w:val="single" w:sz="4" w:space="0" w:color="auto"/>
              <w:right w:val="single" w:sz="4" w:space="0" w:color="auto"/>
            </w:tcBorders>
            <w:shd w:val="clear" w:color="000000" w:fill="FFFFFF"/>
            <w:vAlign w:val="bottom"/>
            <w:hideMark/>
          </w:tcPr>
          <w:p w14:paraId="426BAAF5" w14:textId="694EB0EF" w:rsidR="006C63D5" w:rsidRPr="00F44FA4" w:rsidRDefault="006C63D5" w:rsidP="004167E8">
            <w:pPr>
              <w:rPr>
                <w:rFonts w:cs="Arial"/>
                <w:color w:val="000000"/>
                <w:szCs w:val="20"/>
                <w:lang w:eastAsia="sl-SI"/>
              </w:rPr>
            </w:pPr>
            <w:r w:rsidRPr="00F44FA4">
              <w:rPr>
                <w:rFonts w:cs="Arial"/>
                <w:color w:val="000000"/>
                <w:szCs w:val="20"/>
                <w:lang w:eastAsia="sl-SI"/>
              </w:rPr>
              <w:t>Stopnja brezpose</w:t>
            </w:r>
            <w:r w:rsidR="00EF2850">
              <w:rPr>
                <w:rFonts w:cs="Arial"/>
                <w:color w:val="000000"/>
                <w:szCs w:val="20"/>
                <w:lang w:eastAsia="sl-SI"/>
              </w:rPr>
              <w:t>l</w:t>
            </w:r>
            <w:r w:rsidRPr="00F44FA4">
              <w:rPr>
                <w:rFonts w:cs="Arial"/>
                <w:color w:val="000000"/>
                <w:szCs w:val="20"/>
                <w:lang w:eastAsia="sl-SI"/>
              </w:rPr>
              <w:t>nosti mladih (za starostno skupino 15-24) - skupaj</w:t>
            </w:r>
          </w:p>
        </w:tc>
        <w:tc>
          <w:tcPr>
            <w:tcW w:w="471" w:type="pct"/>
            <w:tcBorders>
              <w:top w:val="nil"/>
              <w:left w:val="nil"/>
              <w:bottom w:val="single" w:sz="4" w:space="0" w:color="auto"/>
              <w:right w:val="single" w:sz="4" w:space="0" w:color="auto"/>
            </w:tcBorders>
            <w:shd w:val="clear" w:color="000000" w:fill="FFFFFF"/>
            <w:noWrap/>
            <w:vAlign w:val="center"/>
            <w:hideMark/>
          </w:tcPr>
          <w:p w14:paraId="378A51A5"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14,63</w:t>
            </w:r>
          </w:p>
        </w:tc>
        <w:tc>
          <w:tcPr>
            <w:tcW w:w="471" w:type="pct"/>
            <w:tcBorders>
              <w:top w:val="nil"/>
              <w:left w:val="nil"/>
              <w:bottom w:val="single" w:sz="4" w:space="0" w:color="auto"/>
              <w:right w:val="single" w:sz="4" w:space="0" w:color="auto"/>
            </w:tcBorders>
            <w:shd w:val="clear" w:color="auto" w:fill="auto"/>
            <w:noWrap/>
            <w:vAlign w:val="center"/>
            <w:hideMark/>
          </w:tcPr>
          <w:p w14:paraId="506AFC36"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21,60</w:t>
            </w:r>
          </w:p>
        </w:tc>
        <w:tc>
          <w:tcPr>
            <w:tcW w:w="462" w:type="pct"/>
            <w:tcBorders>
              <w:top w:val="nil"/>
              <w:left w:val="nil"/>
              <w:bottom w:val="single" w:sz="4" w:space="0" w:color="auto"/>
              <w:right w:val="single" w:sz="4" w:space="0" w:color="auto"/>
            </w:tcBorders>
            <w:shd w:val="clear" w:color="auto" w:fill="auto"/>
            <w:noWrap/>
            <w:vAlign w:val="center"/>
            <w:hideMark/>
          </w:tcPr>
          <w:p w14:paraId="335A7238"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15,17</w:t>
            </w:r>
          </w:p>
        </w:tc>
        <w:tc>
          <w:tcPr>
            <w:tcW w:w="462" w:type="pct"/>
            <w:tcBorders>
              <w:top w:val="nil"/>
              <w:left w:val="nil"/>
              <w:bottom w:val="single" w:sz="4" w:space="0" w:color="auto"/>
              <w:right w:val="single" w:sz="4" w:space="0" w:color="auto"/>
            </w:tcBorders>
            <w:shd w:val="clear" w:color="000000" w:fill="FFFFFF"/>
            <w:noWrap/>
            <w:vAlign w:val="center"/>
            <w:hideMark/>
          </w:tcPr>
          <w:p w14:paraId="2FDC9693"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11,27</w:t>
            </w:r>
          </w:p>
        </w:tc>
        <w:tc>
          <w:tcPr>
            <w:tcW w:w="462" w:type="pct"/>
            <w:tcBorders>
              <w:top w:val="nil"/>
              <w:left w:val="nil"/>
              <w:bottom w:val="single" w:sz="4" w:space="0" w:color="auto"/>
              <w:right w:val="single" w:sz="4" w:space="0" w:color="auto"/>
            </w:tcBorders>
            <w:shd w:val="clear" w:color="000000" w:fill="FFFFFF"/>
            <w:noWrap/>
            <w:vAlign w:val="center"/>
            <w:hideMark/>
          </w:tcPr>
          <w:p w14:paraId="3C896323"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8,81</w:t>
            </w:r>
          </w:p>
        </w:tc>
        <w:tc>
          <w:tcPr>
            <w:tcW w:w="462" w:type="pct"/>
            <w:tcBorders>
              <w:top w:val="nil"/>
              <w:left w:val="nil"/>
              <w:bottom w:val="single" w:sz="4" w:space="0" w:color="auto"/>
              <w:right w:val="single" w:sz="4" w:space="0" w:color="auto"/>
            </w:tcBorders>
            <w:shd w:val="clear" w:color="000000" w:fill="FFFFFF"/>
            <w:noWrap/>
            <w:vAlign w:val="center"/>
            <w:hideMark/>
          </w:tcPr>
          <w:p w14:paraId="7DAD1878"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8,19</w:t>
            </w:r>
          </w:p>
        </w:tc>
      </w:tr>
    </w:tbl>
    <w:p w14:paraId="2FCA8C35" w14:textId="51ABC558" w:rsidR="00F15E56" w:rsidRDefault="00F15E56" w:rsidP="00F15E56">
      <w:pPr>
        <w:spacing w:before="120" w:after="240" w:line="264" w:lineRule="auto"/>
        <w:rPr>
          <w:rFonts w:cs="Arial"/>
          <w:bCs/>
          <w:i/>
          <w:szCs w:val="20"/>
        </w:rPr>
      </w:pPr>
      <w:r>
        <w:rPr>
          <w:rFonts w:eastAsia="Arial" w:cs="Arial"/>
          <w:bCs/>
          <w:sz w:val="16"/>
          <w:szCs w:val="16"/>
        </w:rPr>
        <w:t xml:space="preserve">Vir: </w:t>
      </w:r>
      <w:proofErr w:type="spellStart"/>
      <w:r w:rsidRPr="004629B1">
        <w:rPr>
          <w:rFonts w:eastAsia="Calibri"/>
          <w:sz w:val="16"/>
          <w:szCs w:val="16"/>
        </w:rPr>
        <w:t>Dashboard</w:t>
      </w:r>
      <w:proofErr w:type="spellEnd"/>
      <w:r w:rsidRPr="004629B1">
        <w:rPr>
          <w:rFonts w:eastAsia="Calibri"/>
          <w:sz w:val="16"/>
          <w:szCs w:val="16"/>
        </w:rPr>
        <w:t xml:space="preserve"> </w:t>
      </w:r>
      <w:proofErr w:type="spellStart"/>
      <w:r w:rsidRPr="004629B1">
        <w:rPr>
          <w:rFonts w:eastAsia="Calibri"/>
          <w:sz w:val="16"/>
          <w:szCs w:val="16"/>
        </w:rPr>
        <w:t>Indicators</w:t>
      </w:r>
      <w:proofErr w:type="spellEnd"/>
      <w:r w:rsidRPr="004629B1">
        <w:rPr>
          <w:rFonts w:cs="Arial"/>
          <w:sz w:val="16"/>
          <w:szCs w:val="16"/>
        </w:rPr>
        <w:t xml:space="preserve"> </w:t>
      </w:r>
      <w:r w:rsidRPr="004629B1">
        <w:rPr>
          <w:rFonts w:eastAsia="Arial" w:cs="Arial"/>
          <w:bCs/>
          <w:sz w:val="16"/>
          <w:szCs w:val="16"/>
        </w:rPr>
        <w:t>https://gridata.ec.europa.eu/extensions/DashboardIndicators/DataExplorer.html?select=EU27_FLAG,1)</w:t>
      </w:r>
      <w:r w:rsidRPr="00826383" w:rsidDel="0048003A">
        <w:rPr>
          <w:rFonts w:cs="Arial"/>
          <w:bCs/>
          <w:i/>
          <w:szCs w:val="20"/>
        </w:rPr>
        <w:t xml:space="preserve"> </w:t>
      </w:r>
    </w:p>
    <w:p w14:paraId="57F3D7AD" w14:textId="77777777" w:rsidR="008A25A9" w:rsidRDefault="008A25A9" w:rsidP="005A6936">
      <w:pPr>
        <w:pStyle w:val="SCslika"/>
      </w:pPr>
    </w:p>
    <w:p w14:paraId="6DDA35A6" w14:textId="0BCBBF7A" w:rsidR="006D3E6B" w:rsidRDefault="005A6936" w:rsidP="00C473E5">
      <w:pPr>
        <w:pStyle w:val="SCslika"/>
        <w:jc w:val="left"/>
        <w:rPr>
          <w:szCs w:val="20"/>
        </w:rPr>
      </w:pPr>
      <w:bookmarkStart w:id="40" w:name="_Toc55913758"/>
      <w:r w:rsidRPr="003D6FF8">
        <w:t xml:space="preserve">Slika </w:t>
      </w:r>
      <w:r w:rsidR="007A077E">
        <w:fldChar w:fldCharType="begin"/>
      </w:r>
      <w:r w:rsidR="007A077E">
        <w:instrText xml:space="preserve"> SEQ Slika \* ARABIC </w:instrText>
      </w:r>
      <w:r w:rsidR="007A077E">
        <w:fldChar w:fldCharType="separate"/>
      </w:r>
      <w:r w:rsidR="0040635C">
        <w:t>7</w:t>
      </w:r>
      <w:r w:rsidR="007A077E">
        <w:fldChar w:fldCharType="end"/>
      </w:r>
      <w:r w:rsidRPr="003D6FF8">
        <w:t>: Stopnja brezposelnosti po letih v RS in na podeželju</w:t>
      </w:r>
      <w:r w:rsidR="006C63D5" w:rsidRPr="00041B20">
        <w:drawing>
          <wp:inline distT="0" distB="0" distL="0" distR="0" wp14:anchorId="74F858AD" wp14:editId="766ED550">
            <wp:extent cx="5760720" cy="1809750"/>
            <wp:effectExtent l="0" t="0" r="11430" b="0"/>
            <wp:docPr id="1631865540" name="Grafikon 16318655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40"/>
    </w:p>
    <w:p w14:paraId="72992666" w14:textId="77777777" w:rsidR="00C473E5" w:rsidRDefault="00C473E5" w:rsidP="00AD76B1">
      <w:pPr>
        <w:spacing w:after="240" w:line="360" w:lineRule="auto"/>
        <w:jc w:val="both"/>
        <w:rPr>
          <w:rFonts w:cs="Arial"/>
          <w:szCs w:val="20"/>
        </w:rPr>
      </w:pPr>
    </w:p>
    <w:p w14:paraId="07A2574D" w14:textId="33A596DB" w:rsidR="006C63D5" w:rsidRPr="00AD76B1" w:rsidRDefault="006C63D5" w:rsidP="00AD76B1">
      <w:pPr>
        <w:spacing w:after="240" w:line="360" w:lineRule="auto"/>
        <w:jc w:val="both"/>
        <w:rPr>
          <w:rFonts w:cs="Arial"/>
          <w:szCs w:val="20"/>
        </w:rPr>
      </w:pPr>
      <w:r w:rsidRPr="00AD76B1">
        <w:rPr>
          <w:rFonts w:cs="Arial"/>
          <w:szCs w:val="20"/>
        </w:rPr>
        <w:t xml:space="preserve">Stopnja brezposelnosti se ob okrepljenem zaposlovanju zmanjšuje zadnja tri leta, še posebej med mladimi. Brezposelnost mladih za starostno skupino 15-24 let je padla iz 14,6 % v letu 2010 na 8,19 % </w:t>
      </w:r>
      <w:r w:rsidRPr="00AD76B1">
        <w:rPr>
          <w:rFonts w:cs="Arial"/>
          <w:szCs w:val="20"/>
        </w:rPr>
        <w:lastRenderedPageBreak/>
        <w:t>v letu 2019. Stopnja brezposelnih mladih (v starostni skupini 15-24 let) je veliko višja kot stopnja brezposelnih vseh starostnih skupin. Po podatkih Eurostata je dolgoletno povprečje na podeželju 14,05 % (celotna RS 15,25). Spodbuden podatek je, da stopnja brezposelnih mladih od leta 2013 pada.</w:t>
      </w:r>
    </w:p>
    <w:p w14:paraId="7EC73F2D" w14:textId="1D638439" w:rsidR="00DF6B81" w:rsidRPr="00146602" w:rsidRDefault="00DF6B81" w:rsidP="00D454A7">
      <w:pPr>
        <w:pStyle w:val="SCslika"/>
        <w:keepNext/>
        <w:keepLines/>
      </w:pPr>
      <w:bookmarkStart w:id="41" w:name="_Toc55913759"/>
      <w:r w:rsidRPr="003D6FF8">
        <w:t xml:space="preserve">Slika </w:t>
      </w:r>
      <w:r w:rsidR="007A077E">
        <w:fldChar w:fldCharType="begin"/>
      </w:r>
      <w:r w:rsidR="007A077E">
        <w:instrText xml:space="preserve"> SEQ Slika \* ARABIC </w:instrText>
      </w:r>
      <w:r w:rsidR="007A077E">
        <w:fldChar w:fldCharType="separate"/>
      </w:r>
      <w:r w:rsidR="0040635C">
        <w:t>8</w:t>
      </w:r>
      <w:r w:rsidR="007A077E">
        <w:fldChar w:fldCharType="end"/>
      </w:r>
      <w:r w:rsidRPr="003D6FF8">
        <w:t xml:space="preserve"> : Stopnja registrirane brezposelnosti za prebivalce Slovenije, stare 15 in več let, po izobrazbi za regije 2018</w:t>
      </w:r>
      <w:bookmarkEnd w:id="41"/>
    </w:p>
    <w:p w14:paraId="3CCF8E85" w14:textId="77777777" w:rsidR="00DF6B81" w:rsidRPr="00041B20" w:rsidRDefault="00DF6B81" w:rsidP="00D454A7">
      <w:pPr>
        <w:keepNext/>
        <w:keepLines/>
        <w:rPr>
          <w:rFonts w:cs="Arial"/>
        </w:rPr>
      </w:pPr>
      <w:r w:rsidRPr="00041B20">
        <w:rPr>
          <w:noProof/>
          <w:lang w:eastAsia="sl-SI"/>
        </w:rPr>
        <w:drawing>
          <wp:inline distT="0" distB="0" distL="0" distR="0" wp14:anchorId="3E784D39" wp14:editId="283761BF">
            <wp:extent cx="2770309" cy="4059936"/>
            <wp:effectExtent l="2857"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0877" t="9880" r="32274" b="4435"/>
                    <a:stretch/>
                  </pic:blipFill>
                  <pic:spPr bwMode="auto">
                    <a:xfrm rot="5400000">
                      <a:off x="0" y="0"/>
                      <a:ext cx="2772070" cy="4062516"/>
                    </a:xfrm>
                    <a:prstGeom prst="rect">
                      <a:avLst/>
                    </a:prstGeom>
                    <a:ln>
                      <a:noFill/>
                    </a:ln>
                    <a:extLst>
                      <a:ext uri="{53640926-AAD7-44D8-BBD7-CCE9431645EC}">
                        <a14:shadowObscured xmlns:a14="http://schemas.microsoft.com/office/drawing/2010/main"/>
                      </a:ext>
                    </a:extLst>
                  </pic:spPr>
                </pic:pic>
              </a:graphicData>
            </a:graphic>
          </wp:inline>
        </w:drawing>
      </w:r>
    </w:p>
    <w:p w14:paraId="555B177C" w14:textId="46DEA3B5" w:rsidR="00DF6B81" w:rsidRPr="00DF6B81" w:rsidRDefault="00DF6B81" w:rsidP="00D454A7">
      <w:pPr>
        <w:keepNext/>
        <w:keepLines/>
        <w:rPr>
          <w:rFonts w:cs="Arial"/>
          <w:iCs/>
          <w:sz w:val="16"/>
          <w:szCs w:val="16"/>
        </w:rPr>
      </w:pPr>
      <w:r w:rsidRPr="00484B3D">
        <w:rPr>
          <w:rFonts w:cs="Arial"/>
          <w:iCs/>
          <w:sz w:val="16"/>
          <w:szCs w:val="16"/>
        </w:rPr>
        <w:t>Vir: Lapuh, SURS, 2019</w:t>
      </w:r>
    </w:p>
    <w:p w14:paraId="4D015293" w14:textId="77777777" w:rsidR="00EF2850" w:rsidRDefault="00EF2850" w:rsidP="00AD76B1">
      <w:pPr>
        <w:pStyle w:val="Navadensplet"/>
        <w:shd w:val="clear" w:color="auto" w:fill="FFFFFF"/>
        <w:spacing w:line="360" w:lineRule="auto"/>
        <w:ind w:left="17"/>
        <w:rPr>
          <w:rFonts w:ascii="Arial" w:hAnsi="Arial"/>
          <w:sz w:val="20"/>
          <w:szCs w:val="20"/>
        </w:rPr>
      </w:pPr>
    </w:p>
    <w:p w14:paraId="4E43DE98" w14:textId="23068AA3" w:rsidR="006C63D5" w:rsidRPr="00AD76B1" w:rsidRDefault="006C63D5" w:rsidP="00AD76B1">
      <w:pPr>
        <w:pStyle w:val="Navadensplet"/>
        <w:shd w:val="clear" w:color="auto" w:fill="FFFFFF"/>
        <w:spacing w:line="360" w:lineRule="auto"/>
        <w:ind w:left="17"/>
        <w:rPr>
          <w:rFonts w:ascii="Arial" w:hAnsi="Arial"/>
          <w:sz w:val="20"/>
          <w:szCs w:val="20"/>
        </w:rPr>
      </w:pPr>
      <w:r w:rsidRPr="00AD76B1">
        <w:rPr>
          <w:rFonts w:ascii="Arial" w:hAnsi="Arial"/>
          <w:sz w:val="20"/>
          <w:szCs w:val="20"/>
        </w:rPr>
        <w:t xml:space="preserve">Po podatkih iz raziskovanja Življenjski pogoji (SILC) za leto 2019 je bila stopnja tveganja revščine v Sloveniji 12 %. To pomeni, da je z dohodkom, nižjim od praga tveganja revščine, živelo približno 243.000 prebivalcev Slovenije, kar je najnižja v zadnjih letih. </w:t>
      </w:r>
    </w:p>
    <w:p w14:paraId="72CAC876" w14:textId="3B7F9BA8" w:rsidR="006C63D5" w:rsidRDefault="006C63D5" w:rsidP="00D454A7">
      <w:pPr>
        <w:spacing w:after="120" w:line="360" w:lineRule="auto"/>
        <w:jc w:val="both"/>
        <w:rPr>
          <w:rFonts w:cs="Arial"/>
          <w:bCs/>
          <w:i/>
        </w:rPr>
      </w:pPr>
      <w:r w:rsidRPr="00AD76B1">
        <w:rPr>
          <w:rFonts w:cs="Arial"/>
          <w:szCs w:val="20"/>
        </w:rPr>
        <w:t>Med vsemi 243.000 osebami, živečimi z dohodki, nižjimi od praga tveganja revščine, je bilo 90.000 upokojencev (ali 18,2 % od vseh upokojencev), od tega 60.000 upokojenih žensk in 30.000 upokojenih moških; 40.000 je bilo delovno aktivnih (ali 4,5 % od vseh delovno aktivnih); 40.000 je bilo brezposelnih (ali 43,6 % od vseh brezposelnih); 41.000 je bilo mladoletnih otrok (ali 10,5 % od vseh otrok); 32.000 pa je bilo drugih oseb (ali 18,9 % od vseh nezmožnih za delo, gospodinj, študentov, drugih neaktivnih in nerazvrščenih oseb).</w:t>
      </w:r>
      <w:r w:rsidRPr="00AD76B1" w:rsidDel="00DE7EB7">
        <w:rPr>
          <w:rFonts w:cs="Arial"/>
          <w:szCs w:val="20"/>
        </w:rPr>
        <w:t xml:space="preserve"> </w:t>
      </w:r>
    </w:p>
    <w:p w14:paraId="68794A08" w14:textId="67C20FBD" w:rsidR="006C63D5" w:rsidRPr="003D6FF8" w:rsidRDefault="00C9160B" w:rsidP="00C473E5">
      <w:pPr>
        <w:pStyle w:val="SCPreglednica"/>
        <w:keepNext/>
        <w:keepLines/>
      </w:pPr>
      <w:bookmarkStart w:id="42" w:name="_Toc55913727"/>
      <w:r>
        <w:lastRenderedPageBreak/>
        <w:t>Tabela</w:t>
      </w:r>
      <w:r w:rsidR="006C63D5" w:rsidRPr="003D6FF8">
        <w:t xml:space="preserve"> </w:t>
      </w:r>
      <w:r w:rsidR="0001708D">
        <w:rPr>
          <w:noProof/>
        </w:rPr>
        <w:fldChar w:fldCharType="begin"/>
      </w:r>
      <w:r w:rsidR="0001708D">
        <w:rPr>
          <w:noProof/>
        </w:rPr>
        <w:instrText xml:space="preserve"> SEQ Tabela \* ARABIC </w:instrText>
      </w:r>
      <w:r w:rsidR="0001708D">
        <w:rPr>
          <w:noProof/>
        </w:rPr>
        <w:fldChar w:fldCharType="separate"/>
      </w:r>
      <w:r w:rsidR="00DF0D48">
        <w:rPr>
          <w:noProof/>
        </w:rPr>
        <w:t>16</w:t>
      </w:r>
      <w:r w:rsidR="0001708D">
        <w:rPr>
          <w:noProof/>
        </w:rPr>
        <w:fldChar w:fldCharType="end"/>
      </w:r>
      <w:r w:rsidR="006C63D5" w:rsidRPr="003D6FF8">
        <w:t xml:space="preserve">: </w:t>
      </w:r>
      <w:r w:rsidR="006C63D5">
        <w:t>Stopnja tveganja revščine</w:t>
      </w:r>
      <w:bookmarkEnd w:id="42"/>
    </w:p>
    <w:tbl>
      <w:tblPr>
        <w:tblW w:w="9700" w:type="dxa"/>
        <w:tblInd w:w="75" w:type="dxa"/>
        <w:tblCellMar>
          <w:left w:w="70" w:type="dxa"/>
          <w:right w:w="70" w:type="dxa"/>
        </w:tblCellMar>
        <w:tblLook w:val="04A0" w:firstRow="1" w:lastRow="0" w:firstColumn="1" w:lastColumn="0" w:noHBand="0" w:noVBand="1"/>
      </w:tblPr>
      <w:tblGrid>
        <w:gridCol w:w="4060"/>
        <w:gridCol w:w="940"/>
        <w:gridCol w:w="940"/>
        <w:gridCol w:w="940"/>
        <w:gridCol w:w="940"/>
        <w:gridCol w:w="940"/>
        <w:gridCol w:w="940"/>
      </w:tblGrid>
      <w:tr w:rsidR="006C63D5" w:rsidRPr="00F44FA4" w14:paraId="3997D340" w14:textId="77777777" w:rsidTr="005A6936">
        <w:trPr>
          <w:trHeight w:val="495"/>
        </w:trPr>
        <w:tc>
          <w:tcPr>
            <w:tcW w:w="406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1019F5CB" w14:textId="77777777" w:rsidR="006C63D5" w:rsidRPr="00F44FA4" w:rsidRDefault="006C63D5" w:rsidP="00C473E5">
            <w:pPr>
              <w:keepNext/>
              <w:keepLines/>
              <w:rPr>
                <w:rFonts w:cs="Arial"/>
                <w:color w:val="000000"/>
                <w:szCs w:val="20"/>
                <w:lang w:eastAsia="sl-SI"/>
              </w:rPr>
            </w:pPr>
            <w:r w:rsidRPr="00F44FA4">
              <w:rPr>
                <w:rFonts w:cs="Arial"/>
                <w:color w:val="000000"/>
                <w:szCs w:val="20"/>
                <w:lang w:eastAsia="sl-SI"/>
              </w:rPr>
              <w:t> </w:t>
            </w:r>
          </w:p>
        </w:tc>
        <w:tc>
          <w:tcPr>
            <w:tcW w:w="940" w:type="dxa"/>
            <w:tcBorders>
              <w:top w:val="single" w:sz="4" w:space="0" w:color="auto"/>
              <w:left w:val="nil"/>
              <w:bottom w:val="single" w:sz="4" w:space="0" w:color="auto"/>
              <w:right w:val="single" w:sz="4" w:space="0" w:color="auto"/>
            </w:tcBorders>
            <w:shd w:val="clear" w:color="000000" w:fill="92D050"/>
            <w:noWrap/>
            <w:vAlign w:val="center"/>
            <w:hideMark/>
          </w:tcPr>
          <w:p w14:paraId="4EF71AE7" w14:textId="77777777" w:rsidR="006C63D5" w:rsidRPr="00F44FA4" w:rsidRDefault="006C63D5" w:rsidP="00C473E5">
            <w:pPr>
              <w:keepNext/>
              <w:keepLines/>
              <w:jc w:val="right"/>
              <w:rPr>
                <w:rFonts w:cs="Arial"/>
                <w:b/>
                <w:bCs/>
                <w:color w:val="000000"/>
                <w:szCs w:val="20"/>
                <w:lang w:eastAsia="sl-SI"/>
              </w:rPr>
            </w:pPr>
            <w:r w:rsidRPr="00F44FA4">
              <w:rPr>
                <w:rFonts w:cs="Arial"/>
                <w:b/>
                <w:bCs/>
                <w:color w:val="000000"/>
                <w:szCs w:val="20"/>
                <w:lang w:eastAsia="sl-SI"/>
              </w:rPr>
              <w:t>2010</w:t>
            </w:r>
          </w:p>
        </w:tc>
        <w:tc>
          <w:tcPr>
            <w:tcW w:w="940" w:type="dxa"/>
            <w:tcBorders>
              <w:top w:val="single" w:sz="4" w:space="0" w:color="auto"/>
              <w:left w:val="nil"/>
              <w:bottom w:val="single" w:sz="4" w:space="0" w:color="auto"/>
              <w:right w:val="single" w:sz="4" w:space="0" w:color="auto"/>
            </w:tcBorders>
            <w:shd w:val="clear" w:color="000000" w:fill="92D050"/>
            <w:noWrap/>
            <w:vAlign w:val="center"/>
            <w:hideMark/>
          </w:tcPr>
          <w:p w14:paraId="78CFE58F" w14:textId="77777777" w:rsidR="006C63D5" w:rsidRPr="00F44FA4" w:rsidRDefault="006C63D5" w:rsidP="00C473E5">
            <w:pPr>
              <w:keepNext/>
              <w:keepLines/>
              <w:jc w:val="right"/>
              <w:rPr>
                <w:rFonts w:cs="Arial"/>
                <w:b/>
                <w:bCs/>
                <w:color w:val="000000"/>
                <w:szCs w:val="20"/>
                <w:lang w:eastAsia="sl-SI"/>
              </w:rPr>
            </w:pPr>
            <w:r w:rsidRPr="00F44FA4">
              <w:rPr>
                <w:rFonts w:cs="Arial"/>
                <w:b/>
                <w:bCs/>
                <w:color w:val="000000"/>
                <w:szCs w:val="20"/>
                <w:lang w:eastAsia="sl-SI"/>
              </w:rPr>
              <w:t>2013</w:t>
            </w:r>
          </w:p>
        </w:tc>
        <w:tc>
          <w:tcPr>
            <w:tcW w:w="940" w:type="dxa"/>
            <w:tcBorders>
              <w:top w:val="single" w:sz="4" w:space="0" w:color="auto"/>
              <w:left w:val="nil"/>
              <w:bottom w:val="single" w:sz="4" w:space="0" w:color="auto"/>
              <w:right w:val="single" w:sz="4" w:space="0" w:color="auto"/>
            </w:tcBorders>
            <w:shd w:val="clear" w:color="000000" w:fill="92D050"/>
            <w:noWrap/>
            <w:vAlign w:val="center"/>
            <w:hideMark/>
          </w:tcPr>
          <w:p w14:paraId="5AA69064" w14:textId="77777777" w:rsidR="006C63D5" w:rsidRPr="00F44FA4" w:rsidRDefault="006C63D5" w:rsidP="00C473E5">
            <w:pPr>
              <w:keepNext/>
              <w:keepLines/>
              <w:jc w:val="right"/>
              <w:rPr>
                <w:rFonts w:cs="Arial"/>
                <w:b/>
                <w:bCs/>
                <w:color w:val="000000"/>
                <w:szCs w:val="20"/>
                <w:lang w:eastAsia="sl-SI"/>
              </w:rPr>
            </w:pPr>
            <w:r w:rsidRPr="00F44FA4">
              <w:rPr>
                <w:rFonts w:cs="Arial"/>
                <w:b/>
                <w:bCs/>
                <w:color w:val="000000"/>
                <w:szCs w:val="20"/>
                <w:lang w:eastAsia="sl-SI"/>
              </w:rPr>
              <w:t>2016</w:t>
            </w:r>
          </w:p>
        </w:tc>
        <w:tc>
          <w:tcPr>
            <w:tcW w:w="940" w:type="dxa"/>
            <w:tcBorders>
              <w:top w:val="single" w:sz="4" w:space="0" w:color="auto"/>
              <w:left w:val="nil"/>
              <w:bottom w:val="single" w:sz="4" w:space="0" w:color="auto"/>
              <w:right w:val="single" w:sz="4" w:space="0" w:color="auto"/>
            </w:tcBorders>
            <w:shd w:val="clear" w:color="000000" w:fill="92D050"/>
            <w:noWrap/>
            <w:vAlign w:val="center"/>
            <w:hideMark/>
          </w:tcPr>
          <w:p w14:paraId="42FE2678" w14:textId="77777777" w:rsidR="006C63D5" w:rsidRPr="00F44FA4" w:rsidRDefault="006C63D5" w:rsidP="00C473E5">
            <w:pPr>
              <w:keepNext/>
              <w:keepLines/>
              <w:jc w:val="right"/>
              <w:rPr>
                <w:rFonts w:cs="Arial"/>
                <w:b/>
                <w:bCs/>
                <w:color w:val="000000"/>
                <w:szCs w:val="20"/>
                <w:lang w:eastAsia="sl-SI"/>
              </w:rPr>
            </w:pPr>
            <w:r w:rsidRPr="00F44FA4">
              <w:rPr>
                <w:rFonts w:cs="Arial"/>
                <w:b/>
                <w:bCs/>
                <w:color w:val="000000"/>
                <w:szCs w:val="20"/>
                <w:lang w:eastAsia="sl-SI"/>
              </w:rPr>
              <w:t>2017</w:t>
            </w:r>
          </w:p>
        </w:tc>
        <w:tc>
          <w:tcPr>
            <w:tcW w:w="940" w:type="dxa"/>
            <w:tcBorders>
              <w:top w:val="single" w:sz="4" w:space="0" w:color="auto"/>
              <w:left w:val="nil"/>
              <w:bottom w:val="single" w:sz="4" w:space="0" w:color="auto"/>
              <w:right w:val="single" w:sz="4" w:space="0" w:color="auto"/>
            </w:tcBorders>
            <w:shd w:val="clear" w:color="000000" w:fill="92D050"/>
            <w:noWrap/>
            <w:vAlign w:val="center"/>
            <w:hideMark/>
          </w:tcPr>
          <w:p w14:paraId="2B1690C7" w14:textId="77777777" w:rsidR="006C63D5" w:rsidRPr="00F44FA4" w:rsidRDefault="006C63D5" w:rsidP="00C473E5">
            <w:pPr>
              <w:keepNext/>
              <w:keepLines/>
              <w:jc w:val="right"/>
              <w:rPr>
                <w:rFonts w:cs="Arial"/>
                <w:b/>
                <w:bCs/>
                <w:color w:val="000000"/>
                <w:szCs w:val="20"/>
                <w:lang w:eastAsia="sl-SI"/>
              </w:rPr>
            </w:pPr>
            <w:r w:rsidRPr="00F44FA4">
              <w:rPr>
                <w:rFonts w:cs="Arial"/>
                <w:b/>
                <w:bCs/>
                <w:color w:val="000000"/>
                <w:szCs w:val="20"/>
                <w:lang w:eastAsia="sl-SI"/>
              </w:rPr>
              <w:t>2018</w:t>
            </w:r>
          </w:p>
        </w:tc>
        <w:tc>
          <w:tcPr>
            <w:tcW w:w="940" w:type="dxa"/>
            <w:tcBorders>
              <w:top w:val="single" w:sz="4" w:space="0" w:color="auto"/>
              <w:left w:val="nil"/>
              <w:bottom w:val="single" w:sz="4" w:space="0" w:color="auto"/>
              <w:right w:val="single" w:sz="4" w:space="0" w:color="auto"/>
            </w:tcBorders>
            <w:shd w:val="clear" w:color="000000" w:fill="92D050"/>
            <w:noWrap/>
            <w:vAlign w:val="center"/>
            <w:hideMark/>
          </w:tcPr>
          <w:p w14:paraId="1BBCEB33" w14:textId="77777777" w:rsidR="006C63D5" w:rsidRPr="00F44FA4" w:rsidRDefault="006C63D5" w:rsidP="00C473E5">
            <w:pPr>
              <w:keepNext/>
              <w:keepLines/>
              <w:jc w:val="right"/>
              <w:rPr>
                <w:rFonts w:cs="Arial"/>
                <w:b/>
                <w:bCs/>
                <w:color w:val="000000"/>
                <w:szCs w:val="20"/>
                <w:lang w:eastAsia="sl-SI"/>
              </w:rPr>
            </w:pPr>
            <w:r w:rsidRPr="00F44FA4">
              <w:rPr>
                <w:rFonts w:cs="Arial"/>
                <w:b/>
                <w:bCs/>
                <w:color w:val="000000"/>
                <w:szCs w:val="20"/>
                <w:lang w:eastAsia="sl-SI"/>
              </w:rPr>
              <w:t>2019</w:t>
            </w:r>
          </w:p>
        </w:tc>
      </w:tr>
      <w:tr w:rsidR="006C63D5" w:rsidRPr="00F44FA4" w14:paraId="364B87BA" w14:textId="77777777" w:rsidTr="005A6936">
        <w:trPr>
          <w:trHeight w:val="284"/>
        </w:trPr>
        <w:tc>
          <w:tcPr>
            <w:tcW w:w="4060" w:type="dxa"/>
            <w:tcBorders>
              <w:top w:val="nil"/>
              <w:left w:val="single" w:sz="4" w:space="0" w:color="auto"/>
              <w:bottom w:val="single" w:sz="4" w:space="0" w:color="auto"/>
              <w:right w:val="single" w:sz="4" w:space="0" w:color="auto"/>
            </w:tcBorders>
            <w:shd w:val="clear" w:color="auto" w:fill="auto"/>
            <w:vAlign w:val="bottom"/>
            <w:hideMark/>
          </w:tcPr>
          <w:p w14:paraId="10902248" w14:textId="77777777" w:rsidR="006C63D5" w:rsidRPr="00F44FA4" w:rsidRDefault="006C63D5" w:rsidP="00C473E5">
            <w:pPr>
              <w:keepNext/>
              <w:keepLines/>
              <w:rPr>
                <w:rFonts w:cs="Arial"/>
                <w:b/>
                <w:bCs/>
                <w:color w:val="000000"/>
                <w:szCs w:val="20"/>
                <w:lang w:eastAsia="sl-SI"/>
              </w:rPr>
            </w:pPr>
            <w:r w:rsidRPr="00F44FA4">
              <w:rPr>
                <w:rFonts w:cs="Arial"/>
                <w:b/>
                <w:bCs/>
                <w:color w:val="000000"/>
                <w:szCs w:val="20"/>
                <w:lang w:eastAsia="sl-SI"/>
              </w:rPr>
              <w:t>Stopnja tveganja revščine (% oseb)</w:t>
            </w:r>
            <w:r w:rsidRPr="00F44FA4">
              <w:rPr>
                <w:rFonts w:cs="Arial"/>
                <w:b/>
                <w:bCs/>
                <w:color w:val="000000"/>
                <w:szCs w:val="20"/>
                <w:lang w:eastAsia="sl-SI"/>
              </w:rPr>
              <w:br/>
              <w:t>skupaj</w:t>
            </w:r>
          </w:p>
        </w:tc>
        <w:tc>
          <w:tcPr>
            <w:tcW w:w="940" w:type="dxa"/>
            <w:tcBorders>
              <w:top w:val="nil"/>
              <w:left w:val="nil"/>
              <w:bottom w:val="single" w:sz="4" w:space="0" w:color="auto"/>
              <w:right w:val="single" w:sz="4" w:space="0" w:color="auto"/>
            </w:tcBorders>
            <w:shd w:val="clear" w:color="auto" w:fill="auto"/>
            <w:noWrap/>
            <w:vAlign w:val="bottom"/>
            <w:hideMark/>
          </w:tcPr>
          <w:p w14:paraId="047FEA71"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12,7</w:t>
            </w:r>
          </w:p>
        </w:tc>
        <w:tc>
          <w:tcPr>
            <w:tcW w:w="940" w:type="dxa"/>
            <w:tcBorders>
              <w:top w:val="nil"/>
              <w:left w:val="nil"/>
              <w:bottom w:val="single" w:sz="4" w:space="0" w:color="auto"/>
              <w:right w:val="single" w:sz="4" w:space="0" w:color="auto"/>
            </w:tcBorders>
            <w:shd w:val="clear" w:color="auto" w:fill="auto"/>
            <w:noWrap/>
            <w:vAlign w:val="bottom"/>
            <w:hideMark/>
          </w:tcPr>
          <w:p w14:paraId="3A51B310"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14,5</w:t>
            </w:r>
          </w:p>
        </w:tc>
        <w:tc>
          <w:tcPr>
            <w:tcW w:w="940" w:type="dxa"/>
            <w:tcBorders>
              <w:top w:val="nil"/>
              <w:left w:val="nil"/>
              <w:bottom w:val="single" w:sz="4" w:space="0" w:color="auto"/>
              <w:right w:val="single" w:sz="4" w:space="0" w:color="auto"/>
            </w:tcBorders>
            <w:shd w:val="clear" w:color="auto" w:fill="auto"/>
            <w:noWrap/>
            <w:vAlign w:val="bottom"/>
            <w:hideMark/>
          </w:tcPr>
          <w:p w14:paraId="6B4F47A0"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13,9</w:t>
            </w:r>
          </w:p>
        </w:tc>
        <w:tc>
          <w:tcPr>
            <w:tcW w:w="940" w:type="dxa"/>
            <w:tcBorders>
              <w:top w:val="nil"/>
              <w:left w:val="nil"/>
              <w:bottom w:val="single" w:sz="4" w:space="0" w:color="auto"/>
              <w:right w:val="single" w:sz="4" w:space="0" w:color="auto"/>
            </w:tcBorders>
            <w:shd w:val="clear" w:color="auto" w:fill="auto"/>
            <w:noWrap/>
            <w:vAlign w:val="bottom"/>
            <w:hideMark/>
          </w:tcPr>
          <w:p w14:paraId="5B7BA4A8"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13,3</w:t>
            </w:r>
          </w:p>
        </w:tc>
        <w:tc>
          <w:tcPr>
            <w:tcW w:w="940" w:type="dxa"/>
            <w:tcBorders>
              <w:top w:val="nil"/>
              <w:left w:val="nil"/>
              <w:bottom w:val="single" w:sz="4" w:space="0" w:color="auto"/>
              <w:right w:val="single" w:sz="4" w:space="0" w:color="auto"/>
            </w:tcBorders>
            <w:shd w:val="clear" w:color="auto" w:fill="auto"/>
            <w:noWrap/>
            <w:vAlign w:val="bottom"/>
            <w:hideMark/>
          </w:tcPr>
          <w:p w14:paraId="3168B1A6"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13,3</w:t>
            </w:r>
          </w:p>
        </w:tc>
        <w:tc>
          <w:tcPr>
            <w:tcW w:w="940" w:type="dxa"/>
            <w:tcBorders>
              <w:top w:val="nil"/>
              <w:left w:val="nil"/>
              <w:bottom w:val="single" w:sz="4" w:space="0" w:color="auto"/>
              <w:right w:val="single" w:sz="4" w:space="0" w:color="auto"/>
            </w:tcBorders>
            <w:shd w:val="clear" w:color="auto" w:fill="auto"/>
            <w:noWrap/>
            <w:vAlign w:val="bottom"/>
            <w:hideMark/>
          </w:tcPr>
          <w:p w14:paraId="1874075F"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12,0</w:t>
            </w:r>
          </w:p>
        </w:tc>
      </w:tr>
      <w:tr w:rsidR="006C63D5" w:rsidRPr="00F44FA4" w14:paraId="55F10F0A" w14:textId="77777777" w:rsidTr="004167E8">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0AA2B79A" w14:textId="77777777" w:rsidR="006C63D5" w:rsidRPr="00F44FA4" w:rsidRDefault="006C63D5" w:rsidP="00C473E5">
            <w:pPr>
              <w:keepNext/>
              <w:keepLines/>
              <w:rPr>
                <w:rFonts w:cs="Arial"/>
                <w:b/>
                <w:bCs/>
                <w:color w:val="000000"/>
                <w:szCs w:val="20"/>
                <w:lang w:eastAsia="sl-SI"/>
              </w:rPr>
            </w:pPr>
            <w:r w:rsidRPr="00F44FA4">
              <w:rPr>
                <w:rFonts w:cs="Arial"/>
                <w:b/>
                <w:bCs/>
                <w:color w:val="000000"/>
                <w:szCs w:val="20"/>
                <w:lang w:eastAsia="sl-SI"/>
              </w:rPr>
              <w:t>starost 15-29 let</w:t>
            </w:r>
          </w:p>
        </w:tc>
        <w:tc>
          <w:tcPr>
            <w:tcW w:w="940" w:type="dxa"/>
            <w:tcBorders>
              <w:top w:val="nil"/>
              <w:left w:val="nil"/>
              <w:bottom w:val="single" w:sz="4" w:space="0" w:color="auto"/>
              <w:right w:val="single" w:sz="4" w:space="0" w:color="auto"/>
            </w:tcBorders>
            <w:shd w:val="clear" w:color="auto" w:fill="auto"/>
            <w:noWrap/>
            <w:vAlign w:val="bottom"/>
            <w:hideMark/>
          </w:tcPr>
          <w:p w14:paraId="1F6A37EF"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10,3</w:t>
            </w:r>
          </w:p>
        </w:tc>
        <w:tc>
          <w:tcPr>
            <w:tcW w:w="940" w:type="dxa"/>
            <w:tcBorders>
              <w:top w:val="nil"/>
              <w:left w:val="nil"/>
              <w:bottom w:val="single" w:sz="4" w:space="0" w:color="auto"/>
              <w:right w:val="single" w:sz="4" w:space="0" w:color="auto"/>
            </w:tcBorders>
            <w:shd w:val="clear" w:color="auto" w:fill="auto"/>
            <w:noWrap/>
            <w:vAlign w:val="bottom"/>
            <w:hideMark/>
          </w:tcPr>
          <w:p w14:paraId="48F08D03"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13,6</w:t>
            </w:r>
          </w:p>
        </w:tc>
        <w:tc>
          <w:tcPr>
            <w:tcW w:w="940" w:type="dxa"/>
            <w:tcBorders>
              <w:top w:val="nil"/>
              <w:left w:val="nil"/>
              <w:bottom w:val="single" w:sz="4" w:space="0" w:color="auto"/>
              <w:right w:val="single" w:sz="4" w:space="0" w:color="auto"/>
            </w:tcBorders>
            <w:shd w:val="clear" w:color="auto" w:fill="auto"/>
            <w:noWrap/>
            <w:vAlign w:val="bottom"/>
            <w:hideMark/>
          </w:tcPr>
          <w:p w14:paraId="4F5E86FA"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14,6</w:t>
            </w:r>
          </w:p>
        </w:tc>
        <w:tc>
          <w:tcPr>
            <w:tcW w:w="940" w:type="dxa"/>
            <w:tcBorders>
              <w:top w:val="nil"/>
              <w:left w:val="nil"/>
              <w:bottom w:val="single" w:sz="4" w:space="0" w:color="auto"/>
              <w:right w:val="single" w:sz="4" w:space="0" w:color="auto"/>
            </w:tcBorders>
            <w:shd w:val="clear" w:color="auto" w:fill="auto"/>
            <w:noWrap/>
            <w:vAlign w:val="bottom"/>
            <w:hideMark/>
          </w:tcPr>
          <w:p w14:paraId="786D0B52"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12,3</w:t>
            </w:r>
          </w:p>
        </w:tc>
        <w:tc>
          <w:tcPr>
            <w:tcW w:w="940" w:type="dxa"/>
            <w:tcBorders>
              <w:top w:val="nil"/>
              <w:left w:val="nil"/>
              <w:bottom w:val="single" w:sz="4" w:space="0" w:color="auto"/>
              <w:right w:val="single" w:sz="4" w:space="0" w:color="auto"/>
            </w:tcBorders>
            <w:shd w:val="clear" w:color="auto" w:fill="auto"/>
            <w:noWrap/>
            <w:vAlign w:val="bottom"/>
            <w:hideMark/>
          </w:tcPr>
          <w:p w14:paraId="0A583537"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11,7</w:t>
            </w:r>
          </w:p>
        </w:tc>
        <w:tc>
          <w:tcPr>
            <w:tcW w:w="940" w:type="dxa"/>
            <w:tcBorders>
              <w:top w:val="nil"/>
              <w:left w:val="nil"/>
              <w:bottom w:val="single" w:sz="4" w:space="0" w:color="auto"/>
              <w:right w:val="single" w:sz="4" w:space="0" w:color="auto"/>
            </w:tcBorders>
            <w:shd w:val="clear" w:color="auto" w:fill="auto"/>
            <w:noWrap/>
            <w:vAlign w:val="bottom"/>
            <w:hideMark/>
          </w:tcPr>
          <w:p w14:paraId="74FE2C29"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10,5</w:t>
            </w:r>
          </w:p>
        </w:tc>
      </w:tr>
      <w:tr w:rsidR="006C63D5" w:rsidRPr="00F44FA4" w14:paraId="1DF9B1B8" w14:textId="77777777" w:rsidTr="004167E8">
        <w:trPr>
          <w:trHeight w:val="900"/>
        </w:trPr>
        <w:tc>
          <w:tcPr>
            <w:tcW w:w="4060" w:type="dxa"/>
            <w:tcBorders>
              <w:top w:val="nil"/>
              <w:left w:val="single" w:sz="4" w:space="0" w:color="auto"/>
              <w:bottom w:val="single" w:sz="4" w:space="0" w:color="auto"/>
              <w:right w:val="single" w:sz="4" w:space="0" w:color="auto"/>
            </w:tcBorders>
            <w:shd w:val="clear" w:color="auto" w:fill="auto"/>
            <w:vAlign w:val="bottom"/>
            <w:hideMark/>
          </w:tcPr>
          <w:p w14:paraId="1BDACD13" w14:textId="77777777" w:rsidR="006C63D5" w:rsidRPr="00F44FA4" w:rsidRDefault="006C63D5" w:rsidP="00C473E5">
            <w:pPr>
              <w:keepNext/>
              <w:keepLines/>
              <w:rPr>
                <w:rFonts w:cs="Arial"/>
                <w:b/>
                <w:bCs/>
                <w:color w:val="000000"/>
                <w:szCs w:val="20"/>
                <w:lang w:eastAsia="sl-SI"/>
              </w:rPr>
            </w:pPr>
            <w:r w:rsidRPr="00F44FA4">
              <w:rPr>
                <w:rFonts w:cs="Arial"/>
                <w:b/>
                <w:bCs/>
                <w:color w:val="000000"/>
                <w:szCs w:val="20"/>
                <w:lang w:eastAsia="sl-SI"/>
              </w:rPr>
              <w:t>Število oseb pod pragom tveganja revščine</w:t>
            </w:r>
            <w:r w:rsidRPr="00F44FA4">
              <w:rPr>
                <w:rFonts w:cs="Arial"/>
                <w:b/>
                <w:bCs/>
                <w:color w:val="000000"/>
                <w:szCs w:val="20"/>
                <w:lang w:eastAsia="sl-SI"/>
              </w:rPr>
              <w:br/>
              <w:t>skupaj</w:t>
            </w:r>
          </w:p>
        </w:tc>
        <w:tc>
          <w:tcPr>
            <w:tcW w:w="940" w:type="dxa"/>
            <w:tcBorders>
              <w:top w:val="nil"/>
              <w:left w:val="nil"/>
              <w:bottom w:val="single" w:sz="4" w:space="0" w:color="auto"/>
              <w:right w:val="single" w:sz="4" w:space="0" w:color="auto"/>
            </w:tcBorders>
            <w:shd w:val="clear" w:color="auto" w:fill="auto"/>
            <w:noWrap/>
            <w:vAlign w:val="bottom"/>
            <w:hideMark/>
          </w:tcPr>
          <w:p w14:paraId="33FA0E98"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254.000</w:t>
            </w:r>
          </w:p>
        </w:tc>
        <w:tc>
          <w:tcPr>
            <w:tcW w:w="940" w:type="dxa"/>
            <w:tcBorders>
              <w:top w:val="nil"/>
              <w:left w:val="nil"/>
              <w:bottom w:val="single" w:sz="4" w:space="0" w:color="auto"/>
              <w:right w:val="single" w:sz="4" w:space="0" w:color="auto"/>
            </w:tcBorders>
            <w:shd w:val="clear" w:color="auto" w:fill="auto"/>
            <w:noWrap/>
            <w:vAlign w:val="bottom"/>
            <w:hideMark/>
          </w:tcPr>
          <w:p w14:paraId="1B0EBC01"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291.000</w:t>
            </w:r>
          </w:p>
        </w:tc>
        <w:tc>
          <w:tcPr>
            <w:tcW w:w="940" w:type="dxa"/>
            <w:tcBorders>
              <w:top w:val="nil"/>
              <w:left w:val="nil"/>
              <w:bottom w:val="single" w:sz="4" w:space="0" w:color="auto"/>
              <w:right w:val="single" w:sz="4" w:space="0" w:color="auto"/>
            </w:tcBorders>
            <w:shd w:val="clear" w:color="auto" w:fill="auto"/>
            <w:noWrap/>
            <w:vAlign w:val="bottom"/>
            <w:hideMark/>
          </w:tcPr>
          <w:p w14:paraId="1F4F4396"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280.000</w:t>
            </w:r>
          </w:p>
        </w:tc>
        <w:tc>
          <w:tcPr>
            <w:tcW w:w="940" w:type="dxa"/>
            <w:tcBorders>
              <w:top w:val="nil"/>
              <w:left w:val="nil"/>
              <w:bottom w:val="single" w:sz="4" w:space="0" w:color="auto"/>
              <w:right w:val="single" w:sz="4" w:space="0" w:color="auto"/>
            </w:tcBorders>
            <w:shd w:val="clear" w:color="auto" w:fill="auto"/>
            <w:noWrap/>
            <w:vAlign w:val="bottom"/>
            <w:hideMark/>
          </w:tcPr>
          <w:p w14:paraId="3EE0A76F"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268.000</w:t>
            </w:r>
          </w:p>
        </w:tc>
        <w:tc>
          <w:tcPr>
            <w:tcW w:w="940" w:type="dxa"/>
            <w:tcBorders>
              <w:top w:val="nil"/>
              <w:left w:val="nil"/>
              <w:bottom w:val="single" w:sz="4" w:space="0" w:color="auto"/>
              <w:right w:val="single" w:sz="4" w:space="0" w:color="auto"/>
            </w:tcBorders>
            <w:shd w:val="clear" w:color="auto" w:fill="auto"/>
            <w:noWrap/>
            <w:vAlign w:val="bottom"/>
            <w:hideMark/>
          </w:tcPr>
          <w:p w14:paraId="4B843446"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268.000</w:t>
            </w:r>
          </w:p>
        </w:tc>
        <w:tc>
          <w:tcPr>
            <w:tcW w:w="940" w:type="dxa"/>
            <w:tcBorders>
              <w:top w:val="nil"/>
              <w:left w:val="nil"/>
              <w:bottom w:val="single" w:sz="4" w:space="0" w:color="auto"/>
              <w:right w:val="single" w:sz="4" w:space="0" w:color="auto"/>
            </w:tcBorders>
            <w:shd w:val="clear" w:color="auto" w:fill="auto"/>
            <w:noWrap/>
            <w:vAlign w:val="bottom"/>
            <w:hideMark/>
          </w:tcPr>
          <w:p w14:paraId="29D6514D"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243.000</w:t>
            </w:r>
          </w:p>
        </w:tc>
      </w:tr>
      <w:tr w:rsidR="006C63D5" w:rsidRPr="00F44FA4" w14:paraId="5A13D0E1" w14:textId="77777777" w:rsidTr="004167E8">
        <w:trPr>
          <w:trHeight w:val="300"/>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14:paraId="0F23A2E8" w14:textId="77777777" w:rsidR="006C63D5" w:rsidRPr="00F44FA4" w:rsidRDefault="006C63D5" w:rsidP="00C473E5">
            <w:pPr>
              <w:keepNext/>
              <w:keepLines/>
              <w:rPr>
                <w:rFonts w:cs="Arial"/>
                <w:b/>
                <w:bCs/>
                <w:color w:val="000000"/>
                <w:szCs w:val="20"/>
                <w:lang w:eastAsia="sl-SI"/>
              </w:rPr>
            </w:pPr>
            <w:r w:rsidRPr="00F44FA4">
              <w:rPr>
                <w:rFonts w:cs="Arial"/>
                <w:b/>
                <w:bCs/>
                <w:color w:val="000000"/>
                <w:szCs w:val="20"/>
                <w:lang w:eastAsia="sl-SI"/>
              </w:rPr>
              <w:t>starost 15-29 let</w:t>
            </w:r>
          </w:p>
        </w:tc>
        <w:tc>
          <w:tcPr>
            <w:tcW w:w="940" w:type="dxa"/>
            <w:tcBorders>
              <w:top w:val="nil"/>
              <w:left w:val="nil"/>
              <w:bottom w:val="single" w:sz="4" w:space="0" w:color="auto"/>
              <w:right w:val="single" w:sz="4" w:space="0" w:color="auto"/>
            </w:tcBorders>
            <w:shd w:val="clear" w:color="auto" w:fill="auto"/>
            <w:noWrap/>
            <w:vAlign w:val="bottom"/>
            <w:hideMark/>
          </w:tcPr>
          <w:p w14:paraId="652D678F"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39.000</w:t>
            </w:r>
          </w:p>
        </w:tc>
        <w:tc>
          <w:tcPr>
            <w:tcW w:w="940" w:type="dxa"/>
            <w:tcBorders>
              <w:top w:val="nil"/>
              <w:left w:val="nil"/>
              <w:bottom w:val="single" w:sz="4" w:space="0" w:color="auto"/>
              <w:right w:val="single" w:sz="4" w:space="0" w:color="auto"/>
            </w:tcBorders>
            <w:shd w:val="clear" w:color="auto" w:fill="auto"/>
            <w:noWrap/>
            <w:vAlign w:val="bottom"/>
            <w:hideMark/>
          </w:tcPr>
          <w:p w14:paraId="19EACB84"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48.000</w:t>
            </w:r>
          </w:p>
        </w:tc>
        <w:tc>
          <w:tcPr>
            <w:tcW w:w="940" w:type="dxa"/>
            <w:tcBorders>
              <w:top w:val="nil"/>
              <w:left w:val="nil"/>
              <w:bottom w:val="single" w:sz="4" w:space="0" w:color="auto"/>
              <w:right w:val="single" w:sz="4" w:space="0" w:color="auto"/>
            </w:tcBorders>
            <w:shd w:val="clear" w:color="auto" w:fill="auto"/>
            <w:noWrap/>
            <w:vAlign w:val="bottom"/>
            <w:hideMark/>
          </w:tcPr>
          <w:p w14:paraId="5F8E5660"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47.000</w:t>
            </w:r>
          </w:p>
        </w:tc>
        <w:tc>
          <w:tcPr>
            <w:tcW w:w="940" w:type="dxa"/>
            <w:tcBorders>
              <w:top w:val="nil"/>
              <w:left w:val="nil"/>
              <w:bottom w:val="single" w:sz="4" w:space="0" w:color="auto"/>
              <w:right w:val="single" w:sz="4" w:space="0" w:color="auto"/>
            </w:tcBorders>
            <w:shd w:val="clear" w:color="auto" w:fill="auto"/>
            <w:noWrap/>
            <w:vAlign w:val="bottom"/>
            <w:hideMark/>
          </w:tcPr>
          <w:p w14:paraId="72948F64"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39.000</w:t>
            </w:r>
          </w:p>
        </w:tc>
        <w:tc>
          <w:tcPr>
            <w:tcW w:w="940" w:type="dxa"/>
            <w:tcBorders>
              <w:top w:val="nil"/>
              <w:left w:val="nil"/>
              <w:bottom w:val="single" w:sz="4" w:space="0" w:color="auto"/>
              <w:right w:val="single" w:sz="4" w:space="0" w:color="auto"/>
            </w:tcBorders>
            <w:shd w:val="clear" w:color="auto" w:fill="auto"/>
            <w:noWrap/>
            <w:vAlign w:val="bottom"/>
            <w:hideMark/>
          </w:tcPr>
          <w:p w14:paraId="484DEC75"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36.000</w:t>
            </w:r>
          </w:p>
        </w:tc>
        <w:tc>
          <w:tcPr>
            <w:tcW w:w="940" w:type="dxa"/>
            <w:tcBorders>
              <w:top w:val="nil"/>
              <w:left w:val="nil"/>
              <w:bottom w:val="single" w:sz="4" w:space="0" w:color="auto"/>
              <w:right w:val="single" w:sz="4" w:space="0" w:color="auto"/>
            </w:tcBorders>
            <w:shd w:val="clear" w:color="auto" w:fill="auto"/>
            <w:noWrap/>
            <w:vAlign w:val="bottom"/>
            <w:hideMark/>
          </w:tcPr>
          <w:p w14:paraId="70752B87"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32.000</w:t>
            </w:r>
          </w:p>
        </w:tc>
      </w:tr>
    </w:tbl>
    <w:p w14:paraId="570DC518" w14:textId="77777777" w:rsidR="008A25A9" w:rsidRDefault="008A25A9" w:rsidP="00C473E5">
      <w:pPr>
        <w:keepNext/>
        <w:keepLines/>
        <w:spacing w:after="240" w:line="360" w:lineRule="auto"/>
        <w:jc w:val="both"/>
        <w:rPr>
          <w:rFonts w:cs="Arial"/>
          <w:szCs w:val="20"/>
        </w:rPr>
      </w:pPr>
    </w:p>
    <w:p w14:paraId="6F3076BF" w14:textId="0BD720B0" w:rsidR="006C63D5" w:rsidRPr="00AD76B1" w:rsidRDefault="006C63D5" w:rsidP="00C473E5">
      <w:pPr>
        <w:keepNext/>
        <w:keepLines/>
        <w:spacing w:after="240" w:line="360" w:lineRule="auto"/>
        <w:jc w:val="both"/>
        <w:rPr>
          <w:rFonts w:cs="Arial"/>
          <w:szCs w:val="20"/>
        </w:rPr>
      </w:pPr>
      <w:r w:rsidRPr="00AD76B1">
        <w:rPr>
          <w:rFonts w:cs="Arial"/>
          <w:szCs w:val="20"/>
        </w:rPr>
        <w:t>Stopnja tveganja revščine na podeželju je bila po podatkih Eurostata v Sloveniji med leti 2005 in 2015 okrog 20 %, v letu 2018 pa je padla na 16,6 %. Stopnja tveganja revščine med mladimi (15–29 let) je leta 2015 znašala 14,7 %.</w:t>
      </w:r>
    </w:p>
    <w:p w14:paraId="31486144" w14:textId="0DB78347" w:rsidR="006C63D5" w:rsidRPr="003D6FF8" w:rsidRDefault="00C9160B" w:rsidP="00C473E5">
      <w:pPr>
        <w:pStyle w:val="SCPreglednica"/>
        <w:keepNext/>
        <w:keepLines/>
      </w:pPr>
      <w:bookmarkStart w:id="43" w:name="_Toc55913728"/>
      <w:r>
        <w:t>Tabela</w:t>
      </w:r>
      <w:r w:rsidR="006C63D5" w:rsidRPr="003D6FF8">
        <w:t xml:space="preserve"> </w:t>
      </w:r>
      <w:r w:rsidR="0001708D">
        <w:rPr>
          <w:noProof/>
        </w:rPr>
        <w:fldChar w:fldCharType="begin"/>
      </w:r>
      <w:r w:rsidR="0001708D">
        <w:rPr>
          <w:noProof/>
        </w:rPr>
        <w:instrText xml:space="preserve"> SEQ Tabela \* ARABIC </w:instrText>
      </w:r>
      <w:r w:rsidR="0001708D">
        <w:rPr>
          <w:noProof/>
        </w:rPr>
        <w:fldChar w:fldCharType="separate"/>
      </w:r>
      <w:r w:rsidR="00DF0D48">
        <w:rPr>
          <w:noProof/>
        </w:rPr>
        <w:t>17</w:t>
      </w:r>
      <w:r w:rsidR="0001708D">
        <w:rPr>
          <w:noProof/>
        </w:rPr>
        <w:fldChar w:fldCharType="end"/>
      </w:r>
      <w:r w:rsidR="006C63D5" w:rsidRPr="003D6FF8">
        <w:t xml:space="preserve">: </w:t>
      </w:r>
      <w:r w:rsidR="006C63D5">
        <w:t>Stopnja revščine</w:t>
      </w:r>
      <w:bookmarkEnd w:id="43"/>
    </w:p>
    <w:tbl>
      <w:tblPr>
        <w:tblW w:w="9718" w:type="dxa"/>
        <w:tblInd w:w="75" w:type="dxa"/>
        <w:tblCellMar>
          <w:left w:w="70" w:type="dxa"/>
          <w:right w:w="70" w:type="dxa"/>
        </w:tblCellMar>
        <w:tblLook w:val="04A0" w:firstRow="1" w:lastRow="0" w:firstColumn="1" w:lastColumn="0" w:noHBand="0" w:noVBand="1"/>
      </w:tblPr>
      <w:tblGrid>
        <w:gridCol w:w="605"/>
        <w:gridCol w:w="3773"/>
        <w:gridCol w:w="1080"/>
        <w:gridCol w:w="1080"/>
        <w:gridCol w:w="1060"/>
        <w:gridCol w:w="1060"/>
        <w:gridCol w:w="1060"/>
      </w:tblGrid>
      <w:tr w:rsidR="006C63D5" w:rsidRPr="00F44FA4" w14:paraId="5AFC85BC" w14:textId="77777777" w:rsidTr="005A6936">
        <w:trPr>
          <w:trHeight w:val="300"/>
        </w:trPr>
        <w:tc>
          <w:tcPr>
            <w:tcW w:w="605"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0C84C7D" w14:textId="77777777" w:rsidR="006C63D5" w:rsidRPr="00F44FA4" w:rsidRDefault="006C63D5" w:rsidP="00C473E5">
            <w:pPr>
              <w:keepNext/>
              <w:keepLines/>
              <w:rPr>
                <w:rFonts w:cs="Arial"/>
                <w:b/>
                <w:bCs/>
                <w:color w:val="000000"/>
                <w:szCs w:val="20"/>
                <w:lang w:eastAsia="sl-SI"/>
              </w:rPr>
            </w:pPr>
            <w:r w:rsidRPr="00F44FA4">
              <w:rPr>
                <w:rFonts w:cs="Arial"/>
                <w:b/>
                <w:bCs/>
                <w:color w:val="000000"/>
                <w:szCs w:val="20"/>
                <w:lang w:eastAsia="sl-SI"/>
              </w:rPr>
              <w:t>C.10</w:t>
            </w:r>
          </w:p>
        </w:tc>
        <w:tc>
          <w:tcPr>
            <w:tcW w:w="3773" w:type="dxa"/>
            <w:tcBorders>
              <w:top w:val="single" w:sz="4" w:space="0" w:color="auto"/>
              <w:left w:val="nil"/>
              <w:bottom w:val="single" w:sz="4" w:space="0" w:color="auto"/>
              <w:right w:val="single" w:sz="4" w:space="0" w:color="auto"/>
            </w:tcBorders>
            <w:shd w:val="clear" w:color="000000" w:fill="92D050"/>
            <w:noWrap/>
            <w:vAlign w:val="bottom"/>
            <w:hideMark/>
          </w:tcPr>
          <w:p w14:paraId="5F2B28A1" w14:textId="77777777" w:rsidR="006C63D5" w:rsidRPr="00F44FA4" w:rsidRDefault="006C63D5" w:rsidP="00C473E5">
            <w:pPr>
              <w:keepNext/>
              <w:keepLines/>
              <w:rPr>
                <w:rFonts w:cs="Arial"/>
                <w:b/>
                <w:bCs/>
                <w:color w:val="000000"/>
                <w:szCs w:val="20"/>
                <w:lang w:eastAsia="sl-SI"/>
              </w:rPr>
            </w:pPr>
            <w:r w:rsidRPr="00F44FA4">
              <w:rPr>
                <w:rFonts w:cs="Arial"/>
                <w:b/>
                <w:bCs/>
                <w:color w:val="000000"/>
                <w:szCs w:val="20"/>
                <w:lang w:eastAsia="sl-SI"/>
              </w:rPr>
              <w:t>Stopnja revščine</w:t>
            </w:r>
          </w:p>
        </w:tc>
        <w:tc>
          <w:tcPr>
            <w:tcW w:w="1080" w:type="dxa"/>
            <w:tcBorders>
              <w:top w:val="single" w:sz="4" w:space="0" w:color="auto"/>
              <w:left w:val="nil"/>
              <w:bottom w:val="single" w:sz="4" w:space="0" w:color="auto"/>
              <w:right w:val="single" w:sz="4" w:space="0" w:color="auto"/>
            </w:tcBorders>
            <w:shd w:val="clear" w:color="000000" w:fill="92D050"/>
            <w:noWrap/>
            <w:vAlign w:val="center"/>
            <w:hideMark/>
          </w:tcPr>
          <w:p w14:paraId="15C2A4CC" w14:textId="77777777" w:rsidR="006C63D5" w:rsidRPr="00F44FA4" w:rsidRDefault="006C63D5" w:rsidP="00C473E5">
            <w:pPr>
              <w:keepNext/>
              <w:keepLines/>
              <w:jc w:val="center"/>
              <w:rPr>
                <w:rFonts w:cs="Arial"/>
                <w:b/>
                <w:bCs/>
                <w:color w:val="000000"/>
                <w:szCs w:val="20"/>
                <w:lang w:eastAsia="sl-SI"/>
              </w:rPr>
            </w:pPr>
            <w:r w:rsidRPr="00F44FA4">
              <w:rPr>
                <w:rFonts w:cs="Arial"/>
                <w:b/>
                <w:bCs/>
                <w:color w:val="000000"/>
                <w:szCs w:val="20"/>
                <w:lang w:eastAsia="sl-SI"/>
              </w:rPr>
              <w:t>2010</w:t>
            </w:r>
          </w:p>
        </w:tc>
        <w:tc>
          <w:tcPr>
            <w:tcW w:w="1080" w:type="dxa"/>
            <w:tcBorders>
              <w:top w:val="single" w:sz="4" w:space="0" w:color="auto"/>
              <w:left w:val="nil"/>
              <w:bottom w:val="single" w:sz="4" w:space="0" w:color="auto"/>
              <w:right w:val="single" w:sz="4" w:space="0" w:color="auto"/>
            </w:tcBorders>
            <w:shd w:val="clear" w:color="000000" w:fill="92D050"/>
            <w:noWrap/>
            <w:vAlign w:val="center"/>
            <w:hideMark/>
          </w:tcPr>
          <w:p w14:paraId="6738E6B2" w14:textId="77777777" w:rsidR="006C63D5" w:rsidRPr="00F44FA4" w:rsidRDefault="006C63D5" w:rsidP="00C473E5">
            <w:pPr>
              <w:keepNext/>
              <w:keepLines/>
              <w:jc w:val="center"/>
              <w:rPr>
                <w:rFonts w:cs="Arial"/>
                <w:b/>
                <w:bCs/>
                <w:color w:val="000000"/>
                <w:szCs w:val="20"/>
                <w:lang w:eastAsia="sl-SI"/>
              </w:rPr>
            </w:pPr>
            <w:r w:rsidRPr="00F44FA4">
              <w:rPr>
                <w:rFonts w:cs="Arial"/>
                <w:b/>
                <w:bCs/>
                <w:color w:val="000000"/>
                <w:szCs w:val="20"/>
                <w:lang w:eastAsia="sl-SI"/>
              </w:rPr>
              <w:t>2013</w:t>
            </w:r>
          </w:p>
        </w:tc>
        <w:tc>
          <w:tcPr>
            <w:tcW w:w="1060" w:type="dxa"/>
            <w:tcBorders>
              <w:top w:val="single" w:sz="4" w:space="0" w:color="auto"/>
              <w:left w:val="nil"/>
              <w:bottom w:val="single" w:sz="4" w:space="0" w:color="auto"/>
              <w:right w:val="single" w:sz="4" w:space="0" w:color="auto"/>
            </w:tcBorders>
            <w:shd w:val="clear" w:color="000000" w:fill="92D050"/>
            <w:noWrap/>
            <w:vAlign w:val="center"/>
            <w:hideMark/>
          </w:tcPr>
          <w:p w14:paraId="0CF72A89" w14:textId="77777777" w:rsidR="006C63D5" w:rsidRPr="00F44FA4" w:rsidRDefault="006C63D5" w:rsidP="00C473E5">
            <w:pPr>
              <w:keepNext/>
              <w:keepLines/>
              <w:jc w:val="center"/>
              <w:rPr>
                <w:rFonts w:cs="Arial"/>
                <w:b/>
                <w:bCs/>
                <w:color w:val="000000"/>
                <w:szCs w:val="20"/>
                <w:lang w:eastAsia="sl-SI"/>
              </w:rPr>
            </w:pPr>
            <w:r w:rsidRPr="00F44FA4">
              <w:rPr>
                <w:rFonts w:cs="Arial"/>
                <w:b/>
                <w:bCs/>
                <w:color w:val="000000"/>
                <w:szCs w:val="20"/>
                <w:lang w:eastAsia="sl-SI"/>
              </w:rPr>
              <w:t>2016</w:t>
            </w:r>
          </w:p>
        </w:tc>
        <w:tc>
          <w:tcPr>
            <w:tcW w:w="1060" w:type="dxa"/>
            <w:tcBorders>
              <w:top w:val="single" w:sz="4" w:space="0" w:color="auto"/>
              <w:left w:val="nil"/>
              <w:bottom w:val="single" w:sz="4" w:space="0" w:color="auto"/>
              <w:right w:val="single" w:sz="4" w:space="0" w:color="auto"/>
            </w:tcBorders>
            <w:shd w:val="clear" w:color="000000" w:fill="92D050"/>
            <w:noWrap/>
            <w:vAlign w:val="center"/>
            <w:hideMark/>
          </w:tcPr>
          <w:p w14:paraId="01278484" w14:textId="77777777" w:rsidR="006C63D5" w:rsidRPr="00F44FA4" w:rsidRDefault="006C63D5" w:rsidP="00C473E5">
            <w:pPr>
              <w:keepNext/>
              <w:keepLines/>
              <w:jc w:val="center"/>
              <w:rPr>
                <w:rFonts w:cs="Arial"/>
                <w:b/>
                <w:bCs/>
                <w:color w:val="000000"/>
                <w:szCs w:val="20"/>
                <w:lang w:eastAsia="sl-SI"/>
              </w:rPr>
            </w:pPr>
            <w:r w:rsidRPr="00F44FA4">
              <w:rPr>
                <w:rFonts w:cs="Arial"/>
                <w:b/>
                <w:bCs/>
                <w:color w:val="000000"/>
                <w:szCs w:val="20"/>
                <w:lang w:eastAsia="sl-SI"/>
              </w:rPr>
              <w:t>2017</w:t>
            </w:r>
          </w:p>
        </w:tc>
        <w:tc>
          <w:tcPr>
            <w:tcW w:w="1060" w:type="dxa"/>
            <w:tcBorders>
              <w:top w:val="single" w:sz="4" w:space="0" w:color="auto"/>
              <w:left w:val="nil"/>
              <w:bottom w:val="single" w:sz="4" w:space="0" w:color="auto"/>
              <w:right w:val="single" w:sz="4" w:space="0" w:color="auto"/>
            </w:tcBorders>
            <w:shd w:val="clear" w:color="000000" w:fill="92D050"/>
            <w:noWrap/>
            <w:vAlign w:val="center"/>
            <w:hideMark/>
          </w:tcPr>
          <w:p w14:paraId="64137F03" w14:textId="77777777" w:rsidR="006C63D5" w:rsidRPr="00F44FA4" w:rsidRDefault="006C63D5" w:rsidP="00C473E5">
            <w:pPr>
              <w:keepNext/>
              <w:keepLines/>
              <w:jc w:val="center"/>
              <w:rPr>
                <w:rFonts w:cs="Arial"/>
                <w:b/>
                <w:bCs/>
                <w:color w:val="000000"/>
                <w:szCs w:val="20"/>
                <w:lang w:eastAsia="sl-SI"/>
              </w:rPr>
            </w:pPr>
            <w:r w:rsidRPr="00F44FA4">
              <w:rPr>
                <w:rFonts w:cs="Arial"/>
                <w:b/>
                <w:bCs/>
                <w:color w:val="000000"/>
                <w:szCs w:val="20"/>
                <w:lang w:eastAsia="sl-SI"/>
              </w:rPr>
              <w:t>2018</w:t>
            </w:r>
          </w:p>
        </w:tc>
      </w:tr>
      <w:tr w:rsidR="006C63D5" w:rsidRPr="00F44FA4" w14:paraId="6EF38981" w14:textId="77777777" w:rsidTr="004167E8">
        <w:trPr>
          <w:trHeight w:val="285"/>
        </w:trPr>
        <w:tc>
          <w:tcPr>
            <w:tcW w:w="605" w:type="dxa"/>
            <w:vMerge w:val="restart"/>
            <w:tcBorders>
              <w:top w:val="nil"/>
              <w:left w:val="single" w:sz="4" w:space="0" w:color="auto"/>
              <w:bottom w:val="single" w:sz="4" w:space="0" w:color="auto"/>
              <w:right w:val="single" w:sz="4" w:space="0" w:color="auto"/>
            </w:tcBorders>
            <w:shd w:val="clear" w:color="auto" w:fill="auto"/>
            <w:vAlign w:val="center"/>
            <w:hideMark/>
          </w:tcPr>
          <w:p w14:paraId="24A354F7" w14:textId="77777777" w:rsidR="006C63D5" w:rsidRPr="00F44FA4" w:rsidRDefault="006C63D5" w:rsidP="00C473E5">
            <w:pPr>
              <w:keepNext/>
              <w:keepLines/>
              <w:jc w:val="center"/>
              <w:rPr>
                <w:rFonts w:cs="Arial"/>
                <w:color w:val="000000"/>
                <w:szCs w:val="20"/>
                <w:lang w:eastAsia="sl-SI"/>
              </w:rPr>
            </w:pPr>
            <w:r w:rsidRPr="00F44FA4">
              <w:rPr>
                <w:rFonts w:cs="Arial"/>
                <w:color w:val="000000"/>
                <w:szCs w:val="20"/>
                <w:lang w:eastAsia="sl-SI"/>
              </w:rPr>
              <w:t> </w:t>
            </w:r>
          </w:p>
        </w:tc>
        <w:tc>
          <w:tcPr>
            <w:tcW w:w="3773" w:type="dxa"/>
            <w:tcBorders>
              <w:top w:val="nil"/>
              <w:left w:val="nil"/>
              <w:bottom w:val="single" w:sz="4" w:space="0" w:color="auto"/>
              <w:right w:val="single" w:sz="4" w:space="0" w:color="auto"/>
            </w:tcBorders>
            <w:shd w:val="clear" w:color="000000" w:fill="FFFFFF"/>
            <w:noWrap/>
            <w:vAlign w:val="bottom"/>
            <w:hideMark/>
          </w:tcPr>
          <w:p w14:paraId="28FF4F24" w14:textId="77777777" w:rsidR="006C63D5" w:rsidRPr="00F44FA4" w:rsidRDefault="006C63D5" w:rsidP="00C473E5">
            <w:pPr>
              <w:keepNext/>
              <w:keepLines/>
              <w:rPr>
                <w:rFonts w:cs="Arial"/>
                <w:color w:val="000000"/>
                <w:szCs w:val="20"/>
                <w:lang w:eastAsia="sl-SI"/>
              </w:rPr>
            </w:pPr>
            <w:r w:rsidRPr="00F44FA4">
              <w:rPr>
                <w:rFonts w:cs="Arial"/>
                <w:color w:val="000000"/>
                <w:szCs w:val="20"/>
                <w:lang w:eastAsia="sl-SI"/>
              </w:rPr>
              <w:t>Stopnja revščine v podeželskih regijah</w:t>
            </w:r>
          </w:p>
        </w:tc>
        <w:tc>
          <w:tcPr>
            <w:tcW w:w="1080" w:type="dxa"/>
            <w:tcBorders>
              <w:top w:val="nil"/>
              <w:left w:val="nil"/>
              <w:bottom w:val="single" w:sz="4" w:space="0" w:color="auto"/>
              <w:right w:val="single" w:sz="4" w:space="0" w:color="auto"/>
            </w:tcBorders>
            <w:shd w:val="clear" w:color="auto" w:fill="auto"/>
            <w:noWrap/>
            <w:vAlign w:val="bottom"/>
            <w:hideMark/>
          </w:tcPr>
          <w:p w14:paraId="658BCF86"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19,80</w:t>
            </w:r>
          </w:p>
        </w:tc>
        <w:tc>
          <w:tcPr>
            <w:tcW w:w="1080" w:type="dxa"/>
            <w:tcBorders>
              <w:top w:val="nil"/>
              <w:left w:val="nil"/>
              <w:bottom w:val="single" w:sz="4" w:space="0" w:color="auto"/>
              <w:right w:val="single" w:sz="4" w:space="0" w:color="auto"/>
            </w:tcBorders>
            <w:shd w:val="clear" w:color="auto" w:fill="auto"/>
            <w:noWrap/>
            <w:vAlign w:val="bottom"/>
            <w:hideMark/>
          </w:tcPr>
          <w:p w14:paraId="3FA53167"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21,70</w:t>
            </w:r>
          </w:p>
        </w:tc>
        <w:tc>
          <w:tcPr>
            <w:tcW w:w="1060" w:type="dxa"/>
            <w:tcBorders>
              <w:top w:val="nil"/>
              <w:left w:val="nil"/>
              <w:bottom w:val="single" w:sz="4" w:space="0" w:color="auto"/>
              <w:right w:val="single" w:sz="4" w:space="0" w:color="auto"/>
            </w:tcBorders>
            <w:shd w:val="clear" w:color="auto" w:fill="auto"/>
            <w:noWrap/>
            <w:vAlign w:val="center"/>
            <w:hideMark/>
          </w:tcPr>
          <w:p w14:paraId="3F652192"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w:t>
            </w:r>
          </w:p>
        </w:tc>
        <w:tc>
          <w:tcPr>
            <w:tcW w:w="1060" w:type="dxa"/>
            <w:tcBorders>
              <w:top w:val="nil"/>
              <w:left w:val="nil"/>
              <w:bottom w:val="single" w:sz="4" w:space="0" w:color="auto"/>
              <w:right w:val="single" w:sz="4" w:space="0" w:color="auto"/>
            </w:tcBorders>
            <w:shd w:val="clear" w:color="auto" w:fill="auto"/>
            <w:noWrap/>
            <w:vAlign w:val="bottom"/>
            <w:hideMark/>
          </w:tcPr>
          <w:p w14:paraId="25C5C01F"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17,70</w:t>
            </w:r>
          </w:p>
        </w:tc>
        <w:tc>
          <w:tcPr>
            <w:tcW w:w="1060" w:type="dxa"/>
            <w:tcBorders>
              <w:top w:val="nil"/>
              <w:left w:val="nil"/>
              <w:bottom w:val="single" w:sz="4" w:space="0" w:color="auto"/>
              <w:right w:val="single" w:sz="4" w:space="0" w:color="auto"/>
            </w:tcBorders>
            <w:shd w:val="clear" w:color="auto" w:fill="auto"/>
            <w:noWrap/>
            <w:vAlign w:val="bottom"/>
            <w:hideMark/>
          </w:tcPr>
          <w:p w14:paraId="2E683630"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16,60</w:t>
            </w:r>
          </w:p>
        </w:tc>
      </w:tr>
      <w:tr w:rsidR="006C63D5" w:rsidRPr="00F44FA4" w14:paraId="5B18081B" w14:textId="77777777" w:rsidTr="004167E8">
        <w:trPr>
          <w:trHeight w:val="270"/>
        </w:trPr>
        <w:tc>
          <w:tcPr>
            <w:tcW w:w="605" w:type="dxa"/>
            <w:vMerge/>
            <w:tcBorders>
              <w:top w:val="nil"/>
              <w:left w:val="single" w:sz="4" w:space="0" w:color="auto"/>
              <w:bottom w:val="single" w:sz="4" w:space="0" w:color="auto"/>
              <w:right w:val="single" w:sz="4" w:space="0" w:color="auto"/>
            </w:tcBorders>
            <w:vAlign w:val="center"/>
            <w:hideMark/>
          </w:tcPr>
          <w:p w14:paraId="0FEF114D" w14:textId="77777777" w:rsidR="006C63D5" w:rsidRPr="00F44FA4" w:rsidRDefault="006C63D5" w:rsidP="00C473E5">
            <w:pPr>
              <w:keepNext/>
              <w:keepLines/>
              <w:rPr>
                <w:rFonts w:cs="Arial"/>
                <w:color w:val="000000"/>
                <w:szCs w:val="20"/>
                <w:lang w:eastAsia="sl-SI"/>
              </w:rPr>
            </w:pPr>
          </w:p>
        </w:tc>
        <w:tc>
          <w:tcPr>
            <w:tcW w:w="3773" w:type="dxa"/>
            <w:tcBorders>
              <w:top w:val="nil"/>
              <w:left w:val="nil"/>
              <w:bottom w:val="single" w:sz="4" w:space="0" w:color="auto"/>
              <w:right w:val="single" w:sz="4" w:space="0" w:color="auto"/>
            </w:tcBorders>
            <w:shd w:val="clear" w:color="000000" w:fill="FFFFFF"/>
            <w:noWrap/>
            <w:vAlign w:val="bottom"/>
            <w:hideMark/>
          </w:tcPr>
          <w:p w14:paraId="61777F20" w14:textId="77777777" w:rsidR="006C63D5" w:rsidRPr="00F44FA4" w:rsidRDefault="006C63D5" w:rsidP="00C473E5">
            <w:pPr>
              <w:keepNext/>
              <w:keepLines/>
              <w:rPr>
                <w:rFonts w:cs="Arial"/>
                <w:color w:val="000000"/>
                <w:szCs w:val="20"/>
                <w:lang w:eastAsia="sl-SI"/>
              </w:rPr>
            </w:pPr>
            <w:r w:rsidRPr="00F44FA4">
              <w:rPr>
                <w:rFonts w:cs="Arial"/>
                <w:color w:val="000000"/>
                <w:szCs w:val="20"/>
                <w:lang w:eastAsia="sl-SI"/>
              </w:rPr>
              <w:t>Stopnja revščine skupaj</w:t>
            </w:r>
          </w:p>
        </w:tc>
        <w:tc>
          <w:tcPr>
            <w:tcW w:w="1080" w:type="dxa"/>
            <w:tcBorders>
              <w:top w:val="nil"/>
              <w:left w:val="nil"/>
              <w:bottom w:val="single" w:sz="4" w:space="0" w:color="auto"/>
              <w:right w:val="single" w:sz="4" w:space="0" w:color="auto"/>
            </w:tcBorders>
            <w:shd w:val="clear" w:color="auto" w:fill="auto"/>
            <w:noWrap/>
            <w:vAlign w:val="bottom"/>
            <w:hideMark/>
          </w:tcPr>
          <w:p w14:paraId="4054EBC1"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18,30</w:t>
            </w:r>
          </w:p>
        </w:tc>
        <w:tc>
          <w:tcPr>
            <w:tcW w:w="1080" w:type="dxa"/>
            <w:tcBorders>
              <w:top w:val="nil"/>
              <w:left w:val="nil"/>
              <w:bottom w:val="single" w:sz="4" w:space="0" w:color="auto"/>
              <w:right w:val="single" w:sz="4" w:space="0" w:color="auto"/>
            </w:tcBorders>
            <w:shd w:val="clear" w:color="auto" w:fill="auto"/>
            <w:noWrap/>
            <w:vAlign w:val="bottom"/>
            <w:hideMark/>
          </w:tcPr>
          <w:p w14:paraId="14E531FE"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20,40</w:t>
            </w:r>
          </w:p>
        </w:tc>
        <w:tc>
          <w:tcPr>
            <w:tcW w:w="1060" w:type="dxa"/>
            <w:tcBorders>
              <w:top w:val="nil"/>
              <w:left w:val="nil"/>
              <w:bottom w:val="single" w:sz="4" w:space="0" w:color="auto"/>
              <w:right w:val="single" w:sz="4" w:space="0" w:color="auto"/>
            </w:tcBorders>
            <w:shd w:val="clear" w:color="auto" w:fill="auto"/>
            <w:noWrap/>
            <w:vAlign w:val="bottom"/>
            <w:hideMark/>
          </w:tcPr>
          <w:p w14:paraId="37BB9FD0"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18,40</w:t>
            </w:r>
          </w:p>
        </w:tc>
        <w:tc>
          <w:tcPr>
            <w:tcW w:w="1060" w:type="dxa"/>
            <w:tcBorders>
              <w:top w:val="nil"/>
              <w:left w:val="nil"/>
              <w:bottom w:val="single" w:sz="4" w:space="0" w:color="auto"/>
              <w:right w:val="single" w:sz="4" w:space="0" w:color="auto"/>
            </w:tcBorders>
            <w:shd w:val="clear" w:color="auto" w:fill="auto"/>
            <w:noWrap/>
            <w:vAlign w:val="bottom"/>
            <w:hideMark/>
          </w:tcPr>
          <w:p w14:paraId="33EEAD6E"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17,10</w:t>
            </w:r>
          </w:p>
        </w:tc>
        <w:tc>
          <w:tcPr>
            <w:tcW w:w="1060" w:type="dxa"/>
            <w:tcBorders>
              <w:top w:val="nil"/>
              <w:left w:val="nil"/>
              <w:bottom w:val="single" w:sz="4" w:space="0" w:color="auto"/>
              <w:right w:val="single" w:sz="4" w:space="0" w:color="auto"/>
            </w:tcBorders>
            <w:shd w:val="clear" w:color="auto" w:fill="auto"/>
            <w:noWrap/>
            <w:vAlign w:val="bottom"/>
            <w:hideMark/>
          </w:tcPr>
          <w:p w14:paraId="668017A5"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16,20</w:t>
            </w:r>
          </w:p>
        </w:tc>
      </w:tr>
    </w:tbl>
    <w:p w14:paraId="16FF3CA3" w14:textId="4EA78749" w:rsidR="008A25A9" w:rsidRDefault="00F15E56" w:rsidP="00C473E5">
      <w:pPr>
        <w:keepNext/>
        <w:keepLines/>
        <w:spacing w:before="120" w:after="240" w:line="264" w:lineRule="auto"/>
      </w:pPr>
      <w:r>
        <w:rPr>
          <w:rFonts w:eastAsia="Arial" w:cs="Arial"/>
          <w:bCs/>
          <w:sz w:val="16"/>
          <w:szCs w:val="16"/>
        </w:rPr>
        <w:t xml:space="preserve">Vir: </w:t>
      </w:r>
      <w:proofErr w:type="spellStart"/>
      <w:r w:rsidRPr="004629B1">
        <w:rPr>
          <w:rFonts w:eastAsia="Calibri"/>
          <w:sz w:val="16"/>
          <w:szCs w:val="16"/>
        </w:rPr>
        <w:t>Dashboard</w:t>
      </w:r>
      <w:proofErr w:type="spellEnd"/>
      <w:r w:rsidRPr="004629B1">
        <w:rPr>
          <w:rFonts w:eastAsia="Calibri"/>
          <w:sz w:val="16"/>
          <w:szCs w:val="16"/>
        </w:rPr>
        <w:t xml:space="preserve"> </w:t>
      </w:r>
      <w:proofErr w:type="spellStart"/>
      <w:r w:rsidRPr="004629B1">
        <w:rPr>
          <w:rFonts w:eastAsia="Calibri"/>
          <w:sz w:val="16"/>
          <w:szCs w:val="16"/>
        </w:rPr>
        <w:t>Indicators</w:t>
      </w:r>
      <w:proofErr w:type="spellEnd"/>
      <w:r w:rsidRPr="004629B1">
        <w:rPr>
          <w:rFonts w:cs="Arial"/>
          <w:sz w:val="16"/>
          <w:szCs w:val="16"/>
        </w:rPr>
        <w:t xml:space="preserve"> </w:t>
      </w:r>
      <w:r w:rsidRPr="004629B1">
        <w:rPr>
          <w:rFonts w:eastAsia="Arial" w:cs="Arial"/>
          <w:bCs/>
          <w:sz w:val="16"/>
          <w:szCs w:val="16"/>
        </w:rPr>
        <w:t>https://gridata.ec.europa.eu/extensions/DashboardIndicators/DataExplorer.html?select=EU27_FLAG,1)</w:t>
      </w:r>
      <w:r w:rsidRPr="00826383" w:rsidDel="0048003A">
        <w:rPr>
          <w:rFonts w:cs="Arial"/>
          <w:bCs/>
          <w:i/>
          <w:szCs w:val="20"/>
        </w:rPr>
        <w:t xml:space="preserve"> </w:t>
      </w:r>
    </w:p>
    <w:p w14:paraId="42360281" w14:textId="608F4474" w:rsidR="005A6936" w:rsidRDefault="005A6936" w:rsidP="00F42F8F">
      <w:pPr>
        <w:pStyle w:val="SCslika"/>
        <w:keepNext/>
        <w:keepLines/>
      </w:pPr>
      <w:bookmarkStart w:id="44" w:name="_Ref29978867"/>
      <w:bookmarkStart w:id="45" w:name="_Toc55913760"/>
      <w:r w:rsidRPr="00BA5EC3">
        <w:t xml:space="preserve">Slika </w:t>
      </w:r>
      <w:r w:rsidR="007A077E">
        <w:fldChar w:fldCharType="begin"/>
      </w:r>
      <w:r w:rsidR="007A077E">
        <w:instrText xml:space="preserve"> SEQ Slika \* ARABIC </w:instrText>
      </w:r>
      <w:r w:rsidR="007A077E">
        <w:fldChar w:fldCharType="separate"/>
      </w:r>
      <w:r w:rsidR="0040635C">
        <w:t>9</w:t>
      </w:r>
      <w:r w:rsidR="007A077E">
        <w:fldChar w:fldCharType="end"/>
      </w:r>
      <w:bookmarkEnd w:id="44"/>
      <w:r w:rsidRPr="00BA5EC3">
        <w:t>: Stopnja revščine skupaj v RS in na podeželju (podeželska območja)</w:t>
      </w:r>
      <w:bookmarkEnd w:id="45"/>
    </w:p>
    <w:p w14:paraId="4E7E1708" w14:textId="6A1BA465" w:rsidR="00EF2850" w:rsidRPr="005A6936" w:rsidRDefault="006C63D5" w:rsidP="00C473E5">
      <w:pPr>
        <w:pStyle w:val="Navadensplet"/>
        <w:keepNext/>
        <w:keepLines/>
        <w:shd w:val="clear" w:color="auto" w:fill="FFFFFF"/>
        <w:ind w:left="17"/>
        <w:rPr>
          <w:rFonts w:ascii="Arial" w:hAnsi="Arial"/>
          <w:sz w:val="16"/>
          <w:szCs w:val="16"/>
        </w:rPr>
      </w:pPr>
      <w:r w:rsidRPr="00BA5EC3">
        <w:rPr>
          <w:noProof/>
        </w:rPr>
        <w:drawing>
          <wp:inline distT="0" distB="0" distL="0" distR="0" wp14:anchorId="14FA50A1" wp14:editId="61F3FFFC">
            <wp:extent cx="5760720" cy="1840230"/>
            <wp:effectExtent l="0" t="0" r="0" b="7620"/>
            <wp:docPr id="1631865546" name="Slika 163186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65546" name="Revščina.png"/>
                    <pic:cNvPicPr/>
                  </pic:nvPicPr>
                  <pic:blipFill>
                    <a:blip r:embed="rId24">
                      <a:extLst>
                        <a:ext uri="{28A0092B-C50C-407E-A947-70E740481C1C}">
                          <a14:useLocalDpi xmlns:a14="http://schemas.microsoft.com/office/drawing/2010/main" val="0"/>
                        </a:ext>
                      </a:extLst>
                    </a:blip>
                    <a:stretch>
                      <a:fillRect/>
                    </a:stretch>
                  </pic:blipFill>
                  <pic:spPr>
                    <a:xfrm>
                      <a:off x="0" y="0"/>
                      <a:ext cx="5760720" cy="1840230"/>
                    </a:xfrm>
                    <a:prstGeom prst="rect">
                      <a:avLst/>
                    </a:prstGeom>
                  </pic:spPr>
                </pic:pic>
              </a:graphicData>
            </a:graphic>
          </wp:inline>
        </w:drawing>
      </w:r>
      <w:r w:rsidR="005A6936" w:rsidRPr="005A6936">
        <w:rPr>
          <w:rFonts w:ascii="Arial" w:hAnsi="Arial"/>
          <w:sz w:val="16"/>
          <w:szCs w:val="16"/>
        </w:rPr>
        <w:t xml:space="preserve">Vir: </w:t>
      </w:r>
      <w:proofErr w:type="spellStart"/>
      <w:r w:rsidR="005A6936" w:rsidRPr="005A6936">
        <w:rPr>
          <w:rFonts w:ascii="Arial" w:hAnsi="Arial"/>
          <w:sz w:val="16"/>
          <w:szCs w:val="16"/>
        </w:rPr>
        <w:t>Analytical</w:t>
      </w:r>
      <w:proofErr w:type="spellEnd"/>
      <w:r w:rsidR="005A6936" w:rsidRPr="005A6936">
        <w:rPr>
          <w:rFonts w:ascii="Arial" w:hAnsi="Arial"/>
          <w:sz w:val="16"/>
          <w:szCs w:val="16"/>
        </w:rPr>
        <w:t xml:space="preserve"> </w:t>
      </w:r>
      <w:proofErr w:type="spellStart"/>
      <w:r w:rsidR="005A6936" w:rsidRPr="005A6936">
        <w:rPr>
          <w:rFonts w:ascii="Arial" w:hAnsi="Arial"/>
          <w:sz w:val="16"/>
          <w:szCs w:val="16"/>
        </w:rPr>
        <w:t>factsheet</w:t>
      </w:r>
      <w:proofErr w:type="spellEnd"/>
    </w:p>
    <w:p w14:paraId="04B551E4" w14:textId="11744B1B" w:rsidR="00EF2850" w:rsidRPr="00C9712F" w:rsidRDefault="006412DC" w:rsidP="00F57BE2">
      <w:pPr>
        <w:pStyle w:val="Naslov2"/>
        <w:ind w:left="578" w:hanging="578"/>
      </w:pPr>
      <w:bookmarkStart w:id="46" w:name="_Toc42067293"/>
      <w:bookmarkStart w:id="47" w:name="_Toc55912179"/>
      <w:r w:rsidRPr="005A6936">
        <w:t>Izobraževanje</w:t>
      </w:r>
      <w:bookmarkEnd w:id="46"/>
      <w:bookmarkEnd w:id="47"/>
    </w:p>
    <w:p w14:paraId="633A5109" w14:textId="77777777" w:rsidR="006C63D5" w:rsidRPr="00AD76B1" w:rsidRDefault="006C63D5" w:rsidP="00AD76B1">
      <w:pPr>
        <w:spacing w:after="240" w:line="360" w:lineRule="auto"/>
        <w:jc w:val="both"/>
        <w:rPr>
          <w:rFonts w:cs="Arial"/>
          <w:szCs w:val="20"/>
        </w:rPr>
      </w:pPr>
      <w:r w:rsidRPr="00AD76B1">
        <w:rPr>
          <w:rFonts w:cs="Arial"/>
          <w:szCs w:val="20"/>
        </w:rPr>
        <w:t xml:space="preserve">Delež mladih, vključenih v formalno izobraževanje, in tistih, ki so to izobraževanje končali, se je v Sloveniji v desetletjih po ustanovitvi samostojne države močno povečal. Zaradi izboljševanja izobrazbe </w:t>
      </w:r>
      <w:r w:rsidRPr="00AD76B1">
        <w:rPr>
          <w:rFonts w:cs="Arial"/>
          <w:szCs w:val="20"/>
        </w:rPr>
        <w:lastRenderedPageBreak/>
        <w:t>mlajše populacije se je v zadnjih letih precej izboljšala izobrazbena raven celotnega prebivalstva: zmanjšal se je delež prebivalstva z največ osnovnošolsko izobrazbo, povečal pa se je delež terciarno izobraženih prebivalcev. Delež mladih, starih 30–34 let, ki so dosegli terciarno izobrazbo, se je od leta 2005 do leta 2017 zvišal s 25 % na 46 % in je precej presegel povprečje celotne EU (40 %). Po podatkih UMAR so ženske na splošno sicer bolj izobražene, vendar manj pogosto zastopane v nekaterih bolje plačanih poklicnih skupinah in na vodstvenih delovnih mestih, njihove povprečne plače pa so tako nižje. Javni izdatki za formalno izobraževanje so v letu 2017 znašali 2.056 milijonov EUR ali 4,8 % BDP.</w:t>
      </w:r>
    </w:p>
    <w:p w14:paraId="4F43B311" w14:textId="52312BF0" w:rsidR="006C63D5" w:rsidRPr="00AD76B1" w:rsidRDefault="006C63D5" w:rsidP="00AD76B1">
      <w:pPr>
        <w:spacing w:after="240" w:line="360" w:lineRule="auto"/>
        <w:jc w:val="both"/>
        <w:rPr>
          <w:rFonts w:cs="Arial"/>
          <w:szCs w:val="20"/>
        </w:rPr>
      </w:pPr>
      <w:r w:rsidRPr="00AD76B1">
        <w:rPr>
          <w:rFonts w:cs="Arial"/>
          <w:szCs w:val="20"/>
        </w:rPr>
        <w:t xml:space="preserve">V 2016 je imela višje– ali visokošolsko izobrazbo skoraj tretjina prebivalcev Slovenije (25–64 let). Delež mladih (v starosti 19–24 let), vključenih v višješolsko in visokošolsko izobraževanje je bil 46,5 %. </w:t>
      </w:r>
      <w:r w:rsidRPr="00764E8A">
        <w:rPr>
          <w:rFonts w:cs="Arial"/>
          <w:szCs w:val="20"/>
        </w:rPr>
        <w:t>Že več let pa se število vpisanih v terciarno izobraževanje zmanjšuje</w:t>
      </w:r>
      <w:r w:rsidR="008A25A9">
        <w:rPr>
          <w:rFonts w:cs="Arial"/>
          <w:szCs w:val="20"/>
        </w:rPr>
        <w:t>, saj</w:t>
      </w:r>
      <w:r w:rsidR="00D454A7" w:rsidRPr="00764E8A">
        <w:rPr>
          <w:rFonts w:cs="Arial"/>
          <w:szCs w:val="20"/>
        </w:rPr>
        <w:t xml:space="preserve"> se zmanjšuje </w:t>
      </w:r>
      <w:r w:rsidR="00764E8A">
        <w:rPr>
          <w:rFonts w:cs="Arial"/>
          <w:szCs w:val="20"/>
        </w:rPr>
        <w:t xml:space="preserve">tudi </w:t>
      </w:r>
      <w:r w:rsidR="00D454A7" w:rsidRPr="00764E8A">
        <w:rPr>
          <w:rFonts w:cs="Arial"/>
          <w:szCs w:val="20"/>
        </w:rPr>
        <w:t>delež mladih</w:t>
      </w:r>
      <w:r w:rsidRPr="00764E8A">
        <w:rPr>
          <w:rFonts w:cs="Arial"/>
          <w:szCs w:val="20"/>
        </w:rPr>
        <w:t>.</w:t>
      </w:r>
    </w:p>
    <w:p w14:paraId="7339631F" w14:textId="0D498C46" w:rsidR="006C63D5" w:rsidRPr="00AD76B1" w:rsidRDefault="006C63D5" w:rsidP="00AD76B1">
      <w:pPr>
        <w:spacing w:after="240" w:line="360" w:lineRule="auto"/>
        <w:jc w:val="both"/>
        <w:rPr>
          <w:rFonts w:cs="Arial"/>
          <w:szCs w:val="20"/>
        </w:rPr>
      </w:pPr>
      <w:r w:rsidRPr="00AD76B1">
        <w:rPr>
          <w:rFonts w:cs="Arial"/>
          <w:szCs w:val="20"/>
        </w:rPr>
        <w:t>V vrtce je bilo na začetku šolskega leta 2018/19 vključenih 87.147 otrok (81,7 % vseh otrok starih 1-5 let), v osnovne šole 186.328 učencev, v srednje šole 73.110 dijakov, v terciarno izobraževanje pa je bilo vključenih 75.991 študentov (od tega 10.000 oseb starejših od 30 let). V zadnjem desetletju, od 2008/09 do 2018/19, se je število otrok v vrtcih povečalo za tretjino. Število dijakov še vedno upada. Generacija mladih, ki je trenutno v srednji šoli, je ena najmanjših v zadnjih 70 letih. (vir: SURS).</w:t>
      </w:r>
    </w:p>
    <w:p w14:paraId="1C9313C2" w14:textId="599717FE" w:rsidR="008E6497" w:rsidRPr="00AD76B1" w:rsidRDefault="006C63D5" w:rsidP="00AD76B1">
      <w:pPr>
        <w:spacing w:after="240" w:line="360" w:lineRule="auto"/>
        <w:jc w:val="both"/>
        <w:rPr>
          <w:rFonts w:cs="Arial"/>
          <w:szCs w:val="20"/>
        </w:rPr>
      </w:pPr>
      <w:r w:rsidRPr="00AD76B1">
        <w:rPr>
          <w:rFonts w:cs="Arial"/>
          <w:szCs w:val="20"/>
        </w:rPr>
        <w:t>Vključenost prebivalcev v starostni skupini 25–64 let v vseživljenjsko učenje stagnira in je višja od povprečja EU. Leta 2017 je znašala 12,0 % (EU: 10,9 %) in je bila nižja kot ob začetku krize. Izstopa nizka vključenost nizko izobraženih, starejših in moških v vseživljenjsko učenje, k</w:t>
      </w:r>
      <w:r w:rsidR="006B5C5D">
        <w:rPr>
          <w:rFonts w:cs="Arial"/>
          <w:szCs w:val="20"/>
        </w:rPr>
        <w:t>ar</w:t>
      </w:r>
      <w:r w:rsidRPr="00AD76B1">
        <w:rPr>
          <w:rFonts w:cs="Arial"/>
          <w:szCs w:val="20"/>
        </w:rPr>
        <w:t xml:space="preserve"> zmanjšuje njihove možnosti za vključenost v družbo. Težava je zlasti nizka vključenost nizko izobraženih in starejših, ki imajo slabe besedilne, matematične in digitalne sposobnosti.</w:t>
      </w:r>
    </w:p>
    <w:p w14:paraId="7B9C9531" w14:textId="149E79CF" w:rsidR="006C63D5" w:rsidRDefault="008E6497" w:rsidP="008E6497">
      <w:pPr>
        <w:pStyle w:val="SCslika"/>
      </w:pPr>
      <w:r w:rsidRPr="008E6497">
        <w:t xml:space="preserve"> </w:t>
      </w:r>
      <w:bookmarkStart w:id="48" w:name="_Toc55913761"/>
      <w:r w:rsidRPr="003D6FF8">
        <w:t xml:space="preserve">Slika </w:t>
      </w:r>
      <w:r w:rsidR="007A077E">
        <w:fldChar w:fldCharType="begin"/>
      </w:r>
      <w:r w:rsidR="007A077E">
        <w:instrText xml:space="preserve"> SEQ Slika \* ARABIC </w:instrText>
      </w:r>
      <w:r w:rsidR="007A077E">
        <w:fldChar w:fldCharType="separate"/>
      </w:r>
      <w:r w:rsidR="0040635C">
        <w:t>10</w:t>
      </w:r>
      <w:r w:rsidR="007A077E">
        <w:fldChar w:fldCharType="end"/>
      </w:r>
      <w:r w:rsidRPr="003D6FF8">
        <w:t>: Prebivalci, stari 25 ali več let, po starosti in izobrazbi</w:t>
      </w:r>
      <w:bookmarkEnd w:id="48"/>
    </w:p>
    <w:p w14:paraId="72715C5A" w14:textId="76102AB1" w:rsidR="006C63D5" w:rsidRPr="003F7C3B" w:rsidRDefault="006C63D5" w:rsidP="003F7C3B">
      <w:pPr>
        <w:spacing w:after="240"/>
        <w:jc w:val="center"/>
        <w:rPr>
          <w:rFonts w:cs="Arial"/>
        </w:rPr>
      </w:pPr>
      <w:r>
        <w:rPr>
          <w:noProof/>
          <w:lang w:eastAsia="sl-SI"/>
        </w:rPr>
        <w:drawing>
          <wp:inline distT="0" distB="0" distL="0" distR="0" wp14:anchorId="68B05C08" wp14:editId="50C797EA">
            <wp:extent cx="6061885" cy="2797791"/>
            <wp:effectExtent l="0" t="0" r="0" b="317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8624" t="45980" r="15583" b="20458"/>
                    <a:stretch/>
                  </pic:blipFill>
                  <pic:spPr bwMode="auto">
                    <a:xfrm>
                      <a:off x="0" y="0"/>
                      <a:ext cx="6086545" cy="2809173"/>
                    </a:xfrm>
                    <a:prstGeom prst="rect">
                      <a:avLst/>
                    </a:prstGeom>
                    <a:ln>
                      <a:noFill/>
                    </a:ln>
                    <a:extLst>
                      <a:ext uri="{53640926-AAD7-44D8-BBD7-CCE9431645EC}">
                        <a14:shadowObscured xmlns:a14="http://schemas.microsoft.com/office/drawing/2010/main"/>
                      </a:ext>
                    </a:extLst>
                  </pic:spPr>
                </pic:pic>
              </a:graphicData>
            </a:graphic>
          </wp:inline>
        </w:drawing>
      </w:r>
    </w:p>
    <w:p w14:paraId="402A4FAC" w14:textId="588276AF" w:rsidR="006B5C5D" w:rsidRPr="00C9712F" w:rsidRDefault="006412DC" w:rsidP="00F57BE2">
      <w:pPr>
        <w:pStyle w:val="Naslov2"/>
        <w:ind w:left="578" w:hanging="578"/>
      </w:pPr>
      <w:bookmarkStart w:id="49" w:name="_Toc42067296"/>
      <w:bookmarkStart w:id="50" w:name="_Toc40959256"/>
      <w:bookmarkStart w:id="51" w:name="_Toc55912180"/>
      <w:r w:rsidRPr="008E6497">
        <w:lastRenderedPageBreak/>
        <w:t>Pomen kmetijstva v BDP</w:t>
      </w:r>
      <w:bookmarkEnd w:id="49"/>
      <w:bookmarkEnd w:id="51"/>
      <w:r w:rsidRPr="008E6497">
        <w:t xml:space="preserve"> </w:t>
      </w:r>
      <w:bookmarkEnd w:id="50"/>
    </w:p>
    <w:p w14:paraId="23BC8375" w14:textId="77777777" w:rsidR="00C473E5" w:rsidRDefault="006C63D5" w:rsidP="00C473E5">
      <w:pPr>
        <w:spacing w:line="360" w:lineRule="auto"/>
        <w:jc w:val="both"/>
        <w:rPr>
          <w:rFonts w:cs="Arial"/>
          <w:szCs w:val="20"/>
        </w:rPr>
      </w:pPr>
      <w:r w:rsidRPr="00AD76B1">
        <w:rPr>
          <w:rFonts w:cs="Arial"/>
          <w:szCs w:val="20"/>
        </w:rPr>
        <w:t xml:space="preserve">Temeljni makroekonomski kazalci kažejo, da je </w:t>
      </w:r>
      <w:r w:rsidR="003F7C3B" w:rsidRPr="00AD76B1">
        <w:rPr>
          <w:rFonts w:cs="Arial"/>
          <w:szCs w:val="20"/>
        </w:rPr>
        <w:t>bruto dodana vrednost v kmetijstvu v letu 2018 dosegla 1,4 % bruto domačega proizvoda. Kmetijstvo je skupaj z lovstvom, gozdarstvom in ribištvom leta 2019 k skupni ustvarjeni dodani vrednosti prispevalo 2,3 % (leta 2018: 2,4 %)</w:t>
      </w:r>
      <w:r w:rsidR="006B5C5D">
        <w:rPr>
          <w:rFonts w:cs="Arial"/>
          <w:szCs w:val="20"/>
        </w:rPr>
        <w:t xml:space="preserve">, </w:t>
      </w:r>
      <w:r w:rsidRPr="00AD76B1">
        <w:rPr>
          <w:rFonts w:cs="Arial"/>
          <w:szCs w:val="20"/>
        </w:rPr>
        <w:t>kar kaže na to, da kmetijstvo v ekonomskem smislu predstavlja majhen segment celotnega gospodarstva. Konec maja 2020 je bilo v Sloveniji nekaj več kot 883.900 delovno aktivnih oseb, kar je za 1,7 % manj kot konec maja 2019. K skupni zaposlenosti je kmetijstvo skupaj z lovstvom, gozdarstvom in ribištvom leta 2019 prispevalo 6,9 %. Še vedno pa je kmetijstvo pomembno v strukturi skupne zaposlenosti, čeprav tudi ta delež v zadnjih letih upada.</w:t>
      </w:r>
    </w:p>
    <w:p w14:paraId="1E865263" w14:textId="3A7C42E9" w:rsidR="006C63D5" w:rsidRPr="0022611B" w:rsidRDefault="00C9160B" w:rsidP="00C473E5">
      <w:pPr>
        <w:keepNext/>
        <w:keepLines/>
        <w:spacing w:after="0" w:line="360" w:lineRule="auto"/>
        <w:jc w:val="both"/>
        <w:rPr>
          <w:lang w:eastAsia="en-GB"/>
        </w:rPr>
      </w:pPr>
      <w:bookmarkStart w:id="52" w:name="_Toc55913729"/>
      <w:r>
        <w:lastRenderedPageBreak/>
        <w:t>Tabela</w:t>
      </w:r>
      <w:r w:rsidR="006C63D5" w:rsidRPr="003D6FF8">
        <w:t xml:space="preserve"> </w:t>
      </w:r>
      <w:r w:rsidR="0001708D">
        <w:rPr>
          <w:noProof/>
        </w:rPr>
        <w:fldChar w:fldCharType="begin"/>
      </w:r>
      <w:r w:rsidR="0001708D">
        <w:rPr>
          <w:noProof/>
        </w:rPr>
        <w:instrText xml:space="preserve"> SEQ Tabela \* ARABIC </w:instrText>
      </w:r>
      <w:r w:rsidR="0001708D">
        <w:rPr>
          <w:noProof/>
        </w:rPr>
        <w:fldChar w:fldCharType="separate"/>
      </w:r>
      <w:r w:rsidR="00DF0D48">
        <w:rPr>
          <w:noProof/>
        </w:rPr>
        <w:t>18</w:t>
      </w:r>
      <w:r w:rsidR="0001708D">
        <w:rPr>
          <w:noProof/>
        </w:rPr>
        <w:fldChar w:fldCharType="end"/>
      </w:r>
      <w:r w:rsidR="006C63D5" w:rsidRPr="003D6FF8">
        <w:t xml:space="preserve">: </w:t>
      </w:r>
      <w:r w:rsidR="006C63D5" w:rsidRPr="00FB5DB1">
        <w:t>Bruto doda</w:t>
      </w:r>
      <w:r w:rsidR="006C63D5">
        <w:t>na vrednost kmetijstva 2010–2019</w:t>
      </w:r>
      <w:bookmarkEnd w:id="52"/>
    </w:p>
    <w:tbl>
      <w:tblPr>
        <w:tblW w:w="5000" w:type="pct"/>
        <w:tblCellMar>
          <w:left w:w="70" w:type="dxa"/>
          <w:right w:w="70" w:type="dxa"/>
        </w:tblCellMar>
        <w:tblLook w:val="04A0" w:firstRow="1" w:lastRow="0" w:firstColumn="1" w:lastColumn="0" w:noHBand="0" w:noVBand="1"/>
      </w:tblPr>
      <w:tblGrid>
        <w:gridCol w:w="561"/>
        <w:gridCol w:w="2334"/>
        <w:gridCol w:w="1027"/>
        <w:gridCol w:w="1028"/>
        <w:gridCol w:w="1028"/>
        <w:gridCol w:w="1028"/>
        <w:gridCol w:w="1028"/>
        <w:gridCol w:w="1028"/>
      </w:tblGrid>
      <w:tr w:rsidR="006C63D5" w:rsidRPr="00F44FA4" w14:paraId="42878AD2" w14:textId="77777777" w:rsidTr="008A25A9">
        <w:trPr>
          <w:trHeight w:val="315"/>
        </w:trPr>
        <w:tc>
          <w:tcPr>
            <w:tcW w:w="310"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2135C22" w14:textId="77777777" w:rsidR="006C63D5" w:rsidRPr="00F44FA4" w:rsidRDefault="006C63D5" w:rsidP="00C473E5">
            <w:pPr>
              <w:keepNext/>
              <w:keepLines/>
              <w:spacing w:after="0"/>
              <w:rPr>
                <w:rFonts w:cs="Arial"/>
                <w:b/>
                <w:bCs/>
                <w:color w:val="000000"/>
                <w:szCs w:val="20"/>
                <w:lang w:eastAsia="sl-SI"/>
              </w:rPr>
            </w:pPr>
            <w:r w:rsidRPr="00F44FA4">
              <w:rPr>
                <w:rFonts w:cs="Arial"/>
                <w:b/>
                <w:bCs/>
                <w:color w:val="000000"/>
                <w:szCs w:val="20"/>
                <w:lang w:eastAsia="sl-SI"/>
              </w:rPr>
              <w:t>C.11</w:t>
            </w:r>
          </w:p>
        </w:tc>
        <w:tc>
          <w:tcPr>
            <w:tcW w:w="1288" w:type="pct"/>
            <w:tcBorders>
              <w:top w:val="single" w:sz="4" w:space="0" w:color="auto"/>
              <w:left w:val="nil"/>
              <w:bottom w:val="single" w:sz="4" w:space="0" w:color="auto"/>
              <w:right w:val="single" w:sz="4" w:space="0" w:color="auto"/>
            </w:tcBorders>
            <w:shd w:val="clear" w:color="000000" w:fill="92D050"/>
            <w:noWrap/>
            <w:vAlign w:val="bottom"/>
            <w:hideMark/>
          </w:tcPr>
          <w:p w14:paraId="5BC258B8" w14:textId="77777777" w:rsidR="006C63D5" w:rsidRPr="00F44FA4" w:rsidRDefault="006C63D5" w:rsidP="00C473E5">
            <w:pPr>
              <w:keepNext/>
              <w:keepLines/>
              <w:spacing w:after="0"/>
              <w:rPr>
                <w:rFonts w:cs="Arial"/>
                <w:b/>
                <w:bCs/>
                <w:color w:val="000000"/>
                <w:szCs w:val="20"/>
                <w:lang w:eastAsia="sl-SI"/>
              </w:rPr>
            </w:pPr>
            <w:r w:rsidRPr="00F44FA4">
              <w:rPr>
                <w:rFonts w:cs="Arial"/>
                <w:b/>
                <w:bCs/>
                <w:color w:val="000000"/>
                <w:szCs w:val="20"/>
                <w:lang w:eastAsia="sl-SI"/>
              </w:rPr>
              <w:t>Bruto dodana vrednost</w:t>
            </w:r>
          </w:p>
        </w:tc>
        <w:tc>
          <w:tcPr>
            <w:tcW w:w="567" w:type="pct"/>
            <w:tcBorders>
              <w:top w:val="single" w:sz="4" w:space="0" w:color="auto"/>
              <w:left w:val="nil"/>
              <w:bottom w:val="single" w:sz="4" w:space="0" w:color="auto"/>
              <w:right w:val="single" w:sz="4" w:space="0" w:color="auto"/>
            </w:tcBorders>
            <w:shd w:val="clear" w:color="000000" w:fill="92D050"/>
            <w:noWrap/>
            <w:vAlign w:val="center"/>
            <w:hideMark/>
          </w:tcPr>
          <w:p w14:paraId="49D278EA" w14:textId="77777777" w:rsidR="006C63D5" w:rsidRPr="00F44FA4" w:rsidRDefault="006C63D5" w:rsidP="00C473E5">
            <w:pPr>
              <w:keepNext/>
              <w:keepLines/>
              <w:spacing w:after="0"/>
              <w:jc w:val="right"/>
              <w:rPr>
                <w:rFonts w:cs="Arial"/>
                <w:b/>
                <w:bCs/>
                <w:color w:val="000000"/>
                <w:szCs w:val="20"/>
                <w:lang w:eastAsia="sl-SI"/>
              </w:rPr>
            </w:pPr>
            <w:r w:rsidRPr="00F44FA4">
              <w:rPr>
                <w:rFonts w:cs="Arial"/>
                <w:b/>
                <w:bCs/>
                <w:color w:val="000000"/>
                <w:szCs w:val="20"/>
                <w:lang w:eastAsia="sl-SI"/>
              </w:rPr>
              <w:t>2010</w:t>
            </w:r>
          </w:p>
        </w:tc>
        <w:tc>
          <w:tcPr>
            <w:tcW w:w="567" w:type="pct"/>
            <w:tcBorders>
              <w:top w:val="single" w:sz="4" w:space="0" w:color="auto"/>
              <w:left w:val="nil"/>
              <w:bottom w:val="single" w:sz="4" w:space="0" w:color="auto"/>
              <w:right w:val="single" w:sz="4" w:space="0" w:color="auto"/>
            </w:tcBorders>
            <w:shd w:val="clear" w:color="000000" w:fill="92D050"/>
            <w:noWrap/>
            <w:vAlign w:val="center"/>
            <w:hideMark/>
          </w:tcPr>
          <w:p w14:paraId="2A757C54" w14:textId="77777777" w:rsidR="006C63D5" w:rsidRPr="00F44FA4" w:rsidRDefault="006C63D5" w:rsidP="00C473E5">
            <w:pPr>
              <w:keepNext/>
              <w:keepLines/>
              <w:spacing w:after="0"/>
              <w:jc w:val="right"/>
              <w:rPr>
                <w:rFonts w:cs="Arial"/>
                <w:b/>
                <w:bCs/>
                <w:color w:val="000000"/>
                <w:szCs w:val="20"/>
                <w:lang w:eastAsia="sl-SI"/>
              </w:rPr>
            </w:pPr>
            <w:r w:rsidRPr="00F44FA4">
              <w:rPr>
                <w:rFonts w:cs="Arial"/>
                <w:b/>
                <w:bCs/>
                <w:color w:val="000000"/>
                <w:szCs w:val="20"/>
                <w:lang w:eastAsia="sl-SI"/>
              </w:rPr>
              <w:t>2013</w:t>
            </w:r>
          </w:p>
        </w:tc>
        <w:tc>
          <w:tcPr>
            <w:tcW w:w="567" w:type="pct"/>
            <w:tcBorders>
              <w:top w:val="single" w:sz="4" w:space="0" w:color="auto"/>
              <w:left w:val="nil"/>
              <w:bottom w:val="single" w:sz="4" w:space="0" w:color="auto"/>
              <w:right w:val="single" w:sz="4" w:space="0" w:color="auto"/>
            </w:tcBorders>
            <w:shd w:val="clear" w:color="000000" w:fill="92D050"/>
            <w:noWrap/>
            <w:vAlign w:val="center"/>
            <w:hideMark/>
          </w:tcPr>
          <w:p w14:paraId="782F7BC1" w14:textId="77777777" w:rsidR="006C63D5" w:rsidRPr="00F44FA4" w:rsidRDefault="006C63D5" w:rsidP="00C473E5">
            <w:pPr>
              <w:keepNext/>
              <w:keepLines/>
              <w:spacing w:after="0"/>
              <w:jc w:val="right"/>
              <w:rPr>
                <w:rFonts w:cs="Arial"/>
                <w:b/>
                <w:bCs/>
                <w:color w:val="000000"/>
                <w:szCs w:val="20"/>
                <w:lang w:eastAsia="sl-SI"/>
              </w:rPr>
            </w:pPr>
            <w:r w:rsidRPr="00F44FA4">
              <w:rPr>
                <w:rFonts w:cs="Arial"/>
                <w:b/>
                <w:bCs/>
                <w:color w:val="000000"/>
                <w:szCs w:val="20"/>
                <w:lang w:eastAsia="sl-SI"/>
              </w:rPr>
              <w:t>2016</w:t>
            </w:r>
          </w:p>
        </w:tc>
        <w:tc>
          <w:tcPr>
            <w:tcW w:w="567" w:type="pct"/>
            <w:tcBorders>
              <w:top w:val="single" w:sz="4" w:space="0" w:color="auto"/>
              <w:left w:val="nil"/>
              <w:bottom w:val="single" w:sz="4" w:space="0" w:color="auto"/>
              <w:right w:val="single" w:sz="4" w:space="0" w:color="auto"/>
            </w:tcBorders>
            <w:shd w:val="clear" w:color="000000" w:fill="92D050"/>
            <w:noWrap/>
            <w:vAlign w:val="center"/>
            <w:hideMark/>
          </w:tcPr>
          <w:p w14:paraId="50AB81C4" w14:textId="77777777" w:rsidR="006C63D5" w:rsidRPr="00F44FA4" w:rsidRDefault="006C63D5" w:rsidP="00C473E5">
            <w:pPr>
              <w:keepNext/>
              <w:keepLines/>
              <w:spacing w:after="0"/>
              <w:jc w:val="right"/>
              <w:rPr>
                <w:rFonts w:cs="Arial"/>
                <w:b/>
                <w:bCs/>
                <w:color w:val="000000"/>
                <w:szCs w:val="20"/>
                <w:lang w:eastAsia="sl-SI"/>
              </w:rPr>
            </w:pPr>
            <w:r w:rsidRPr="00F44FA4">
              <w:rPr>
                <w:rFonts w:cs="Arial"/>
                <w:b/>
                <w:bCs/>
                <w:color w:val="000000"/>
                <w:szCs w:val="20"/>
                <w:lang w:eastAsia="sl-SI"/>
              </w:rPr>
              <w:t>2017</w:t>
            </w:r>
          </w:p>
        </w:tc>
        <w:tc>
          <w:tcPr>
            <w:tcW w:w="567" w:type="pct"/>
            <w:tcBorders>
              <w:top w:val="single" w:sz="4" w:space="0" w:color="auto"/>
              <w:left w:val="nil"/>
              <w:bottom w:val="single" w:sz="4" w:space="0" w:color="auto"/>
              <w:right w:val="single" w:sz="4" w:space="0" w:color="auto"/>
            </w:tcBorders>
            <w:shd w:val="clear" w:color="000000" w:fill="92D050"/>
            <w:noWrap/>
            <w:vAlign w:val="center"/>
            <w:hideMark/>
          </w:tcPr>
          <w:p w14:paraId="5E9E1059" w14:textId="77777777" w:rsidR="006C63D5" w:rsidRPr="00F44FA4" w:rsidRDefault="006C63D5" w:rsidP="00C473E5">
            <w:pPr>
              <w:keepNext/>
              <w:keepLines/>
              <w:spacing w:after="0"/>
              <w:jc w:val="right"/>
              <w:rPr>
                <w:rFonts w:cs="Arial"/>
                <w:b/>
                <w:bCs/>
                <w:color w:val="000000"/>
                <w:szCs w:val="20"/>
                <w:lang w:eastAsia="sl-SI"/>
              </w:rPr>
            </w:pPr>
            <w:r w:rsidRPr="00F44FA4">
              <w:rPr>
                <w:rFonts w:cs="Arial"/>
                <w:b/>
                <w:bCs/>
                <w:color w:val="000000"/>
                <w:szCs w:val="20"/>
                <w:lang w:eastAsia="sl-SI"/>
              </w:rPr>
              <w:t>2018</w:t>
            </w:r>
          </w:p>
        </w:tc>
        <w:tc>
          <w:tcPr>
            <w:tcW w:w="567" w:type="pct"/>
            <w:tcBorders>
              <w:top w:val="single" w:sz="4" w:space="0" w:color="auto"/>
              <w:left w:val="nil"/>
              <w:bottom w:val="single" w:sz="4" w:space="0" w:color="auto"/>
              <w:right w:val="single" w:sz="4" w:space="0" w:color="auto"/>
            </w:tcBorders>
            <w:shd w:val="clear" w:color="000000" w:fill="92D050"/>
            <w:noWrap/>
            <w:vAlign w:val="center"/>
            <w:hideMark/>
          </w:tcPr>
          <w:p w14:paraId="70E5FF7E" w14:textId="77777777" w:rsidR="006C63D5" w:rsidRPr="00F44FA4" w:rsidRDefault="006C63D5" w:rsidP="00C473E5">
            <w:pPr>
              <w:keepNext/>
              <w:keepLines/>
              <w:spacing w:after="0"/>
              <w:jc w:val="right"/>
              <w:rPr>
                <w:rFonts w:cs="Arial"/>
                <w:b/>
                <w:bCs/>
                <w:color w:val="000000"/>
                <w:szCs w:val="20"/>
                <w:lang w:eastAsia="sl-SI"/>
              </w:rPr>
            </w:pPr>
            <w:r w:rsidRPr="00F44FA4">
              <w:rPr>
                <w:rFonts w:cs="Arial"/>
                <w:b/>
                <w:bCs/>
                <w:color w:val="000000"/>
                <w:szCs w:val="20"/>
                <w:lang w:eastAsia="sl-SI"/>
              </w:rPr>
              <w:t>2019</w:t>
            </w:r>
          </w:p>
        </w:tc>
      </w:tr>
      <w:tr w:rsidR="006C63D5" w:rsidRPr="00F44FA4" w14:paraId="42D1E5A1" w14:textId="77777777" w:rsidTr="008A25A9">
        <w:trPr>
          <w:trHeight w:val="315"/>
        </w:trPr>
        <w:tc>
          <w:tcPr>
            <w:tcW w:w="31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4E5727A" w14:textId="77777777" w:rsidR="006C63D5" w:rsidRPr="00F44FA4" w:rsidRDefault="006C63D5" w:rsidP="00C473E5">
            <w:pPr>
              <w:keepNext/>
              <w:keepLines/>
              <w:rPr>
                <w:rFonts w:cs="Arial"/>
                <w:color w:val="000000"/>
                <w:szCs w:val="20"/>
                <w:lang w:eastAsia="sl-SI"/>
              </w:rPr>
            </w:pPr>
            <w:r w:rsidRPr="00F44FA4">
              <w:rPr>
                <w:rFonts w:cs="Arial"/>
                <w:color w:val="000000"/>
                <w:szCs w:val="20"/>
                <w:lang w:eastAsia="sl-SI"/>
              </w:rPr>
              <w:t> </w:t>
            </w:r>
          </w:p>
        </w:tc>
        <w:tc>
          <w:tcPr>
            <w:tcW w:w="1288" w:type="pct"/>
            <w:tcBorders>
              <w:top w:val="nil"/>
              <w:left w:val="nil"/>
              <w:bottom w:val="single" w:sz="4" w:space="0" w:color="auto"/>
              <w:right w:val="single" w:sz="4" w:space="0" w:color="auto"/>
            </w:tcBorders>
            <w:shd w:val="clear" w:color="auto" w:fill="auto"/>
            <w:vAlign w:val="bottom"/>
            <w:hideMark/>
          </w:tcPr>
          <w:p w14:paraId="5165AA81" w14:textId="77777777" w:rsidR="006C63D5" w:rsidRPr="00F44FA4" w:rsidRDefault="006C63D5" w:rsidP="00C473E5">
            <w:pPr>
              <w:keepNext/>
              <w:keepLines/>
              <w:rPr>
                <w:rFonts w:cs="Arial"/>
                <w:color w:val="000000"/>
                <w:szCs w:val="20"/>
                <w:lang w:eastAsia="sl-SI"/>
              </w:rPr>
            </w:pPr>
            <w:r w:rsidRPr="00F44FA4">
              <w:rPr>
                <w:rFonts w:cs="Arial"/>
                <w:color w:val="000000"/>
                <w:szCs w:val="20"/>
                <w:lang w:eastAsia="sl-SI"/>
              </w:rPr>
              <w:t>BDV skupaj (mio EUR)</w:t>
            </w:r>
          </w:p>
        </w:tc>
        <w:tc>
          <w:tcPr>
            <w:tcW w:w="567" w:type="pct"/>
            <w:tcBorders>
              <w:top w:val="nil"/>
              <w:left w:val="nil"/>
              <w:bottom w:val="single" w:sz="4" w:space="0" w:color="auto"/>
              <w:right w:val="single" w:sz="4" w:space="0" w:color="auto"/>
            </w:tcBorders>
            <w:shd w:val="clear" w:color="auto" w:fill="auto"/>
            <w:noWrap/>
            <w:vAlign w:val="center"/>
            <w:hideMark/>
          </w:tcPr>
          <w:p w14:paraId="444AFE31"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31.693,50</w:t>
            </w:r>
          </w:p>
        </w:tc>
        <w:tc>
          <w:tcPr>
            <w:tcW w:w="567" w:type="pct"/>
            <w:tcBorders>
              <w:top w:val="nil"/>
              <w:left w:val="nil"/>
              <w:bottom w:val="single" w:sz="4" w:space="0" w:color="auto"/>
              <w:right w:val="single" w:sz="4" w:space="0" w:color="auto"/>
            </w:tcBorders>
            <w:shd w:val="clear" w:color="auto" w:fill="auto"/>
            <w:noWrap/>
            <w:vAlign w:val="center"/>
            <w:hideMark/>
          </w:tcPr>
          <w:p w14:paraId="0C0663CA"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31.508,80</w:t>
            </w:r>
          </w:p>
        </w:tc>
        <w:tc>
          <w:tcPr>
            <w:tcW w:w="567" w:type="pct"/>
            <w:tcBorders>
              <w:top w:val="nil"/>
              <w:left w:val="nil"/>
              <w:bottom w:val="single" w:sz="4" w:space="0" w:color="auto"/>
              <w:right w:val="single" w:sz="4" w:space="0" w:color="auto"/>
            </w:tcBorders>
            <w:shd w:val="clear" w:color="auto" w:fill="auto"/>
            <w:noWrap/>
            <w:vAlign w:val="center"/>
            <w:hideMark/>
          </w:tcPr>
          <w:p w14:paraId="6C2EE285"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34.952,80</w:t>
            </w:r>
          </w:p>
        </w:tc>
        <w:tc>
          <w:tcPr>
            <w:tcW w:w="567" w:type="pct"/>
            <w:tcBorders>
              <w:top w:val="nil"/>
              <w:left w:val="nil"/>
              <w:bottom w:val="single" w:sz="4" w:space="0" w:color="auto"/>
              <w:right w:val="single" w:sz="4" w:space="0" w:color="auto"/>
            </w:tcBorders>
            <w:shd w:val="clear" w:color="auto" w:fill="auto"/>
            <w:noWrap/>
            <w:vAlign w:val="center"/>
            <w:hideMark/>
          </w:tcPr>
          <w:p w14:paraId="5DB4F39D"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37.350,20</w:t>
            </w:r>
          </w:p>
        </w:tc>
        <w:tc>
          <w:tcPr>
            <w:tcW w:w="567" w:type="pct"/>
            <w:tcBorders>
              <w:top w:val="nil"/>
              <w:left w:val="nil"/>
              <w:bottom w:val="single" w:sz="4" w:space="0" w:color="auto"/>
              <w:right w:val="single" w:sz="4" w:space="0" w:color="auto"/>
            </w:tcBorders>
            <w:shd w:val="clear" w:color="auto" w:fill="auto"/>
            <w:noWrap/>
            <w:vAlign w:val="center"/>
            <w:hideMark/>
          </w:tcPr>
          <w:p w14:paraId="01F2AC13"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39.838,50</w:t>
            </w:r>
          </w:p>
        </w:tc>
        <w:tc>
          <w:tcPr>
            <w:tcW w:w="567" w:type="pct"/>
            <w:tcBorders>
              <w:top w:val="nil"/>
              <w:left w:val="nil"/>
              <w:bottom w:val="single" w:sz="4" w:space="0" w:color="auto"/>
              <w:right w:val="single" w:sz="4" w:space="0" w:color="auto"/>
            </w:tcBorders>
            <w:shd w:val="clear" w:color="auto" w:fill="auto"/>
            <w:vAlign w:val="center"/>
            <w:hideMark/>
          </w:tcPr>
          <w:p w14:paraId="55C006CE"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41.882,30</w:t>
            </w:r>
          </w:p>
        </w:tc>
      </w:tr>
      <w:tr w:rsidR="006C63D5" w:rsidRPr="00F44FA4" w14:paraId="2124146E" w14:textId="77777777" w:rsidTr="008A25A9">
        <w:trPr>
          <w:trHeight w:val="315"/>
        </w:trPr>
        <w:tc>
          <w:tcPr>
            <w:tcW w:w="310" w:type="pct"/>
            <w:vMerge/>
            <w:tcBorders>
              <w:top w:val="nil"/>
              <w:left w:val="single" w:sz="4" w:space="0" w:color="auto"/>
              <w:bottom w:val="single" w:sz="4" w:space="0" w:color="auto"/>
              <w:right w:val="single" w:sz="4" w:space="0" w:color="auto"/>
            </w:tcBorders>
            <w:vAlign w:val="center"/>
            <w:hideMark/>
          </w:tcPr>
          <w:p w14:paraId="09632556" w14:textId="77777777" w:rsidR="006C63D5" w:rsidRPr="00F44FA4" w:rsidRDefault="006C63D5" w:rsidP="00C473E5">
            <w:pPr>
              <w:keepNext/>
              <w:keepLines/>
              <w:rPr>
                <w:rFonts w:cs="Arial"/>
                <w:color w:val="000000"/>
                <w:szCs w:val="20"/>
                <w:lang w:eastAsia="sl-SI"/>
              </w:rPr>
            </w:pPr>
          </w:p>
        </w:tc>
        <w:tc>
          <w:tcPr>
            <w:tcW w:w="1288" w:type="pct"/>
            <w:tcBorders>
              <w:top w:val="nil"/>
              <w:left w:val="nil"/>
              <w:bottom w:val="single" w:sz="4" w:space="0" w:color="auto"/>
              <w:right w:val="single" w:sz="4" w:space="0" w:color="auto"/>
            </w:tcBorders>
            <w:shd w:val="clear" w:color="000000" w:fill="FFFFFF"/>
            <w:vAlign w:val="bottom"/>
            <w:hideMark/>
          </w:tcPr>
          <w:p w14:paraId="3B9C1189" w14:textId="77777777" w:rsidR="006C63D5" w:rsidRPr="00F44FA4" w:rsidRDefault="006C63D5" w:rsidP="00C473E5">
            <w:pPr>
              <w:keepNext/>
              <w:keepLines/>
              <w:rPr>
                <w:rFonts w:cs="Arial"/>
                <w:color w:val="000000"/>
                <w:szCs w:val="20"/>
                <w:lang w:eastAsia="sl-SI"/>
              </w:rPr>
            </w:pPr>
            <w:r w:rsidRPr="00F44FA4">
              <w:rPr>
                <w:rFonts w:cs="Arial"/>
                <w:color w:val="000000"/>
                <w:szCs w:val="20"/>
                <w:lang w:eastAsia="sl-SI"/>
              </w:rPr>
              <w:t>Porazdelitev BDV po gospodarskih sektorjih - primarni sektor (%)</w:t>
            </w:r>
          </w:p>
        </w:tc>
        <w:tc>
          <w:tcPr>
            <w:tcW w:w="567" w:type="pct"/>
            <w:tcBorders>
              <w:top w:val="nil"/>
              <w:left w:val="nil"/>
              <w:bottom w:val="single" w:sz="4" w:space="0" w:color="auto"/>
              <w:right w:val="single" w:sz="4" w:space="0" w:color="auto"/>
            </w:tcBorders>
            <w:shd w:val="clear" w:color="auto" w:fill="auto"/>
            <w:noWrap/>
            <w:vAlign w:val="center"/>
            <w:hideMark/>
          </w:tcPr>
          <w:p w14:paraId="6D597E92"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2,17</w:t>
            </w:r>
          </w:p>
        </w:tc>
        <w:tc>
          <w:tcPr>
            <w:tcW w:w="567" w:type="pct"/>
            <w:tcBorders>
              <w:top w:val="nil"/>
              <w:left w:val="nil"/>
              <w:bottom w:val="single" w:sz="4" w:space="0" w:color="auto"/>
              <w:right w:val="single" w:sz="4" w:space="0" w:color="auto"/>
            </w:tcBorders>
            <w:shd w:val="clear" w:color="auto" w:fill="auto"/>
            <w:noWrap/>
            <w:vAlign w:val="center"/>
            <w:hideMark/>
          </w:tcPr>
          <w:p w14:paraId="1D59A406"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2,28</w:t>
            </w:r>
          </w:p>
        </w:tc>
        <w:tc>
          <w:tcPr>
            <w:tcW w:w="567" w:type="pct"/>
            <w:tcBorders>
              <w:top w:val="nil"/>
              <w:left w:val="nil"/>
              <w:bottom w:val="single" w:sz="4" w:space="0" w:color="auto"/>
              <w:right w:val="single" w:sz="4" w:space="0" w:color="auto"/>
            </w:tcBorders>
            <w:shd w:val="clear" w:color="auto" w:fill="auto"/>
            <w:noWrap/>
            <w:vAlign w:val="center"/>
            <w:hideMark/>
          </w:tcPr>
          <w:p w14:paraId="12F62CC2"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2,31</w:t>
            </w:r>
          </w:p>
        </w:tc>
        <w:tc>
          <w:tcPr>
            <w:tcW w:w="567" w:type="pct"/>
            <w:tcBorders>
              <w:top w:val="nil"/>
              <w:left w:val="nil"/>
              <w:bottom w:val="single" w:sz="4" w:space="0" w:color="auto"/>
              <w:right w:val="single" w:sz="4" w:space="0" w:color="auto"/>
            </w:tcBorders>
            <w:shd w:val="clear" w:color="auto" w:fill="auto"/>
            <w:noWrap/>
            <w:vAlign w:val="center"/>
            <w:hideMark/>
          </w:tcPr>
          <w:p w14:paraId="091FD942"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2,13</w:t>
            </w:r>
          </w:p>
        </w:tc>
        <w:tc>
          <w:tcPr>
            <w:tcW w:w="567" w:type="pct"/>
            <w:tcBorders>
              <w:top w:val="nil"/>
              <w:left w:val="nil"/>
              <w:bottom w:val="single" w:sz="4" w:space="0" w:color="auto"/>
              <w:right w:val="single" w:sz="4" w:space="0" w:color="auto"/>
            </w:tcBorders>
            <w:shd w:val="clear" w:color="auto" w:fill="auto"/>
            <w:noWrap/>
            <w:vAlign w:val="center"/>
            <w:hideMark/>
          </w:tcPr>
          <w:p w14:paraId="25DE7718"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2,42</w:t>
            </w:r>
          </w:p>
        </w:tc>
        <w:tc>
          <w:tcPr>
            <w:tcW w:w="567" w:type="pct"/>
            <w:tcBorders>
              <w:top w:val="nil"/>
              <w:left w:val="nil"/>
              <w:bottom w:val="single" w:sz="4" w:space="0" w:color="auto"/>
              <w:right w:val="single" w:sz="4" w:space="0" w:color="auto"/>
            </w:tcBorders>
            <w:shd w:val="clear" w:color="auto" w:fill="auto"/>
            <w:vAlign w:val="center"/>
            <w:hideMark/>
          </w:tcPr>
          <w:p w14:paraId="628B9D72"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2,26</w:t>
            </w:r>
          </w:p>
        </w:tc>
      </w:tr>
      <w:tr w:rsidR="006C63D5" w:rsidRPr="00F44FA4" w14:paraId="0426A549" w14:textId="77777777" w:rsidTr="008A25A9">
        <w:trPr>
          <w:trHeight w:val="585"/>
        </w:trPr>
        <w:tc>
          <w:tcPr>
            <w:tcW w:w="310" w:type="pct"/>
            <w:vMerge/>
            <w:tcBorders>
              <w:top w:val="nil"/>
              <w:left w:val="single" w:sz="4" w:space="0" w:color="auto"/>
              <w:bottom w:val="single" w:sz="4" w:space="0" w:color="auto"/>
              <w:right w:val="single" w:sz="4" w:space="0" w:color="auto"/>
            </w:tcBorders>
            <w:vAlign w:val="center"/>
            <w:hideMark/>
          </w:tcPr>
          <w:p w14:paraId="003076AA" w14:textId="77777777" w:rsidR="006C63D5" w:rsidRPr="00F44FA4" w:rsidRDefault="006C63D5" w:rsidP="00C473E5">
            <w:pPr>
              <w:keepNext/>
              <w:keepLines/>
              <w:rPr>
                <w:rFonts w:cs="Arial"/>
                <w:color w:val="000000"/>
                <w:szCs w:val="20"/>
                <w:lang w:eastAsia="sl-SI"/>
              </w:rPr>
            </w:pPr>
          </w:p>
        </w:tc>
        <w:tc>
          <w:tcPr>
            <w:tcW w:w="1288" w:type="pct"/>
            <w:tcBorders>
              <w:top w:val="nil"/>
              <w:left w:val="nil"/>
              <w:bottom w:val="single" w:sz="4" w:space="0" w:color="auto"/>
              <w:right w:val="single" w:sz="4" w:space="0" w:color="auto"/>
            </w:tcBorders>
            <w:shd w:val="clear" w:color="000000" w:fill="FFFFFF"/>
            <w:vAlign w:val="bottom"/>
            <w:hideMark/>
          </w:tcPr>
          <w:p w14:paraId="5E44FBCC" w14:textId="77777777" w:rsidR="006C63D5" w:rsidRPr="00F44FA4" w:rsidRDefault="006C63D5" w:rsidP="00C473E5">
            <w:pPr>
              <w:keepNext/>
              <w:keepLines/>
              <w:rPr>
                <w:rFonts w:cs="Arial"/>
                <w:color w:val="000000"/>
                <w:szCs w:val="20"/>
                <w:lang w:eastAsia="sl-SI"/>
              </w:rPr>
            </w:pPr>
            <w:r w:rsidRPr="00F44FA4">
              <w:rPr>
                <w:rFonts w:cs="Arial"/>
                <w:color w:val="000000"/>
                <w:szCs w:val="20"/>
                <w:lang w:eastAsia="sl-SI"/>
              </w:rPr>
              <w:t>Porazdelitev BDV po gospodarskih sektorjih - sekundarni sektor (%)</w:t>
            </w:r>
          </w:p>
        </w:tc>
        <w:tc>
          <w:tcPr>
            <w:tcW w:w="567" w:type="pct"/>
            <w:tcBorders>
              <w:top w:val="nil"/>
              <w:left w:val="nil"/>
              <w:bottom w:val="single" w:sz="4" w:space="0" w:color="auto"/>
              <w:right w:val="single" w:sz="4" w:space="0" w:color="auto"/>
            </w:tcBorders>
            <w:shd w:val="clear" w:color="auto" w:fill="auto"/>
            <w:noWrap/>
            <w:vAlign w:val="center"/>
            <w:hideMark/>
          </w:tcPr>
          <w:p w14:paraId="177CA91D"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30,41</w:t>
            </w:r>
          </w:p>
        </w:tc>
        <w:tc>
          <w:tcPr>
            <w:tcW w:w="567" w:type="pct"/>
            <w:tcBorders>
              <w:top w:val="nil"/>
              <w:left w:val="nil"/>
              <w:bottom w:val="single" w:sz="4" w:space="0" w:color="auto"/>
              <w:right w:val="single" w:sz="4" w:space="0" w:color="auto"/>
            </w:tcBorders>
            <w:shd w:val="clear" w:color="auto" w:fill="auto"/>
            <w:noWrap/>
            <w:vAlign w:val="center"/>
            <w:hideMark/>
          </w:tcPr>
          <w:p w14:paraId="247083E5"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31,80</w:t>
            </w:r>
          </w:p>
        </w:tc>
        <w:tc>
          <w:tcPr>
            <w:tcW w:w="567" w:type="pct"/>
            <w:tcBorders>
              <w:top w:val="nil"/>
              <w:left w:val="nil"/>
              <w:bottom w:val="single" w:sz="4" w:space="0" w:color="auto"/>
              <w:right w:val="single" w:sz="4" w:space="0" w:color="auto"/>
            </w:tcBorders>
            <w:shd w:val="clear" w:color="auto" w:fill="auto"/>
            <w:noWrap/>
            <w:vAlign w:val="center"/>
            <w:hideMark/>
          </w:tcPr>
          <w:p w14:paraId="0B80B12D"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32,32</w:t>
            </w:r>
          </w:p>
        </w:tc>
        <w:tc>
          <w:tcPr>
            <w:tcW w:w="567" w:type="pct"/>
            <w:tcBorders>
              <w:top w:val="nil"/>
              <w:left w:val="nil"/>
              <w:bottom w:val="single" w:sz="4" w:space="0" w:color="auto"/>
              <w:right w:val="single" w:sz="4" w:space="0" w:color="auto"/>
            </w:tcBorders>
            <w:shd w:val="clear" w:color="auto" w:fill="auto"/>
            <w:noWrap/>
            <w:vAlign w:val="center"/>
            <w:hideMark/>
          </w:tcPr>
          <w:p w14:paraId="6319BBAD"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32,71</w:t>
            </w:r>
          </w:p>
        </w:tc>
        <w:tc>
          <w:tcPr>
            <w:tcW w:w="567" w:type="pct"/>
            <w:tcBorders>
              <w:top w:val="nil"/>
              <w:left w:val="nil"/>
              <w:bottom w:val="single" w:sz="4" w:space="0" w:color="auto"/>
              <w:right w:val="single" w:sz="4" w:space="0" w:color="auto"/>
            </w:tcBorders>
            <w:shd w:val="clear" w:color="auto" w:fill="auto"/>
            <w:noWrap/>
            <w:vAlign w:val="center"/>
            <w:hideMark/>
          </w:tcPr>
          <w:p w14:paraId="6D41BBC1"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32,66</w:t>
            </w:r>
          </w:p>
        </w:tc>
        <w:tc>
          <w:tcPr>
            <w:tcW w:w="567" w:type="pct"/>
            <w:tcBorders>
              <w:top w:val="nil"/>
              <w:left w:val="nil"/>
              <w:bottom w:val="single" w:sz="4" w:space="0" w:color="auto"/>
              <w:right w:val="single" w:sz="4" w:space="0" w:color="auto"/>
            </w:tcBorders>
            <w:shd w:val="clear" w:color="auto" w:fill="auto"/>
            <w:vAlign w:val="center"/>
            <w:hideMark/>
          </w:tcPr>
          <w:p w14:paraId="0DCCC823"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32,55</w:t>
            </w:r>
          </w:p>
        </w:tc>
      </w:tr>
      <w:tr w:rsidR="006C63D5" w:rsidRPr="00F44FA4" w14:paraId="0971ED0A" w14:textId="77777777" w:rsidTr="008A25A9">
        <w:trPr>
          <w:trHeight w:val="315"/>
        </w:trPr>
        <w:tc>
          <w:tcPr>
            <w:tcW w:w="310" w:type="pct"/>
            <w:vMerge/>
            <w:tcBorders>
              <w:top w:val="nil"/>
              <w:left w:val="single" w:sz="4" w:space="0" w:color="auto"/>
              <w:bottom w:val="single" w:sz="4" w:space="0" w:color="auto"/>
              <w:right w:val="single" w:sz="4" w:space="0" w:color="auto"/>
            </w:tcBorders>
            <w:vAlign w:val="center"/>
            <w:hideMark/>
          </w:tcPr>
          <w:p w14:paraId="599F8855" w14:textId="77777777" w:rsidR="006C63D5" w:rsidRPr="00F44FA4" w:rsidRDefault="006C63D5" w:rsidP="00C473E5">
            <w:pPr>
              <w:keepNext/>
              <w:keepLines/>
              <w:rPr>
                <w:rFonts w:cs="Arial"/>
                <w:color w:val="000000"/>
                <w:szCs w:val="20"/>
                <w:lang w:eastAsia="sl-SI"/>
              </w:rPr>
            </w:pPr>
          </w:p>
        </w:tc>
        <w:tc>
          <w:tcPr>
            <w:tcW w:w="1288" w:type="pct"/>
            <w:tcBorders>
              <w:top w:val="nil"/>
              <w:left w:val="nil"/>
              <w:bottom w:val="single" w:sz="4" w:space="0" w:color="auto"/>
              <w:right w:val="single" w:sz="4" w:space="0" w:color="auto"/>
            </w:tcBorders>
            <w:shd w:val="clear" w:color="000000" w:fill="FFFFFF"/>
            <w:vAlign w:val="bottom"/>
            <w:hideMark/>
          </w:tcPr>
          <w:p w14:paraId="583E022A" w14:textId="77777777" w:rsidR="006C63D5" w:rsidRPr="00F44FA4" w:rsidRDefault="006C63D5" w:rsidP="00C473E5">
            <w:pPr>
              <w:keepNext/>
              <w:keepLines/>
              <w:rPr>
                <w:rFonts w:cs="Arial"/>
                <w:color w:val="000000"/>
                <w:szCs w:val="20"/>
                <w:lang w:eastAsia="sl-SI"/>
              </w:rPr>
            </w:pPr>
            <w:r w:rsidRPr="00F44FA4">
              <w:rPr>
                <w:rFonts w:cs="Arial"/>
                <w:color w:val="000000"/>
                <w:szCs w:val="20"/>
                <w:lang w:eastAsia="sl-SI"/>
              </w:rPr>
              <w:t>Porazdelitev BDV po gospodarskih sektorjih - terciarni sektor (%)</w:t>
            </w:r>
          </w:p>
        </w:tc>
        <w:tc>
          <w:tcPr>
            <w:tcW w:w="567" w:type="pct"/>
            <w:tcBorders>
              <w:top w:val="nil"/>
              <w:left w:val="nil"/>
              <w:bottom w:val="single" w:sz="4" w:space="0" w:color="auto"/>
              <w:right w:val="single" w:sz="4" w:space="0" w:color="auto"/>
            </w:tcBorders>
            <w:shd w:val="clear" w:color="auto" w:fill="auto"/>
            <w:noWrap/>
            <w:vAlign w:val="center"/>
            <w:hideMark/>
          </w:tcPr>
          <w:p w14:paraId="5DE5E491"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67,42</w:t>
            </w:r>
          </w:p>
        </w:tc>
        <w:tc>
          <w:tcPr>
            <w:tcW w:w="567" w:type="pct"/>
            <w:tcBorders>
              <w:top w:val="nil"/>
              <w:left w:val="nil"/>
              <w:bottom w:val="single" w:sz="4" w:space="0" w:color="auto"/>
              <w:right w:val="single" w:sz="4" w:space="0" w:color="auto"/>
            </w:tcBorders>
            <w:shd w:val="clear" w:color="auto" w:fill="auto"/>
            <w:noWrap/>
            <w:vAlign w:val="center"/>
            <w:hideMark/>
          </w:tcPr>
          <w:p w14:paraId="577E6A50"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65,92</w:t>
            </w:r>
          </w:p>
        </w:tc>
        <w:tc>
          <w:tcPr>
            <w:tcW w:w="567" w:type="pct"/>
            <w:tcBorders>
              <w:top w:val="nil"/>
              <w:left w:val="nil"/>
              <w:bottom w:val="single" w:sz="4" w:space="0" w:color="auto"/>
              <w:right w:val="single" w:sz="4" w:space="0" w:color="auto"/>
            </w:tcBorders>
            <w:shd w:val="clear" w:color="auto" w:fill="auto"/>
            <w:noWrap/>
            <w:vAlign w:val="center"/>
            <w:hideMark/>
          </w:tcPr>
          <w:p w14:paraId="27C15E86"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65,37</w:t>
            </w:r>
          </w:p>
        </w:tc>
        <w:tc>
          <w:tcPr>
            <w:tcW w:w="567" w:type="pct"/>
            <w:tcBorders>
              <w:top w:val="nil"/>
              <w:left w:val="nil"/>
              <w:bottom w:val="single" w:sz="4" w:space="0" w:color="auto"/>
              <w:right w:val="single" w:sz="4" w:space="0" w:color="auto"/>
            </w:tcBorders>
            <w:shd w:val="clear" w:color="auto" w:fill="auto"/>
            <w:noWrap/>
            <w:vAlign w:val="center"/>
            <w:hideMark/>
          </w:tcPr>
          <w:p w14:paraId="4053FDE4"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65,16</w:t>
            </w:r>
          </w:p>
        </w:tc>
        <w:tc>
          <w:tcPr>
            <w:tcW w:w="567" w:type="pct"/>
            <w:tcBorders>
              <w:top w:val="nil"/>
              <w:left w:val="nil"/>
              <w:bottom w:val="single" w:sz="4" w:space="0" w:color="auto"/>
              <w:right w:val="single" w:sz="4" w:space="0" w:color="auto"/>
            </w:tcBorders>
            <w:shd w:val="clear" w:color="auto" w:fill="auto"/>
            <w:noWrap/>
            <w:vAlign w:val="center"/>
            <w:hideMark/>
          </w:tcPr>
          <w:p w14:paraId="713FEB0B"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64,93</w:t>
            </w:r>
          </w:p>
        </w:tc>
        <w:tc>
          <w:tcPr>
            <w:tcW w:w="567" w:type="pct"/>
            <w:tcBorders>
              <w:top w:val="nil"/>
              <w:left w:val="nil"/>
              <w:bottom w:val="single" w:sz="4" w:space="0" w:color="auto"/>
              <w:right w:val="single" w:sz="4" w:space="0" w:color="auto"/>
            </w:tcBorders>
            <w:shd w:val="clear" w:color="auto" w:fill="auto"/>
            <w:vAlign w:val="center"/>
            <w:hideMark/>
          </w:tcPr>
          <w:p w14:paraId="3C28EF52"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65,19</w:t>
            </w:r>
          </w:p>
        </w:tc>
      </w:tr>
      <w:tr w:rsidR="006C63D5" w:rsidRPr="00F44FA4" w14:paraId="6D0CDC97" w14:textId="77777777" w:rsidTr="008A25A9">
        <w:trPr>
          <w:trHeight w:val="315"/>
        </w:trPr>
        <w:tc>
          <w:tcPr>
            <w:tcW w:w="310" w:type="pct"/>
            <w:vMerge/>
            <w:tcBorders>
              <w:top w:val="nil"/>
              <w:left w:val="single" w:sz="4" w:space="0" w:color="auto"/>
              <w:bottom w:val="single" w:sz="4" w:space="0" w:color="auto"/>
              <w:right w:val="single" w:sz="4" w:space="0" w:color="auto"/>
            </w:tcBorders>
            <w:vAlign w:val="center"/>
            <w:hideMark/>
          </w:tcPr>
          <w:p w14:paraId="729F60B6" w14:textId="77777777" w:rsidR="006C63D5" w:rsidRPr="00F44FA4" w:rsidRDefault="006C63D5" w:rsidP="00C473E5">
            <w:pPr>
              <w:keepNext/>
              <w:keepLines/>
              <w:rPr>
                <w:rFonts w:cs="Arial"/>
                <w:color w:val="000000"/>
                <w:szCs w:val="20"/>
                <w:lang w:eastAsia="sl-SI"/>
              </w:rPr>
            </w:pPr>
          </w:p>
        </w:tc>
        <w:tc>
          <w:tcPr>
            <w:tcW w:w="1288" w:type="pct"/>
            <w:tcBorders>
              <w:top w:val="nil"/>
              <w:left w:val="nil"/>
              <w:bottom w:val="single" w:sz="4" w:space="0" w:color="auto"/>
              <w:right w:val="single" w:sz="4" w:space="0" w:color="auto"/>
            </w:tcBorders>
            <w:shd w:val="clear" w:color="000000" w:fill="FFFFFF"/>
            <w:vAlign w:val="bottom"/>
            <w:hideMark/>
          </w:tcPr>
          <w:p w14:paraId="674E1C47" w14:textId="77777777" w:rsidR="006C63D5" w:rsidRPr="00F44FA4" w:rsidRDefault="006C63D5" w:rsidP="00C473E5">
            <w:pPr>
              <w:keepNext/>
              <w:keepLines/>
              <w:rPr>
                <w:rFonts w:cs="Arial"/>
                <w:color w:val="000000"/>
                <w:szCs w:val="20"/>
                <w:lang w:eastAsia="sl-SI"/>
              </w:rPr>
            </w:pPr>
            <w:r w:rsidRPr="00F44FA4">
              <w:rPr>
                <w:rFonts w:cs="Arial"/>
                <w:color w:val="000000"/>
                <w:szCs w:val="20"/>
                <w:lang w:eastAsia="sl-SI"/>
              </w:rPr>
              <w:t>Porazdelitev BDV po vrstah regij - vmesne regije (%)</w:t>
            </w:r>
          </w:p>
        </w:tc>
        <w:tc>
          <w:tcPr>
            <w:tcW w:w="567" w:type="pct"/>
            <w:tcBorders>
              <w:top w:val="nil"/>
              <w:left w:val="nil"/>
              <w:bottom w:val="single" w:sz="4" w:space="0" w:color="auto"/>
              <w:right w:val="single" w:sz="4" w:space="0" w:color="auto"/>
            </w:tcBorders>
            <w:shd w:val="clear" w:color="000000" w:fill="FFFFFF"/>
            <w:noWrap/>
            <w:vAlign w:val="center"/>
            <w:hideMark/>
          </w:tcPr>
          <w:p w14:paraId="3A9FBADE"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50,56</w:t>
            </w:r>
          </w:p>
        </w:tc>
        <w:tc>
          <w:tcPr>
            <w:tcW w:w="567" w:type="pct"/>
            <w:tcBorders>
              <w:top w:val="nil"/>
              <w:left w:val="nil"/>
              <w:bottom w:val="single" w:sz="4" w:space="0" w:color="auto"/>
              <w:right w:val="single" w:sz="4" w:space="0" w:color="auto"/>
            </w:tcBorders>
            <w:shd w:val="clear" w:color="000000" w:fill="FFFFFF"/>
            <w:noWrap/>
            <w:vAlign w:val="center"/>
            <w:hideMark/>
          </w:tcPr>
          <w:p w14:paraId="1CD09FC8"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50,24</w:t>
            </w:r>
          </w:p>
        </w:tc>
        <w:tc>
          <w:tcPr>
            <w:tcW w:w="567" w:type="pct"/>
            <w:tcBorders>
              <w:top w:val="nil"/>
              <w:left w:val="nil"/>
              <w:bottom w:val="single" w:sz="4" w:space="0" w:color="auto"/>
              <w:right w:val="single" w:sz="4" w:space="0" w:color="auto"/>
            </w:tcBorders>
            <w:shd w:val="clear" w:color="000000" w:fill="FFFFFF"/>
            <w:noWrap/>
            <w:vAlign w:val="center"/>
            <w:hideMark/>
          </w:tcPr>
          <w:p w14:paraId="0A8E79ED"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51,04</w:t>
            </w:r>
          </w:p>
        </w:tc>
        <w:tc>
          <w:tcPr>
            <w:tcW w:w="567" w:type="pct"/>
            <w:tcBorders>
              <w:top w:val="nil"/>
              <w:left w:val="nil"/>
              <w:bottom w:val="single" w:sz="4" w:space="0" w:color="auto"/>
              <w:right w:val="single" w:sz="4" w:space="0" w:color="auto"/>
            </w:tcBorders>
            <w:shd w:val="clear" w:color="auto" w:fill="auto"/>
            <w:noWrap/>
            <w:vAlign w:val="center"/>
            <w:hideMark/>
          </w:tcPr>
          <w:p w14:paraId="16E82A67"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51,31</w:t>
            </w:r>
          </w:p>
        </w:tc>
        <w:tc>
          <w:tcPr>
            <w:tcW w:w="567" w:type="pct"/>
            <w:tcBorders>
              <w:top w:val="nil"/>
              <w:left w:val="nil"/>
              <w:bottom w:val="single" w:sz="4" w:space="0" w:color="auto"/>
              <w:right w:val="single" w:sz="4" w:space="0" w:color="auto"/>
            </w:tcBorders>
            <w:shd w:val="clear" w:color="auto" w:fill="auto"/>
            <w:noWrap/>
            <w:vAlign w:val="center"/>
            <w:hideMark/>
          </w:tcPr>
          <w:p w14:paraId="63AF78D3"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w:t>
            </w:r>
          </w:p>
        </w:tc>
        <w:tc>
          <w:tcPr>
            <w:tcW w:w="567" w:type="pct"/>
            <w:tcBorders>
              <w:top w:val="nil"/>
              <w:left w:val="nil"/>
              <w:bottom w:val="single" w:sz="4" w:space="0" w:color="auto"/>
              <w:right w:val="single" w:sz="4" w:space="0" w:color="auto"/>
            </w:tcBorders>
            <w:shd w:val="clear" w:color="auto" w:fill="auto"/>
            <w:vAlign w:val="center"/>
            <w:hideMark/>
          </w:tcPr>
          <w:p w14:paraId="5DBB1476"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w:t>
            </w:r>
          </w:p>
        </w:tc>
      </w:tr>
      <w:tr w:rsidR="006C63D5" w:rsidRPr="00F44FA4" w14:paraId="0061F581" w14:textId="77777777" w:rsidTr="008A25A9">
        <w:trPr>
          <w:trHeight w:val="366"/>
        </w:trPr>
        <w:tc>
          <w:tcPr>
            <w:tcW w:w="310" w:type="pct"/>
            <w:vMerge/>
            <w:tcBorders>
              <w:top w:val="nil"/>
              <w:left w:val="single" w:sz="4" w:space="0" w:color="auto"/>
              <w:bottom w:val="single" w:sz="4" w:space="0" w:color="auto"/>
              <w:right w:val="single" w:sz="4" w:space="0" w:color="auto"/>
            </w:tcBorders>
            <w:vAlign w:val="center"/>
            <w:hideMark/>
          </w:tcPr>
          <w:p w14:paraId="21777203" w14:textId="77777777" w:rsidR="006C63D5" w:rsidRPr="00F44FA4" w:rsidRDefault="006C63D5" w:rsidP="00C473E5">
            <w:pPr>
              <w:keepNext/>
              <w:keepLines/>
              <w:rPr>
                <w:rFonts w:cs="Arial"/>
                <w:color w:val="000000"/>
                <w:szCs w:val="20"/>
                <w:lang w:eastAsia="sl-SI"/>
              </w:rPr>
            </w:pPr>
          </w:p>
        </w:tc>
        <w:tc>
          <w:tcPr>
            <w:tcW w:w="1288" w:type="pct"/>
            <w:tcBorders>
              <w:top w:val="nil"/>
              <w:left w:val="nil"/>
              <w:bottom w:val="single" w:sz="4" w:space="0" w:color="auto"/>
              <w:right w:val="single" w:sz="4" w:space="0" w:color="auto"/>
            </w:tcBorders>
            <w:shd w:val="clear" w:color="auto" w:fill="auto"/>
            <w:vAlign w:val="bottom"/>
            <w:hideMark/>
          </w:tcPr>
          <w:p w14:paraId="7E5D98F4" w14:textId="77777777" w:rsidR="006C63D5" w:rsidRPr="00F44FA4" w:rsidRDefault="006C63D5" w:rsidP="00C473E5">
            <w:pPr>
              <w:keepNext/>
              <w:keepLines/>
              <w:rPr>
                <w:rFonts w:cs="Arial"/>
                <w:color w:val="000000"/>
                <w:szCs w:val="20"/>
                <w:lang w:eastAsia="sl-SI"/>
              </w:rPr>
            </w:pPr>
            <w:r w:rsidRPr="00F44FA4">
              <w:rPr>
                <w:rFonts w:cs="Arial"/>
                <w:color w:val="000000"/>
                <w:szCs w:val="20"/>
                <w:lang w:eastAsia="sl-SI"/>
              </w:rPr>
              <w:t>Porazdelitev BDV po vrstah regij - podeželske regije (%)</w:t>
            </w:r>
          </w:p>
        </w:tc>
        <w:tc>
          <w:tcPr>
            <w:tcW w:w="567" w:type="pct"/>
            <w:tcBorders>
              <w:top w:val="nil"/>
              <w:left w:val="nil"/>
              <w:bottom w:val="single" w:sz="4" w:space="0" w:color="auto"/>
              <w:right w:val="single" w:sz="4" w:space="0" w:color="auto"/>
            </w:tcBorders>
            <w:shd w:val="clear" w:color="000000" w:fill="FFFFFF"/>
            <w:noWrap/>
            <w:vAlign w:val="center"/>
            <w:hideMark/>
          </w:tcPr>
          <w:p w14:paraId="67C1CDDC"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49,10</w:t>
            </w:r>
          </w:p>
        </w:tc>
        <w:tc>
          <w:tcPr>
            <w:tcW w:w="567" w:type="pct"/>
            <w:tcBorders>
              <w:top w:val="nil"/>
              <w:left w:val="nil"/>
              <w:bottom w:val="single" w:sz="4" w:space="0" w:color="auto"/>
              <w:right w:val="single" w:sz="4" w:space="0" w:color="auto"/>
            </w:tcBorders>
            <w:shd w:val="clear" w:color="000000" w:fill="FFFFFF"/>
            <w:noWrap/>
            <w:vAlign w:val="center"/>
            <w:hideMark/>
          </w:tcPr>
          <w:p w14:paraId="11036FA1"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49,08</w:t>
            </w:r>
          </w:p>
        </w:tc>
        <w:tc>
          <w:tcPr>
            <w:tcW w:w="567" w:type="pct"/>
            <w:tcBorders>
              <w:top w:val="nil"/>
              <w:left w:val="nil"/>
              <w:bottom w:val="single" w:sz="4" w:space="0" w:color="auto"/>
              <w:right w:val="single" w:sz="4" w:space="0" w:color="auto"/>
            </w:tcBorders>
            <w:shd w:val="clear" w:color="000000" w:fill="FFFFFF"/>
            <w:noWrap/>
            <w:vAlign w:val="center"/>
            <w:hideMark/>
          </w:tcPr>
          <w:p w14:paraId="4BDE2CE2"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48,94</w:t>
            </w:r>
          </w:p>
        </w:tc>
        <w:tc>
          <w:tcPr>
            <w:tcW w:w="567" w:type="pct"/>
            <w:tcBorders>
              <w:top w:val="nil"/>
              <w:left w:val="nil"/>
              <w:bottom w:val="single" w:sz="4" w:space="0" w:color="auto"/>
              <w:right w:val="single" w:sz="4" w:space="0" w:color="auto"/>
            </w:tcBorders>
            <w:shd w:val="clear" w:color="auto" w:fill="auto"/>
            <w:noWrap/>
            <w:vAlign w:val="center"/>
            <w:hideMark/>
          </w:tcPr>
          <w:p w14:paraId="256CB930"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48,73</w:t>
            </w:r>
          </w:p>
        </w:tc>
        <w:tc>
          <w:tcPr>
            <w:tcW w:w="567" w:type="pct"/>
            <w:tcBorders>
              <w:top w:val="nil"/>
              <w:left w:val="nil"/>
              <w:bottom w:val="single" w:sz="4" w:space="0" w:color="auto"/>
              <w:right w:val="single" w:sz="4" w:space="0" w:color="auto"/>
            </w:tcBorders>
            <w:shd w:val="clear" w:color="auto" w:fill="auto"/>
            <w:noWrap/>
            <w:vAlign w:val="center"/>
            <w:hideMark/>
          </w:tcPr>
          <w:p w14:paraId="57092D2B"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w:t>
            </w:r>
          </w:p>
        </w:tc>
        <w:tc>
          <w:tcPr>
            <w:tcW w:w="567" w:type="pct"/>
            <w:tcBorders>
              <w:top w:val="nil"/>
              <w:left w:val="nil"/>
              <w:bottom w:val="single" w:sz="4" w:space="0" w:color="auto"/>
              <w:right w:val="single" w:sz="4" w:space="0" w:color="auto"/>
            </w:tcBorders>
            <w:shd w:val="clear" w:color="auto" w:fill="auto"/>
            <w:vAlign w:val="center"/>
            <w:hideMark/>
          </w:tcPr>
          <w:p w14:paraId="1616B672"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w:t>
            </w:r>
          </w:p>
        </w:tc>
      </w:tr>
      <w:tr w:rsidR="006C63D5" w:rsidRPr="00F44FA4" w14:paraId="79CC505D" w14:textId="77777777" w:rsidTr="008A25A9">
        <w:trPr>
          <w:trHeight w:val="729"/>
        </w:trPr>
        <w:tc>
          <w:tcPr>
            <w:tcW w:w="310" w:type="pct"/>
            <w:vMerge/>
            <w:tcBorders>
              <w:top w:val="nil"/>
              <w:left w:val="single" w:sz="4" w:space="0" w:color="auto"/>
              <w:bottom w:val="single" w:sz="4" w:space="0" w:color="auto"/>
              <w:right w:val="single" w:sz="4" w:space="0" w:color="auto"/>
            </w:tcBorders>
            <w:vAlign w:val="center"/>
            <w:hideMark/>
          </w:tcPr>
          <w:p w14:paraId="49141148" w14:textId="77777777" w:rsidR="006C63D5" w:rsidRPr="00F44FA4" w:rsidRDefault="006C63D5" w:rsidP="00C473E5">
            <w:pPr>
              <w:keepNext/>
              <w:keepLines/>
              <w:rPr>
                <w:rFonts w:cs="Arial"/>
                <w:color w:val="000000"/>
                <w:szCs w:val="20"/>
                <w:lang w:eastAsia="sl-SI"/>
              </w:rPr>
            </w:pPr>
          </w:p>
        </w:tc>
        <w:tc>
          <w:tcPr>
            <w:tcW w:w="1288" w:type="pct"/>
            <w:tcBorders>
              <w:top w:val="nil"/>
              <w:left w:val="nil"/>
              <w:bottom w:val="single" w:sz="4" w:space="0" w:color="auto"/>
              <w:right w:val="single" w:sz="4" w:space="0" w:color="auto"/>
            </w:tcBorders>
            <w:shd w:val="clear" w:color="000000" w:fill="FFFFFF"/>
            <w:vAlign w:val="bottom"/>
            <w:hideMark/>
          </w:tcPr>
          <w:p w14:paraId="21E7D293" w14:textId="77777777" w:rsidR="006C63D5" w:rsidRPr="00F44FA4" w:rsidRDefault="006C63D5" w:rsidP="00C473E5">
            <w:pPr>
              <w:keepNext/>
              <w:keepLines/>
              <w:rPr>
                <w:rFonts w:cs="Arial"/>
                <w:color w:val="000000"/>
                <w:szCs w:val="20"/>
                <w:lang w:eastAsia="sl-SI"/>
              </w:rPr>
            </w:pPr>
            <w:r w:rsidRPr="00F44FA4">
              <w:rPr>
                <w:rFonts w:cs="Arial"/>
                <w:color w:val="000000"/>
                <w:szCs w:val="20"/>
                <w:lang w:eastAsia="sl-SI"/>
              </w:rPr>
              <w:t xml:space="preserve">BDV za primarne proizvajalce v prehranski verigi </w:t>
            </w:r>
            <w:r w:rsidRPr="00F44FA4">
              <w:rPr>
                <w:rFonts w:cs="Arial"/>
                <w:color w:val="000000"/>
                <w:szCs w:val="20"/>
                <w:lang w:eastAsia="sl-SI"/>
              </w:rPr>
              <w:br/>
              <w:t>delež kmetijstva v skupni dodani vrednosti (%)</w:t>
            </w:r>
          </w:p>
        </w:tc>
        <w:tc>
          <w:tcPr>
            <w:tcW w:w="567" w:type="pct"/>
            <w:tcBorders>
              <w:top w:val="nil"/>
              <w:left w:val="nil"/>
              <w:bottom w:val="single" w:sz="4" w:space="0" w:color="auto"/>
              <w:right w:val="single" w:sz="4" w:space="0" w:color="auto"/>
            </w:tcBorders>
            <w:shd w:val="clear" w:color="auto" w:fill="auto"/>
            <w:noWrap/>
            <w:vAlign w:val="center"/>
            <w:hideMark/>
          </w:tcPr>
          <w:p w14:paraId="558603FA"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29,18</w:t>
            </w:r>
          </w:p>
        </w:tc>
        <w:tc>
          <w:tcPr>
            <w:tcW w:w="567" w:type="pct"/>
            <w:tcBorders>
              <w:top w:val="nil"/>
              <w:left w:val="nil"/>
              <w:bottom w:val="single" w:sz="4" w:space="0" w:color="auto"/>
              <w:right w:val="single" w:sz="4" w:space="0" w:color="auto"/>
            </w:tcBorders>
            <w:shd w:val="clear" w:color="auto" w:fill="auto"/>
            <w:noWrap/>
            <w:vAlign w:val="center"/>
            <w:hideMark/>
          </w:tcPr>
          <w:p w14:paraId="11537EF7"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30,41</w:t>
            </w:r>
          </w:p>
        </w:tc>
        <w:tc>
          <w:tcPr>
            <w:tcW w:w="567" w:type="pct"/>
            <w:tcBorders>
              <w:top w:val="nil"/>
              <w:left w:val="nil"/>
              <w:bottom w:val="single" w:sz="4" w:space="0" w:color="auto"/>
              <w:right w:val="single" w:sz="4" w:space="0" w:color="auto"/>
            </w:tcBorders>
            <w:shd w:val="clear" w:color="auto" w:fill="auto"/>
            <w:noWrap/>
            <w:vAlign w:val="center"/>
            <w:hideMark/>
          </w:tcPr>
          <w:p w14:paraId="4B3A87D8"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30,01</w:t>
            </w:r>
          </w:p>
        </w:tc>
        <w:tc>
          <w:tcPr>
            <w:tcW w:w="567" w:type="pct"/>
            <w:tcBorders>
              <w:top w:val="nil"/>
              <w:left w:val="nil"/>
              <w:bottom w:val="single" w:sz="4" w:space="0" w:color="auto"/>
              <w:right w:val="single" w:sz="4" w:space="0" w:color="auto"/>
            </w:tcBorders>
            <w:shd w:val="clear" w:color="auto" w:fill="auto"/>
            <w:noWrap/>
            <w:vAlign w:val="center"/>
            <w:hideMark/>
          </w:tcPr>
          <w:p w14:paraId="1F7A5990"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27,88</w:t>
            </w:r>
          </w:p>
        </w:tc>
        <w:tc>
          <w:tcPr>
            <w:tcW w:w="567" w:type="pct"/>
            <w:tcBorders>
              <w:top w:val="nil"/>
              <w:left w:val="nil"/>
              <w:bottom w:val="single" w:sz="4" w:space="0" w:color="auto"/>
              <w:right w:val="single" w:sz="4" w:space="0" w:color="auto"/>
            </w:tcBorders>
            <w:shd w:val="clear" w:color="auto" w:fill="auto"/>
            <w:noWrap/>
            <w:vAlign w:val="center"/>
            <w:hideMark/>
          </w:tcPr>
          <w:p w14:paraId="33CAB8F6"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w:t>
            </w:r>
          </w:p>
        </w:tc>
        <w:tc>
          <w:tcPr>
            <w:tcW w:w="567" w:type="pct"/>
            <w:tcBorders>
              <w:top w:val="nil"/>
              <w:left w:val="nil"/>
              <w:bottom w:val="single" w:sz="4" w:space="0" w:color="auto"/>
              <w:right w:val="single" w:sz="4" w:space="0" w:color="auto"/>
            </w:tcBorders>
            <w:shd w:val="clear" w:color="auto" w:fill="auto"/>
            <w:noWrap/>
            <w:vAlign w:val="center"/>
            <w:hideMark/>
          </w:tcPr>
          <w:p w14:paraId="0326926F"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w:t>
            </w:r>
          </w:p>
        </w:tc>
      </w:tr>
      <w:tr w:rsidR="006C63D5" w:rsidRPr="00F44FA4" w14:paraId="10575628" w14:textId="77777777" w:rsidTr="008A25A9">
        <w:trPr>
          <w:trHeight w:val="315"/>
        </w:trPr>
        <w:tc>
          <w:tcPr>
            <w:tcW w:w="310" w:type="pct"/>
            <w:vMerge/>
            <w:tcBorders>
              <w:top w:val="nil"/>
              <w:left w:val="single" w:sz="4" w:space="0" w:color="auto"/>
              <w:bottom w:val="single" w:sz="4" w:space="0" w:color="auto"/>
              <w:right w:val="single" w:sz="4" w:space="0" w:color="auto"/>
            </w:tcBorders>
            <w:vAlign w:val="center"/>
            <w:hideMark/>
          </w:tcPr>
          <w:p w14:paraId="2E33E7CA" w14:textId="77777777" w:rsidR="006C63D5" w:rsidRPr="00F44FA4" w:rsidRDefault="006C63D5" w:rsidP="00C473E5">
            <w:pPr>
              <w:keepNext/>
              <w:keepLines/>
              <w:rPr>
                <w:rFonts w:cs="Arial"/>
                <w:color w:val="000000"/>
                <w:szCs w:val="20"/>
                <w:lang w:eastAsia="sl-SI"/>
              </w:rPr>
            </w:pPr>
          </w:p>
        </w:tc>
        <w:tc>
          <w:tcPr>
            <w:tcW w:w="1288" w:type="pct"/>
            <w:tcBorders>
              <w:top w:val="nil"/>
              <w:left w:val="nil"/>
              <w:bottom w:val="single" w:sz="4" w:space="0" w:color="auto"/>
              <w:right w:val="single" w:sz="4" w:space="0" w:color="auto"/>
            </w:tcBorders>
            <w:shd w:val="clear" w:color="auto" w:fill="auto"/>
            <w:vAlign w:val="bottom"/>
            <w:hideMark/>
          </w:tcPr>
          <w:p w14:paraId="184FFF6F" w14:textId="77777777" w:rsidR="006C63D5" w:rsidRPr="00F44FA4" w:rsidRDefault="006C63D5" w:rsidP="00C473E5">
            <w:pPr>
              <w:keepNext/>
              <w:keepLines/>
              <w:rPr>
                <w:rFonts w:cs="Arial"/>
                <w:color w:val="000000"/>
                <w:szCs w:val="20"/>
                <w:lang w:eastAsia="sl-SI"/>
              </w:rPr>
            </w:pPr>
            <w:r w:rsidRPr="00F44FA4">
              <w:rPr>
                <w:rFonts w:cs="Arial"/>
                <w:color w:val="000000"/>
                <w:szCs w:val="20"/>
                <w:lang w:eastAsia="sl-SI"/>
              </w:rPr>
              <w:t>dodana vrednost - storitve oskrbe s hrano in pijačami  (mio EUR)</w:t>
            </w:r>
          </w:p>
        </w:tc>
        <w:tc>
          <w:tcPr>
            <w:tcW w:w="567" w:type="pct"/>
            <w:tcBorders>
              <w:top w:val="nil"/>
              <w:left w:val="nil"/>
              <w:bottom w:val="single" w:sz="4" w:space="0" w:color="auto"/>
              <w:right w:val="single" w:sz="4" w:space="0" w:color="auto"/>
            </w:tcBorders>
            <w:shd w:val="clear" w:color="auto" w:fill="auto"/>
            <w:noWrap/>
            <w:vAlign w:val="center"/>
            <w:hideMark/>
          </w:tcPr>
          <w:p w14:paraId="50071100"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308,30</w:t>
            </w:r>
          </w:p>
        </w:tc>
        <w:tc>
          <w:tcPr>
            <w:tcW w:w="567" w:type="pct"/>
            <w:tcBorders>
              <w:top w:val="nil"/>
              <w:left w:val="nil"/>
              <w:bottom w:val="single" w:sz="4" w:space="0" w:color="auto"/>
              <w:right w:val="single" w:sz="4" w:space="0" w:color="auto"/>
            </w:tcBorders>
            <w:shd w:val="clear" w:color="auto" w:fill="auto"/>
            <w:noWrap/>
            <w:vAlign w:val="center"/>
            <w:hideMark/>
          </w:tcPr>
          <w:p w14:paraId="3A24185F"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306,60</w:t>
            </w:r>
          </w:p>
        </w:tc>
        <w:tc>
          <w:tcPr>
            <w:tcW w:w="567" w:type="pct"/>
            <w:tcBorders>
              <w:top w:val="nil"/>
              <w:left w:val="nil"/>
              <w:bottom w:val="single" w:sz="4" w:space="0" w:color="auto"/>
              <w:right w:val="single" w:sz="4" w:space="0" w:color="auto"/>
            </w:tcBorders>
            <w:shd w:val="clear" w:color="auto" w:fill="auto"/>
            <w:noWrap/>
            <w:vAlign w:val="center"/>
            <w:hideMark/>
          </w:tcPr>
          <w:p w14:paraId="15C7D985"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408,60</w:t>
            </w:r>
          </w:p>
        </w:tc>
        <w:tc>
          <w:tcPr>
            <w:tcW w:w="567" w:type="pct"/>
            <w:tcBorders>
              <w:top w:val="nil"/>
              <w:left w:val="nil"/>
              <w:bottom w:val="single" w:sz="4" w:space="0" w:color="auto"/>
              <w:right w:val="single" w:sz="4" w:space="0" w:color="auto"/>
            </w:tcBorders>
            <w:shd w:val="clear" w:color="auto" w:fill="auto"/>
            <w:noWrap/>
            <w:vAlign w:val="center"/>
            <w:hideMark/>
          </w:tcPr>
          <w:p w14:paraId="2EF07119"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442,10</w:t>
            </w:r>
          </w:p>
        </w:tc>
        <w:tc>
          <w:tcPr>
            <w:tcW w:w="567" w:type="pct"/>
            <w:tcBorders>
              <w:top w:val="nil"/>
              <w:left w:val="nil"/>
              <w:bottom w:val="single" w:sz="4" w:space="0" w:color="auto"/>
              <w:right w:val="single" w:sz="4" w:space="0" w:color="auto"/>
            </w:tcBorders>
            <w:shd w:val="clear" w:color="auto" w:fill="auto"/>
            <w:noWrap/>
            <w:vAlign w:val="center"/>
            <w:hideMark/>
          </w:tcPr>
          <w:p w14:paraId="592FA53F"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w:t>
            </w:r>
          </w:p>
        </w:tc>
        <w:tc>
          <w:tcPr>
            <w:tcW w:w="567" w:type="pct"/>
            <w:tcBorders>
              <w:top w:val="nil"/>
              <w:left w:val="nil"/>
              <w:bottom w:val="single" w:sz="4" w:space="0" w:color="auto"/>
              <w:right w:val="single" w:sz="4" w:space="0" w:color="auto"/>
            </w:tcBorders>
            <w:shd w:val="clear" w:color="auto" w:fill="auto"/>
            <w:noWrap/>
            <w:vAlign w:val="center"/>
            <w:hideMark/>
          </w:tcPr>
          <w:p w14:paraId="13E34193"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w:t>
            </w:r>
          </w:p>
        </w:tc>
      </w:tr>
      <w:tr w:rsidR="006C63D5" w:rsidRPr="00F44FA4" w14:paraId="3511C9B1" w14:textId="77777777" w:rsidTr="008A25A9">
        <w:trPr>
          <w:trHeight w:val="315"/>
        </w:trPr>
        <w:tc>
          <w:tcPr>
            <w:tcW w:w="310" w:type="pct"/>
            <w:vMerge/>
            <w:tcBorders>
              <w:top w:val="nil"/>
              <w:left w:val="single" w:sz="4" w:space="0" w:color="auto"/>
              <w:bottom w:val="single" w:sz="4" w:space="0" w:color="auto"/>
              <w:right w:val="single" w:sz="4" w:space="0" w:color="auto"/>
            </w:tcBorders>
            <w:vAlign w:val="center"/>
            <w:hideMark/>
          </w:tcPr>
          <w:p w14:paraId="01910764" w14:textId="77777777" w:rsidR="006C63D5" w:rsidRPr="00F44FA4" w:rsidRDefault="006C63D5" w:rsidP="00C473E5">
            <w:pPr>
              <w:keepNext/>
              <w:keepLines/>
              <w:rPr>
                <w:rFonts w:cs="Arial"/>
                <w:color w:val="000000"/>
                <w:szCs w:val="20"/>
                <w:lang w:eastAsia="sl-SI"/>
              </w:rPr>
            </w:pPr>
          </w:p>
        </w:tc>
        <w:tc>
          <w:tcPr>
            <w:tcW w:w="1288" w:type="pct"/>
            <w:tcBorders>
              <w:top w:val="nil"/>
              <w:left w:val="nil"/>
              <w:bottom w:val="single" w:sz="4" w:space="0" w:color="auto"/>
              <w:right w:val="single" w:sz="4" w:space="0" w:color="auto"/>
            </w:tcBorders>
            <w:shd w:val="clear" w:color="auto" w:fill="auto"/>
            <w:vAlign w:val="bottom"/>
            <w:hideMark/>
          </w:tcPr>
          <w:p w14:paraId="33D5260D" w14:textId="77777777" w:rsidR="006C63D5" w:rsidRPr="00F44FA4" w:rsidRDefault="006C63D5" w:rsidP="00C473E5">
            <w:pPr>
              <w:keepNext/>
              <w:keepLines/>
              <w:rPr>
                <w:rFonts w:cs="Arial"/>
                <w:color w:val="000000"/>
                <w:szCs w:val="20"/>
                <w:lang w:eastAsia="sl-SI"/>
              </w:rPr>
            </w:pPr>
            <w:r w:rsidRPr="00F44FA4">
              <w:rPr>
                <w:rFonts w:cs="Arial"/>
                <w:color w:val="000000"/>
                <w:szCs w:val="20"/>
                <w:lang w:eastAsia="sl-SI"/>
              </w:rPr>
              <w:t>dodana vrednost - distribucija hrane in pijač  (mio EUR)</w:t>
            </w:r>
          </w:p>
        </w:tc>
        <w:tc>
          <w:tcPr>
            <w:tcW w:w="567" w:type="pct"/>
            <w:tcBorders>
              <w:top w:val="nil"/>
              <w:left w:val="nil"/>
              <w:bottom w:val="single" w:sz="4" w:space="0" w:color="auto"/>
              <w:right w:val="single" w:sz="4" w:space="0" w:color="auto"/>
            </w:tcBorders>
            <w:shd w:val="clear" w:color="auto" w:fill="auto"/>
            <w:noWrap/>
            <w:vAlign w:val="center"/>
            <w:hideMark/>
          </w:tcPr>
          <w:p w14:paraId="13218656"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770,80</w:t>
            </w:r>
          </w:p>
        </w:tc>
        <w:tc>
          <w:tcPr>
            <w:tcW w:w="567" w:type="pct"/>
            <w:tcBorders>
              <w:top w:val="nil"/>
              <w:left w:val="nil"/>
              <w:bottom w:val="single" w:sz="4" w:space="0" w:color="auto"/>
              <w:right w:val="single" w:sz="4" w:space="0" w:color="auto"/>
            </w:tcBorders>
            <w:shd w:val="clear" w:color="auto" w:fill="auto"/>
            <w:noWrap/>
            <w:vAlign w:val="center"/>
            <w:hideMark/>
          </w:tcPr>
          <w:p w14:paraId="082B4668"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755,40</w:t>
            </w:r>
          </w:p>
        </w:tc>
        <w:tc>
          <w:tcPr>
            <w:tcW w:w="567" w:type="pct"/>
            <w:tcBorders>
              <w:top w:val="nil"/>
              <w:left w:val="nil"/>
              <w:bottom w:val="single" w:sz="4" w:space="0" w:color="auto"/>
              <w:right w:val="single" w:sz="4" w:space="0" w:color="auto"/>
            </w:tcBorders>
            <w:shd w:val="clear" w:color="auto" w:fill="auto"/>
            <w:noWrap/>
            <w:vAlign w:val="center"/>
            <w:hideMark/>
          </w:tcPr>
          <w:p w14:paraId="7F38C59A"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758,10</w:t>
            </w:r>
          </w:p>
        </w:tc>
        <w:tc>
          <w:tcPr>
            <w:tcW w:w="567" w:type="pct"/>
            <w:tcBorders>
              <w:top w:val="nil"/>
              <w:left w:val="nil"/>
              <w:bottom w:val="single" w:sz="4" w:space="0" w:color="auto"/>
              <w:right w:val="single" w:sz="4" w:space="0" w:color="auto"/>
            </w:tcBorders>
            <w:shd w:val="clear" w:color="auto" w:fill="auto"/>
            <w:noWrap/>
            <w:vAlign w:val="center"/>
            <w:hideMark/>
          </w:tcPr>
          <w:p w14:paraId="4001A7E2"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812,10</w:t>
            </w:r>
          </w:p>
        </w:tc>
        <w:tc>
          <w:tcPr>
            <w:tcW w:w="567" w:type="pct"/>
            <w:tcBorders>
              <w:top w:val="nil"/>
              <w:left w:val="nil"/>
              <w:bottom w:val="single" w:sz="4" w:space="0" w:color="auto"/>
              <w:right w:val="single" w:sz="4" w:space="0" w:color="auto"/>
            </w:tcBorders>
            <w:shd w:val="clear" w:color="auto" w:fill="auto"/>
            <w:noWrap/>
            <w:vAlign w:val="center"/>
            <w:hideMark/>
          </w:tcPr>
          <w:p w14:paraId="1A925FCC"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w:t>
            </w:r>
          </w:p>
        </w:tc>
        <w:tc>
          <w:tcPr>
            <w:tcW w:w="567" w:type="pct"/>
            <w:tcBorders>
              <w:top w:val="nil"/>
              <w:left w:val="nil"/>
              <w:bottom w:val="single" w:sz="4" w:space="0" w:color="auto"/>
              <w:right w:val="single" w:sz="4" w:space="0" w:color="auto"/>
            </w:tcBorders>
            <w:shd w:val="clear" w:color="auto" w:fill="auto"/>
            <w:noWrap/>
            <w:vAlign w:val="center"/>
            <w:hideMark/>
          </w:tcPr>
          <w:p w14:paraId="7C71CEA7"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w:t>
            </w:r>
          </w:p>
        </w:tc>
      </w:tr>
      <w:tr w:rsidR="006C63D5" w:rsidRPr="00F44FA4" w14:paraId="2CF3BBC0" w14:textId="77777777" w:rsidTr="008A25A9">
        <w:trPr>
          <w:trHeight w:val="315"/>
        </w:trPr>
        <w:tc>
          <w:tcPr>
            <w:tcW w:w="310" w:type="pct"/>
            <w:vMerge/>
            <w:tcBorders>
              <w:top w:val="nil"/>
              <w:left w:val="single" w:sz="4" w:space="0" w:color="auto"/>
              <w:bottom w:val="single" w:sz="4" w:space="0" w:color="auto"/>
              <w:right w:val="single" w:sz="4" w:space="0" w:color="auto"/>
            </w:tcBorders>
            <w:vAlign w:val="center"/>
            <w:hideMark/>
          </w:tcPr>
          <w:p w14:paraId="067349DF" w14:textId="77777777" w:rsidR="006C63D5" w:rsidRPr="00F44FA4" w:rsidRDefault="006C63D5" w:rsidP="00C473E5">
            <w:pPr>
              <w:keepNext/>
              <w:keepLines/>
              <w:rPr>
                <w:rFonts w:cs="Arial"/>
                <w:color w:val="000000"/>
                <w:szCs w:val="20"/>
                <w:lang w:eastAsia="sl-SI"/>
              </w:rPr>
            </w:pPr>
          </w:p>
        </w:tc>
        <w:tc>
          <w:tcPr>
            <w:tcW w:w="1288" w:type="pct"/>
            <w:tcBorders>
              <w:top w:val="nil"/>
              <w:left w:val="nil"/>
              <w:bottom w:val="single" w:sz="4" w:space="0" w:color="auto"/>
              <w:right w:val="single" w:sz="4" w:space="0" w:color="auto"/>
            </w:tcBorders>
            <w:shd w:val="clear" w:color="auto" w:fill="auto"/>
            <w:vAlign w:val="bottom"/>
            <w:hideMark/>
          </w:tcPr>
          <w:p w14:paraId="0FE596D4" w14:textId="77777777" w:rsidR="006C63D5" w:rsidRPr="00F44FA4" w:rsidRDefault="006C63D5" w:rsidP="00C473E5">
            <w:pPr>
              <w:keepNext/>
              <w:keepLines/>
              <w:rPr>
                <w:rFonts w:cs="Arial"/>
                <w:color w:val="000000"/>
                <w:szCs w:val="20"/>
                <w:lang w:eastAsia="sl-SI"/>
              </w:rPr>
            </w:pPr>
            <w:r w:rsidRPr="00F44FA4">
              <w:rPr>
                <w:rFonts w:cs="Arial"/>
                <w:color w:val="000000"/>
                <w:szCs w:val="20"/>
                <w:lang w:eastAsia="sl-SI"/>
              </w:rPr>
              <w:t>dodana vrednost - proizvodnja hrane in pijač  (mio EUR)</w:t>
            </w:r>
          </w:p>
        </w:tc>
        <w:tc>
          <w:tcPr>
            <w:tcW w:w="567" w:type="pct"/>
            <w:tcBorders>
              <w:top w:val="nil"/>
              <w:left w:val="nil"/>
              <w:bottom w:val="single" w:sz="4" w:space="0" w:color="auto"/>
              <w:right w:val="single" w:sz="4" w:space="0" w:color="auto"/>
            </w:tcBorders>
            <w:shd w:val="clear" w:color="auto" w:fill="auto"/>
            <w:noWrap/>
            <w:vAlign w:val="center"/>
            <w:hideMark/>
          </w:tcPr>
          <w:p w14:paraId="75D7F9EF"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470,60</w:t>
            </w:r>
          </w:p>
        </w:tc>
        <w:tc>
          <w:tcPr>
            <w:tcW w:w="567" w:type="pct"/>
            <w:tcBorders>
              <w:top w:val="nil"/>
              <w:left w:val="nil"/>
              <w:bottom w:val="single" w:sz="4" w:space="0" w:color="auto"/>
              <w:right w:val="single" w:sz="4" w:space="0" w:color="auto"/>
            </w:tcBorders>
            <w:shd w:val="clear" w:color="auto" w:fill="auto"/>
            <w:noWrap/>
            <w:vAlign w:val="center"/>
            <w:hideMark/>
          </w:tcPr>
          <w:p w14:paraId="799C4B7E"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439,70</w:t>
            </w:r>
          </w:p>
        </w:tc>
        <w:tc>
          <w:tcPr>
            <w:tcW w:w="567" w:type="pct"/>
            <w:tcBorders>
              <w:top w:val="nil"/>
              <w:left w:val="nil"/>
              <w:bottom w:val="single" w:sz="4" w:space="0" w:color="auto"/>
              <w:right w:val="single" w:sz="4" w:space="0" w:color="auto"/>
            </w:tcBorders>
            <w:shd w:val="clear" w:color="auto" w:fill="auto"/>
            <w:noWrap/>
            <w:vAlign w:val="center"/>
            <w:hideMark/>
          </w:tcPr>
          <w:p w14:paraId="7C0922C5"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523,40</w:t>
            </w:r>
          </w:p>
        </w:tc>
        <w:tc>
          <w:tcPr>
            <w:tcW w:w="567" w:type="pct"/>
            <w:tcBorders>
              <w:top w:val="nil"/>
              <w:left w:val="nil"/>
              <w:bottom w:val="single" w:sz="4" w:space="0" w:color="auto"/>
              <w:right w:val="single" w:sz="4" w:space="0" w:color="auto"/>
            </w:tcBorders>
            <w:shd w:val="clear" w:color="auto" w:fill="auto"/>
            <w:noWrap/>
            <w:vAlign w:val="center"/>
            <w:hideMark/>
          </w:tcPr>
          <w:p w14:paraId="0587E578"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543,30</w:t>
            </w:r>
          </w:p>
        </w:tc>
        <w:tc>
          <w:tcPr>
            <w:tcW w:w="567" w:type="pct"/>
            <w:tcBorders>
              <w:top w:val="nil"/>
              <w:left w:val="nil"/>
              <w:bottom w:val="single" w:sz="4" w:space="0" w:color="auto"/>
              <w:right w:val="single" w:sz="4" w:space="0" w:color="auto"/>
            </w:tcBorders>
            <w:shd w:val="clear" w:color="auto" w:fill="auto"/>
            <w:noWrap/>
            <w:vAlign w:val="center"/>
            <w:hideMark/>
          </w:tcPr>
          <w:p w14:paraId="497AD07C"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w:t>
            </w:r>
          </w:p>
        </w:tc>
        <w:tc>
          <w:tcPr>
            <w:tcW w:w="567" w:type="pct"/>
            <w:tcBorders>
              <w:top w:val="nil"/>
              <w:left w:val="nil"/>
              <w:bottom w:val="single" w:sz="4" w:space="0" w:color="auto"/>
              <w:right w:val="single" w:sz="4" w:space="0" w:color="auto"/>
            </w:tcBorders>
            <w:shd w:val="clear" w:color="auto" w:fill="auto"/>
            <w:noWrap/>
            <w:vAlign w:val="center"/>
            <w:hideMark/>
          </w:tcPr>
          <w:p w14:paraId="079CFF1D"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w:t>
            </w:r>
          </w:p>
        </w:tc>
      </w:tr>
      <w:tr w:rsidR="006C63D5" w:rsidRPr="00F44FA4" w14:paraId="135B59F7" w14:textId="77777777" w:rsidTr="008A25A9">
        <w:trPr>
          <w:trHeight w:val="315"/>
        </w:trPr>
        <w:tc>
          <w:tcPr>
            <w:tcW w:w="310" w:type="pct"/>
            <w:vMerge/>
            <w:tcBorders>
              <w:top w:val="nil"/>
              <w:left w:val="single" w:sz="4" w:space="0" w:color="auto"/>
              <w:bottom w:val="single" w:sz="4" w:space="0" w:color="auto"/>
              <w:right w:val="single" w:sz="4" w:space="0" w:color="auto"/>
            </w:tcBorders>
            <w:vAlign w:val="center"/>
            <w:hideMark/>
          </w:tcPr>
          <w:p w14:paraId="1D7681C7" w14:textId="77777777" w:rsidR="006C63D5" w:rsidRPr="00F44FA4" w:rsidRDefault="006C63D5" w:rsidP="00C473E5">
            <w:pPr>
              <w:keepNext/>
              <w:keepLines/>
              <w:rPr>
                <w:rFonts w:cs="Arial"/>
                <w:color w:val="000000"/>
                <w:szCs w:val="20"/>
                <w:lang w:eastAsia="sl-SI"/>
              </w:rPr>
            </w:pPr>
          </w:p>
        </w:tc>
        <w:tc>
          <w:tcPr>
            <w:tcW w:w="1288" w:type="pct"/>
            <w:tcBorders>
              <w:top w:val="nil"/>
              <w:left w:val="nil"/>
              <w:bottom w:val="single" w:sz="4" w:space="0" w:color="auto"/>
              <w:right w:val="single" w:sz="4" w:space="0" w:color="auto"/>
            </w:tcBorders>
            <w:shd w:val="clear" w:color="auto" w:fill="auto"/>
            <w:vAlign w:val="bottom"/>
            <w:hideMark/>
          </w:tcPr>
          <w:p w14:paraId="665D7EA4" w14:textId="77777777" w:rsidR="006C63D5" w:rsidRPr="00F44FA4" w:rsidRDefault="006C63D5" w:rsidP="00C473E5">
            <w:pPr>
              <w:keepNext/>
              <w:keepLines/>
              <w:rPr>
                <w:rFonts w:cs="Arial"/>
                <w:color w:val="000000"/>
                <w:szCs w:val="20"/>
                <w:lang w:eastAsia="sl-SI"/>
              </w:rPr>
            </w:pPr>
            <w:r w:rsidRPr="00F44FA4">
              <w:rPr>
                <w:rFonts w:cs="Arial"/>
                <w:color w:val="000000"/>
                <w:szCs w:val="20"/>
                <w:lang w:eastAsia="sl-SI"/>
              </w:rPr>
              <w:t>dodana vrednost - primarna proizvodnja (mio EUR)</w:t>
            </w:r>
          </w:p>
        </w:tc>
        <w:tc>
          <w:tcPr>
            <w:tcW w:w="567" w:type="pct"/>
            <w:tcBorders>
              <w:top w:val="nil"/>
              <w:left w:val="nil"/>
              <w:bottom w:val="single" w:sz="4" w:space="0" w:color="auto"/>
              <w:right w:val="single" w:sz="4" w:space="0" w:color="auto"/>
            </w:tcBorders>
            <w:shd w:val="clear" w:color="auto" w:fill="auto"/>
            <w:noWrap/>
            <w:vAlign w:val="center"/>
            <w:hideMark/>
          </w:tcPr>
          <w:p w14:paraId="2BD04121"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638,50</w:t>
            </w:r>
          </w:p>
        </w:tc>
        <w:tc>
          <w:tcPr>
            <w:tcW w:w="567" w:type="pct"/>
            <w:tcBorders>
              <w:top w:val="nil"/>
              <w:left w:val="nil"/>
              <w:bottom w:val="single" w:sz="4" w:space="0" w:color="auto"/>
              <w:right w:val="single" w:sz="4" w:space="0" w:color="auto"/>
            </w:tcBorders>
            <w:shd w:val="clear" w:color="auto" w:fill="auto"/>
            <w:noWrap/>
            <w:vAlign w:val="center"/>
            <w:hideMark/>
          </w:tcPr>
          <w:p w14:paraId="6F5F69E0"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656,11</w:t>
            </w:r>
          </w:p>
        </w:tc>
        <w:tc>
          <w:tcPr>
            <w:tcW w:w="567" w:type="pct"/>
            <w:tcBorders>
              <w:top w:val="nil"/>
              <w:left w:val="nil"/>
              <w:bottom w:val="single" w:sz="4" w:space="0" w:color="auto"/>
              <w:right w:val="single" w:sz="4" w:space="0" w:color="auto"/>
            </w:tcBorders>
            <w:shd w:val="clear" w:color="auto" w:fill="auto"/>
            <w:noWrap/>
            <w:vAlign w:val="center"/>
            <w:hideMark/>
          </w:tcPr>
          <w:p w14:paraId="3A6D9CE1"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724,63</w:t>
            </w:r>
          </w:p>
        </w:tc>
        <w:tc>
          <w:tcPr>
            <w:tcW w:w="567" w:type="pct"/>
            <w:tcBorders>
              <w:top w:val="nil"/>
              <w:left w:val="nil"/>
              <w:bottom w:val="single" w:sz="4" w:space="0" w:color="auto"/>
              <w:right w:val="single" w:sz="4" w:space="0" w:color="auto"/>
            </w:tcBorders>
            <w:shd w:val="clear" w:color="auto" w:fill="auto"/>
            <w:noWrap/>
            <w:vAlign w:val="center"/>
            <w:hideMark/>
          </w:tcPr>
          <w:p w14:paraId="1A2829CD"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694,93</w:t>
            </w:r>
          </w:p>
        </w:tc>
        <w:tc>
          <w:tcPr>
            <w:tcW w:w="567" w:type="pct"/>
            <w:tcBorders>
              <w:top w:val="nil"/>
              <w:left w:val="nil"/>
              <w:bottom w:val="single" w:sz="4" w:space="0" w:color="auto"/>
              <w:right w:val="single" w:sz="4" w:space="0" w:color="auto"/>
            </w:tcBorders>
            <w:shd w:val="clear" w:color="auto" w:fill="auto"/>
            <w:noWrap/>
            <w:vAlign w:val="center"/>
            <w:hideMark/>
          </w:tcPr>
          <w:p w14:paraId="11D84A95"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w:t>
            </w:r>
          </w:p>
        </w:tc>
        <w:tc>
          <w:tcPr>
            <w:tcW w:w="567" w:type="pct"/>
            <w:tcBorders>
              <w:top w:val="nil"/>
              <w:left w:val="nil"/>
              <w:bottom w:val="single" w:sz="4" w:space="0" w:color="auto"/>
              <w:right w:val="single" w:sz="4" w:space="0" w:color="auto"/>
            </w:tcBorders>
            <w:shd w:val="clear" w:color="auto" w:fill="auto"/>
            <w:noWrap/>
            <w:vAlign w:val="center"/>
            <w:hideMark/>
          </w:tcPr>
          <w:p w14:paraId="31B1F6F1" w14:textId="77777777" w:rsidR="006C63D5" w:rsidRPr="00F44FA4" w:rsidRDefault="006C63D5" w:rsidP="00C473E5">
            <w:pPr>
              <w:keepNext/>
              <w:keepLines/>
              <w:jc w:val="right"/>
              <w:rPr>
                <w:rFonts w:cs="Arial"/>
                <w:color w:val="000000"/>
                <w:szCs w:val="20"/>
                <w:lang w:eastAsia="sl-SI"/>
              </w:rPr>
            </w:pPr>
            <w:r w:rsidRPr="00F44FA4">
              <w:rPr>
                <w:rFonts w:cs="Arial"/>
                <w:color w:val="000000"/>
                <w:szCs w:val="20"/>
                <w:lang w:eastAsia="sl-SI"/>
              </w:rPr>
              <w:t>-</w:t>
            </w:r>
          </w:p>
        </w:tc>
      </w:tr>
    </w:tbl>
    <w:p w14:paraId="3CC5195C" w14:textId="77777777" w:rsidR="008A25A9" w:rsidRDefault="008A25A9" w:rsidP="006C63D5">
      <w:pPr>
        <w:rPr>
          <w:rFonts w:cs="Arial"/>
          <w:szCs w:val="20"/>
          <w:highlight w:val="yellow"/>
          <w:shd w:val="clear" w:color="auto" w:fill="FCFCFC"/>
        </w:rPr>
      </w:pPr>
    </w:p>
    <w:p w14:paraId="26056870" w14:textId="002CF104" w:rsidR="006C63D5" w:rsidRPr="003344A4" w:rsidRDefault="006C63D5" w:rsidP="00AD76B1">
      <w:pPr>
        <w:spacing w:line="360" w:lineRule="auto"/>
        <w:jc w:val="both"/>
        <w:rPr>
          <w:rFonts w:cs="Arial"/>
          <w:szCs w:val="20"/>
          <w:shd w:val="clear" w:color="auto" w:fill="FCFCFC"/>
        </w:rPr>
      </w:pPr>
      <w:r w:rsidRPr="003344A4">
        <w:rPr>
          <w:rFonts w:cs="Arial"/>
          <w:szCs w:val="20"/>
          <w:shd w:val="clear" w:color="auto" w:fill="FCFCFC"/>
        </w:rPr>
        <w:lastRenderedPageBreak/>
        <w:t>Gibanja BDV v nekoliko daljšem časovnem obdobju pokažejo vpliv gospodarsko-finančne krize. BDV slovenskega gospodarstva od leta 2010 do 2013 tako beleži začetno stagnacijo. Po koncu krize in povečevanju gospodarske aktivnosti pa se je vrednost leta 2014 začela dvigovati in je leta 201</w:t>
      </w:r>
      <w:r>
        <w:rPr>
          <w:rFonts w:cs="Arial"/>
          <w:szCs w:val="20"/>
          <w:shd w:val="clear" w:color="auto" w:fill="FCFCFC"/>
        </w:rPr>
        <w:t>9</w:t>
      </w:r>
      <w:r w:rsidRPr="003344A4">
        <w:rPr>
          <w:rFonts w:cs="Arial"/>
          <w:szCs w:val="20"/>
          <w:shd w:val="clear" w:color="auto" w:fill="FCFCFC"/>
        </w:rPr>
        <w:t xml:space="preserve"> dosegla vrednost </w:t>
      </w:r>
      <w:r>
        <w:rPr>
          <w:rFonts w:cs="Arial"/>
          <w:szCs w:val="20"/>
          <w:shd w:val="clear" w:color="auto" w:fill="FCFCFC"/>
        </w:rPr>
        <w:t>41.882,3</w:t>
      </w:r>
      <w:r w:rsidRPr="003344A4">
        <w:rPr>
          <w:rFonts w:cs="Arial"/>
          <w:szCs w:val="20"/>
          <w:shd w:val="clear" w:color="auto" w:fill="FCFCFC"/>
        </w:rPr>
        <w:t xml:space="preserve"> mio EUR. Delež primarnega sektorja se v enakem obdobju giblje med </w:t>
      </w:r>
      <w:r>
        <w:rPr>
          <w:rFonts w:cs="Arial"/>
          <w:szCs w:val="20"/>
          <w:shd w:val="clear" w:color="auto" w:fill="FCFCFC"/>
        </w:rPr>
        <w:t>2,17</w:t>
      </w:r>
      <w:r w:rsidRPr="003344A4">
        <w:rPr>
          <w:rFonts w:cs="Arial"/>
          <w:szCs w:val="20"/>
          <w:shd w:val="clear" w:color="auto" w:fill="FCFCFC"/>
        </w:rPr>
        <w:t xml:space="preserve"> % leta 2010 in 2,2</w:t>
      </w:r>
      <w:r>
        <w:rPr>
          <w:rFonts w:cs="Arial"/>
          <w:szCs w:val="20"/>
          <w:shd w:val="clear" w:color="auto" w:fill="FCFCFC"/>
        </w:rPr>
        <w:t>6</w:t>
      </w:r>
      <w:r w:rsidRPr="003344A4">
        <w:rPr>
          <w:rFonts w:cs="Arial"/>
          <w:szCs w:val="20"/>
          <w:shd w:val="clear" w:color="auto" w:fill="FCFCFC"/>
        </w:rPr>
        <w:t xml:space="preserve"> % leta 201</w:t>
      </w:r>
      <w:r>
        <w:rPr>
          <w:rFonts w:cs="Arial"/>
          <w:szCs w:val="20"/>
          <w:shd w:val="clear" w:color="auto" w:fill="FCFCFC"/>
        </w:rPr>
        <w:t>9</w:t>
      </w:r>
      <w:r w:rsidRPr="003344A4">
        <w:rPr>
          <w:rFonts w:cs="Arial"/>
          <w:szCs w:val="20"/>
          <w:shd w:val="clear" w:color="auto" w:fill="FCFCFC"/>
        </w:rPr>
        <w:t>.</w:t>
      </w:r>
    </w:p>
    <w:p w14:paraId="467A7A65" w14:textId="7F2E8494" w:rsidR="006C63D5" w:rsidRPr="003344A4" w:rsidRDefault="006C63D5" w:rsidP="00AD76B1">
      <w:pPr>
        <w:spacing w:line="360" w:lineRule="auto"/>
        <w:jc w:val="both"/>
        <w:rPr>
          <w:rFonts w:cs="Arial"/>
          <w:szCs w:val="20"/>
          <w:shd w:val="clear" w:color="auto" w:fill="FCFCFC"/>
        </w:rPr>
      </w:pPr>
      <w:r w:rsidRPr="003344A4">
        <w:rPr>
          <w:rFonts w:cs="Arial"/>
          <w:szCs w:val="20"/>
          <w:shd w:val="clear" w:color="auto" w:fill="FCFCFC"/>
        </w:rPr>
        <w:t>Primerjava BDV kmetijstva v Sloveniji in EU-28 pokaže, da kmetijstvo (skupaj z gozdarstvom in ribištvom) v Sloveniji od leta 2008 do leta 201</w:t>
      </w:r>
      <w:r>
        <w:rPr>
          <w:rFonts w:cs="Arial"/>
          <w:szCs w:val="20"/>
          <w:shd w:val="clear" w:color="auto" w:fill="FCFCFC"/>
        </w:rPr>
        <w:t>9</w:t>
      </w:r>
      <w:r w:rsidRPr="003344A4">
        <w:rPr>
          <w:rFonts w:cs="Arial"/>
          <w:szCs w:val="20"/>
          <w:shd w:val="clear" w:color="auto" w:fill="FCFCFC"/>
        </w:rPr>
        <w:t xml:space="preserve"> ustvarja med 2,1 % do 2,5 % celotne BDV vseh dejavnosti. Do navedenega obdobja je zabeležen padec deleža, kar kaže na razmeroma hitrejši ekonomski</w:t>
      </w:r>
      <w:r w:rsidR="0022611B">
        <w:rPr>
          <w:rFonts w:cs="Arial"/>
          <w:szCs w:val="20"/>
          <w:shd w:val="clear" w:color="auto" w:fill="FCFCFC"/>
        </w:rPr>
        <w:t xml:space="preserve"> razvoj drugih dejavnosti. </w:t>
      </w:r>
    </w:p>
    <w:p w14:paraId="6345F0B5" w14:textId="7E5F33F0" w:rsidR="006C63D5" w:rsidRPr="003344A4" w:rsidRDefault="006C63D5" w:rsidP="00AD76B1">
      <w:pPr>
        <w:spacing w:line="360" w:lineRule="auto"/>
        <w:jc w:val="both"/>
        <w:rPr>
          <w:rFonts w:cs="Arial"/>
          <w:szCs w:val="20"/>
          <w:shd w:val="clear" w:color="auto" w:fill="FCFCFC"/>
        </w:rPr>
      </w:pPr>
      <w:r w:rsidRPr="003344A4">
        <w:rPr>
          <w:rFonts w:cs="Arial"/>
          <w:szCs w:val="20"/>
          <w:shd w:val="clear" w:color="auto" w:fill="FCFCFC"/>
        </w:rPr>
        <w:t xml:space="preserve">Dokaj podobne ugotovitve veljajo tudi za EU-28, pri čemer je razvidno, da se je do leta 2008 pomen kmetijstva v Sloveniji hitreje zniževal kot pomen kmetijstva v EU-28, po tem letu pa sledi obdobje, kjer se je zmanjševanje ekonomskega pomena </w:t>
      </w:r>
      <w:r w:rsidRPr="00AD376E">
        <w:rPr>
          <w:rFonts w:cs="Arial"/>
          <w:szCs w:val="20"/>
          <w:shd w:val="clear" w:color="auto" w:fill="FCFCFC"/>
        </w:rPr>
        <w:t>kmetijstva v Sloveniji in v EU-28 ustavilo. Od tega leta naprej ni opaziti približevanja slovensk</w:t>
      </w:r>
      <w:r w:rsidR="0022611B" w:rsidRPr="00AD376E">
        <w:rPr>
          <w:rFonts w:cs="Arial"/>
          <w:szCs w:val="20"/>
          <w:shd w:val="clear" w:color="auto" w:fill="FCFCFC"/>
        </w:rPr>
        <w:t xml:space="preserve">ega deleža </w:t>
      </w:r>
      <w:r w:rsidR="00AD376E" w:rsidRPr="00AD376E">
        <w:rPr>
          <w:rFonts w:cs="Arial"/>
          <w:szCs w:val="20"/>
          <w:shd w:val="clear" w:color="auto" w:fill="FCFCFC"/>
        </w:rPr>
        <w:t xml:space="preserve">kmetijstva v </w:t>
      </w:r>
      <w:r w:rsidR="0022611B" w:rsidRPr="00AD376E">
        <w:rPr>
          <w:rFonts w:cs="Arial"/>
          <w:szCs w:val="20"/>
          <w:shd w:val="clear" w:color="auto" w:fill="FCFCFC"/>
        </w:rPr>
        <w:t>BDV vrednosti EU-28</w:t>
      </w:r>
      <w:r w:rsidR="0022611B">
        <w:rPr>
          <w:rFonts w:cs="Arial"/>
          <w:szCs w:val="20"/>
          <w:shd w:val="clear" w:color="auto" w:fill="FCFCFC"/>
        </w:rPr>
        <w:t>.</w:t>
      </w:r>
    </w:p>
    <w:p w14:paraId="0D30361C" w14:textId="77777777" w:rsidR="006C63D5" w:rsidRPr="003344A4" w:rsidRDefault="006C63D5" w:rsidP="00AD76B1">
      <w:pPr>
        <w:spacing w:line="360" w:lineRule="auto"/>
        <w:jc w:val="both"/>
        <w:rPr>
          <w:rFonts w:cs="Arial"/>
        </w:rPr>
      </w:pPr>
      <w:r w:rsidRPr="003344A4">
        <w:rPr>
          <w:rFonts w:cs="Arial"/>
          <w:szCs w:val="20"/>
        </w:rPr>
        <w:t xml:space="preserve">Delež kmetijstva v skupni dodani vrednosti BDV za primarne proizvajalce v prehranski verigi se giblje okoli 30 %. </w:t>
      </w:r>
      <w:r w:rsidRPr="003344A4">
        <w:rPr>
          <w:rFonts w:cs="Arial"/>
        </w:rPr>
        <w:t xml:space="preserve">Kljub izrazito majhnemu ekonomskemu deležu kmetijstva v celotni BDV slovenskega gospodarstva pa je ta gospodarski sektor strateško pomemben z vidika varnosti preskrbe s kakovostno, zdravo hrano ter upravljanja z naravnimi viri in zagotavljanja družbeni-ekonomskih funkcij, kot je obdelanost in poseljenost podeželja. </w:t>
      </w:r>
    </w:p>
    <w:p w14:paraId="0D98884C" w14:textId="18A39F9D" w:rsidR="006C63D5" w:rsidRPr="003344A4" w:rsidRDefault="0022611B" w:rsidP="0022611B">
      <w:pPr>
        <w:pStyle w:val="SCslika"/>
        <w:rPr>
          <w:shd w:val="clear" w:color="auto" w:fill="FCFCFC"/>
        </w:rPr>
      </w:pPr>
      <w:bookmarkStart w:id="53" w:name="_Toc40959324"/>
      <w:bookmarkStart w:id="54" w:name="_Toc55913762"/>
      <w:r w:rsidRPr="00226CFA">
        <w:t xml:space="preserve">Slika </w:t>
      </w:r>
      <w:r w:rsidR="007A077E">
        <w:fldChar w:fldCharType="begin"/>
      </w:r>
      <w:r w:rsidR="007A077E">
        <w:instrText xml:space="preserve"> SEQ Slika \* ARABIC </w:instrText>
      </w:r>
      <w:r w:rsidR="007A077E">
        <w:fldChar w:fldCharType="separate"/>
      </w:r>
      <w:r w:rsidR="0040635C">
        <w:t>11</w:t>
      </w:r>
      <w:r w:rsidR="007A077E">
        <w:fldChar w:fldCharType="end"/>
      </w:r>
      <w:r w:rsidRPr="00226CFA">
        <w:t>: Delež bruto dodane vrednosti (BDV) kmetijstva, gozdarstva in ribištva v skupni BDV ,Slovenija in EU-28 – tekoče cene</w:t>
      </w:r>
      <w:bookmarkEnd w:id="53"/>
      <w:bookmarkEnd w:id="54"/>
    </w:p>
    <w:p w14:paraId="2FB180F6" w14:textId="77777777" w:rsidR="006C63D5" w:rsidRPr="003344A4" w:rsidRDefault="006C63D5" w:rsidP="006C63D5">
      <w:pPr>
        <w:jc w:val="center"/>
        <w:rPr>
          <w:rFonts w:eastAsia="Calibri" w:cs="Arial"/>
          <w:szCs w:val="20"/>
        </w:rPr>
      </w:pPr>
      <w:r w:rsidRPr="003344A4">
        <w:rPr>
          <w:rFonts w:cs="Arial"/>
          <w:noProof/>
          <w:lang w:eastAsia="sl-SI"/>
        </w:rPr>
        <w:drawing>
          <wp:inline distT="0" distB="0" distL="0" distR="0" wp14:anchorId="141BD343" wp14:editId="0A84705C">
            <wp:extent cx="5200650" cy="2295525"/>
            <wp:effectExtent l="0" t="0" r="0" b="0"/>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7AD1D6E" w14:textId="4FF8F53C" w:rsidR="006C63D5" w:rsidRPr="0022611B" w:rsidRDefault="0022611B" w:rsidP="0022611B">
      <w:pPr>
        <w:rPr>
          <w:rFonts w:cs="Arial"/>
          <w:sz w:val="16"/>
          <w:szCs w:val="16"/>
        </w:rPr>
      </w:pPr>
      <w:r w:rsidRPr="0022611B">
        <w:rPr>
          <w:rFonts w:cs="Arial"/>
          <w:sz w:val="16"/>
          <w:szCs w:val="16"/>
        </w:rPr>
        <w:t>V</w:t>
      </w:r>
      <w:r w:rsidR="006C63D5" w:rsidRPr="0022611B">
        <w:rPr>
          <w:rFonts w:cs="Arial"/>
          <w:sz w:val="16"/>
          <w:szCs w:val="16"/>
        </w:rPr>
        <w:t>ir: EUROSTAT [nama_10_a1</w:t>
      </w:r>
      <w:r w:rsidRPr="0022611B">
        <w:rPr>
          <w:rFonts w:cs="Arial"/>
          <w:sz w:val="16"/>
          <w:szCs w:val="16"/>
        </w:rPr>
        <w:t>0]</w:t>
      </w:r>
    </w:p>
    <w:p w14:paraId="1DD3F1E3" w14:textId="0AE4AB75" w:rsidR="006C63D5" w:rsidRPr="003344A4" w:rsidRDefault="006C63D5" w:rsidP="006C63D5">
      <w:pPr>
        <w:rPr>
          <w:rFonts w:cs="Arial"/>
        </w:rPr>
      </w:pPr>
    </w:p>
    <w:p w14:paraId="66F34D08" w14:textId="266D4BA4" w:rsidR="006C63D5" w:rsidRPr="00D7152D" w:rsidRDefault="006412DC" w:rsidP="00F57BE2">
      <w:pPr>
        <w:pStyle w:val="Naslov2"/>
        <w:ind w:left="578" w:hanging="578"/>
      </w:pPr>
      <w:bookmarkStart w:id="55" w:name="_Toc42067297"/>
      <w:bookmarkStart w:id="56" w:name="_Toc55912181"/>
      <w:r w:rsidRPr="00D7152D">
        <w:lastRenderedPageBreak/>
        <w:t>Kmetijske površine</w:t>
      </w:r>
      <w:bookmarkEnd w:id="55"/>
      <w:bookmarkEnd w:id="56"/>
    </w:p>
    <w:p w14:paraId="1EDF1542" w14:textId="77777777" w:rsidR="006C63D5" w:rsidRDefault="006C63D5" w:rsidP="00AD76B1">
      <w:pPr>
        <w:spacing w:before="120" w:line="360" w:lineRule="auto"/>
        <w:jc w:val="both"/>
        <w:rPr>
          <w:rFonts w:eastAsia="Calibri" w:cs="Arial"/>
        </w:rPr>
      </w:pPr>
      <w:r w:rsidRPr="003344A4">
        <w:rPr>
          <w:rFonts w:eastAsia="Calibri" w:cs="Arial"/>
        </w:rPr>
        <w:t>Tretjina površja države (34 %) je namenjenega pretežno kmetijskim površinam. Površina skupnih kmetijskih zemljišč v uporabi v Sloveniji od leta 2005 do leta 2012 sicer nekoliko niha, kasneje je skupna kmetijska površina stabilna in se giblje pri okoli 480.000 ha.</w:t>
      </w:r>
    </w:p>
    <w:p w14:paraId="6F3F4749" w14:textId="3A2DBBE6" w:rsidR="006C63D5" w:rsidRDefault="00D7152D" w:rsidP="00AD376E">
      <w:pPr>
        <w:keepNext/>
        <w:keepLines/>
        <w:spacing w:before="120" w:line="264" w:lineRule="auto"/>
        <w:rPr>
          <w:rFonts w:eastAsia="Calibri" w:cs="Arial"/>
        </w:rPr>
      </w:pPr>
      <w:bookmarkStart w:id="57" w:name="_Ref31092213"/>
      <w:bookmarkStart w:id="58" w:name="_Toc55913763"/>
      <w:r w:rsidRPr="00226CFA">
        <w:rPr>
          <w:rFonts w:cs="Arial"/>
          <w:i/>
          <w:szCs w:val="20"/>
        </w:rPr>
        <w:t xml:space="preserve">Slika </w:t>
      </w:r>
      <w:r w:rsidR="007A077E">
        <w:rPr>
          <w:rFonts w:cs="Arial"/>
          <w:i/>
          <w:szCs w:val="20"/>
        </w:rPr>
        <w:fldChar w:fldCharType="begin"/>
      </w:r>
      <w:r w:rsidR="007A077E">
        <w:rPr>
          <w:rFonts w:cs="Arial"/>
          <w:i/>
          <w:szCs w:val="20"/>
        </w:rPr>
        <w:instrText xml:space="preserve"> SEQ Slika \* ARABIC </w:instrText>
      </w:r>
      <w:r w:rsidR="007A077E">
        <w:rPr>
          <w:rFonts w:cs="Arial"/>
          <w:i/>
          <w:szCs w:val="20"/>
        </w:rPr>
        <w:fldChar w:fldCharType="separate"/>
      </w:r>
      <w:r w:rsidR="0040635C">
        <w:rPr>
          <w:rFonts w:cs="Arial"/>
          <w:i/>
          <w:noProof/>
          <w:szCs w:val="20"/>
        </w:rPr>
        <w:t>12</w:t>
      </w:r>
      <w:r w:rsidR="007A077E">
        <w:rPr>
          <w:rFonts w:cs="Arial"/>
          <w:i/>
          <w:szCs w:val="20"/>
        </w:rPr>
        <w:fldChar w:fldCharType="end"/>
      </w:r>
      <w:bookmarkEnd w:id="57"/>
      <w:r w:rsidRPr="00226CFA">
        <w:rPr>
          <w:rFonts w:cs="Arial"/>
          <w:i/>
          <w:szCs w:val="20"/>
        </w:rPr>
        <w:t>: Skupna kmetijska zemljišča v uporabi v ha od leta 2005 do 2018</w:t>
      </w:r>
      <w:bookmarkEnd w:id="58"/>
    </w:p>
    <w:p w14:paraId="699EB234" w14:textId="77777777" w:rsidR="006C63D5" w:rsidRPr="003344A4" w:rsidRDefault="006C63D5" w:rsidP="00AD376E">
      <w:pPr>
        <w:keepNext/>
        <w:keepLines/>
        <w:spacing w:before="120" w:line="264" w:lineRule="auto"/>
        <w:jc w:val="center"/>
        <w:rPr>
          <w:rFonts w:eastAsia="Calibri" w:cs="Arial"/>
        </w:rPr>
      </w:pPr>
      <w:r>
        <w:rPr>
          <w:noProof/>
          <w:lang w:eastAsia="sl-SI"/>
        </w:rPr>
        <w:drawing>
          <wp:inline distT="0" distB="0" distL="0" distR="0" wp14:anchorId="15D723AF" wp14:editId="7980B521">
            <wp:extent cx="5105401" cy="2962275"/>
            <wp:effectExtent l="0" t="0" r="0" b="9525"/>
            <wp:docPr id="18" name="Grafikon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8276A4F" w14:textId="01DD28A5" w:rsidR="006C63D5" w:rsidRPr="00116075" w:rsidRDefault="00116075" w:rsidP="00AD376E">
      <w:pPr>
        <w:pStyle w:val="SCslika"/>
        <w:keepNext/>
        <w:keepLines/>
        <w:rPr>
          <w:rFonts w:eastAsia="Calibri"/>
          <w:noProof w:val="0"/>
          <w:sz w:val="16"/>
          <w:szCs w:val="16"/>
          <w:lang w:eastAsia="en-US"/>
        </w:rPr>
      </w:pPr>
      <w:r w:rsidRPr="00116075">
        <w:rPr>
          <w:rFonts w:eastAsia="Calibri"/>
          <w:noProof w:val="0"/>
          <w:sz w:val="16"/>
          <w:szCs w:val="16"/>
          <w:lang w:eastAsia="en-US"/>
        </w:rPr>
        <w:t xml:space="preserve">Vir: C.18 </w:t>
      </w:r>
      <w:r w:rsidR="00450F36">
        <w:rPr>
          <w:rFonts w:eastAsia="Calibri"/>
          <w:noProof w:val="0"/>
          <w:sz w:val="16"/>
          <w:szCs w:val="16"/>
          <w:lang w:eastAsia="en-US"/>
        </w:rPr>
        <w:t>–</w:t>
      </w:r>
      <w:r w:rsidRPr="00116075">
        <w:rPr>
          <w:rFonts w:eastAsia="Calibri"/>
          <w:noProof w:val="0"/>
          <w:sz w:val="16"/>
          <w:szCs w:val="16"/>
          <w:lang w:eastAsia="en-US"/>
        </w:rPr>
        <w:t xml:space="preserve"> </w:t>
      </w:r>
      <w:proofErr w:type="spellStart"/>
      <w:r w:rsidRPr="00116075">
        <w:rPr>
          <w:rFonts w:eastAsia="Calibri"/>
          <w:noProof w:val="0"/>
          <w:sz w:val="16"/>
          <w:szCs w:val="16"/>
          <w:lang w:eastAsia="en-US"/>
        </w:rPr>
        <w:t>Dashboard</w:t>
      </w:r>
      <w:proofErr w:type="spellEnd"/>
      <w:r w:rsidR="00450F36">
        <w:rPr>
          <w:rFonts w:eastAsia="Calibri"/>
          <w:noProof w:val="0"/>
          <w:sz w:val="16"/>
          <w:szCs w:val="16"/>
          <w:lang w:eastAsia="en-US"/>
        </w:rPr>
        <w:t xml:space="preserve"> </w:t>
      </w:r>
      <w:proofErr w:type="spellStart"/>
      <w:r w:rsidRPr="00116075">
        <w:rPr>
          <w:rFonts w:eastAsia="Calibri"/>
          <w:noProof w:val="0"/>
          <w:sz w:val="16"/>
          <w:szCs w:val="16"/>
          <w:lang w:eastAsia="en-US"/>
        </w:rPr>
        <w:t>Indicators</w:t>
      </w:r>
      <w:proofErr w:type="spellEnd"/>
    </w:p>
    <w:p w14:paraId="6B25FE03" w14:textId="77777777" w:rsidR="006C63D5" w:rsidRPr="00FE3C38" w:rsidRDefault="006C63D5" w:rsidP="006C63D5">
      <w:pPr>
        <w:spacing w:before="120" w:line="264" w:lineRule="auto"/>
        <w:rPr>
          <w:rFonts w:eastAsia="Calibri" w:cs="Arial"/>
          <w:szCs w:val="20"/>
        </w:rPr>
      </w:pPr>
    </w:p>
    <w:p w14:paraId="2B8EA477" w14:textId="43655ABA" w:rsidR="006C63D5" w:rsidRDefault="006C63D5" w:rsidP="00AD76B1">
      <w:pPr>
        <w:spacing w:before="120" w:line="360" w:lineRule="auto"/>
        <w:jc w:val="both"/>
        <w:rPr>
          <w:rFonts w:eastAsia="Calibri" w:cs="Arial"/>
        </w:rPr>
      </w:pPr>
      <w:r w:rsidRPr="003344A4">
        <w:rPr>
          <w:rFonts w:eastAsia="Calibri" w:cs="Arial"/>
        </w:rPr>
        <w:t xml:space="preserve">Enako stabilni so tudi deleži posameznih kategorij kmetijske zemlje v uporabi. V povprečju je v obdobju med letoma 2005 in 2017 delež ornih površin predstavljal 36 %, delež trajnega travinja 58 % in delež trajnih nasadov 6 % od skupnih kmetijskih zemljišč v uporabi. </w:t>
      </w:r>
    </w:p>
    <w:p w14:paraId="22567BBF" w14:textId="3B94B35D" w:rsidR="00116075" w:rsidRPr="00116075" w:rsidRDefault="00116075" w:rsidP="00AD376E">
      <w:pPr>
        <w:pStyle w:val="SCslika"/>
        <w:keepNext/>
        <w:keepLines/>
        <w:rPr>
          <w:rFonts w:eastAsia="Calibri"/>
        </w:rPr>
      </w:pPr>
      <w:bookmarkStart w:id="59" w:name="_Ref31093010"/>
      <w:bookmarkStart w:id="60" w:name="_Toc55913764"/>
      <w:r w:rsidRPr="00116075">
        <w:lastRenderedPageBreak/>
        <w:t xml:space="preserve">Slika </w:t>
      </w:r>
      <w:r w:rsidR="007A077E">
        <w:fldChar w:fldCharType="begin"/>
      </w:r>
      <w:r w:rsidR="007A077E">
        <w:instrText xml:space="preserve"> SEQ Slika \* ARABIC </w:instrText>
      </w:r>
      <w:r w:rsidR="007A077E">
        <w:fldChar w:fldCharType="separate"/>
      </w:r>
      <w:r w:rsidR="0040635C">
        <w:t>13</w:t>
      </w:r>
      <w:r w:rsidR="007A077E">
        <w:fldChar w:fldCharType="end"/>
      </w:r>
      <w:bookmarkEnd w:id="59"/>
      <w:r w:rsidRPr="00116075">
        <w:t>: Delež trajnega travinja, delež trajnih nasadov in delež ornih površin od skupnih kmetijskih zemljišč v uporabi za Slovenijo od leta 2005 do 2017</w:t>
      </w:r>
      <w:bookmarkEnd w:id="60"/>
    </w:p>
    <w:p w14:paraId="5D314A07" w14:textId="74E6C0A3" w:rsidR="006C63D5" w:rsidRPr="00116075" w:rsidRDefault="006C63D5" w:rsidP="00AD376E">
      <w:pPr>
        <w:keepNext/>
        <w:keepLines/>
        <w:spacing w:before="120" w:line="264" w:lineRule="auto"/>
        <w:rPr>
          <w:rFonts w:cs="Arial"/>
        </w:rPr>
      </w:pPr>
      <w:r>
        <w:rPr>
          <w:noProof/>
          <w:lang w:eastAsia="sl-SI"/>
        </w:rPr>
        <w:drawing>
          <wp:inline distT="0" distB="0" distL="0" distR="0" wp14:anchorId="59B1BAE8" wp14:editId="125C434E">
            <wp:extent cx="6192520" cy="3122930"/>
            <wp:effectExtent l="0" t="0" r="17780" b="1270"/>
            <wp:docPr id="1631865536" name="Grafikon 16318655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116075" w:rsidRPr="00116075">
        <w:rPr>
          <w:rFonts w:cs="Arial"/>
          <w:sz w:val="16"/>
          <w:szCs w:val="16"/>
        </w:rPr>
        <w:t xml:space="preserve">Vir: C.18 </w:t>
      </w:r>
      <w:r w:rsidR="00450F36">
        <w:rPr>
          <w:rFonts w:cs="Arial"/>
          <w:sz w:val="16"/>
          <w:szCs w:val="16"/>
        </w:rPr>
        <w:t>–</w:t>
      </w:r>
      <w:r w:rsidR="00116075" w:rsidRPr="00116075">
        <w:rPr>
          <w:rFonts w:cs="Arial"/>
          <w:sz w:val="16"/>
          <w:szCs w:val="16"/>
        </w:rPr>
        <w:t xml:space="preserve"> </w:t>
      </w:r>
      <w:proofErr w:type="spellStart"/>
      <w:r w:rsidR="00116075" w:rsidRPr="00116075">
        <w:rPr>
          <w:rFonts w:cs="Arial"/>
          <w:sz w:val="16"/>
          <w:szCs w:val="16"/>
        </w:rPr>
        <w:t>Dashboard</w:t>
      </w:r>
      <w:proofErr w:type="spellEnd"/>
      <w:r w:rsidR="00450F36">
        <w:rPr>
          <w:rFonts w:cs="Arial"/>
          <w:sz w:val="16"/>
          <w:szCs w:val="16"/>
        </w:rPr>
        <w:t xml:space="preserve"> </w:t>
      </w:r>
      <w:proofErr w:type="spellStart"/>
      <w:r w:rsidR="00116075" w:rsidRPr="00116075">
        <w:rPr>
          <w:rFonts w:cs="Arial"/>
          <w:sz w:val="16"/>
          <w:szCs w:val="16"/>
        </w:rPr>
        <w:t>Indicators</w:t>
      </w:r>
      <w:proofErr w:type="spellEnd"/>
    </w:p>
    <w:p w14:paraId="43E9318D" w14:textId="1B51806B" w:rsidR="006C63D5" w:rsidRPr="003344A4" w:rsidRDefault="006C63D5" w:rsidP="00AD76B1">
      <w:pPr>
        <w:spacing w:before="120" w:line="360" w:lineRule="auto"/>
        <w:jc w:val="both"/>
        <w:rPr>
          <w:rFonts w:cs="Arial"/>
          <w:szCs w:val="20"/>
        </w:rPr>
      </w:pPr>
      <w:r w:rsidRPr="003344A4">
        <w:rPr>
          <w:rFonts w:eastAsia="Arial" w:cs="Arial"/>
          <w:szCs w:val="20"/>
        </w:rPr>
        <w:t xml:space="preserve">Primerjava z EU-28 pokaže, da je v Sloveniji </w:t>
      </w:r>
      <w:r w:rsidRPr="003344A4">
        <w:rPr>
          <w:rFonts w:cs="Arial"/>
          <w:szCs w:val="20"/>
        </w:rPr>
        <w:t>delež trajnega travinja bistveno večji, delež ornih površin bistveno manjši ter delež nasadov primerljiv. V strukturi rabe kmetijske zemlje v EU–28 tako predstavljajo njive 58</w:t>
      </w:r>
      <w:r>
        <w:rPr>
          <w:rFonts w:cs="Arial"/>
          <w:szCs w:val="20"/>
        </w:rPr>
        <w:t>,6</w:t>
      </w:r>
      <w:r w:rsidRPr="003344A4">
        <w:rPr>
          <w:rFonts w:cs="Arial"/>
          <w:szCs w:val="20"/>
        </w:rPr>
        <w:t xml:space="preserve"> % (v RS: 36 %), travniki in pašniki 34 % (v RS: 58 %) in trajni nasadi dobrih 6 % (v RS: slabih 6 %).</w:t>
      </w:r>
      <w:r w:rsidRPr="003344A4">
        <w:rPr>
          <w:rFonts w:cs="Arial"/>
          <w:szCs w:val="20"/>
          <w:vertAlign w:val="superscript"/>
        </w:rPr>
        <w:footnoteReference w:id="2"/>
      </w:r>
    </w:p>
    <w:p w14:paraId="641EC2D1" w14:textId="77777777" w:rsidR="006C63D5" w:rsidRPr="003344A4" w:rsidRDefault="006C63D5" w:rsidP="00AD76B1">
      <w:pPr>
        <w:spacing w:before="120" w:line="360" w:lineRule="auto"/>
        <w:jc w:val="both"/>
        <w:rPr>
          <w:rFonts w:cs="Arial"/>
          <w:szCs w:val="20"/>
        </w:rPr>
      </w:pPr>
      <w:r w:rsidRPr="003344A4">
        <w:rPr>
          <w:rFonts w:cs="Arial"/>
          <w:szCs w:val="20"/>
        </w:rPr>
        <w:t>Kmetijska gospodarstva po podatkih strukturnega popisa iz leta 2016 gospodarijo z 898.365 hektarji vseh zemljišč (to je 0,6 % več kot v letu 2013); od tega je približno 53 % kmetijskih zemljišč, okoli 44 % gozda, 2 % kmetijskih zemljišč v zaraščanju ter neobdelanih kmetijskih zemljišč in 2 % nerodovitnih zemljišč. Od 476.682 hektarjev kmetijskih zemljišč v uporabi (0,1 % manj kot v letu 2013) obsegajo največji delež trajni travniki in pašniki (57,5 % ali 274.251 hektarjev), sledijo njive (36,8 % ali 175.519 hektarjev) in trajni nasadi (5,6 % ali 26.913 hektarjev).</w:t>
      </w:r>
      <w:r w:rsidRPr="003344A4">
        <w:rPr>
          <w:rFonts w:cs="Arial"/>
          <w:szCs w:val="20"/>
          <w:vertAlign w:val="superscript"/>
        </w:rPr>
        <w:footnoteReference w:id="3"/>
      </w:r>
      <w:r w:rsidRPr="003344A4">
        <w:rPr>
          <w:rFonts w:cs="Arial"/>
          <w:szCs w:val="20"/>
        </w:rPr>
        <w:t xml:space="preserve">  </w:t>
      </w:r>
    </w:p>
    <w:p w14:paraId="0B24A88A" w14:textId="75B09765" w:rsidR="006C63D5" w:rsidRDefault="006C63D5" w:rsidP="00AD76B1">
      <w:pPr>
        <w:spacing w:before="120" w:line="360" w:lineRule="auto"/>
        <w:jc w:val="both"/>
        <w:rPr>
          <w:rFonts w:cs="Arial"/>
          <w:szCs w:val="20"/>
        </w:rPr>
      </w:pPr>
      <w:r w:rsidRPr="003344A4">
        <w:rPr>
          <w:rFonts w:cs="Arial"/>
          <w:szCs w:val="20"/>
        </w:rPr>
        <w:t xml:space="preserve">Velika večina kmetijskih površin v Sloveniji se torej uporablja kot trajni travnik ali pašnik. To dejstvo je posledica velike reliefne razgibanosti slovenskega prostora, kjer ravninska </w:t>
      </w:r>
      <w:r w:rsidRPr="003344A4">
        <w:rPr>
          <w:rFonts w:eastAsia="Arial" w:cs="Arial"/>
          <w:szCs w:val="20"/>
        </w:rPr>
        <w:t xml:space="preserve">območja v obliki sklenjenih dolin in kotlin predstavljajo le slabih 20 % vsega ozemlja. V teh ravninskih območjih se nahajajo njivske površine. </w:t>
      </w:r>
      <w:r w:rsidRPr="003344A4">
        <w:rPr>
          <w:rFonts w:cs="Arial"/>
          <w:szCs w:val="20"/>
        </w:rPr>
        <w:t xml:space="preserve">Njivske površine se tako v večji meri koncentrirajo v vzhodnem delu in severovzhodnem delu države. Delež njivskih površin glede na celotno površino regije je najvišji v pomurski statistični regiji. </w:t>
      </w:r>
    </w:p>
    <w:p w14:paraId="12ACE95E" w14:textId="0F72C54E" w:rsidR="00116075" w:rsidRDefault="00116075" w:rsidP="00116075">
      <w:pPr>
        <w:spacing w:before="120" w:line="264" w:lineRule="auto"/>
        <w:jc w:val="both"/>
        <w:rPr>
          <w:rFonts w:cs="Arial"/>
          <w:szCs w:val="20"/>
        </w:rPr>
      </w:pPr>
    </w:p>
    <w:p w14:paraId="4107F5B6" w14:textId="10B84356" w:rsidR="00116075" w:rsidRPr="003344A4" w:rsidRDefault="00116075" w:rsidP="00AD376E">
      <w:pPr>
        <w:pStyle w:val="SCslika"/>
        <w:keepNext/>
        <w:keepLines/>
      </w:pPr>
      <w:bookmarkStart w:id="61" w:name="_Toc55913765"/>
      <w:r w:rsidRPr="00226CFA">
        <w:lastRenderedPageBreak/>
        <w:t xml:space="preserve">Slika </w:t>
      </w:r>
      <w:r w:rsidR="007A077E">
        <w:fldChar w:fldCharType="begin"/>
      </w:r>
      <w:r w:rsidR="007A077E">
        <w:instrText xml:space="preserve"> SEQ Slika \* ARABIC </w:instrText>
      </w:r>
      <w:r w:rsidR="007A077E">
        <w:fldChar w:fldCharType="separate"/>
      </w:r>
      <w:r w:rsidR="0040635C">
        <w:t>14</w:t>
      </w:r>
      <w:r w:rsidR="007A077E">
        <w:fldChar w:fldCharType="end"/>
      </w:r>
      <w:r w:rsidRPr="00226CFA">
        <w:t>: Kmetijska zemljišča v uporabi po statističnih regijah (% glede na celotno površino regije),</w:t>
      </w:r>
      <w:bookmarkEnd w:id="61"/>
    </w:p>
    <w:p w14:paraId="18627D18" w14:textId="77777777" w:rsidR="006C63D5" w:rsidRPr="003344A4" w:rsidRDefault="006C63D5" w:rsidP="00AD376E">
      <w:pPr>
        <w:keepNext/>
        <w:keepLines/>
        <w:spacing w:before="120" w:line="264" w:lineRule="auto"/>
        <w:jc w:val="center"/>
        <w:rPr>
          <w:rFonts w:cs="Arial"/>
          <w:szCs w:val="20"/>
        </w:rPr>
      </w:pPr>
      <w:r w:rsidRPr="003344A4">
        <w:rPr>
          <w:rFonts w:cs="Arial"/>
          <w:noProof/>
          <w:szCs w:val="20"/>
          <w:lang w:eastAsia="sl-SI"/>
        </w:rPr>
        <w:drawing>
          <wp:inline distT="0" distB="0" distL="0" distR="0" wp14:anchorId="788EC5D3" wp14:editId="18481C3A">
            <wp:extent cx="4587240" cy="3247274"/>
            <wp:effectExtent l="0" t="0" r="3810" b="0"/>
            <wp:docPr id="19" name="Slika 19" descr="Karta 1: Delež kmetijskih zemljišč v uporabi, glede na celotno površino regije ter delež njiv glede na celotno površino kmetijskih zemljišč v uporabi, statistične regije, Slovenija,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rta 1: Delež kmetijskih zemljišč v uporabi, glede na celotno površino regije ter delež njiv glede na celotno površino kmetijskih zemljišč v uporabi, statistične regije, Slovenija, 20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8669" cy="3248285"/>
                    </a:xfrm>
                    <a:prstGeom prst="rect">
                      <a:avLst/>
                    </a:prstGeom>
                    <a:noFill/>
                    <a:ln>
                      <a:noFill/>
                    </a:ln>
                  </pic:spPr>
                </pic:pic>
              </a:graphicData>
            </a:graphic>
          </wp:inline>
        </w:drawing>
      </w:r>
    </w:p>
    <w:p w14:paraId="79F92FED" w14:textId="4073FD5E" w:rsidR="006C63D5" w:rsidRPr="00116075" w:rsidRDefault="00116075" w:rsidP="00AD376E">
      <w:pPr>
        <w:keepNext/>
        <w:keepLines/>
        <w:spacing w:before="120" w:line="264" w:lineRule="auto"/>
        <w:rPr>
          <w:rFonts w:cs="Arial"/>
          <w:sz w:val="16"/>
          <w:szCs w:val="16"/>
        </w:rPr>
      </w:pPr>
      <w:r w:rsidRPr="00116075">
        <w:rPr>
          <w:rFonts w:cs="Arial"/>
          <w:sz w:val="16"/>
          <w:szCs w:val="16"/>
        </w:rPr>
        <w:t>V</w:t>
      </w:r>
      <w:r w:rsidR="006C63D5" w:rsidRPr="00116075">
        <w:rPr>
          <w:rFonts w:cs="Arial"/>
          <w:sz w:val="16"/>
          <w:szCs w:val="16"/>
        </w:rPr>
        <w:t>ir:  SURS, GURS</w:t>
      </w:r>
    </w:p>
    <w:p w14:paraId="67B0A05D" w14:textId="77777777" w:rsidR="006C63D5" w:rsidRPr="003344A4" w:rsidRDefault="006C63D5" w:rsidP="00AD76B1">
      <w:pPr>
        <w:spacing w:before="120" w:line="360" w:lineRule="auto"/>
        <w:jc w:val="both"/>
        <w:rPr>
          <w:rFonts w:cs="Arial"/>
        </w:rPr>
      </w:pPr>
      <w:r w:rsidRPr="003344A4">
        <w:rPr>
          <w:rFonts w:cs="Arial"/>
        </w:rPr>
        <w:t xml:space="preserve">Raven </w:t>
      </w:r>
      <w:proofErr w:type="spellStart"/>
      <w:r w:rsidRPr="003344A4">
        <w:rPr>
          <w:rFonts w:cs="Arial"/>
        </w:rPr>
        <w:t>intenzifikacije</w:t>
      </w:r>
      <w:proofErr w:type="spellEnd"/>
      <w:r w:rsidRPr="003344A4">
        <w:rPr>
          <w:rFonts w:cs="Arial"/>
        </w:rPr>
        <w:t xml:space="preserve"> kmetijstva v Sloveniji je zmerna in predvsem poteka v smeri izboljšanja delovne intenzivnosti kmetijske pridelave oziroma zmanjševanja vložka dela na enoto površine oziroma proizvoda. </w:t>
      </w:r>
    </w:p>
    <w:p w14:paraId="7E0506FE" w14:textId="77777777" w:rsidR="006C63D5" w:rsidRPr="003344A4" w:rsidRDefault="006C63D5" w:rsidP="00AD76B1">
      <w:pPr>
        <w:spacing w:before="120" w:line="360" w:lineRule="auto"/>
        <w:jc w:val="both"/>
        <w:rPr>
          <w:rFonts w:cs="Arial"/>
        </w:rPr>
      </w:pPr>
      <w:r w:rsidRPr="003344A4">
        <w:rPr>
          <w:rFonts w:cs="Arial"/>
        </w:rPr>
        <w:t xml:space="preserve">Število glav velike živine (GVŽ) na ha kmetijske zemlje v obdelavi kot najbolj agregatni kazalec proizvodne intenzivnosti je stabilno, obremenitev pa se je v obdobju 2000 - 2013 podobno kot v drugih državah članicah EU celo nekoliko zmanjšala. </w:t>
      </w:r>
      <w:r w:rsidRPr="003344A4">
        <w:rPr>
          <w:rFonts w:cs="Arial"/>
          <w:szCs w:val="20"/>
          <w:lang w:eastAsia="sl-SI"/>
        </w:rPr>
        <w:t>Obtežba živali (izračunana kot skupno število GVŽ / skupno število KZU) je med letoma 2005 in 2016 ostala stabilna le malo nad 1 GVŽ na hektar.</w:t>
      </w:r>
    </w:p>
    <w:p w14:paraId="21EA3E1A" w14:textId="77777777" w:rsidR="006C63D5" w:rsidRPr="003344A4" w:rsidRDefault="006C63D5" w:rsidP="00AD76B1">
      <w:pPr>
        <w:spacing w:before="120" w:line="360" w:lineRule="auto"/>
        <w:jc w:val="both"/>
        <w:rPr>
          <w:rFonts w:cs="Arial"/>
        </w:rPr>
      </w:pPr>
      <w:r w:rsidRPr="003344A4">
        <w:rPr>
          <w:rFonts w:cs="Arial"/>
        </w:rPr>
        <w:t>Zaradi ekonomskih pritiskov (tržno-cenovnih) so kmetijska gospodarstva prisiljena v zmanjševanje stroškov in povečevanje produktivnosti ter intenzivnosti kmetijske proizvodnje. V Sloveniji se v obdobju 2007-2013 intenzivnost kmetijske proizvodnje zmerno povečuje. Povečanje je posledica kontinuiranega zmanjševanja števila kmetijskih gospodarstev in koncentracije kmetijske pridelave.</w:t>
      </w:r>
      <w:r w:rsidRPr="003344A4">
        <w:rPr>
          <w:rFonts w:cs="Arial"/>
          <w:vertAlign w:val="superscript"/>
        </w:rPr>
        <w:footnoteReference w:id="4"/>
      </w:r>
    </w:p>
    <w:p w14:paraId="466B14FC" w14:textId="77777777" w:rsidR="00450F36" w:rsidRPr="003344A4" w:rsidRDefault="00450F36" w:rsidP="00450F36">
      <w:pPr>
        <w:spacing w:before="120" w:line="360" w:lineRule="auto"/>
        <w:jc w:val="both"/>
        <w:rPr>
          <w:rFonts w:eastAsia="Arial" w:cs="Arial"/>
        </w:rPr>
      </w:pPr>
      <w:r w:rsidRPr="003344A4">
        <w:rPr>
          <w:rFonts w:eastAsia="Arial" w:cs="Arial"/>
        </w:rPr>
        <w:t>Intenzivnost kmetovanja je opredeljena kot raven vložkov, ki jih kmetija uporablja na hektar zemlje. Upoštevani vložki so gnojila, pesticidi, druga sredstva za zaščito pridelkov in kupljena krma.</w:t>
      </w:r>
      <w:r w:rsidRPr="003344A4">
        <w:rPr>
          <w:rFonts w:eastAsia="Arial" w:cs="Arial"/>
          <w:szCs w:val="20"/>
          <w:vertAlign w:val="superscript"/>
        </w:rPr>
        <w:footnoteReference w:id="5"/>
      </w:r>
      <w:r w:rsidRPr="003344A4">
        <w:rPr>
          <w:rFonts w:eastAsia="Arial" w:cs="Arial"/>
        </w:rPr>
        <w:t xml:space="preserve"> </w:t>
      </w:r>
    </w:p>
    <w:p w14:paraId="3E8B5AF4" w14:textId="0EDE144B" w:rsidR="006C63D5" w:rsidRPr="00116075" w:rsidRDefault="006C63D5" w:rsidP="00AD76B1">
      <w:pPr>
        <w:spacing w:before="120" w:line="360" w:lineRule="auto"/>
        <w:jc w:val="both"/>
        <w:rPr>
          <w:rFonts w:cs="Arial"/>
        </w:rPr>
      </w:pPr>
      <w:r w:rsidRPr="003344A4">
        <w:rPr>
          <w:rFonts w:cs="Arial"/>
        </w:rPr>
        <w:lastRenderedPageBreak/>
        <w:t>Intenzivnost kmetovanja v Sloveniji je nižja od EU povprečja, saj je delež KZU, ki jih upravljajo kmetije z nizko vhodno intenzivnostjo na ha (</w:t>
      </w:r>
      <w:r>
        <w:rPr>
          <w:rFonts w:cs="Arial"/>
        </w:rPr>
        <w:t>35,5</w:t>
      </w:r>
      <w:r w:rsidRPr="003344A4">
        <w:rPr>
          <w:rFonts w:cs="Arial"/>
        </w:rPr>
        <w:t xml:space="preserve"> % KZU v letu 201</w:t>
      </w:r>
      <w:r>
        <w:rPr>
          <w:rFonts w:cs="Arial"/>
        </w:rPr>
        <w:t>7</w:t>
      </w:r>
      <w:r w:rsidRPr="003344A4">
        <w:rPr>
          <w:rFonts w:cs="Arial"/>
        </w:rPr>
        <w:t>) višji od povprečja EU (</w:t>
      </w:r>
      <w:r>
        <w:rPr>
          <w:rFonts w:cs="Arial"/>
        </w:rPr>
        <w:t>27,2</w:t>
      </w:r>
      <w:r w:rsidRPr="003344A4">
        <w:rPr>
          <w:rFonts w:cs="Arial"/>
        </w:rPr>
        <w:t xml:space="preserve"> % KZU v letu 201</w:t>
      </w:r>
      <w:r>
        <w:rPr>
          <w:rFonts w:cs="Arial"/>
        </w:rPr>
        <w:t>7</w:t>
      </w:r>
      <w:r w:rsidRPr="003344A4">
        <w:rPr>
          <w:rFonts w:cs="Arial"/>
        </w:rPr>
        <w:t>). KZU z ekstenzivno pašo so se v obdobju od leta 200</w:t>
      </w:r>
      <w:r>
        <w:rPr>
          <w:rFonts w:cs="Arial"/>
        </w:rPr>
        <w:t>7</w:t>
      </w:r>
      <w:r w:rsidRPr="003344A4">
        <w:rPr>
          <w:rFonts w:cs="Arial"/>
        </w:rPr>
        <w:t xml:space="preserve"> do 201</w:t>
      </w:r>
      <w:r>
        <w:rPr>
          <w:rFonts w:cs="Arial"/>
        </w:rPr>
        <w:t>6</w:t>
      </w:r>
      <w:r w:rsidRPr="003344A4">
        <w:rPr>
          <w:rFonts w:cs="Arial"/>
        </w:rPr>
        <w:t xml:space="preserve"> zvišala s </w:t>
      </w:r>
      <w:r>
        <w:rPr>
          <w:rFonts w:cs="Arial"/>
        </w:rPr>
        <w:t>25,81</w:t>
      </w:r>
      <w:r w:rsidRPr="003344A4">
        <w:rPr>
          <w:rFonts w:cs="Arial"/>
        </w:rPr>
        <w:t xml:space="preserve"> % na </w:t>
      </w:r>
      <w:r>
        <w:rPr>
          <w:rFonts w:cs="Arial"/>
        </w:rPr>
        <w:t>24,93</w:t>
      </w:r>
      <w:r w:rsidRPr="003344A4">
        <w:rPr>
          <w:rFonts w:cs="Arial"/>
        </w:rPr>
        <w:t xml:space="preserve"> % vseh KZU, kar je </w:t>
      </w:r>
      <w:r>
        <w:rPr>
          <w:rFonts w:cs="Arial"/>
        </w:rPr>
        <w:t>več</w:t>
      </w:r>
      <w:r w:rsidRPr="003344A4">
        <w:rPr>
          <w:rFonts w:cs="Arial"/>
        </w:rPr>
        <w:t xml:space="preserve"> kot v evropsk</w:t>
      </w:r>
      <w:r>
        <w:rPr>
          <w:rFonts w:cs="Arial"/>
        </w:rPr>
        <w:t>o</w:t>
      </w:r>
      <w:r w:rsidRPr="003344A4">
        <w:rPr>
          <w:rFonts w:cs="Arial"/>
        </w:rPr>
        <w:t xml:space="preserve"> povprečj</w:t>
      </w:r>
      <w:r>
        <w:rPr>
          <w:rFonts w:cs="Arial"/>
        </w:rPr>
        <w:t>e</w:t>
      </w:r>
      <w:r w:rsidRPr="003344A4">
        <w:rPr>
          <w:rFonts w:cs="Arial"/>
        </w:rPr>
        <w:t xml:space="preserve"> (</w:t>
      </w:r>
      <w:r>
        <w:rPr>
          <w:rFonts w:cs="Arial"/>
        </w:rPr>
        <w:t>21,74</w:t>
      </w:r>
      <w:r w:rsidR="00116075">
        <w:rPr>
          <w:rFonts w:cs="Arial"/>
        </w:rPr>
        <w:t xml:space="preserve"> % KZU).</w:t>
      </w:r>
    </w:p>
    <w:p w14:paraId="032D06C1" w14:textId="652072EA" w:rsidR="006C63D5" w:rsidRPr="00FE3C38" w:rsidRDefault="00C9160B" w:rsidP="00116075">
      <w:pPr>
        <w:pStyle w:val="SCPreglednica"/>
      </w:pPr>
      <w:bookmarkStart w:id="62" w:name="_Toc55913730"/>
      <w:r>
        <w:t>Tabela</w:t>
      </w:r>
      <w:r w:rsidR="006C63D5" w:rsidRPr="003D6FF8">
        <w:t xml:space="preserve"> </w:t>
      </w:r>
      <w:r w:rsidR="0001708D">
        <w:rPr>
          <w:noProof/>
        </w:rPr>
        <w:fldChar w:fldCharType="begin"/>
      </w:r>
      <w:r w:rsidR="0001708D">
        <w:rPr>
          <w:noProof/>
        </w:rPr>
        <w:instrText xml:space="preserve"> SEQ Tabela \* ARABIC </w:instrText>
      </w:r>
      <w:r w:rsidR="0001708D">
        <w:rPr>
          <w:noProof/>
        </w:rPr>
        <w:fldChar w:fldCharType="separate"/>
      </w:r>
      <w:r w:rsidR="00DF0D48">
        <w:rPr>
          <w:noProof/>
        </w:rPr>
        <w:t>19</w:t>
      </w:r>
      <w:r w:rsidR="0001708D">
        <w:rPr>
          <w:noProof/>
        </w:rPr>
        <w:fldChar w:fldCharType="end"/>
      </w:r>
      <w:r w:rsidR="006C63D5" w:rsidRPr="003D6FF8">
        <w:t xml:space="preserve">: </w:t>
      </w:r>
      <w:r w:rsidR="006C63D5" w:rsidRPr="00FE3C38">
        <w:t>Intenzivnost kmetovanja v KZU, ki jih upravljajo KMG z nizko, srednjo in visoko vhodno intenzivnostjo</w:t>
      </w:r>
      <w:bookmarkEnd w:id="62"/>
    </w:p>
    <w:tbl>
      <w:tblPr>
        <w:tblW w:w="5000" w:type="pct"/>
        <w:tblCellMar>
          <w:left w:w="70" w:type="dxa"/>
          <w:right w:w="70" w:type="dxa"/>
        </w:tblCellMar>
        <w:tblLook w:val="04A0" w:firstRow="1" w:lastRow="0" w:firstColumn="1" w:lastColumn="0" w:noHBand="0" w:noVBand="1"/>
      </w:tblPr>
      <w:tblGrid>
        <w:gridCol w:w="563"/>
        <w:gridCol w:w="5433"/>
        <w:gridCol w:w="773"/>
        <w:gridCol w:w="773"/>
        <w:gridCol w:w="760"/>
        <w:gridCol w:w="760"/>
      </w:tblGrid>
      <w:tr w:rsidR="006C63D5" w:rsidRPr="00F44FA4" w14:paraId="640DDB13" w14:textId="77777777" w:rsidTr="00116075">
        <w:trPr>
          <w:trHeight w:val="315"/>
        </w:trPr>
        <w:tc>
          <w:tcPr>
            <w:tcW w:w="235"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168D1DB" w14:textId="77777777" w:rsidR="006C63D5" w:rsidRPr="00F44FA4" w:rsidRDefault="006C63D5" w:rsidP="004167E8">
            <w:pPr>
              <w:rPr>
                <w:rFonts w:cs="Arial"/>
                <w:b/>
                <w:bCs/>
                <w:color w:val="000000"/>
                <w:szCs w:val="20"/>
                <w:lang w:eastAsia="sl-SI"/>
              </w:rPr>
            </w:pPr>
            <w:r w:rsidRPr="00F44FA4">
              <w:rPr>
                <w:rFonts w:cs="Arial"/>
                <w:b/>
                <w:bCs/>
                <w:color w:val="000000"/>
                <w:szCs w:val="20"/>
                <w:lang w:eastAsia="sl-SI"/>
              </w:rPr>
              <w:t>C.33</w:t>
            </w:r>
          </w:p>
        </w:tc>
        <w:tc>
          <w:tcPr>
            <w:tcW w:w="3013" w:type="pct"/>
            <w:tcBorders>
              <w:top w:val="single" w:sz="4" w:space="0" w:color="auto"/>
              <w:left w:val="nil"/>
              <w:bottom w:val="single" w:sz="4" w:space="0" w:color="auto"/>
              <w:right w:val="single" w:sz="4" w:space="0" w:color="auto"/>
            </w:tcBorders>
            <w:shd w:val="clear" w:color="000000" w:fill="92D050"/>
            <w:noWrap/>
            <w:vAlign w:val="bottom"/>
            <w:hideMark/>
          </w:tcPr>
          <w:p w14:paraId="5D47C428" w14:textId="77777777" w:rsidR="006C63D5" w:rsidRPr="00F44FA4" w:rsidRDefault="006C63D5" w:rsidP="004167E8">
            <w:pPr>
              <w:rPr>
                <w:rFonts w:cs="Arial"/>
                <w:b/>
                <w:bCs/>
                <w:color w:val="000000"/>
                <w:szCs w:val="20"/>
                <w:lang w:eastAsia="sl-SI"/>
              </w:rPr>
            </w:pPr>
            <w:r w:rsidRPr="00F44FA4">
              <w:rPr>
                <w:rFonts w:cs="Arial"/>
                <w:b/>
                <w:bCs/>
                <w:color w:val="000000"/>
                <w:szCs w:val="20"/>
                <w:lang w:eastAsia="sl-SI"/>
              </w:rPr>
              <w:t>Intenzivnost kmetovanja</w:t>
            </w:r>
          </w:p>
        </w:tc>
        <w:tc>
          <w:tcPr>
            <w:tcW w:w="442" w:type="pct"/>
            <w:tcBorders>
              <w:top w:val="single" w:sz="4" w:space="0" w:color="auto"/>
              <w:left w:val="nil"/>
              <w:bottom w:val="single" w:sz="4" w:space="0" w:color="auto"/>
              <w:right w:val="single" w:sz="4" w:space="0" w:color="auto"/>
            </w:tcBorders>
            <w:shd w:val="clear" w:color="000000" w:fill="92D050"/>
            <w:noWrap/>
            <w:vAlign w:val="center"/>
            <w:hideMark/>
          </w:tcPr>
          <w:p w14:paraId="253D1E35" w14:textId="77777777" w:rsidR="006C63D5" w:rsidRPr="00F44FA4" w:rsidRDefault="006C63D5" w:rsidP="004167E8">
            <w:pPr>
              <w:jc w:val="center"/>
              <w:rPr>
                <w:rFonts w:cs="Arial"/>
                <w:b/>
                <w:bCs/>
                <w:color w:val="000000"/>
                <w:szCs w:val="20"/>
                <w:lang w:eastAsia="sl-SI"/>
              </w:rPr>
            </w:pPr>
            <w:r w:rsidRPr="00F44FA4">
              <w:rPr>
                <w:rFonts w:cs="Arial"/>
                <w:b/>
                <w:bCs/>
                <w:color w:val="000000"/>
                <w:szCs w:val="20"/>
                <w:lang w:eastAsia="sl-SI"/>
              </w:rPr>
              <w:t>2010</w:t>
            </w:r>
          </w:p>
        </w:tc>
        <w:tc>
          <w:tcPr>
            <w:tcW w:w="442" w:type="pct"/>
            <w:tcBorders>
              <w:top w:val="single" w:sz="4" w:space="0" w:color="auto"/>
              <w:left w:val="nil"/>
              <w:bottom w:val="single" w:sz="4" w:space="0" w:color="auto"/>
              <w:right w:val="single" w:sz="4" w:space="0" w:color="auto"/>
            </w:tcBorders>
            <w:shd w:val="clear" w:color="000000" w:fill="92D050"/>
            <w:noWrap/>
            <w:vAlign w:val="center"/>
            <w:hideMark/>
          </w:tcPr>
          <w:p w14:paraId="34BC8B68" w14:textId="77777777" w:rsidR="006C63D5" w:rsidRPr="00F44FA4" w:rsidRDefault="006C63D5" w:rsidP="004167E8">
            <w:pPr>
              <w:jc w:val="center"/>
              <w:rPr>
                <w:rFonts w:cs="Arial"/>
                <w:b/>
                <w:bCs/>
                <w:color w:val="000000"/>
                <w:szCs w:val="20"/>
                <w:lang w:eastAsia="sl-SI"/>
              </w:rPr>
            </w:pPr>
            <w:r w:rsidRPr="00F44FA4">
              <w:rPr>
                <w:rFonts w:cs="Arial"/>
                <w:b/>
                <w:bCs/>
                <w:color w:val="000000"/>
                <w:szCs w:val="20"/>
                <w:lang w:eastAsia="sl-SI"/>
              </w:rPr>
              <w:t>2013</w:t>
            </w:r>
          </w:p>
        </w:tc>
        <w:tc>
          <w:tcPr>
            <w:tcW w:w="434" w:type="pct"/>
            <w:tcBorders>
              <w:top w:val="single" w:sz="4" w:space="0" w:color="auto"/>
              <w:left w:val="nil"/>
              <w:bottom w:val="single" w:sz="4" w:space="0" w:color="auto"/>
              <w:right w:val="single" w:sz="4" w:space="0" w:color="auto"/>
            </w:tcBorders>
            <w:shd w:val="clear" w:color="000000" w:fill="92D050"/>
            <w:noWrap/>
            <w:vAlign w:val="center"/>
            <w:hideMark/>
          </w:tcPr>
          <w:p w14:paraId="403CD871" w14:textId="77777777" w:rsidR="006C63D5" w:rsidRPr="00F44FA4" w:rsidRDefault="006C63D5" w:rsidP="004167E8">
            <w:pPr>
              <w:jc w:val="center"/>
              <w:rPr>
                <w:rFonts w:cs="Arial"/>
                <w:b/>
                <w:bCs/>
                <w:color w:val="000000"/>
                <w:szCs w:val="20"/>
                <w:lang w:eastAsia="sl-SI"/>
              </w:rPr>
            </w:pPr>
            <w:r w:rsidRPr="00F44FA4">
              <w:rPr>
                <w:rFonts w:cs="Arial"/>
                <w:b/>
                <w:bCs/>
                <w:color w:val="000000"/>
                <w:szCs w:val="20"/>
                <w:lang w:eastAsia="sl-SI"/>
              </w:rPr>
              <w:t>2016</w:t>
            </w:r>
          </w:p>
        </w:tc>
        <w:tc>
          <w:tcPr>
            <w:tcW w:w="434" w:type="pct"/>
            <w:tcBorders>
              <w:top w:val="single" w:sz="4" w:space="0" w:color="auto"/>
              <w:left w:val="nil"/>
              <w:bottom w:val="single" w:sz="4" w:space="0" w:color="auto"/>
              <w:right w:val="single" w:sz="4" w:space="0" w:color="auto"/>
            </w:tcBorders>
            <w:shd w:val="clear" w:color="000000" w:fill="92D050"/>
            <w:noWrap/>
            <w:vAlign w:val="center"/>
            <w:hideMark/>
          </w:tcPr>
          <w:p w14:paraId="794841B6" w14:textId="77777777" w:rsidR="006C63D5" w:rsidRPr="00F44FA4" w:rsidRDefault="006C63D5" w:rsidP="004167E8">
            <w:pPr>
              <w:jc w:val="center"/>
              <w:rPr>
                <w:rFonts w:cs="Arial"/>
                <w:b/>
                <w:bCs/>
                <w:color w:val="000000"/>
                <w:szCs w:val="20"/>
                <w:lang w:eastAsia="sl-SI"/>
              </w:rPr>
            </w:pPr>
            <w:r w:rsidRPr="00F44FA4">
              <w:rPr>
                <w:rFonts w:cs="Arial"/>
                <w:b/>
                <w:bCs/>
                <w:color w:val="000000"/>
                <w:szCs w:val="20"/>
                <w:lang w:eastAsia="sl-SI"/>
              </w:rPr>
              <w:t>2017</w:t>
            </w:r>
          </w:p>
        </w:tc>
      </w:tr>
      <w:tr w:rsidR="006C63D5" w:rsidRPr="00F44FA4" w14:paraId="5216C212" w14:textId="77777777" w:rsidTr="004167E8">
        <w:trPr>
          <w:trHeight w:val="780"/>
        </w:trPr>
        <w:tc>
          <w:tcPr>
            <w:tcW w:w="23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29A60C4" w14:textId="77777777" w:rsidR="006C63D5" w:rsidRPr="00F44FA4" w:rsidRDefault="006C63D5" w:rsidP="004167E8">
            <w:pPr>
              <w:rPr>
                <w:rFonts w:cs="Arial"/>
                <w:color w:val="000000"/>
                <w:szCs w:val="20"/>
                <w:lang w:eastAsia="sl-SI"/>
              </w:rPr>
            </w:pPr>
            <w:r w:rsidRPr="00F44FA4">
              <w:rPr>
                <w:rFonts w:cs="Arial"/>
                <w:color w:val="000000"/>
                <w:szCs w:val="20"/>
                <w:lang w:eastAsia="sl-SI"/>
              </w:rPr>
              <w:t> </w:t>
            </w:r>
          </w:p>
        </w:tc>
        <w:tc>
          <w:tcPr>
            <w:tcW w:w="3013" w:type="pct"/>
            <w:tcBorders>
              <w:top w:val="nil"/>
              <w:left w:val="nil"/>
              <w:bottom w:val="single" w:sz="4" w:space="0" w:color="auto"/>
              <w:right w:val="single" w:sz="4" w:space="0" w:color="auto"/>
            </w:tcBorders>
            <w:shd w:val="clear" w:color="000000" w:fill="FFFFFF"/>
            <w:vAlign w:val="bottom"/>
            <w:hideMark/>
          </w:tcPr>
          <w:p w14:paraId="777EF227" w14:textId="77777777" w:rsidR="006C63D5" w:rsidRPr="00F44FA4" w:rsidRDefault="006C63D5" w:rsidP="004167E8">
            <w:pPr>
              <w:rPr>
                <w:rFonts w:cs="Arial"/>
                <w:color w:val="000000"/>
                <w:szCs w:val="20"/>
                <w:lang w:eastAsia="sl-SI"/>
              </w:rPr>
            </w:pPr>
            <w:r w:rsidRPr="00F44FA4">
              <w:rPr>
                <w:rFonts w:cs="Arial"/>
                <w:color w:val="000000"/>
                <w:szCs w:val="20"/>
                <w:lang w:eastAsia="sl-SI"/>
              </w:rPr>
              <w:t xml:space="preserve">Območja ekstenzivne paše </w:t>
            </w:r>
            <w:r w:rsidRPr="00F44FA4">
              <w:rPr>
                <w:rFonts w:cs="Arial"/>
                <w:color w:val="000000"/>
                <w:szCs w:val="20"/>
                <w:lang w:eastAsia="sl-SI"/>
              </w:rPr>
              <w:br/>
              <w:t>KZU, ki se uporabljajo za ekstenzivno pašo (%)</w:t>
            </w:r>
          </w:p>
        </w:tc>
        <w:tc>
          <w:tcPr>
            <w:tcW w:w="442" w:type="pct"/>
            <w:tcBorders>
              <w:top w:val="nil"/>
              <w:left w:val="nil"/>
              <w:bottom w:val="single" w:sz="4" w:space="0" w:color="auto"/>
              <w:right w:val="single" w:sz="4" w:space="0" w:color="auto"/>
            </w:tcBorders>
            <w:shd w:val="clear" w:color="auto" w:fill="auto"/>
            <w:noWrap/>
            <w:vAlign w:val="center"/>
            <w:hideMark/>
          </w:tcPr>
          <w:p w14:paraId="5C1CAFCA"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25,13</w:t>
            </w:r>
          </w:p>
        </w:tc>
        <w:tc>
          <w:tcPr>
            <w:tcW w:w="442" w:type="pct"/>
            <w:tcBorders>
              <w:top w:val="nil"/>
              <w:left w:val="nil"/>
              <w:bottom w:val="single" w:sz="4" w:space="0" w:color="auto"/>
              <w:right w:val="single" w:sz="4" w:space="0" w:color="auto"/>
            </w:tcBorders>
            <w:shd w:val="clear" w:color="auto" w:fill="auto"/>
            <w:noWrap/>
            <w:vAlign w:val="center"/>
            <w:hideMark/>
          </w:tcPr>
          <w:p w14:paraId="5390BF42"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26,10</w:t>
            </w:r>
          </w:p>
        </w:tc>
        <w:tc>
          <w:tcPr>
            <w:tcW w:w="434" w:type="pct"/>
            <w:tcBorders>
              <w:top w:val="nil"/>
              <w:left w:val="nil"/>
              <w:bottom w:val="single" w:sz="4" w:space="0" w:color="auto"/>
              <w:right w:val="single" w:sz="4" w:space="0" w:color="auto"/>
            </w:tcBorders>
            <w:shd w:val="clear" w:color="auto" w:fill="auto"/>
            <w:noWrap/>
            <w:vAlign w:val="center"/>
            <w:hideMark/>
          </w:tcPr>
          <w:p w14:paraId="73062FE0"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24,93</w:t>
            </w:r>
          </w:p>
        </w:tc>
        <w:tc>
          <w:tcPr>
            <w:tcW w:w="434" w:type="pct"/>
            <w:tcBorders>
              <w:top w:val="nil"/>
              <w:left w:val="nil"/>
              <w:bottom w:val="single" w:sz="4" w:space="0" w:color="auto"/>
              <w:right w:val="single" w:sz="4" w:space="0" w:color="auto"/>
            </w:tcBorders>
            <w:shd w:val="clear" w:color="auto" w:fill="auto"/>
            <w:noWrap/>
            <w:vAlign w:val="center"/>
            <w:hideMark/>
          </w:tcPr>
          <w:p w14:paraId="4F67899A"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w:t>
            </w:r>
          </w:p>
        </w:tc>
      </w:tr>
      <w:tr w:rsidR="006C63D5" w:rsidRPr="00F44FA4" w14:paraId="7CF6AB34" w14:textId="77777777" w:rsidTr="004167E8">
        <w:trPr>
          <w:trHeight w:val="735"/>
        </w:trPr>
        <w:tc>
          <w:tcPr>
            <w:tcW w:w="235" w:type="pct"/>
            <w:vMerge/>
            <w:tcBorders>
              <w:top w:val="nil"/>
              <w:left w:val="single" w:sz="4" w:space="0" w:color="auto"/>
              <w:bottom w:val="single" w:sz="4" w:space="0" w:color="auto"/>
              <w:right w:val="single" w:sz="4" w:space="0" w:color="auto"/>
            </w:tcBorders>
            <w:vAlign w:val="center"/>
            <w:hideMark/>
          </w:tcPr>
          <w:p w14:paraId="4E20004F" w14:textId="77777777" w:rsidR="006C63D5" w:rsidRPr="00F44FA4" w:rsidRDefault="006C63D5" w:rsidP="004167E8">
            <w:pPr>
              <w:rPr>
                <w:rFonts w:cs="Arial"/>
                <w:color w:val="000000"/>
                <w:szCs w:val="20"/>
                <w:lang w:eastAsia="sl-SI"/>
              </w:rPr>
            </w:pPr>
          </w:p>
        </w:tc>
        <w:tc>
          <w:tcPr>
            <w:tcW w:w="3013" w:type="pct"/>
            <w:tcBorders>
              <w:top w:val="nil"/>
              <w:left w:val="nil"/>
              <w:bottom w:val="single" w:sz="4" w:space="0" w:color="auto"/>
              <w:right w:val="single" w:sz="4" w:space="0" w:color="auto"/>
            </w:tcBorders>
            <w:shd w:val="clear" w:color="000000" w:fill="FFFFFF"/>
            <w:vAlign w:val="bottom"/>
            <w:hideMark/>
          </w:tcPr>
          <w:p w14:paraId="3CB8B363" w14:textId="77777777" w:rsidR="006C63D5" w:rsidRPr="00F44FA4" w:rsidRDefault="006C63D5" w:rsidP="004167E8">
            <w:pPr>
              <w:rPr>
                <w:rFonts w:cs="Arial"/>
                <w:color w:val="000000"/>
                <w:szCs w:val="20"/>
                <w:lang w:eastAsia="sl-SI"/>
              </w:rPr>
            </w:pPr>
            <w:r w:rsidRPr="00F44FA4">
              <w:rPr>
                <w:rFonts w:cs="Arial"/>
                <w:color w:val="000000"/>
                <w:szCs w:val="20"/>
                <w:lang w:eastAsia="sl-SI"/>
              </w:rPr>
              <w:t>Intenzivnost kmetijskega gospodarstva</w:t>
            </w:r>
            <w:r w:rsidRPr="00F44FA4">
              <w:rPr>
                <w:rFonts w:cs="Arial"/>
                <w:color w:val="000000"/>
                <w:szCs w:val="20"/>
                <w:lang w:eastAsia="sl-SI"/>
              </w:rPr>
              <w:br/>
              <w:t>KZU, ki jih upravljajo kmetije z visoko vhodno intenzivnostjo na hektar (%)</w:t>
            </w:r>
          </w:p>
        </w:tc>
        <w:tc>
          <w:tcPr>
            <w:tcW w:w="442" w:type="pct"/>
            <w:tcBorders>
              <w:top w:val="nil"/>
              <w:left w:val="nil"/>
              <w:bottom w:val="single" w:sz="4" w:space="0" w:color="auto"/>
              <w:right w:val="single" w:sz="4" w:space="0" w:color="auto"/>
            </w:tcBorders>
            <w:shd w:val="clear" w:color="auto" w:fill="auto"/>
            <w:noWrap/>
            <w:vAlign w:val="center"/>
            <w:hideMark/>
          </w:tcPr>
          <w:p w14:paraId="14C6AAE5"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33,10</w:t>
            </w:r>
          </w:p>
        </w:tc>
        <w:tc>
          <w:tcPr>
            <w:tcW w:w="442" w:type="pct"/>
            <w:tcBorders>
              <w:top w:val="nil"/>
              <w:left w:val="nil"/>
              <w:bottom w:val="single" w:sz="4" w:space="0" w:color="auto"/>
              <w:right w:val="single" w:sz="4" w:space="0" w:color="auto"/>
            </w:tcBorders>
            <w:shd w:val="clear" w:color="auto" w:fill="auto"/>
            <w:noWrap/>
            <w:vAlign w:val="center"/>
            <w:hideMark/>
          </w:tcPr>
          <w:p w14:paraId="2496C313"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32,50</w:t>
            </w:r>
          </w:p>
        </w:tc>
        <w:tc>
          <w:tcPr>
            <w:tcW w:w="434" w:type="pct"/>
            <w:tcBorders>
              <w:top w:val="nil"/>
              <w:left w:val="nil"/>
              <w:bottom w:val="single" w:sz="4" w:space="0" w:color="auto"/>
              <w:right w:val="single" w:sz="4" w:space="0" w:color="auto"/>
            </w:tcBorders>
            <w:shd w:val="clear" w:color="auto" w:fill="auto"/>
            <w:noWrap/>
            <w:vAlign w:val="center"/>
            <w:hideMark/>
          </w:tcPr>
          <w:p w14:paraId="46C66600"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29,20</w:t>
            </w:r>
          </w:p>
        </w:tc>
        <w:tc>
          <w:tcPr>
            <w:tcW w:w="434" w:type="pct"/>
            <w:tcBorders>
              <w:top w:val="nil"/>
              <w:left w:val="nil"/>
              <w:bottom w:val="single" w:sz="4" w:space="0" w:color="auto"/>
              <w:right w:val="single" w:sz="4" w:space="0" w:color="auto"/>
            </w:tcBorders>
            <w:shd w:val="clear" w:color="auto" w:fill="auto"/>
            <w:noWrap/>
            <w:vAlign w:val="center"/>
            <w:hideMark/>
          </w:tcPr>
          <w:p w14:paraId="4443ED62"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29,80</w:t>
            </w:r>
          </w:p>
        </w:tc>
      </w:tr>
      <w:tr w:rsidR="006C63D5" w:rsidRPr="00F44FA4" w14:paraId="1E5CAA96" w14:textId="77777777" w:rsidTr="004167E8">
        <w:trPr>
          <w:trHeight w:val="315"/>
        </w:trPr>
        <w:tc>
          <w:tcPr>
            <w:tcW w:w="235" w:type="pct"/>
            <w:vMerge/>
            <w:tcBorders>
              <w:top w:val="nil"/>
              <w:left w:val="single" w:sz="4" w:space="0" w:color="auto"/>
              <w:bottom w:val="single" w:sz="4" w:space="0" w:color="auto"/>
              <w:right w:val="single" w:sz="4" w:space="0" w:color="auto"/>
            </w:tcBorders>
            <w:vAlign w:val="center"/>
            <w:hideMark/>
          </w:tcPr>
          <w:p w14:paraId="1E12EB98" w14:textId="77777777" w:rsidR="006C63D5" w:rsidRPr="00F44FA4" w:rsidRDefault="006C63D5" w:rsidP="004167E8">
            <w:pPr>
              <w:rPr>
                <w:rFonts w:cs="Arial"/>
                <w:color w:val="000000"/>
                <w:szCs w:val="20"/>
                <w:lang w:eastAsia="sl-SI"/>
              </w:rPr>
            </w:pPr>
          </w:p>
        </w:tc>
        <w:tc>
          <w:tcPr>
            <w:tcW w:w="3013" w:type="pct"/>
            <w:tcBorders>
              <w:top w:val="nil"/>
              <w:left w:val="nil"/>
              <w:bottom w:val="single" w:sz="4" w:space="0" w:color="auto"/>
              <w:right w:val="single" w:sz="4" w:space="0" w:color="auto"/>
            </w:tcBorders>
            <w:shd w:val="clear" w:color="000000" w:fill="FFFFFF"/>
            <w:vAlign w:val="bottom"/>
            <w:hideMark/>
          </w:tcPr>
          <w:p w14:paraId="56E4E9E1" w14:textId="77777777" w:rsidR="006C63D5" w:rsidRPr="00F44FA4" w:rsidRDefault="006C63D5" w:rsidP="004167E8">
            <w:pPr>
              <w:rPr>
                <w:rFonts w:cs="Arial"/>
                <w:color w:val="000000"/>
                <w:szCs w:val="20"/>
                <w:lang w:eastAsia="sl-SI"/>
              </w:rPr>
            </w:pPr>
            <w:r w:rsidRPr="00F44FA4">
              <w:rPr>
                <w:rFonts w:cs="Arial"/>
                <w:color w:val="000000"/>
                <w:szCs w:val="20"/>
                <w:lang w:eastAsia="sl-SI"/>
              </w:rPr>
              <w:t>KZU, ki jih upravljajo kmetije z nizko vhodno intenzivnostjo na hektar (%)</w:t>
            </w:r>
          </w:p>
        </w:tc>
        <w:tc>
          <w:tcPr>
            <w:tcW w:w="442" w:type="pct"/>
            <w:tcBorders>
              <w:top w:val="nil"/>
              <w:left w:val="nil"/>
              <w:bottom w:val="single" w:sz="4" w:space="0" w:color="auto"/>
              <w:right w:val="single" w:sz="4" w:space="0" w:color="auto"/>
            </w:tcBorders>
            <w:shd w:val="clear" w:color="auto" w:fill="auto"/>
            <w:noWrap/>
            <w:vAlign w:val="center"/>
            <w:hideMark/>
          </w:tcPr>
          <w:p w14:paraId="26ED3767"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33,30</w:t>
            </w:r>
          </w:p>
        </w:tc>
        <w:tc>
          <w:tcPr>
            <w:tcW w:w="442" w:type="pct"/>
            <w:tcBorders>
              <w:top w:val="nil"/>
              <w:left w:val="nil"/>
              <w:bottom w:val="single" w:sz="4" w:space="0" w:color="auto"/>
              <w:right w:val="single" w:sz="4" w:space="0" w:color="auto"/>
            </w:tcBorders>
            <w:shd w:val="clear" w:color="auto" w:fill="auto"/>
            <w:noWrap/>
            <w:vAlign w:val="center"/>
            <w:hideMark/>
          </w:tcPr>
          <w:p w14:paraId="75733C03"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29,40</w:t>
            </w:r>
          </w:p>
        </w:tc>
        <w:tc>
          <w:tcPr>
            <w:tcW w:w="434" w:type="pct"/>
            <w:tcBorders>
              <w:top w:val="nil"/>
              <w:left w:val="nil"/>
              <w:bottom w:val="single" w:sz="4" w:space="0" w:color="auto"/>
              <w:right w:val="single" w:sz="4" w:space="0" w:color="auto"/>
            </w:tcBorders>
            <w:shd w:val="clear" w:color="auto" w:fill="auto"/>
            <w:noWrap/>
            <w:vAlign w:val="center"/>
            <w:hideMark/>
          </w:tcPr>
          <w:p w14:paraId="60D237DF"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36,70</w:t>
            </w:r>
          </w:p>
        </w:tc>
        <w:tc>
          <w:tcPr>
            <w:tcW w:w="434" w:type="pct"/>
            <w:tcBorders>
              <w:top w:val="nil"/>
              <w:left w:val="nil"/>
              <w:bottom w:val="single" w:sz="4" w:space="0" w:color="auto"/>
              <w:right w:val="single" w:sz="4" w:space="0" w:color="auto"/>
            </w:tcBorders>
            <w:shd w:val="clear" w:color="auto" w:fill="auto"/>
            <w:noWrap/>
            <w:vAlign w:val="center"/>
            <w:hideMark/>
          </w:tcPr>
          <w:p w14:paraId="7BB65EB8"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35,50</w:t>
            </w:r>
          </w:p>
        </w:tc>
      </w:tr>
      <w:tr w:rsidR="006C63D5" w:rsidRPr="00F44FA4" w14:paraId="45FE318A" w14:textId="77777777" w:rsidTr="004167E8">
        <w:trPr>
          <w:trHeight w:val="405"/>
        </w:trPr>
        <w:tc>
          <w:tcPr>
            <w:tcW w:w="235" w:type="pct"/>
            <w:vMerge/>
            <w:tcBorders>
              <w:top w:val="nil"/>
              <w:left w:val="single" w:sz="4" w:space="0" w:color="auto"/>
              <w:bottom w:val="single" w:sz="4" w:space="0" w:color="auto"/>
              <w:right w:val="single" w:sz="4" w:space="0" w:color="auto"/>
            </w:tcBorders>
            <w:vAlign w:val="center"/>
            <w:hideMark/>
          </w:tcPr>
          <w:p w14:paraId="64090C24" w14:textId="77777777" w:rsidR="006C63D5" w:rsidRPr="00F44FA4" w:rsidRDefault="006C63D5" w:rsidP="004167E8">
            <w:pPr>
              <w:rPr>
                <w:rFonts w:cs="Arial"/>
                <w:color w:val="000000"/>
                <w:szCs w:val="20"/>
                <w:lang w:eastAsia="sl-SI"/>
              </w:rPr>
            </w:pPr>
          </w:p>
        </w:tc>
        <w:tc>
          <w:tcPr>
            <w:tcW w:w="3013" w:type="pct"/>
            <w:tcBorders>
              <w:top w:val="nil"/>
              <w:left w:val="nil"/>
              <w:bottom w:val="single" w:sz="4" w:space="0" w:color="auto"/>
              <w:right w:val="single" w:sz="4" w:space="0" w:color="auto"/>
            </w:tcBorders>
            <w:shd w:val="clear" w:color="000000" w:fill="FFFFFF"/>
            <w:vAlign w:val="bottom"/>
            <w:hideMark/>
          </w:tcPr>
          <w:p w14:paraId="4A239E24" w14:textId="77777777" w:rsidR="006C63D5" w:rsidRPr="00F44FA4" w:rsidRDefault="006C63D5" w:rsidP="004167E8">
            <w:pPr>
              <w:rPr>
                <w:rFonts w:cs="Arial"/>
                <w:color w:val="000000"/>
                <w:szCs w:val="20"/>
                <w:lang w:eastAsia="sl-SI"/>
              </w:rPr>
            </w:pPr>
            <w:r w:rsidRPr="00F44FA4">
              <w:rPr>
                <w:rFonts w:cs="Arial"/>
                <w:color w:val="000000"/>
                <w:szCs w:val="20"/>
                <w:lang w:eastAsia="sl-SI"/>
              </w:rPr>
              <w:t>KZU, ki jih upravljajo kmetije s srednjo vhodno intenzivnostjo na hektar (%)</w:t>
            </w:r>
          </w:p>
        </w:tc>
        <w:tc>
          <w:tcPr>
            <w:tcW w:w="442" w:type="pct"/>
            <w:tcBorders>
              <w:top w:val="nil"/>
              <w:left w:val="nil"/>
              <w:bottom w:val="single" w:sz="4" w:space="0" w:color="auto"/>
              <w:right w:val="single" w:sz="4" w:space="0" w:color="auto"/>
            </w:tcBorders>
            <w:shd w:val="clear" w:color="auto" w:fill="auto"/>
            <w:noWrap/>
            <w:vAlign w:val="center"/>
            <w:hideMark/>
          </w:tcPr>
          <w:p w14:paraId="5376957B"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33,60</w:t>
            </w:r>
          </w:p>
        </w:tc>
        <w:tc>
          <w:tcPr>
            <w:tcW w:w="442" w:type="pct"/>
            <w:tcBorders>
              <w:top w:val="nil"/>
              <w:left w:val="nil"/>
              <w:bottom w:val="single" w:sz="4" w:space="0" w:color="auto"/>
              <w:right w:val="single" w:sz="4" w:space="0" w:color="auto"/>
            </w:tcBorders>
            <w:shd w:val="clear" w:color="auto" w:fill="auto"/>
            <w:noWrap/>
            <w:vAlign w:val="center"/>
            <w:hideMark/>
          </w:tcPr>
          <w:p w14:paraId="075177B0"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38,10</w:t>
            </w:r>
          </w:p>
        </w:tc>
        <w:tc>
          <w:tcPr>
            <w:tcW w:w="434" w:type="pct"/>
            <w:tcBorders>
              <w:top w:val="nil"/>
              <w:left w:val="nil"/>
              <w:bottom w:val="single" w:sz="4" w:space="0" w:color="auto"/>
              <w:right w:val="single" w:sz="4" w:space="0" w:color="auto"/>
            </w:tcBorders>
            <w:shd w:val="clear" w:color="auto" w:fill="auto"/>
            <w:noWrap/>
            <w:vAlign w:val="center"/>
            <w:hideMark/>
          </w:tcPr>
          <w:p w14:paraId="5B6952E8"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34,10</w:t>
            </w:r>
          </w:p>
        </w:tc>
        <w:tc>
          <w:tcPr>
            <w:tcW w:w="434" w:type="pct"/>
            <w:tcBorders>
              <w:top w:val="nil"/>
              <w:left w:val="nil"/>
              <w:bottom w:val="single" w:sz="4" w:space="0" w:color="auto"/>
              <w:right w:val="single" w:sz="4" w:space="0" w:color="auto"/>
            </w:tcBorders>
            <w:shd w:val="clear" w:color="auto" w:fill="auto"/>
            <w:noWrap/>
            <w:vAlign w:val="center"/>
            <w:hideMark/>
          </w:tcPr>
          <w:p w14:paraId="729E826B"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34,70</w:t>
            </w:r>
          </w:p>
        </w:tc>
      </w:tr>
    </w:tbl>
    <w:p w14:paraId="43BF5FE9" w14:textId="77777777" w:rsidR="006C63D5" w:rsidRPr="00116075" w:rsidRDefault="006C63D5" w:rsidP="006C63D5">
      <w:pPr>
        <w:spacing w:before="120" w:line="264" w:lineRule="auto"/>
        <w:rPr>
          <w:rFonts w:cs="Arial"/>
        </w:rPr>
      </w:pPr>
      <w:r w:rsidRPr="00116075">
        <w:rPr>
          <w:rFonts w:cs="Arial"/>
          <w:sz w:val="16"/>
        </w:rPr>
        <w:t>Vir: DG AGRI – EUROSTAT</w:t>
      </w:r>
    </w:p>
    <w:p w14:paraId="6FB97D69" w14:textId="77777777" w:rsidR="006C63D5" w:rsidRPr="003344A4" w:rsidRDefault="006C63D5" w:rsidP="00AD76B1">
      <w:pPr>
        <w:spacing w:before="120" w:line="360" w:lineRule="auto"/>
        <w:jc w:val="both"/>
        <w:rPr>
          <w:rFonts w:cs="Arial"/>
        </w:rPr>
      </w:pPr>
      <w:r w:rsidRPr="003344A4">
        <w:rPr>
          <w:rFonts w:cs="Arial"/>
        </w:rPr>
        <w:t xml:space="preserve">Na nižjo stopnjo intenzivnosti kmetovanja v Sloveniji glede na EU povprečje pomembno vpliva izrazito visok delež območij z omejenimi možnostmi za kmetijsko dejavnost, kar izrazito zmanjšuje konkurenčnost slovenskega kmetijstva, omejuje izbor možnih proizvodnih usmeritev in povišuje stroške proizvodnje. </w:t>
      </w:r>
    </w:p>
    <w:p w14:paraId="2613B102" w14:textId="38A9626F" w:rsidR="006C63D5" w:rsidRPr="008E4655" w:rsidRDefault="006C63D5" w:rsidP="00AD76B1">
      <w:pPr>
        <w:spacing w:before="120" w:line="360" w:lineRule="auto"/>
        <w:jc w:val="both"/>
        <w:rPr>
          <w:rFonts w:cs="Arial"/>
        </w:rPr>
      </w:pPr>
      <w:r w:rsidRPr="003344A4">
        <w:rPr>
          <w:rFonts w:cs="Arial"/>
        </w:rPr>
        <w:t xml:space="preserve">Slovenija ima med vsemi članicami EU-28 enega najvišjih deležev kmetijskih zemljišč v uporabi na območjih z omejenimi možnostmi za kmetijsko dejavnost (OMD). Na OMD se nahaja več kot 80 % vseh KMG v Sloveniji. Gorsko območje v Sloveniji zavzema kar 72,6 % površine države, v njem pa se nahaja kar 54 % vseh kmetijskih zemljišč v državi. Območja, ki imajo pomembne naravne omejitve, prestavljajo v Sloveniji 7,2 % površine države, kjer se nahaja 7,9 % kmetijskih zemljišč. Območja s posebnimi omejitvami prestavljajo v Sloveniji 7,1 % površine države, kjer se nahaja 12,5 % kmetijskih zemljišč. Leta 2019 je skupna površina </w:t>
      </w:r>
      <w:r w:rsidRPr="00AD376E">
        <w:rPr>
          <w:rFonts w:cs="Arial"/>
        </w:rPr>
        <w:t>GERK</w:t>
      </w:r>
      <w:r w:rsidRPr="003344A4">
        <w:rPr>
          <w:rFonts w:cs="Arial"/>
        </w:rPr>
        <w:t xml:space="preserve"> </w:t>
      </w:r>
      <w:r w:rsidR="00AD376E">
        <w:rPr>
          <w:rFonts w:cs="Arial"/>
        </w:rPr>
        <w:t xml:space="preserve">(grafična enota rabe kmetijskih površin) </w:t>
      </w:r>
      <w:r w:rsidR="008E4655">
        <w:rPr>
          <w:rFonts w:cs="Arial"/>
        </w:rPr>
        <w:t xml:space="preserve">KZU na OMD znašala 363.318 ha. </w:t>
      </w:r>
    </w:p>
    <w:p w14:paraId="5C7A639B" w14:textId="16429543" w:rsidR="006C63D5" w:rsidRPr="003344A4" w:rsidRDefault="00C9160B" w:rsidP="00F42F8F">
      <w:pPr>
        <w:pStyle w:val="SCPreglednica"/>
        <w:keepNext/>
        <w:keepLines/>
        <w:rPr>
          <w:rFonts w:eastAsia="Arial"/>
          <w:sz w:val="16"/>
        </w:rPr>
      </w:pPr>
      <w:bookmarkStart w:id="63" w:name="_Toc55913731"/>
      <w:r>
        <w:lastRenderedPageBreak/>
        <w:t>Tabela</w:t>
      </w:r>
      <w:r w:rsidR="006C63D5" w:rsidRPr="003D6FF8">
        <w:t xml:space="preserve"> </w:t>
      </w:r>
      <w:r w:rsidR="0001708D">
        <w:rPr>
          <w:noProof/>
        </w:rPr>
        <w:fldChar w:fldCharType="begin"/>
      </w:r>
      <w:r w:rsidR="0001708D">
        <w:rPr>
          <w:noProof/>
        </w:rPr>
        <w:instrText xml:space="preserve"> SEQ Tabela \* ARABIC </w:instrText>
      </w:r>
      <w:r w:rsidR="0001708D">
        <w:rPr>
          <w:noProof/>
        </w:rPr>
        <w:fldChar w:fldCharType="separate"/>
      </w:r>
      <w:r w:rsidR="00DF0D48">
        <w:rPr>
          <w:noProof/>
        </w:rPr>
        <w:t>20</w:t>
      </w:r>
      <w:r w:rsidR="0001708D">
        <w:rPr>
          <w:noProof/>
        </w:rPr>
        <w:fldChar w:fldCharType="end"/>
      </w:r>
      <w:r w:rsidR="006C63D5" w:rsidRPr="003D6FF8">
        <w:t xml:space="preserve">: </w:t>
      </w:r>
      <w:r w:rsidR="006C63D5" w:rsidRPr="005F6A3A">
        <w:t>Delež GERK KZU po posameznih območjih OMD</w:t>
      </w:r>
      <w:bookmarkEnd w:id="63"/>
      <w:r w:rsidR="006C63D5" w:rsidRPr="005F6A3A">
        <w:t xml:space="preserve"> </w:t>
      </w:r>
    </w:p>
    <w:tbl>
      <w:tblPr>
        <w:tblStyle w:val="Tabelamrea3"/>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39"/>
        <w:gridCol w:w="7109"/>
        <w:gridCol w:w="996"/>
      </w:tblGrid>
      <w:tr w:rsidR="006C63D5" w:rsidRPr="00F44FA4" w14:paraId="3398CD7B" w14:textId="77777777" w:rsidTr="008E4655">
        <w:tc>
          <w:tcPr>
            <w:tcW w:w="566" w:type="dxa"/>
            <w:shd w:val="clear" w:color="auto" w:fill="92D050"/>
            <w:vAlign w:val="bottom"/>
          </w:tcPr>
          <w:p w14:paraId="5E4C0EE4" w14:textId="77777777" w:rsidR="006C63D5" w:rsidRPr="00F44FA4" w:rsidRDefault="006C63D5" w:rsidP="00F42F8F">
            <w:pPr>
              <w:keepNext/>
              <w:keepLines/>
              <w:jc w:val="center"/>
              <w:rPr>
                <w:rFonts w:ascii="Arial" w:hAnsi="Arial" w:cs="Arial"/>
                <w:color w:val="000000"/>
                <w:lang w:eastAsia="sl-SI"/>
              </w:rPr>
            </w:pPr>
            <w:r w:rsidRPr="00F44FA4">
              <w:rPr>
                <w:rFonts w:ascii="Arial" w:hAnsi="Arial" w:cs="Arial"/>
                <w:color w:val="000000"/>
                <w:lang w:eastAsia="sl-SI"/>
              </w:rPr>
              <w:t>C.20</w:t>
            </w:r>
          </w:p>
        </w:tc>
        <w:tc>
          <w:tcPr>
            <w:tcW w:w="7109" w:type="dxa"/>
            <w:shd w:val="clear" w:color="auto" w:fill="92D050"/>
          </w:tcPr>
          <w:p w14:paraId="26E43C03" w14:textId="77777777" w:rsidR="006C63D5" w:rsidRPr="00F44FA4" w:rsidRDefault="006C63D5" w:rsidP="00F42F8F">
            <w:pPr>
              <w:keepNext/>
              <w:keepLines/>
              <w:spacing w:before="120" w:line="264" w:lineRule="auto"/>
              <w:rPr>
                <w:rFonts w:ascii="Arial" w:eastAsia="Arial" w:hAnsi="Arial" w:cs="Arial"/>
                <w:lang w:eastAsia="en-US"/>
              </w:rPr>
            </w:pPr>
            <w:proofErr w:type="spellStart"/>
            <w:r w:rsidRPr="00F44FA4">
              <w:rPr>
                <w:rFonts w:ascii="Arial" w:eastAsia="Arial" w:hAnsi="Arial" w:cs="Arial"/>
                <w:lang w:eastAsia="en-US"/>
              </w:rPr>
              <w:t>Območja</w:t>
            </w:r>
            <w:proofErr w:type="spellEnd"/>
            <w:r w:rsidRPr="00F44FA4">
              <w:rPr>
                <w:rFonts w:ascii="Arial" w:eastAsia="Arial" w:hAnsi="Arial" w:cs="Arial"/>
                <w:lang w:eastAsia="en-US"/>
              </w:rPr>
              <w:t xml:space="preserve"> z </w:t>
            </w:r>
            <w:proofErr w:type="spellStart"/>
            <w:r w:rsidRPr="00F44FA4">
              <w:rPr>
                <w:rFonts w:ascii="Arial" w:eastAsia="Arial" w:hAnsi="Arial" w:cs="Arial"/>
                <w:lang w:eastAsia="en-US"/>
              </w:rPr>
              <w:t>naravnimi</w:t>
            </w:r>
            <w:proofErr w:type="spellEnd"/>
            <w:r w:rsidRPr="00F44FA4">
              <w:rPr>
                <w:rFonts w:ascii="Arial" w:eastAsia="Arial" w:hAnsi="Arial" w:cs="Arial"/>
                <w:lang w:eastAsia="en-US"/>
              </w:rPr>
              <w:t xml:space="preserve"> in </w:t>
            </w:r>
            <w:proofErr w:type="spellStart"/>
            <w:r w:rsidRPr="00F44FA4">
              <w:rPr>
                <w:rFonts w:ascii="Arial" w:eastAsia="Arial" w:hAnsi="Arial" w:cs="Arial"/>
                <w:lang w:eastAsia="en-US"/>
              </w:rPr>
              <w:t>drugimi</w:t>
            </w:r>
            <w:proofErr w:type="spellEnd"/>
            <w:r w:rsidRPr="00F44FA4">
              <w:rPr>
                <w:rFonts w:ascii="Arial" w:eastAsia="Arial" w:hAnsi="Arial" w:cs="Arial"/>
                <w:lang w:eastAsia="en-US"/>
              </w:rPr>
              <w:t xml:space="preserve"> </w:t>
            </w:r>
            <w:proofErr w:type="spellStart"/>
            <w:r w:rsidRPr="00F44FA4">
              <w:rPr>
                <w:rFonts w:ascii="Arial" w:eastAsia="Arial" w:hAnsi="Arial" w:cs="Arial"/>
                <w:lang w:eastAsia="en-US"/>
              </w:rPr>
              <w:t>posebnimi</w:t>
            </w:r>
            <w:proofErr w:type="spellEnd"/>
            <w:r w:rsidRPr="00F44FA4">
              <w:rPr>
                <w:rFonts w:ascii="Arial" w:eastAsia="Arial" w:hAnsi="Arial" w:cs="Arial"/>
                <w:lang w:eastAsia="en-US"/>
              </w:rPr>
              <w:t xml:space="preserve"> </w:t>
            </w:r>
            <w:proofErr w:type="spellStart"/>
            <w:r w:rsidRPr="00F44FA4">
              <w:rPr>
                <w:rFonts w:ascii="Arial" w:eastAsia="Arial" w:hAnsi="Arial" w:cs="Arial"/>
                <w:lang w:eastAsia="en-US"/>
              </w:rPr>
              <w:t>omejitvami</w:t>
            </w:r>
            <w:proofErr w:type="spellEnd"/>
            <w:r w:rsidRPr="00F44FA4">
              <w:rPr>
                <w:rFonts w:ascii="Arial" w:eastAsia="Arial" w:hAnsi="Arial" w:cs="Arial"/>
                <w:lang w:eastAsia="en-US"/>
              </w:rPr>
              <w:t xml:space="preserve"> (OMD)</w:t>
            </w:r>
          </w:p>
        </w:tc>
        <w:tc>
          <w:tcPr>
            <w:tcW w:w="996" w:type="dxa"/>
            <w:shd w:val="clear" w:color="auto" w:fill="92D050"/>
          </w:tcPr>
          <w:p w14:paraId="1CDF0A3F" w14:textId="77777777" w:rsidR="006C63D5" w:rsidRPr="00F44FA4" w:rsidRDefault="006C63D5" w:rsidP="00F42F8F">
            <w:pPr>
              <w:keepNext/>
              <w:keepLines/>
              <w:spacing w:before="120" w:line="264" w:lineRule="auto"/>
              <w:jc w:val="center"/>
              <w:rPr>
                <w:rFonts w:ascii="Arial" w:eastAsia="Arial" w:hAnsi="Arial" w:cs="Arial"/>
                <w:lang w:eastAsia="en-US"/>
              </w:rPr>
            </w:pPr>
            <w:r w:rsidRPr="00F44FA4">
              <w:rPr>
                <w:rFonts w:ascii="Arial" w:eastAsia="Arial" w:hAnsi="Arial" w:cs="Arial"/>
                <w:lang w:eastAsia="en-US"/>
              </w:rPr>
              <w:t>2019</w:t>
            </w:r>
          </w:p>
        </w:tc>
      </w:tr>
      <w:tr w:rsidR="006C63D5" w:rsidRPr="00F44FA4" w14:paraId="5FAD97AD" w14:textId="77777777" w:rsidTr="008E4655">
        <w:tc>
          <w:tcPr>
            <w:tcW w:w="566" w:type="dxa"/>
          </w:tcPr>
          <w:p w14:paraId="080FC32D" w14:textId="77777777" w:rsidR="006C63D5" w:rsidRPr="00F44FA4" w:rsidRDefault="006C63D5" w:rsidP="00F42F8F">
            <w:pPr>
              <w:keepNext/>
              <w:keepLines/>
              <w:spacing w:before="120" w:line="264" w:lineRule="auto"/>
              <w:rPr>
                <w:rFonts w:ascii="Arial" w:eastAsia="Arial" w:hAnsi="Arial" w:cs="Arial"/>
                <w:lang w:eastAsia="en-US"/>
              </w:rPr>
            </w:pPr>
          </w:p>
        </w:tc>
        <w:tc>
          <w:tcPr>
            <w:tcW w:w="7109" w:type="dxa"/>
          </w:tcPr>
          <w:p w14:paraId="5FBF4081" w14:textId="77777777" w:rsidR="006C63D5" w:rsidRPr="00F44FA4" w:rsidRDefault="006C63D5" w:rsidP="00F42F8F">
            <w:pPr>
              <w:keepNext/>
              <w:keepLines/>
              <w:spacing w:before="120" w:line="264" w:lineRule="auto"/>
              <w:rPr>
                <w:rFonts w:ascii="Arial" w:eastAsia="Arial" w:hAnsi="Arial" w:cs="Arial"/>
                <w:lang w:eastAsia="en-US"/>
              </w:rPr>
            </w:pPr>
            <w:proofErr w:type="spellStart"/>
            <w:r w:rsidRPr="00F44FA4">
              <w:rPr>
                <w:rFonts w:ascii="Arial" w:eastAsia="Arial" w:hAnsi="Arial" w:cs="Arial"/>
                <w:lang w:eastAsia="en-US"/>
              </w:rPr>
              <w:t>delež</w:t>
            </w:r>
            <w:proofErr w:type="spellEnd"/>
            <w:r w:rsidRPr="00F44FA4">
              <w:rPr>
                <w:rFonts w:ascii="Arial" w:eastAsia="Arial" w:hAnsi="Arial" w:cs="Arial"/>
                <w:lang w:eastAsia="en-US"/>
              </w:rPr>
              <w:t xml:space="preserve"> KZU v </w:t>
            </w:r>
            <w:proofErr w:type="spellStart"/>
            <w:r w:rsidRPr="00F44FA4">
              <w:rPr>
                <w:rFonts w:ascii="Arial" w:eastAsia="Arial" w:hAnsi="Arial" w:cs="Arial"/>
                <w:lang w:eastAsia="en-US"/>
              </w:rPr>
              <w:t>gorskih</w:t>
            </w:r>
            <w:proofErr w:type="spellEnd"/>
            <w:r w:rsidRPr="00F44FA4">
              <w:rPr>
                <w:rFonts w:ascii="Arial" w:eastAsia="Arial" w:hAnsi="Arial" w:cs="Arial"/>
                <w:lang w:eastAsia="en-US"/>
              </w:rPr>
              <w:t xml:space="preserve"> </w:t>
            </w:r>
            <w:proofErr w:type="spellStart"/>
            <w:r w:rsidRPr="00F44FA4">
              <w:rPr>
                <w:rFonts w:ascii="Arial" w:eastAsia="Arial" w:hAnsi="Arial" w:cs="Arial"/>
                <w:lang w:eastAsia="en-US"/>
              </w:rPr>
              <w:t>območjih</w:t>
            </w:r>
            <w:proofErr w:type="spellEnd"/>
            <w:r w:rsidRPr="00F44FA4">
              <w:rPr>
                <w:rFonts w:ascii="Arial" w:eastAsia="Arial" w:hAnsi="Arial" w:cs="Arial"/>
                <w:lang w:eastAsia="en-US"/>
              </w:rPr>
              <w:t xml:space="preserve"> v </w:t>
            </w:r>
            <w:proofErr w:type="spellStart"/>
            <w:r w:rsidRPr="00F44FA4">
              <w:rPr>
                <w:rFonts w:ascii="Arial" w:eastAsia="Arial" w:hAnsi="Arial" w:cs="Arial"/>
                <w:lang w:eastAsia="en-US"/>
              </w:rPr>
              <w:t>skupnih</w:t>
            </w:r>
            <w:proofErr w:type="spellEnd"/>
            <w:r w:rsidRPr="00F44FA4">
              <w:rPr>
                <w:rFonts w:ascii="Arial" w:eastAsia="Arial" w:hAnsi="Arial" w:cs="Arial"/>
                <w:lang w:eastAsia="en-US"/>
              </w:rPr>
              <w:t xml:space="preserve"> KZU</w:t>
            </w:r>
          </w:p>
        </w:tc>
        <w:tc>
          <w:tcPr>
            <w:tcW w:w="996" w:type="dxa"/>
          </w:tcPr>
          <w:p w14:paraId="471A86AE" w14:textId="77777777" w:rsidR="006C63D5" w:rsidRPr="00F44FA4" w:rsidRDefault="006C63D5" w:rsidP="00F42F8F">
            <w:pPr>
              <w:keepNext/>
              <w:keepLines/>
              <w:spacing w:before="120" w:line="264" w:lineRule="auto"/>
              <w:jc w:val="right"/>
              <w:rPr>
                <w:rFonts w:ascii="Arial" w:eastAsia="Arial" w:hAnsi="Arial" w:cs="Arial"/>
                <w:lang w:eastAsia="en-US"/>
              </w:rPr>
            </w:pPr>
            <w:r w:rsidRPr="00F44FA4">
              <w:rPr>
                <w:rFonts w:ascii="Arial" w:eastAsia="Arial" w:hAnsi="Arial" w:cs="Arial"/>
                <w:lang w:eastAsia="en-US"/>
              </w:rPr>
              <w:t>54,2</w:t>
            </w:r>
          </w:p>
        </w:tc>
      </w:tr>
      <w:tr w:rsidR="006C63D5" w:rsidRPr="00F44FA4" w14:paraId="0C4C43B6" w14:textId="77777777" w:rsidTr="008E4655">
        <w:tc>
          <w:tcPr>
            <w:tcW w:w="566" w:type="dxa"/>
          </w:tcPr>
          <w:p w14:paraId="21A0B937" w14:textId="77777777" w:rsidR="006C63D5" w:rsidRPr="00F44FA4" w:rsidRDefault="006C63D5" w:rsidP="00F42F8F">
            <w:pPr>
              <w:keepNext/>
              <w:keepLines/>
              <w:spacing w:before="120" w:line="264" w:lineRule="auto"/>
              <w:rPr>
                <w:rFonts w:ascii="Arial" w:eastAsia="Arial" w:hAnsi="Arial" w:cs="Arial"/>
                <w:lang w:eastAsia="en-US"/>
              </w:rPr>
            </w:pPr>
          </w:p>
        </w:tc>
        <w:tc>
          <w:tcPr>
            <w:tcW w:w="7109" w:type="dxa"/>
          </w:tcPr>
          <w:p w14:paraId="2DEE4601" w14:textId="77777777" w:rsidR="006C63D5" w:rsidRPr="00F44FA4" w:rsidRDefault="006C63D5" w:rsidP="00F42F8F">
            <w:pPr>
              <w:keepNext/>
              <w:keepLines/>
              <w:spacing w:before="120" w:line="264" w:lineRule="auto"/>
              <w:rPr>
                <w:rFonts w:ascii="Arial" w:eastAsia="Arial" w:hAnsi="Arial" w:cs="Arial"/>
                <w:lang w:eastAsia="en-US"/>
              </w:rPr>
            </w:pPr>
            <w:proofErr w:type="spellStart"/>
            <w:r w:rsidRPr="00F44FA4">
              <w:rPr>
                <w:rFonts w:ascii="Arial" w:eastAsia="Arial" w:hAnsi="Arial" w:cs="Arial"/>
                <w:lang w:eastAsia="en-US"/>
              </w:rPr>
              <w:t>delež</w:t>
            </w:r>
            <w:proofErr w:type="spellEnd"/>
            <w:r w:rsidRPr="00F44FA4">
              <w:rPr>
                <w:rFonts w:ascii="Arial" w:eastAsia="Arial" w:hAnsi="Arial" w:cs="Arial"/>
                <w:lang w:eastAsia="en-US"/>
              </w:rPr>
              <w:t xml:space="preserve"> KZU v </w:t>
            </w:r>
            <w:proofErr w:type="spellStart"/>
            <w:proofErr w:type="gramStart"/>
            <w:r w:rsidRPr="00F44FA4">
              <w:rPr>
                <w:rFonts w:ascii="Arial" w:eastAsia="Arial" w:hAnsi="Arial" w:cs="Arial"/>
                <w:lang w:eastAsia="en-US"/>
              </w:rPr>
              <w:t>območjih</w:t>
            </w:r>
            <w:proofErr w:type="spellEnd"/>
            <w:r w:rsidRPr="00F44FA4">
              <w:rPr>
                <w:rFonts w:ascii="Arial" w:eastAsia="Arial" w:hAnsi="Arial" w:cs="Arial"/>
                <w:lang w:eastAsia="en-US"/>
              </w:rPr>
              <w:t xml:space="preserve"> ,</w:t>
            </w:r>
            <w:proofErr w:type="gramEnd"/>
            <w:r w:rsidRPr="00F44FA4">
              <w:rPr>
                <w:rFonts w:ascii="Arial" w:eastAsia="Arial" w:hAnsi="Arial" w:cs="Arial"/>
                <w:lang w:eastAsia="en-US"/>
              </w:rPr>
              <w:t xml:space="preserve"> </w:t>
            </w:r>
            <w:proofErr w:type="spellStart"/>
            <w:r w:rsidRPr="00F44FA4">
              <w:rPr>
                <w:rFonts w:ascii="Arial" w:eastAsia="Arial" w:hAnsi="Arial" w:cs="Arial"/>
                <w:lang w:eastAsia="en-US"/>
              </w:rPr>
              <w:t>ki</w:t>
            </w:r>
            <w:proofErr w:type="spellEnd"/>
            <w:r w:rsidRPr="00F44FA4">
              <w:rPr>
                <w:rFonts w:ascii="Arial" w:eastAsia="Arial" w:hAnsi="Arial" w:cs="Arial"/>
                <w:lang w:eastAsia="en-US"/>
              </w:rPr>
              <w:t xml:space="preserve"> </w:t>
            </w:r>
            <w:proofErr w:type="spellStart"/>
            <w:r w:rsidRPr="00F44FA4">
              <w:rPr>
                <w:rFonts w:ascii="Arial" w:eastAsia="Arial" w:hAnsi="Arial" w:cs="Arial"/>
                <w:lang w:eastAsia="en-US"/>
              </w:rPr>
              <w:t>niso</w:t>
            </w:r>
            <w:proofErr w:type="spellEnd"/>
            <w:r w:rsidRPr="00F44FA4">
              <w:rPr>
                <w:rFonts w:ascii="Arial" w:eastAsia="Arial" w:hAnsi="Arial" w:cs="Arial"/>
                <w:lang w:eastAsia="en-US"/>
              </w:rPr>
              <w:t xml:space="preserve"> </w:t>
            </w:r>
            <w:proofErr w:type="spellStart"/>
            <w:r w:rsidRPr="00F44FA4">
              <w:rPr>
                <w:rFonts w:ascii="Arial" w:eastAsia="Arial" w:hAnsi="Arial" w:cs="Arial"/>
                <w:lang w:eastAsia="en-US"/>
              </w:rPr>
              <w:t>gorska</w:t>
            </w:r>
            <w:proofErr w:type="spellEnd"/>
            <w:r w:rsidRPr="00F44FA4">
              <w:rPr>
                <w:rFonts w:ascii="Arial" w:eastAsia="Arial" w:hAnsi="Arial" w:cs="Arial"/>
                <w:lang w:eastAsia="en-US"/>
              </w:rPr>
              <w:t xml:space="preserve"> </w:t>
            </w:r>
            <w:proofErr w:type="spellStart"/>
            <w:r w:rsidRPr="00F44FA4">
              <w:rPr>
                <w:rFonts w:ascii="Arial" w:eastAsia="Arial" w:hAnsi="Arial" w:cs="Arial"/>
                <w:lang w:eastAsia="en-US"/>
              </w:rPr>
              <w:t>območja</w:t>
            </w:r>
            <w:proofErr w:type="spellEnd"/>
            <w:r w:rsidRPr="00F44FA4">
              <w:rPr>
                <w:rFonts w:ascii="Arial" w:eastAsia="Arial" w:hAnsi="Arial" w:cs="Arial"/>
                <w:lang w:eastAsia="en-US"/>
              </w:rPr>
              <w:t xml:space="preserve"> in </w:t>
            </w:r>
            <w:proofErr w:type="spellStart"/>
            <w:r w:rsidRPr="00F44FA4">
              <w:rPr>
                <w:rFonts w:ascii="Arial" w:eastAsia="Arial" w:hAnsi="Arial" w:cs="Arial"/>
                <w:lang w:eastAsia="en-US"/>
              </w:rPr>
              <w:t>imajo</w:t>
            </w:r>
            <w:proofErr w:type="spellEnd"/>
            <w:r w:rsidRPr="00F44FA4">
              <w:rPr>
                <w:rFonts w:ascii="Arial" w:eastAsia="Arial" w:hAnsi="Arial" w:cs="Arial"/>
                <w:lang w:eastAsia="en-US"/>
              </w:rPr>
              <w:t xml:space="preserve"> </w:t>
            </w:r>
            <w:proofErr w:type="spellStart"/>
            <w:r w:rsidRPr="00F44FA4">
              <w:rPr>
                <w:rFonts w:ascii="Arial" w:eastAsia="Arial" w:hAnsi="Arial" w:cs="Arial"/>
                <w:lang w:eastAsia="en-US"/>
              </w:rPr>
              <w:t>pomembne</w:t>
            </w:r>
            <w:proofErr w:type="spellEnd"/>
            <w:r w:rsidRPr="00F44FA4">
              <w:rPr>
                <w:rFonts w:ascii="Arial" w:eastAsia="Arial" w:hAnsi="Arial" w:cs="Arial"/>
                <w:lang w:eastAsia="en-US"/>
              </w:rPr>
              <w:t xml:space="preserve"> </w:t>
            </w:r>
            <w:proofErr w:type="spellStart"/>
            <w:r w:rsidRPr="00F44FA4">
              <w:rPr>
                <w:rFonts w:ascii="Arial" w:eastAsia="Arial" w:hAnsi="Arial" w:cs="Arial"/>
                <w:lang w:eastAsia="en-US"/>
              </w:rPr>
              <w:t>naravne</w:t>
            </w:r>
            <w:proofErr w:type="spellEnd"/>
            <w:r w:rsidRPr="00F44FA4">
              <w:rPr>
                <w:rFonts w:ascii="Arial" w:eastAsia="Arial" w:hAnsi="Arial" w:cs="Arial"/>
                <w:lang w:eastAsia="en-US"/>
              </w:rPr>
              <w:t xml:space="preserve"> </w:t>
            </w:r>
            <w:proofErr w:type="spellStart"/>
            <w:r w:rsidRPr="00F44FA4">
              <w:rPr>
                <w:rFonts w:ascii="Arial" w:eastAsia="Arial" w:hAnsi="Arial" w:cs="Arial"/>
                <w:lang w:eastAsia="en-US"/>
              </w:rPr>
              <w:t>omejitve</w:t>
            </w:r>
            <w:proofErr w:type="spellEnd"/>
            <w:r w:rsidRPr="00F44FA4">
              <w:rPr>
                <w:rFonts w:ascii="Arial" w:eastAsia="Arial" w:hAnsi="Arial" w:cs="Arial"/>
                <w:lang w:eastAsia="en-US"/>
              </w:rPr>
              <w:t xml:space="preserve"> v </w:t>
            </w:r>
            <w:proofErr w:type="spellStart"/>
            <w:r w:rsidRPr="00F44FA4">
              <w:rPr>
                <w:rFonts w:ascii="Arial" w:eastAsia="Arial" w:hAnsi="Arial" w:cs="Arial"/>
                <w:lang w:eastAsia="en-US"/>
              </w:rPr>
              <w:t>skupnih</w:t>
            </w:r>
            <w:proofErr w:type="spellEnd"/>
            <w:r w:rsidRPr="00F44FA4">
              <w:rPr>
                <w:rFonts w:ascii="Arial" w:eastAsia="Arial" w:hAnsi="Arial" w:cs="Arial"/>
                <w:lang w:eastAsia="en-US"/>
              </w:rPr>
              <w:t xml:space="preserve"> KZU</w:t>
            </w:r>
          </w:p>
        </w:tc>
        <w:tc>
          <w:tcPr>
            <w:tcW w:w="996" w:type="dxa"/>
          </w:tcPr>
          <w:p w14:paraId="290051BB" w14:textId="77777777" w:rsidR="006C63D5" w:rsidRPr="00F44FA4" w:rsidRDefault="006C63D5" w:rsidP="00F42F8F">
            <w:pPr>
              <w:keepNext/>
              <w:keepLines/>
              <w:spacing w:before="120" w:line="264" w:lineRule="auto"/>
              <w:jc w:val="right"/>
              <w:rPr>
                <w:rFonts w:ascii="Arial" w:eastAsia="Arial" w:hAnsi="Arial" w:cs="Arial"/>
                <w:lang w:eastAsia="en-US"/>
              </w:rPr>
            </w:pPr>
            <w:r w:rsidRPr="00F44FA4">
              <w:rPr>
                <w:rFonts w:ascii="Arial" w:eastAsia="Arial" w:hAnsi="Arial" w:cs="Arial"/>
                <w:lang w:eastAsia="en-US"/>
              </w:rPr>
              <w:t>7,9</w:t>
            </w:r>
          </w:p>
        </w:tc>
      </w:tr>
      <w:tr w:rsidR="006C63D5" w:rsidRPr="00F44FA4" w14:paraId="473CDAB3" w14:textId="77777777" w:rsidTr="008E4655">
        <w:tc>
          <w:tcPr>
            <w:tcW w:w="566" w:type="dxa"/>
          </w:tcPr>
          <w:p w14:paraId="64CE493F" w14:textId="77777777" w:rsidR="006C63D5" w:rsidRPr="00F44FA4" w:rsidRDefault="006C63D5" w:rsidP="00F42F8F">
            <w:pPr>
              <w:keepNext/>
              <w:keepLines/>
              <w:spacing w:before="120" w:line="264" w:lineRule="auto"/>
              <w:rPr>
                <w:rFonts w:ascii="Arial" w:eastAsia="Arial" w:hAnsi="Arial" w:cs="Arial"/>
                <w:lang w:eastAsia="en-US"/>
              </w:rPr>
            </w:pPr>
          </w:p>
        </w:tc>
        <w:tc>
          <w:tcPr>
            <w:tcW w:w="7109" w:type="dxa"/>
          </w:tcPr>
          <w:p w14:paraId="58DCF590" w14:textId="77777777" w:rsidR="006C63D5" w:rsidRPr="00F44FA4" w:rsidRDefault="006C63D5" w:rsidP="00F42F8F">
            <w:pPr>
              <w:keepNext/>
              <w:keepLines/>
              <w:spacing w:before="120" w:line="264" w:lineRule="auto"/>
              <w:rPr>
                <w:rFonts w:ascii="Arial" w:eastAsia="Arial" w:hAnsi="Arial" w:cs="Arial"/>
                <w:lang w:eastAsia="en-US"/>
              </w:rPr>
            </w:pPr>
            <w:proofErr w:type="spellStart"/>
            <w:r w:rsidRPr="00F44FA4">
              <w:rPr>
                <w:rFonts w:ascii="Arial" w:eastAsia="Arial" w:hAnsi="Arial" w:cs="Arial"/>
                <w:lang w:eastAsia="en-US"/>
              </w:rPr>
              <w:t>delež</w:t>
            </w:r>
            <w:proofErr w:type="spellEnd"/>
            <w:r w:rsidRPr="00F44FA4">
              <w:rPr>
                <w:rFonts w:ascii="Arial" w:eastAsia="Arial" w:hAnsi="Arial" w:cs="Arial"/>
                <w:lang w:eastAsia="en-US"/>
              </w:rPr>
              <w:t xml:space="preserve"> KZU v </w:t>
            </w:r>
            <w:proofErr w:type="spellStart"/>
            <w:r w:rsidRPr="00F44FA4">
              <w:rPr>
                <w:rFonts w:ascii="Arial" w:eastAsia="Arial" w:hAnsi="Arial" w:cs="Arial"/>
                <w:lang w:eastAsia="en-US"/>
              </w:rPr>
              <w:t>območjih</w:t>
            </w:r>
            <w:proofErr w:type="spellEnd"/>
            <w:r w:rsidRPr="00F44FA4">
              <w:rPr>
                <w:rFonts w:ascii="Arial" w:eastAsia="Arial" w:hAnsi="Arial" w:cs="Arial"/>
                <w:lang w:eastAsia="en-US"/>
              </w:rPr>
              <w:t xml:space="preserve"> s </w:t>
            </w:r>
            <w:proofErr w:type="spellStart"/>
            <w:r w:rsidRPr="00F44FA4">
              <w:rPr>
                <w:rFonts w:ascii="Arial" w:eastAsia="Arial" w:hAnsi="Arial" w:cs="Arial"/>
                <w:lang w:eastAsia="en-US"/>
              </w:rPr>
              <w:t>posebnimi</w:t>
            </w:r>
            <w:proofErr w:type="spellEnd"/>
            <w:r w:rsidRPr="00F44FA4">
              <w:rPr>
                <w:rFonts w:ascii="Arial" w:eastAsia="Arial" w:hAnsi="Arial" w:cs="Arial"/>
                <w:lang w:eastAsia="en-US"/>
              </w:rPr>
              <w:t xml:space="preserve"> </w:t>
            </w:r>
            <w:proofErr w:type="spellStart"/>
            <w:r w:rsidRPr="00F44FA4">
              <w:rPr>
                <w:rFonts w:ascii="Arial" w:eastAsia="Arial" w:hAnsi="Arial" w:cs="Arial"/>
                <w:lang w:eastAsia="en-US"/>
              </w:rPr>
              <w:t>omejitvami</w:t>
            </w:r>
            <w:proofErr w:type="spellEnd"/>
            <w:r w:rsidRPr="00F44FA4">
              <w:rPr>
                <w:rFonts w:ascii="Arial" w:eastAsia="Arial" w:hAnsi="Arial" w:cs="Arial"/>
                <w:lang w:eastAsia="en-US"/>
              </w:rPr>
              <w:t xml:space="preserve"> v </w:t>
            </w:r>
            <w:proofErr w:type="spellStart"/>
            <w:r w:rsidRPr="00F44FA4">
              <w:rPr>
                <w:rFonts w:ascii="Arial" w:eastAsia="Arial" w:hAnsi="Arial" w:cs="Arial"/>
                <w:lang w:eastAsia="en-US"/>
              </w:rPr>
              <w:t>skupnih</w:t>
            </w:r>
            <w:proofErr w:type="spellEnd"/>
            <w:r w:rsidRPr="00F44FA4">
              <w:rPr>
                <w:rFonts w:ascii="Arial" w:eastAsia="Arial" w:hAnsi="Arial" w:cs="Arial"/>
                <w:lang w:eastAsia="en-US"/>
              </w:rPr>
              <w:t xml:space="preserve"> KZU</w:t>
            </w:r>
          </w:p>
        </w:tc>
        <w:tc>
          <w:tcPr>
            <w:tcW w:w="996" w:type="dxa"/>
          </w:tcPr>
          <w:p w14:paraId="2FC582EF" w14:textId="77777777" w:rsidR="006C63D5" w:rsidRPr="00F44FA4" w:rsidRDefault="006C63D5" w:rsidP="00F42F8F">
            <w:pPr>
              <w:keepNext/>
              <w:keepLines/>
              <w:spacing w:before="120" w:line="264" w:lineRule="auto"/>
              <w:jc w:val="right"/>
              <w:rPr>
                <w:rFonts w:ascii="Arial" w:eastAsia="Arial" w:hAnsi="Arial" w:cs="Arial"/>
                <w:lang w:eastAsia="en-US"/>
              </w:rPr>
            </w:pPr>
            <w:r w:rsidRPr="00F44FA4">
              <w:rPr>
                <w:rFonts w:ascii="Arial" w:eastAsia="Arial" w:hAnsi="Arial" w:cs="Arial"/>
                <w:lang w:eastAsia="en-US"/>
              </w:rPr>
              <w:t>12,5</w:t>
            </w:r>
          </w:p>
        </w:tc>
      </w:tr>
      <w:tr w:rsidR="006C63D5" w:rsidRPr="00F44FA4" w14:paraId="31BB7F69" w14:textId="77777777" w:rsidTr="008E4655">
        <w:tc>
          <w:tcPr>
            <w:tcW w:w="566" w:type="dxa"/>
          </w:tcPr>
          <w:p w14:paraId="049ED0A2" w14:textId="77777777" w:rsidR="006C63D5" w:rsidRPr="00F44FA4" w:rsidRDefault="006C63D5" w:rsidP="00F42F8F">
            <w:pPr>
              <w:keepNext/>
              <w:keepLines/>
              <w:spacing w:before="120" w:line="264" w:lineRule="auto"/>
              <w:rPr>
                <w:rFonts w:ascii="Arial" w:eastAsia="Arial" w:hAnsi="Arial" w:cs="Arial"/>
                <w:lang w:eastAsia="en-US"/>
              </w:rPr>
            </w:pPr>
          </w:p>
        </w:tc>
        <w:tc>
          <w:tcPr>
            <w:tcW w:w="7109" w:type="dxa"/>
          </w:tcPr>
          <w:p w14:paraId="5BB694E4" w14:textId="77777777" w:rsidR="006C63D5" w:rsidRPr="00F44FA4" w:rsidRDefault="006C63D5" w:rsidP="00F42F8F">
            <w:pPr>
              <w:keepNext/>
              <w:keepLines/>
              <w:spacing w:before="120" w:line="264" w:lineRule="auto"/>
              <w:rPr>
                <w:rFonts w:ascii="Arial" w:eastAsia="Arial" w:hAnsi="Arial" w:cs="Arial"/>
                <w:lang w:eastAsia="en-US"/>
              </w:rPr>
            </w:pPr>
            <w:proofErr w:type="spellStart"/>
            <w:r w:rsidRPr="00F44FA4">
              <w:rPr>
                <w:rFonts w:ascii="Arial" w:eastAsia="Arial" w:hAnsi="Arial" w:cs="Arial"/>
                <w:lang w:eastAsia="en-US"/>
              </w:rPr>
              <w:t>delež</w:t>
            </w:r>
            <w:proofErr w:type="spellEnd"/>
            <w:r w:rsidRPr="00F44FA4">
              <w:rPr>
                <w:rFonts w:ascii="Arial" w:eastAsia="Arial" w:hAnsi="Arial" w:cs="Arial"/>
                <w:lang w:eastAsia="en-US"/>
              </w:rPr>
              <w:t xml:space="preserve"> KZU v OMD v </w:t>
            </w:r>
            <w:proofErr w:type="spellStart"/>
            <w:r w:rsidRPr="00F44FA4">
              <w:rPr>
                <w:rFonts w:ascii="Arial" w:eastAsia="Arial" w:hAnsi="Arial" w:cs="Arial"/>
                <w:lang w:eastAsia="en-US"/>
              </w:rPr>
              <w:t>skupnih</w:t>
            </w:r>
            <w:proofErr w:type="spellEnd"/>
            <w:r w:rsidRPr="00F44FA4">
              <w:rPr>
                <w:rFonts w:ascii="Arial" w:eastAsia="Arial" w:hAnsi="Arial" w:cs="Arial"/>
                <w:lang w:eastAsia="en-US"/>
              </w:rPr>
              <w:t xml:space="preserve"> KZU</w:t>
            </w:r>
          </w:p>
        </w:tc>
        <w:tc>
          <w:tcPr>
            <w:tcW w:w="996" w:type="dxa"/>
          </w:tcPr>
          <w:p w14:paraId="067AD7F5" w14:textId="77777777" w:rsidR="006C63D5" w:rsidRPr="00F44FA4" w:rsidRDefault="006C63D5" w:rsidP="00F42F8F">
            <w:pPr>
              <w:keepNext/>
              <w:keepLines/>
              <w:spacing w:before="120" w:line="264" w:lineRule="auto"/>
              <w:jc w:val="right"/>
              <w:rPr>
                <w:rFonts w:ascii="Arial" w:eastAsia="Arial" w:hAnsi="Arial" w:cs="Arial"/>
                <w:lang w:eastAsia="en-US"/>
              </w:rPr>
            </w:pPr>
            <w:r w:rsidRPr="00F44FA4">
              <w:rPr>
                <w:rFonts w:ascii="Arial" w:eastAsia="Arial" w:hAnsi="Arial" w:cs="Arial"/>
                <w:lang w:eastAsia="en-US"/>
              </w:rPr>
              <w:t>74,6</w:t>
            </w:r>
          </w:p>
        </w:tc>
      </w:tr>
    </w:tbl>
    <w:p w14:paraId="0113BBD6" w14:textId="124B4619" w:rsidR="006C63D5" w:rsidRPr="008E4655" w:rsidRDefault="008E4655" w:rsidP="00F42F8F">
      <w:pPr>
        <w:keepNext/>
        <w:keepLines/>
        <w:spacing w:before="120" w:line="264" w:lineRule="auto"/>
        <w:rPr>
          <w:rFonts w:eastAsia="Arial" w:cs="Arial"/>
          <w:sz w:val="16"/>
          <w:szCs w:val="16"/>
        </w:rPr>
      </w:pPr>
      <w:r>
        <w:rPr>
          <w:rFonts w:cs="Arial"/>
          <w:sz w:val="16"/>
          <w:szCs w:val="16"/>
        </w:rPr>
        <w:t>Vir: MKGP, Zeleno poročilo 2019</w:t>
      </w:r>
    </w:p>
    <w:p w14:paraId="6D19A84D" w14:textId="756FFD4B" w:rsidR="006C63D5" w:rsidRPr="003344A4" w:rsidRDefault="00C9160B" w:rsidP="008E4655">
      <w:pPr>
        <w:pStyle w:val="SCPreglednica"/>
        <w:rPr>
          <w:rFonts w:eastAsia="Arial"/>
          <w:sz w:val="16"/>
        </w:rPr>
      </w:pPr>
      <w:bookmarkStart w:id="64" w:name="_Toc55913732"/>
      <w:r>
        <w:t>Tabela</w:t>
      </w:r>
      <w:r w:rsidR="006C63D5" w:rsidRPr="003D6FF8">
        <w:t xml:space="preserve"> </w:t>
      </w:r>
      <w:r w:rsidR="0001708D">
        <w:rPr>
          <w:noProof/>
        </w:rPr>
        <w:fldChar w:fldCharType="begin"/>
      </w:r>
      <w:r w:rsidR="0001708D">
        <w:rPr>
          <w:noProof/>
        </w:rPr>
        <w:instrText xml:space="preserve"> SEQ Tabela \* ARABIC </w:instrText>
      </w:r>
      <w:r w:rsidR="0001708D">
        <w:rPr>
          <w:noProof/>
        </w:rPr>
        <w:fldChar w:fldCharType="separate"/>
      </w:r>
      <w:r w:rsidR="00DF0D48">
        <w:rPr>
          <w:noProof/>
        </w:rPr>
        <w:t>21</w:t>
      </w:r>
      <w:r w:rsidR="0001708D">
        <w:rPr>
          <w:noProof/>
        </w:rPr>
        <w:fldChar w:fldCharType="end"/>
      </w:r>
      <w:r w:rsidR="008E4655">
        <w:t xml:space="preserve">: </w:t>
      </w:r>
      <w:r w:rsidR="006C63D5" w:rsidRPr="005F6A3A">
        <w:t>Skupna površina OMD v RS in površina GERK KZU na OMD za leto 2019 (v ha),</w:t>
      </w:r>
      <w:bookmarkEnd w:id="64"/>
      <w:r w:rsidR="006C63D5" w:rsidRPr="005F6A3A">
        <w:t xml:space="preserve"> </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57" w:type="dxa"/>
          <w:right w:w="57" w:type="dxa"/>
        </w:tblCellMar>
        <w:tblLook w:val="0000" w:firstRow="0" w:lastRow="0" w:firstColumn="0" w:lastColumn="0" w:noHBand="0" w:noVBand="0"/>
      </w:tblPr>
      <w:tblGrid>
        <w:gridCol w:w="1813"/>
        <w:gridCol w:w="1813"/>
        <w:gridCol w:w="1812"/>
        <w:gridCol w:w="1812"/>
        <w:gridCol w:w="1812"/>
      </w:tblGrid>
      <w:tr w:rsidR="006C63D5" w:rsidRPr="00F44FA4" w14:paraId="085A2F5B" w14:textId="77777777" w:rsidTr="00B26693">
        <w:trPr>
          <w:trHeight w:val="227"/>
        </w:trPr>
        <w:tc>
          <w:tcPr>
            <w:tcW w:w="1000" w:type="pct"/>
            <w:shd w:val="clear" w:color="auto" w:fill="92D050"/>
            <w:noWrap/>
            <w:vAlign w:val="center"/>
          </w:tcPr>
          <w:p w14:paraId="0C5A8E95" w14:textId="77777777" w:rsidR="006C63D5" w:rsidRPr="00F44FA4" w:rsidRDefault="006C63D5" w:rsidP="004167E8">
            <w:pPr>
              <w:spacing w:before="120" w:line="264" w:lineRule="auto"/>
              <w:rPr>
                <w:rFonts w:eastAsia="Arial Unicode MS" w:cs="Arial"/>
                <w:szCs w:val="20"/>
              </w:rPr>
            </w:pPr>
          </w:p>
        </w:tc>
        <w:tc>
          <w:tcPr>
            <w:tcW w:w="1000" w:type="pct"/>
            <w:shd w:val="clear" w:color="auto" w:fill="92D050"/>
            <w:noWrap/>
            <w:vAlign w:val="bottom"/>
          </w:tcPr>
          <w:p w14:paraId="091CABD8" w14:textId="77777777" w:rsidR="006C63D5" w:rsidRPr="00F44FA4" w:rsidRDefault="006C63D5" w:rsidP="004167E8">
            <w:pPr>
              <w:spacing w:before="120" w:line="264" w:lineRule="auto"/>
              <w:jc w:val="center"/>
              <w:rPr>
                <w:rFonts w:cs="Arial"/>
                <w:szCs w:val="20"/>
              </w:rPr>
            </w:pPr>
            <w:r w:rsidRPr="00F44FA4">
              <w:rPr>
                <w:rFonts w:cs="Arial"/>
                <w:szCs w:val="20"/>
              </w:rPr>
              <w:t>Gorska</w:t>
            </w:r>
          </w:p>
        </w:tc>
        <w:tc>
          <w:tcPr>
            <w:tcW w:w="1000" w:type="pct"/>
            <w:shd w:val="clear" w:color="auto" w:fill="92D050"/>
            <w:noWrap/>
            <w:vAlign w:val="bottom"/>
          </w:tcPr>
          <w:p w14:paraId="2BF93C69" w14:textId="77777777" w:rsidR="006C63D5" w:rsidRPr="00F44FA4" w:rsidRDefault="006C63D5" w:rsidP="004167E8">
            <w:pPr>
              <w:spacing w:before="120" w:line="264" w:lineRule="auto"/>
              <w:jc w:val="center"/>
              <w:rPr>
                <w:rFonts w:eastAsia="Arial Unicode MS" w:cs="Arial"/>
                <w:szCs w:val="20"/>
              </w:rPr>
            </w:pPr>
            <w:r w:rsidRPr="00F44FA4">
              <w:rPr>
                <w:rFonts w:eastAsia="Arial Unicode MS" w:cs="Arial"/>
                <w:szCs w:val="20"/>
              </w:rPr>
              <w:t>Druga</w:t>
            </w:r>
          </w:p>
        </w:tc>
        <w:tc>
          <w:tcPr>
            <w:tcW w:w="1000" w:type="pct"/>
            <w:shd w:val="clear" w:color="auto" w:fill="92D050"/>
            <w:noWrap/>
            <w:vAlign w:val="bottom"/>
          </w:tcPr>
          <w:p w14:paraId="138F51CD" w14:textId="77777777" w:rsidR="006C63D5" w:rsidRPr="00F44FA4" w:rsidRDefault="006C63D5" w:rsidP="004167E8">
            <w:pPr>
              <w:spacing w:before="120" w:line="264" w:lineRule="auto"/>
              <w:jc w:val="center"/>
              <w:rPr>
                <w:rFonts w:eastAsia="Arial Unicode MS" w:cs="Arial"/>
                <w:szCs w:val="20"/>
              </w:rPr>
            </w:pPr>
            <w:r w:rsidRPr="00F44FA4">
              <w:rPr>
                <w:rFonts w:eastAsia="Arial Unicode MS" w:cs="Arial"/>
                <w:szCs w:val="20"/>
              </w:rPr>
              <w:t>Posebne omejitve</w:t>
            </w:r>
          </w:p>
        </w:tc>
        <w:tc>
          <w:tcPr>
            <w:tcW w:w="1000" w:type="pct"/>
            <w:shd w:val="clear" w:color="auto" w:fill="92D050"/>
            <w:vAlign w:val="bottom"/>
          </w:tcPr>
          <w:p w14:paraId="7C41EE26" w14:textId="77777777" w:rsidR="006C63D5" w:rsidRPr="00F44FA4" w:rsidRDefault="006C63D5" w:rsidP="004167E8">
            <w:pPr>
              <w:spacing w:before="120" w:line="264" w:lineRule="auto"/>
              <w:jc w:val="center"/>
              <w:rPr>
                <w:rFonts w:eastAsia="Arial Unicode MS" w:cs="Arial"/>
                <w:szCs w:val="20"/>
              </w:rPr>
            </w:pPr>
            <w:r w:rsidRPr="00F44FA4">
              <w:rPr>
                <w:rFonts w:eastAsia="Arial Unicode MS" w:cs="Arial"/>
                <w:szCs w:val="20"/>
              </w:rPr>
              <w:t>SKUPAJ OMD</w:t>
            </w:r>
          </w:p>
        </w:tc>
      </w:tr>
      <w:tr w:rsidR="006C63D5" w:rsidRPr="00F44FA4" w14:paraId="04846290" w14:textId="77777777" w:rsidTr="004167E8">
        <w:trPr>
          <w:trHeight w:val="227"/>
        </w:trPr>
        <w:tc>
          <w:tcPr>
            <w:tcW w:w="1000" w:type="pct"/>
            <w:shd w:val="clear" w:color="auto" w:fill="auto"/>
            <w:noWrap/>
            <w:vAlign w:val="bottom"/>
          </w:tcPr>
          <w:p w14:paraId="06D759CE" w14:textId="77777777" w:rsidR="006C63D5" w:rsidRPr="00F44FA4" w:rsidRDefault="006C63D5" w:rsidP="004167E8">
            <w:pPr>
              <w:spacing w:before="120" w:line="264" w:lineRule="auto"/>
              <w:rPr>
                <w:rFonts w:eastAsia="Arial Unicode MS" w:cs="Arial"/>
                <w:szCs w:val="20"/>
              </w:rPr>
            </w:pPr>
            <w:r w:rsidRPr="00F44FA4">
              <w:rPr>
                <w:rFonts w:eastAsia="Arial Unicode MS" w:cs="Arial"/>
                <w:szCs w:val="20"/>
              </w:rPr>
              <w:t xml:space="preserve">Skupna površina </w:t>
            </w:r>
          </w:p>
        </w:tc>
        <w:tc>
          <w:tcPr>
            <w:tcW w:w="1000" w:type="pct"/>
            <w:shd w:val="clear" w:color="auto" w:fill="auto"/>
            <w:noWrap/>
            <w:vAlign w:val="bottom"/>
          </w:tcPr>
          <w:p w14:paraId="0E9CD99A" w14:textId="77777777" w:rsidR="006C63D5" w:rsidRPr="00F44FA4" w:rsidRDefault="006C63D5" w:rsidP="004167E8">
            <w:pPr>
              <w:spacing w:before="120" w:line="264" w:lineRule="auto"/>
              <w:jc w:val="right"/>
              <w:rPr>
                <w:rFonts w:cs="Arial"/>
                <w:szCs w:val="20"/>
              </w:rPr>
            </w:pPr>
            <w:r w:rsidRPr="00F44FA4">
              <w:rPr>
                <w:rFonts w:eastAsia="Arial Unicode MS" w:cs="Arial"/>
                <w:szCs w:val="20"/>
              </w:rPr>
              <w:t xml:space="preserve"> 1.470.914</w:t>
            </w:r>
          </w:p>
        </w:tc>
        <w:tc>
          <w:tcPr>
            <w:tcW w:w="1000" w:type="pct"/>
            <w:shd w:val="clear" w:color="auto" w:fill="auto"/>
            <w:noWrap/>
            <w:vAlign w:val="bottom"/>
          </w:tcPr>
          <w:p w14:paraId="3254B167" w14:textId="77777777" w:rsidR="006C63D5" w:rsidRPr="00F44FA4" w:rsidRDefault="006C63D5" w:rsidP="004167E8">
            <w:pPr>
              <w:spacing w:before="120" w:line="264" w:lineRule="auto"/>
              <w:jc w:val="right"/>
              <w:rPr>
                <w:rFonts w:cs="Arial"/>
                <w:szCs w:val="20"/>
              </w:rPr>
            </w:pPr>
            <w:r w:rsidRPr="00F44FA4">
              <w:rPr>
                <w:rFonts w:eastAsia="Arial Unicode MS" w:cs="Arial"/>
                <w:szCs w:val="20"/>
              </w:rPr>
              <w:t xml:space="preserve"> 146.407</w:t>
            </w:r>
          </w:p>
        </w:tc>
        <w:tc>
          <w:tcPr>
            <w:tcW w:w="1000" w:type="pct"/>
            <w:shd w:val="clear" w:color="auto" w:fill="auto"/>
            <w:noWrap/>
            <w:vAlign w:val="bottom"/>
          </w:tcPr>
          <w:p w14:paraId="762688B1" w14:textId="77777777" w:rsidR="006C63D5" w:rsidRPr="00F44FA4" w:rsidRDefault="006C63D5" w:rsidP="004167E8">
            <w:pPr>
              <w:spacing w:before="120" w:line="264" w:lineRule="auto"/>
              <w:jc w:val="right"/>
              <w:rPr>
                <w:rFonts w:cs="Arial"/>
                <w:szCs w:val="20"/>
              </w:rPr>
            </w:pPr>
            <w:r w:rsidRPr="00F44FA4">
              <w:rPr>
                <w:rFonts w:eastAsia="Arial Unicode MS" w:cs="Arial"/>
                <w:szCs w:val="20"/>
              </w:rPr>
              <w:t xml:space="preserve"> 143.940</w:t>
            </w:r>
          </w:p>
        </w:tc>
        <w:tc>
          <w:tcPr>
            <w:tcW w:w="1000" w:type="pct"/>
            <w:vAlign w:val="bottom"/>
          </w:tcPr>
          <w:p w14:paraId="3F56EB0F" w14:textId="77777777" w:rsidR="006C63D5" w:rsidRPr="00F44FA4" w:rsidRDefault="006C63D5" w:rsidP="004167E8">
            <w:pPr>
              <w:spacing w:before="120" w:line="264" w:lineRule="auto"/>
              <w:jc w:val="right"/>
              <w:rPr>
                <w:rFonts w:eastAsia="Arial Unicode MS" w:cs="Arial"/>
                <w:szCs w:val="20"/>
              </w:rPr>
            </w:pPr>
            <w:r w:rsidRPr="00F44FA4">
              <w:rPr>
                <w:rFonts w:eastAsia="Arial Unicode MS" w:cs="Arial"/>
                <w:szCs w:val="20"/>
              </w:rPr>
              <w:t>1.761.261</w:t>
            </w:r>
          </w:p>
        </w:tc>
      </w:tr>
      <w:tr w:rsidR="006C63D5" w:rsidRPr="00F44FA4" w14:paraId="23FC0E77" w14:textId="77777777" w:rsidTr="004167E8">
        <w:trPr>
          <w:trHeight w:val="227"/>
        </w:trPr>
        <w:tc>
          <w:tcPr>
            <w:tcW w:w="1000" w:type="pct"/>
            <w:shd w:val="clear" w:color="auto" w:fill="auto"/>
            <w:noWrap/>
            <w:vAlign w:val="bottom"/>
          </w:tcPr>
          <w:p w14:paraId="65C5E60F" w14:textId="77777777" w:rsidR="006C63D5" w:rsidRPr="00F44FA4" w:rsidRDefault="006C63D5" w:rsidP="004167E8">
            <w:pPr>
              <w:spacing w:before="120" w:line="264" w:lineRule="auto"/>
              <w:rPr>
                <w:rFonts w:eastAsia="Arial Unicode MS" w:cs="Arial"/>
                <w:szCs w:val="20"/>
              </w:rPr>
            </w:pPr>
            <w:r w:rsidRPr="00F44FA4">
              <w:rPr>
                <w:rFonts w:eastAsia="Arial Unicode MS" w:cs="Arial"/>
                <w:szCs w:val="20"/>
              </w:rPr>
              <w:t xml:space="preserve">KZU </w:t>
            </w:r>
          </w:p>
        </w:tc>
        <w:tc>
          <w:tcPr>
            <w:tcW w:w="1000" w:type="pct"/>
            <w:shd w:val="clear" w:color="auto" w:fill="auto"/>
            <w:noWrap/>
            <w:vAlign w:val="bottom"/>
          </w:tcPr>
          <w:p w14:paraId="7417ACAE" w14:textId="77777777" w:rsidR="006C63D5" w:rsidRPr="00F44FA4" w:rsidRDefault="006C63D5" w:rsidP="004167E8">
            <w:pPr>
              <w:spacing w:before="120" w:line="264" w:lineRule="auto"/>
              <w:jc w:val="right"/>
              <w:rPr>
                <w:rFonts w:eastAsia="Arial Unicode MS" w:cs="Arial"/>
                <w:szCs w:val="20"/>
              </w:rPr>
            </w:pPr>
            <w:r w:rsidRPr="00F44FA4">
              <w:rPr>
                <w:rFonts w:eastAsia="Arial Unicode MS" w:cs="Arial"/>
                <w:szCs w:val="20"/>
              </w:rPr>
              <w:t>263.743</w:t>
            </w:r>
          </w:p>
        </w:tc>
        <w:tc>
          <w:tcPr>
            <w:tcW w:w="1000" w:type="pct"/>
            <w:shd w:val="clear" w:color="auto" w:fill="auto"/>
            <w:noWrap/>
            <w:vAlign w:val="bottom"/>
          </w:tcPr>
          <w:p w14:paraId="4B488A3E" w14:textId="77777777" w:rsidR="006C63D5" w:rsidRPr="00F44FA4" w:rsidRDefault="006C63D5" w:rsidP="004167E8">
            <w:pPr>
              <w:spacing w:before="120" w:line="264" w:lineRule="auto"/>
              <w:jc w:val="right"/>
              <w:rPr>
                <w:rFonts w:eastAsia="Arial Unicode MS" w:cs="Arial"/>
                <w:szCs w:val="20"/>
              </w:rPr>
            </w:pPr>
            <w:r w:rsidRPr="00F44FA4">
              <w:rPr>
                <w:rFonts w:eastAsia="Arial Unicode MS" w:cs="Arial"/>
                <w:szCs w:val="20"/>
              </w:rPr>
              <w:t>38.699</w:t>
            </w:r>
          </w:p>
        </w:tc>
        <w:tc>
          <w:tcPr>
            <w:tcW w:w="1000" w:type="pct"/>
            <w:shd w:val="clear" w:color="auto" w:fill="auto"/>
            <w:noWrap/>
            <w:vAlign w:val="bottom"/>
          </w:tcPr>
          <w:p w14:paraId="38EC5041" w14:textId="77777777" w:rsidR="006C63D5" w:rsidRPr="00F44FA4" w:rsidRDefault="006C63D5" w:rsidP="004167E8">
            <w:pPr>
              <w:spacing w:before="120" w:line="264" w:lineRule="auto"/>
              <w:jc w:val="right"/>
              <w:rPr>
                <w:rFonts w:eastAsia="Arial Unicode MS" w:cs="Arial"/>
                <w:szCs w:val="20"/>
              </w:rPr>
            </w:pPr>
            <w:r w:rsidRPr="00F44FA4">
              <w:rPr>
                <w:rFonts w:eastAsia="Arial Unicode MS" w:cs="Arial"/>
                <w:szCs w:val="20"/>
              </w:rPr>
              <w:t>60.876</w:t>
            </w:r>
          </w:p>
        </w:tc>
        <w:tc>
          <w:tcPr>
            <w:tcW w:w="1000" w:type="pct"/>
            <w:shd w:val="clear" w:color="auto" w:fill="auto"/>
            <w:vAlign w:val="bottom"/>
          </w:tcPr>
          <w:p w14:paraId="5CCF9E62" w14:textId="77777777" w:rsidR="006C63D5" w:rsidRPr="00F44FA4" w:rsidRDefault="006C63D5" w:rsidP="004167E8">
            <w:pPr>
              <w:spacing w:before="120" w:line="264" w:lineRule="auto"/>
              <w:jc w:val="right"/>
              <w:rPr>
                <w:rFonts w:eastAsia="Arial Unicode MS" w:cs="Arial"/>
                <w:szCs w:val="20"/>
              </w:rPr>
            </w:pPr>
            <w:r w:rsidRPr="00F44FA4">
              <w:rPr>
                <w:rFonts w:eastAsia="Arial Unicode MS" w:cs="Arial"/>
                <w:szCs w:val="20"/>
              </w:rPr>
              <w:t>363.318</w:t>
            </w:r>
          </w:p>
        </w:tc>
      </w:tr>
      <w:tr w:rsidR="006C63D5" w:rsidRPr="00F44FA4" w14:paraId="5F3CFA39" w14:textId="77777777" w:rsidTr="004167E8">
        <w:trPr>
          <w:trHeight w:val="227"/>
        </w:trPr>
        <w:tc>
          <w:tcPr>
            <w:tcW w:w="1000" w:type="pct"/>
            <w:shd w:val="clear" w:color="auto" w:fill="auto"/>
            <w:noWrap/>
            <w:vAlign w:val="bottom"/>
          </w:tcPr>
          <w:p w14:paraId="17C39E2F" w14:textId="77777777" w:rsidR="006C63D5" w:rsidRPr="00F44FA4" w:rsidRDefault="006C63D5" w:rsidP="004167E8">
            <w:pPr>
              <w:spacing w:before="120" w:line="264" w:lineRule="auto"/>
              <w:rPr>
                <w:rFonts w:eastAsia="Arial Unicode MS" w:cs="Arial"/>
                <w:szCs w:val="20"/>
              </w:rPr>
            </w:pPr>
            <w:r w:rsidRPr="00F44FA4">
              <w:rPr>
                <w:rFonts w:eastAsia="Arial Unicode MS" w:cs="Arial"/>
                <w:szCs w:val="20"/>
              </w:rPr>
              <w:t>%</w:t>
            </w:r>
          </w:p>
        </w:tc>
        <w:tc>
          <w:tcPr>
            <w:tcW w:w="1000" w:type="pct"/>
            <w:shd w:val="clear" w:color="auto" w:fill="auto"/>
            <w:noWrap/>
            <w:vAlign w:val="bottom"/>
          </w:tcPr>
          <w:p w14:paraId="46983855" w14:textId="77777777" w:rsidR="006C63D5" w:rsidRPr="00F44FA4" w:rsidRDefault="006C63D5" w:rsidP="004167E8">
            <w:pPr>
              <w:spacing w:before="120" w:line="264" w:lineRule="auto"/>
              <w:jc w:val="right"/>
              <w:rPr>
                <w:rFonts w:eastAsia="Arial Unicode MS" w:cs="Arial"/>
                <w:szCs w:val="20"/>
              </w:rPr>
            </w:pPr>
            <w:r w:rsidRPr="00F44FA4">
              <w:rPr>
                <w:rFonts w:eastAsia="Arial Unicode MS" w:cs="Arial"/>
                <w:szCs w:val="20"/>
              </w:rPr>
              <w:t>54,2</w:t>
            </w:r>
          </w:p>
        </w:tc>
        <w:tc>
          <w:tcPr>
            <w:tcW w:w="1000" w:type="pct"/>
            <w:shd w:val="clear" w:color="auto" w:fill="auto"/>
            <w:noWrap/>
            <w:vAlign w:val="bottom"/>
          </w:tcPr>
          <w:p w14:paraId="58B5E4C0" w14:textId="77777777" w:rsidR="006C63D5" w:rsidRPr="00F44FA4" w:rsidRDefault="006C63D5" w:rsidP="004167E8">
            <w:pPr>
              <w:spacing w:before="120" w:line="264" w:lineRule="auto"/>
              <w:jc w:val="right"/>
              <w:rPr>
                <w:rFonts w:eastAsia="Arial Unicode MS" w:cs="Arial"/>
                <w:szCs w:val="20"/>
              </w:rPr>
            </w:pPr>
            <w:r w:rsidRPr="00F44FA4">
              <w:rPr>
                <w:rFonts w:eastAsia="Arial Unicode MS" w:cs="Arial"/>
                <w:szCs w:val="20"/>
              </w:rPr>
              <w:t>7,9</w:t>
            </w:r>
          </w:p>
        </w:tc>
        <w:tc>
          <w:tcPr>
            <w:tcW w:w="1000" w:type="pct"/>
            <w:shd w:val="clear" w:color="auto" w:fill="auto"/>
            <w:noWrap/>
            <w:vAlign w:val="bottom"/>
          </w:tcPr>
          <w:p w14:paraId="55158BB7" w14:textId="77777777" w:rsidR="006C63D5" w:rsidRPr="00F44FA4" w:rsidRDefault="006C63D5" w:rsidP="004167E8">
            <w:pPr>
              <w:spacing w:before="120" w:line="264" w:lineRule="auto"/>
              <w:jc w:val="right"/>
              <w:rPr>
                <w:rFonts w:eastAsia="Arial Unicode MS" w:cs="Arial"/>
                <w:szCs w:val="20"/>
              </w:rPr>
            </w:pPr>
            <w:r w:rsidRPr="00F44FA4">
              <w:rPr>
                <w:rFonts w:eastAsia="Arial Unicode MS" w:cs="Arial"/>
                <w:szCs w:val="20"/>
              </w:rPr>
              <w:t>12,5</w:t>
            </w:r>
          </w:p>
        </w:tc>
        <w:tc>
          <w:tcPr>
            <w:tcW w:w="1000" w:type="pct"/>
            <w:shd w:val="clear" w:color="auto" w:fill="auto"/>
            <w:vAlign w:val="bottom"/>
          </w:tcPr>
          <w:p w14:paraId="369DCFE3" w14:textId="77777777" w:rsidR="006C63D5" w:rsidRPr="00F44FA4" w:rsidRDefault="006C63D5" w:rsidP="004167E8">
            <w:pPr>
              <w:spacing w:before="120" w:line="264" w:lineRule="auto"/>
              <w:jc w:val="right"/>
              <w:rPr>
                <w:rFonts w:eastAsia="Arial Unicode MS" w:cs="Arial"/>
                <w:szCs w:val="20"/>
              </w:rPr>
            </w:pPr>
            <w:r w:rsidRPr="00F44FA4">
              <w:rPr>
                <w:rFonts w:eastAsia="Arial Unicode MS" w:cs="Arial"/>
                <w:szCs w:val="20"/>
              </w:rPr>
              <w:t>74,6</w:t>
            </w:r>
          </w:p>
        </w:tc>
      </w:tr>
    </w:tbl>
    <w:p w14:paraId="415856D7" w14:textId="5C0B05B4" w:rsidR="006C63D5" w:rsidRPr="008E4655" w:rsidRDefault="008E4655" w:rsidP="006C63D5">
      <w:pPr>
        <w:spacing w:before="120" w:line="264" w:lineRule="auto"/>
        <w:rPr>
          <w:rFonts w:eastAsia="Arial" w:cs="Arial"/>
          <w:sz w:val="16"/>
          <w:szCs w:val="16"/>
        </w:rPr>
      </w:pPr>
      <w:r w:rsidRPr="008E4655">
        <w:rPr>
          <w:rFonts w:cs="Arial"/>
          <w:sz w:val="16"/>
          <w:szCs w:val="16"/>
        </w:rPr>
        <w:t>Vir: MKGP</w:t>
      </w:r>
    </w:p>
    <w:p w14:paraId="4463CA90" w14:textId="54AE6151" w:rsidR="008E4655" w:rsidRDefault="006C63D5" w:rsidP="00AD76B1">
      <w:pPr>
        <w:spacing w:before="120" w:line="360" w:lineRule="auto"/>
        <w:jc w:val="both"/>
        <w:rPr>
          <w:rFonts w:eastAsia="Arial" w:cs="Arial"/>
          <w:szCs w:val="20"/>
        </w:rPr>
      </w:pPr>
      <w:r w:rsidRPr="003344A4">
        <w:rPr>
          <w:rFonts w:eastAsia="Arial" w:cs="Arial"/>
          <w:szCs w:val="20"/>
        </w:rPr>
        <w:t>Slovenija od leta 2019 naprej uporablja razmejitev OMD na podlagi 32. člena Uredbe 1305/2013/EU, in sicer: gorska območja, območja, ki niso gorska območja in imajo pomembne naravne omejitve ter območja s posebnimi omejitvami. Takšno razmejitev, potrjeno s 6. spremembo Programa razvoja podeželja 2014 – 2020 (Izvedbeni sklep Komisije iz dne 27.3.2020 št. CCI 2014SI06RDNP001), bo Slovenija uporabila tudi v SN 2021-2027.</w:t>
      </w:r>
    </w:p>
    <w:p w14:paraId="750852CA" w14:textId="32CD1CFD" w:rsidR="006C63D5" w:rsidRPr="003344A4" w:rsidRDefault="008E4655" w:rsidP="00AD376E">
      <w:pPr>
        <w:pStyle w:val="SCslika"/>
        <w:keepNext/>
        <w:keepLines/>
        <w:rPr>
          <w:rFonts w:eastAsia="Arial"/>
        </w:rPr>
      </w:pPr>
      <w:r w:rsidRPr="008E4655">
        <w:rPr>
          <w:rFonts w:eastAsia="Arial"/>
        </w:rPr>
        <w:lastRenderedPageBreak/>
        <w:t xml:space="preserve"> </w:t>
      </w:r>
      <w:bookmarkStart w:id="65" w:name="_Toc55913766"/>
      <w:r w:rsidRPr="00226CFA">
        <w:rPr>
          <w:rFonts w:eastAsia="Arial"/>
        </w:rPr>
        <w:t xml:space="preserve">Slika </w:t>
      </w:r>
      <w:r w:rsidR="007A077E">
        <w:rPr>
          <w:rFonts w:eastAsia="Arial"/>
        </w:rPr>
        <w:fldChar w:fldCharType="begin"/>
      </w:r>
      <w:r w:rsidR="007A077E">
        <w:rPr>
          <w:rFonts w:eastAsia="Arial"/>
        </w:rPr>
        <w:instrText xml:space="preserve"> SEQ Slika \* ARABIC </w:instrText>
      </w:r>
      <w:r w:rsidR="007A077E">
        <w:rPr>
          <w:rFonts w:eastAsia="Arial"/>
        </w:rPr>
        <w:fldChar w:fldCharType="separate"/>
      </w:r>
      <w:r w:rsidR="0040635C">
        <w:rPr>
          <w:rFonts w:eastAsia="Arial"/>
        </w:rPr>
        <w:t>15</w:t>
      </w:r>
      <w:r w:rsidR="007A077E">
        <w:rPr>
          <w:rFonts w:eastAsia="Arial"/>
        </w:rPr>
        <w:fldChar w:fldCharType="end"/>
      </w:r>
      <w:r w:rsidRPr="00226CFA">
        <w:rPr>
          <w:rFonts w:eastAsia="Arial"/>
        </w:rPr>
        <w:t>: Območja z omejenimi možnostmi za kmetijsko dejavnost (OMD)</w:t>
      </w:r>
      <w:bookmarkEnd w:id="65"/>
    </w:p>
    <w:p w14:paraId="5B5D03AC" w14:textId="77777777" w:rsidR="006C63D5" w:rsidRPr="003344A4" w:rsidRDefault="006C63D5" w:rsidP="00AD376E">
      <w:pPr>
        <w:keepNext/>
        <w:keepLines/>
        <w:spacing w:before="120" w:line="264" w:lineRule="auto"/>
        <w:jc w:val="center"/>
        <w:rPr>
          <w:rFonts w:cs="Arial"/>
        </w:rPr>
      </w:pPr>
      <w:r w:rsidRPr="003344A4">
        <w:rPr>
          <w:rFonts w:cs="Arial"/>
          <w:noProof/>
          <w:lang w:eastAsia="sl-SI"/>
        </w:rPr>
        <w:drawing>
          <wp:inline distT="0" distB="0" distL="0" distR="0" wp14:anchorId="216F9831" wp14:editId="512E4F57">
            <wp:extent cx="3848100" cy="2720589"/>
            <wp:effectExtent l="0" t="0" r="0" b="381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57703" cy="2727378"/>
                    </a:xfrm>
                    <a:prstGeom prst="rect">
                      <a:avLst/>
                    </a:prstGeom>
                  </pic:spPr>
                </pic:pic>
              </a:graphicData>
            </a:graphic>
          </wp:inline>
        </w:drawing>
      </w:r>
    </w:p>
    <w:p w14:paraId="5795C308" w14:textId="77777777" w:rsidR="006C63D5" w:rsidRPr="008E4655" w:rsidRDefault="006C63D5" w:rsidP="00AD376E">
      <w:pPr>
        <w:keepNext/>
        <w:keepLines/>
        <w:spacing w:before="120" w:line="264" w:lineRule="auto"/>
        <w:rPr>
          <w:rFonts w:eastAsia="Arial" w:cs="Arial"/>
          <w:sz w:val="16"/>
          <w:szCs w:val="16"/>
        </w:rPr>
      </w:pPr>
      <w:r w:rsidRPr="008E4655">
        <w:rPr>
          <w:rFonts w:eastAsia="Arial" w:cs="Arial"/>
          <w:sz w:val="16"/>
          <w:szCs w:val="16"/>
        </w:rPr>
        <w:t>Vir: MKGP</w:t>
      </w:r>
    </w:p>
    <w:p w14:paraId="2767E94B" w14:textId="77777777" w:rsidR="006C63D5" w:rsidRPr="00FA04E3" w:rsidRDefault="006C63D5" w:rsidP="006519C3">
      <w:pPr>
        <w:pStyle w:val="Naslov2"/>
        <w:ind w:left="578" w:hanging="578"/>
      </w:pPr>
      <w:bookmarkStart w:id="66" w:name="_Toc42067298"/>
      <w:bookmarkStart w:id="67" w:name="_Toc55912182"/>
      <w:r w:rsidRPr="00FA04E3">
        <w:t>Gorska območja</w:t>
      </w:r>
      <w:bookmarkEnd w:id="66"/>
      <w:bookmarkEnd w:id="67"/>
    </w:p>
    <w:p w14:paraId="586D9E7D" w14:textId="77777777" w:rsidR="006C63D5" w:rsidRPr="003344A4" w:rsidRDefault="006C63D5" w:rsidP="00AD76B1">
      <w:pPr>
        <w:spacing w:before="120" w:line="360" w:lineRule="auto"/>
        <w:jc w:val="both"/>
        <w:rPr>
          <w:rFonts w:cs="Arial"/>
          <w:szCs w:val="20"/>
        </w:rPr>
      </w:pPr>
      <w:r w:rsidRPr="003344A4">
        <w:rPr>
          <w:rFonts w:cs="Arial"/>
          <w:szCs w:val="20"/>
        </w:rPr>
        <w:t>V gorskih območjih so prisotni relativno višji stroški in izguba dohodka pri kmetovanju kot v območjih z ugodnimi pridelovalnimi razmerami. Gorsko območje v Sloveniji zavzema kar 72,6 % površine države, v njem pa se nahaja kar 54 % vseh kmetijskih zemljišč v državi. Kmetijska gospodarstva, ki gospodarijo na večjih nadmorskih višinah, imajo zaradi krajše vegetacijske dobe znatno omejen izbor kmetijskih rastlin in nižje pridelke na enoto površine. Podatek iz registra kmetijskih gospodarstev (evidenca GERK) pove, da nad 500 metri nadmorske višine močno prevladuje trajno travinje, ki predstavlja kar 95 % vseh kmetijskih zemljišč, le 5 % pa predstavljajo njive. Zaradi tega prevladuje živinoreja, pogosto ekstenzivna, saj lahko le travojede živali izkoristijo voluminozno krmo s travnikov.</w:t>
      </w:r>
    </w:p>
    <w:p w14:paraId="0065FCC0" w14:textId="77777777" w:rsidR="006C63D5" w:rsidRPr="003344A4" w:rsidRDefault="006C63D5" w:rsidP="00AD76B1">
      <w:pPr>
        <w:spacing w:before="120" w:line="360" w:lineRule="auto"/>
        <w:jc w:val="both"/>
        <w:rPr>
          <w:rFonts w:cs="Arial"/>
          <w:szCs w:val="20"/>
        </w:rPr>
      </w:pPr>
      <w:r w:rsidRPr="003344A4">
        <w:rPr>
          <w:rFonts w:cs="Arial"/>
          <w:szCs w:val="20"/>
        </w:rPr>
        <w:t>Naslednja omejitev, s katero se soočajo kmetijska gospodarstva v gorskem območju, so strmi nagibi kmetijskih zemljišč, saj je reliefna razgibanost površja države zelo velika. Ta naravna omejitev dodatno otežuje kmetijsko pridelavo, v mnogih primerih je potrebna uporaba dražje, specialne mehanizacije in/ali več ročnega dela in zaradi tega so stroški pridelave višji.</w:t>
      </w:r>
    </w:p>
    <w:p w14:paraId="639E1555" w14:textId="77777777" w:rsidR="006C63D5" w:rsidRPr="003344A4" w:rsidRDefault="006C63D5" w:rsidP="00AD76B1">
      <w:pPr>
        <w:spacing w:before="120" w:line="360" w:lineRule="auto"/>
        <w:jc w:val="both"/>
        <w:rPr>
          <w:rFonts w:cs="Arial"/>
          <w:szCs w:val="20"/>
        </w:rPr>
      </w:pPr>
      <w:r w:rsidRPr="003344A4">
        <w:rPr>
          <w:rFonts w:cs="Arial"/>
          <w:szCs w:val="20"/>
        </w:rPr>
        <w:t>Zaradi naravnih danosti v gorskem območju prevladuje gozd, pa tudi  biotsko bogata travišča, ki so pogosto vključena v omrežje Natura 2000. V gorskem območju se tako nahaja kar 77,8 % območja Natura 2000 v Sloveniji. Z nadaljnjo rabo in obdelanostjo kmetijskih zemljišč se ohranjajo značilni habitatni tipi in vrste. S plačili OMD tako neposredno prispevamo k ohranitvi ugodnega stanja travišč na teh območjih, ki bi se sicer zarasla, s tem pa bi izginili značilni habitati in/ali vrste.</w:t>
      </w:r>
    </w:p>
    <w:p w14:paraId="42A557F0" w14:textId="77777777" w:rsidR="006C63D5" w:rsidRPr="003344A4" w:rsidRDefault="006C63D5" w:rsidP="006C63D5">
      <w:pPr>
        <w:rPr>
          <w:rFonts w:eastAsia="Arial" w:cs="Arial"/>
          <w:szCs w:val="20"/>
        </w:rPr>
      </w:pPr>
      <w:r w:rsidRPr="003344A4">
        <w:rPr>
          <w:rFonts w:cs="Arial"/>
          <w:szCs w:val="20"/>
        </w:rPr>
        <w:br w:type="page"/>
      </w:r>
    </w:p>
    <w:p w14:paraId="156F1980" w14:textId="36A87796" w:rsidR="00FA04E3" w:rsidRPr="003344A4" w:rsidRDefault="00FA04E3" w:rsidP="00FA04E3">
      <w:pPr>
        <w:pStyle w:val="SCslika"/>
        <w:rPr>
          <w:rFonts w:eastAsia="Arial"/>
        </w:rPr>
      </w:pPr>
      <w:bookmarkStart w:id="68" w:name="_Toc55913767"/>
      <w:r w:rsidRPr="003344A4">
        <w:rPr>
          <w:rFonts w:eastAsia="Arial"/>
        </w:rPr>
        <w:lastRenderedPageBreak/>
        <w:t xml:space="preserve">Slika </w:t>
      </w:r>
      <w:r w:rsidR="007A077E">
        <w:rPr>
          <w:rFonts w:eastAsia="Arial"/>
        </w:rPr>
        <w:fldChar w:fldCharType="begin"/>
      </w:r>
      <w:r w:rsidR="007A077E">
        <w:rPr>
          <w:rFonts w:eastAsia="Arial"/>
        </w:rPr>
        <w:instrText xml:space="preserve"> SEQ Slika \* ARABIC </w:instrText>
      </w:r>
      <w:r w:rsidR="007A077E">
        <w:rPr>
          <w:rFonts w:eastAsia="Arial"/>
        </w:rPr>
        <w:fldChar w:fldCharType="separate"/>
      </w:r>
      <w:r w:rsidR="0040635C">
        <w:rPr>
          <w:rFonts w:eastAsia="Arial"/>
        </w:rPr>
        <w:t>16</w:t>
      </w:r>
      <w:r w:rsidR="007A077E">
        <w:rPr>
          <w:rFonts w:eastAsia="Arial"/>
        </w:rPr>
        <w:fldChar w:fldCharType="end"/>
      </w:r>
      <w:r w:rsidRPr="003344A4">
        <w:rPr>
          <w:rFonts w:eastAsia="Arial"/>
        </w:rPr>
        <w:t>: Gorska območja</w:t>
      </w:r>
      <w:bookmarkEnd w:id="68"/>
    </w:p>
    <w:p w14:paraId="5C2B764A" w14:textId="77777777" w:rsidR="006C63D5" w:rsidRPr="003344A4" w:rsidRDefault="006C63D5" w:rsidP="006C63D5">
      <w:pPr>
        <w:spacing w:before="120" w:line="264" w:lineRule="auto"/>
        <w:jc w:val="center"/>
        <w:rPr>
          <w:rFonts w:cs="Arial"/>
          <w:szCs w:val="20"/>
        </w:rPr>
      </w:pPr>
      <w:r w:rsidRPr="003344A4">
        <w:rPr>
          <w:rFonts w:cs="Arial"/>
          <w:noProof/>
          <w:szCs w:val="20"/>
          <w:lang w:eastAsia="sl-SI"/>
        </w:rPr>
        <w:drawing>
          <wp:inline distT="0" distB="0" distL="0" distR="0" wp14:anchorId="78A697A4" wp14:editId="2A146305">
            <wp:extent cx="3321050" cy="2349438"/>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72795" name=""/>
                    <pic:cNvPicPr>
                      <a:picLocks noChangeAspect="1"/>
                    </pic:cNvPicPr>
                  </pic:nvPicPr>
                  <pic:blipFill>
                    <a:blip r:embed="rId31"/>
                    <a:stretch>
                      <a:fillRect/>
                    </a:stretch>
                  </pic:blipFill>
                  <pic:spPr>
                    <a:xfrm>
                      <a:off x="0" y="0"/>
                      <a:ext cx="3323827" cy="2351403"/>
                    </a:xfrm>
                    <a:prstGeom prst="rect">
                      <a:avLst/>
                    </a:prstGeom>
                  </pic:spPr>
                </pic:pic>
              </a:graphicData>
            </a:graphic>
          </wp:inline>
        </w:drawing>
      </w:r>
    </w:p>
    <w:p w14:paraId="02953465" w14:textId="77777777" w:rsidR="006C63D5" w:rsidRPr="00FA04E3" w:rsidRDefault="006C63D5" w:rsidP="006519C3">
      <w:pPr>
        <w:pStyle w:val="Naslov2"/>
        <w:ind w:left="578" w:hanging="578"/>
      </w:pPr>
      <w:bookmarkStart w:id="69" w:name="_Toc42067299"/>
      <w:bookmarkStart w:id="70" w:name="_Toc55912183"/>
      <w:r w:rsidRPr="00FA04E3">
        <w:t>Območja z naravnimi omejitvami</w:t>
      </w:r>
      <w:bookmarkEnd w:id="69"/>
      <w:bookmarkEnd w:id="70"/>
    </w:p>
    <w:p w14:paraId="3107BB84" w14:textId="77777777" w:rsidR="006C63D5" w:rsidRPr="003344A4" w:rsidRDefault="006C63D5" w:rsidP="00AD76B1">
      <w:pPr>
        <w:spacing w:before="120" w:line="360" w:lineRule="auto"/>
        <w:jc w:val="both"/>
        <w:rPr>
          <w:rFonts w:cs="Arial"/>
          <w:szCs w:val="20"/>
        </w:rPr>
      </w:pPr>
      <w:r w:rsidRPr="003344A4">
        <w:rPr>
          <w:rFonts w:cs="Arial"/>
          <w:szCs w:val="20"/>
        </w:rPr>
        <w:t>Območja, ki imajo pomembne naravne omejitve, predstavljajo v Sloveniji 7,2 % površine države, kjer se nahaja 7,9% kmetijskih zemljišč.</w:t>
      </w:r>
    </w:p>
    <w:p w14:paraId="10B192F8" w14:textId="2EF8CD46" w:rsidR="006C63D5" w:rsidRPr="003344A4" w:rsidRDefault="006C63D5" w:rsidP="00AD76B1">
      <w:pPr>
        <w:spacing w:before="120" w:line="360" w:lineRule="auto"/>
        <w:jc w:val="both"/>
        <w:rPr>
          <w:rFonts w:cs="Arial"/>
          <w:szCs w:val="20"/>
        </w:rPr>
      </w:pPr>
      <w:r w:rsidRPr="003344A4">
        <w:rPr>
          <w:rFonts w:cs="Arial"/>
          <w:szCs w:val="20"/>
        </w:rPr>
        <w:t>Zaradi prepleta različnih talnih in s tem tudi proizvodnih pogojev za kmetovanje je v tem območju prisotna različna raba kmetijskih površin. Predvsem neugodne talne razmere ne omogočajo razvoj</w:t>
      </w:r>
      <w:r w:rsidR="00C9712F">
        <w:rPr>
          <w:rFonts w:cs="Arial"/>
          <w:szCs w:val="20"/>
        </w:rPr>
        <w:t>a</w:t>
      </w:r>
      <w:r w:rsidRPr="003344A4">
        <w:rPr>
          <w:rFonts w:cs="Arial"/>
          <w:szCs w:val="20"/>
        </w:rPr>
        <w:t xml:space="preserve"> intenzivnih kmetijskih panog. Za ohranitev mozaične pokrajine je potrebno nadaljevati z ekstenzivnim kmetovanjem, da se ohrani proizvodni potencial kmetijskih zemljišč in s tem vzdrževana kulturna krajina. To je predpogoj za nadaljnjo ohranitev ugodnega stanja na področju biotske raznovrstnosti ter omogoča razvoj turističnega potenciala.</w:t>
      </w:r>
    </w:p>
    <w:p w14:paraId="076000AD" w14:textId="2A691827" w:rsidR="006C63D5" w:rsidRPr="00FA04E3" w:rsidRDefault="00FA04E3" w:rsidP="00FA04E3">
      <w:pPr>
        <w:pStyle w:val="SCslika"/>
        <w:rPr>
          <w:rFonts w:eastAsia="Arial"/>
        </w:rPr>
      </w:pPr>
      <w:bookmarkStart w:id="71" w:name="_Toc55913768"/>
      <w:r w:rsidRPr="003344A4">
        <w:rPr>
          <w:rFonts w:eastAsia="Arial"/>
        </w:rPr>
        <w:t xml:space="preserve">Slika </w:t>
      </w:r>
      <w:r w:rsidR="007A077E">
        <w:rPr>
          <w:rFonts w:eastAsia="Arial"/>
        </w:rPr>
        <w:fldChar w:fldCharType="begin"/>
      </w:r>
      <w:r w:rsidR="007A077E">
        <w:rPr>
          <w:rFonts w:eastAsia="Arial"/>
        </w:rPr>
        <w:instrText xml:space="preserve"> SEQ Slika \* ARABIC </w:instrText>
      </w:r>
      <w:r w:rsidR="007A077E">
        <w:rPr>
          <w:rFonts w:eastAsia="Arial"/>
        </w:rPr>
        <w:fldChar w:fldCharType="separate"/>
      </w:r>
      <w:r w:rsidR="0040635C">
        <w:rPr>
          <w:rFonts w:eastAsia="Arial"/>
        </w:rPr>
        <w:t>17</w:t>
      </w:r>
      <w:r w:rsidR="007A077E">
        <w:rPr>
          <w:rFonts w:eastAsia="Arial"/>
        </w:rPr>
        <w:fldChar w:fldCharType="end"/>
      </w:r>
      <w:r w:rsidRPr="003344A4">
        <w:rPr>
          <w:rFonts w:eastAsia="Arial"/>
        </w:rPr>
        <w:t>: Območja z naravnimi omejitvami</w:t>
      </w:r>
      <w:bookmarkEnd w:id="71"/>
    </w:p>
    <w:p w14:paraId="09069264" w14:textId="77777777" w:rsidR="006C63D5" w:rsidRPr="003344A4" w:rsidRDefault="006C63D5" w:rsidP="006C63D5">
      <w:pPr>
        <w:spacing w:before="120" w:line="264" w:lineRule="auto"/>
        <w:jc w:val="center"/>
        <w:rPr>
          <w:rFonts w:cs="Arial"/>
          <w:szCs w:val="20"/>
        </w:rPr>
      </w:pPr>
      <w:r w:rsidRPr="003344A4">
        <w:rPr>
          <w:rFonts w:cs="Arial"/>
          <w:noProof/>
          <w:szCs w:val="20"/>
          <w:lang w:eastAsia="sl-SI"/>
        </w:rPr>
        <w:drawing>
          <wp:inline distT="0" distB="0" distL="0" distR="0" wp14:anchorId="6B2774C8" wp14:editId="63B7FECF">
            <wp:extent cx="3543300" cy="2506104"/>
            <wp:effectExtent l="0" t="0" r="0" b="889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093295" name=""/>
                    <pic:cNvPicPr>
                      <a:picLocks noChangeAspect="1"/>
                    </pic:cNvPicPr>
                  </pic:nvPicPr>
                  <pic:blipFill>
                    <a:blip r:embed="rId32"/>
                    <a:stretch>
                      <a:fillRect/>
                    </a:stretch>
                  </pic:blipFill>
                  <pic:spPr>
                    <a:xfrm>
                      <a:off x="0" y="0"/>
                      <a:ext cx="3549736" cy="2510656"/>
                    </a:xfrm>
                    <a:prstGeom prst="rect">
                      <a:avLst/>
                    </a:prstGeom>
                  </pic:spPr>
                </pic:pic>
              </a:graphicData>
            </a:graphic>
          </wp:inline>
        </w:drawing>
      </w:r>
    </w:p>
    <w:p w14:paraId="6E29C560" w14:textId="77777777" w:rsidR="006C63D5" w:rsidRPr="003344A4" w:rsidRDefault="006C63D5" w:rsidP="006C63D5">
      <w:pPr>
        <w:spacing w:before="120" w:line="264" w:lineRule="auto"/>
        <w:jc w:val="right"/>
        <w:rPr>
          <w:rFonts w:cs="Arial"/>
          <w:szCs w:val="20"/>
        </w:rPr>
      </w:pPr>
    </w:p>
    <w:p w14:paraId="5385EF81" w14:textId="77777777" w:rsidR="006C63D5" w:rsidRPr="00FA04E3" w:rsidRDefault="006C63D5" w:rsidP="006519C3">
      <w:pPr>
        <w:pStyle w:val="Naslov2"/>
        <w:ind w:left="578" w:hanging="578"/>
      </w:pPr>
      <w:bookmarkStart w:id="72" w:name="_Toc42067300"/>
      <w:bookmarkStart w:id="73" w:name="_Toc55912184"/>
      <w:r w:rsidRPr="00FA04E3">
        <w:lastRenderedPageBreak/>
        <w:t>Območja s posebnimi omejitvami</w:t>
      </w:r>
      <w:bookmarkEnd w:id="72"/>
      <w:bookmarkEnd w:id="73"/>
    </w:p>
    <w:p w14:paraId="54421CFA" w14:textId="5DC36F6E" w:rsidR="006C63D5" w:rsidRPr="003344A4" w:rsidRDefault="006C63D5" w:rsidP="00AD76B1">
      <w:pPr>
        <w:spacing w:before="120" w:line="360" w:lineRule="auto"/>
        <w:jc w:val="both"/>
        <w:rPr>
          <w:rFonts w:cs="Arial"/>
          <w:szCs w:val="20"/>
        </w:rPr>
      </w:pPr>
      <w:r w:rsidRPr="003344A4">
        <w:rPr>
          <w:rFonts w:cs="Arial"/>
          <w:szCs w:val="20"/>
        </w:rPr>
        <w:t xml:space="preserve">Območja s posebnimi omejitvami predstavljajo v Sloveniji 7,1 % površine države, kjer se nahaja 12,5 % kmetijskih zemljišč. Kmetje gospodarijo na območjih, ki so prizadeta zaradi specifičnih omejitev, kot so pogoste poplave, prisotnost močne burje, območje barja, prisotnost izrazitih kraških pojavov ter velika reliefna razgibanost gričevja severovzhodne Slovenije. V vsakem od teh območij krojijo kmetijsko pridelavo drugačne omejitve in se morajo kmetje na njih tudi različno prilagajati oziroma jim </w:t>
      </w:r>
      <w:r w:rsidR="00C9712F">
        <w:rPr>
          <w:rFonts w:cs="Arial"/>
          <w:szCs w:val="20"/>
        </w:rPr>
        <w:t xml:space="preserve">le-te </w:t>
      </w:r>
      <w:r w:rsidRPr="003344A4">
        <w:rPr>
          <w:rFonts w:cs="Arial"/>
          <w:szCs w:val="20"/>
        </w:rPr>
        <w:t xml:space="preserve">povzročajo različne dodatne stroške ali izpad dohodka. </w:t>
      </w:r>
    </w:p>
    <w:p w14:paraId="075E78FE" w14:textId="77777777" w:rsidR="006C63D5" w:rsidRPr="003344A4" w:rsidRDefault="006C63D5" w:rsidP="00AD76B1">
      <w:pPr>
        <w:spacing w:before="120" w:line="360" w:lineRule="auto"/>
        <w:jc w:val="both"/>
        <w:rPr>
          <w:rFonts w:cs="Arial"/>
          <w:szCs w:val="20"/>
        </w:rPr>
      </w:pPr>
      <w:r w:rsidRPr="003344A4">
        <w:rPr>
          <w:rFonts w:cs="Arial"/>
          <w:szCs w:val="20"/>
        </w:rPr>
        <w:t xml:space="preserve">Tudi zaradi navedenih naravnih posebnosti se pomemben del kmetijskih zemljišč še obdeluje na naravi prijazen in pretežno ekstenzivni način. Posledično je zaradi visoke stopnje biotske raznovrstnosti nekaj območij s posebnimi omejitvami v celoti vključeno v omrežje Natura 2000 (Goričko, Ljubljansko barje, Kras,…). Čeprav je ponekod opazen vpliv </w:t>
      </w:r>
      <w:proofErr w:type="spellStart"/>
      <w:r w:rsidRPr="003344A4">
        <w:rPr>
          <w:rFonts w:cs="Arial"/>
          <w:szCs w:val="20"/>
        </w:rPr>
        <w:t>intenzifikacije</w:t>
      </w:r>
      <w:proofErr w:type="spellEnd"/>
      <w:r w:rsidRPr="003344A4">
        <w:rPr>
          <w:rFonts w:cs="Arial"/>
          <w:szCs w:val="20"/>
        </w:rPr>
        <w:t xml:space="preserve"> kmetijstva, se hkrati pojavlja opuščanje ekstenzivnih kmetijskih zemljišč, ki za intenzivno kmetovanje niso primerna. Z nadaljnjo rabo in obdelanostjo kmetijskih zemljišč se tako ohranjajo značilni habitatni tipi in vrste. </w:t>
      </w:r>
    </w:p>
    <w:p w14:paraId="4E545767" w14:textId="77777777" w:rsidR="006C63D5" w:rsidRPr="003344A4" w:rsidRDefault="006C63D5" w:rsidP="00AD76B1">
      <w:pPr>
        <w:spacing w:before="120" w:line="360" w:lineRule="auto"/>
        <w:jc w:val="both"/>
        <w:rPr>
          <w:rFonts w:cs="Arial"/>
          <w:szCs w:val="20"/>
        </w:rPr>
      </w:pPr>
      <w:r w:rsidRPr="003344A4">
        <w:rPr>
          <w:rFonts w:cs="Arial"/>
          <w:szCs w:val="20"/>
        </w:rPr>
        <w:t>Mozaična kulturna krajina, velika biotska raznovrstnost in usmerjenost kmetijskih gospodarstev tudi v dopolnilne dejavnosti, predstavlja v teh območjih privlačen prostor za rekreacijo in preživljanje prostega časa, prebivalcem pa se poleg kmetovanja ponuja priložnost izrabiti obstoječe danosti kot pomemben turističen potencial.</w:t>
      </w:r>
    </w:p>
    <w:p w14:paraId="2A706634" w14:textId="5760A1A8" w:rsidR="00FA04E3" w:rsidRPr="003344A4" w:rsidRDefault="00FA04E3" w:rsidP="00FA04E3">
      <w:pPr>
        <w:pStyle w:val="SCslika"/>
        <w:rPr>
          <w:rFonts w:eastAsia="Arial"/>
        </w:rPr>
      </w:pPr>
      <w:bookmarkStart w:id="74" w:name="_Toc55913769"/>
      <w:r w:rsidRPr="003344A4">
        <w:rPr>
          <w:rFonts w:eastAsia="Arial"/>
        </w:rPr>
        <w:t xml:space="preserve">Slika </w:t>
      </w:r>
      <w:r w:rsidR="007A077E">
        <w:rPr>
          <w:rFonts w:eastAsia="Arial"/>
        </w:rPr>
        <w:fldChar w:fldCharType="begin"/>
      </w:r>
      <w:r w:rsidR="007A077E">
        <w:rPr>
          <w:rFonts w:eastAsia="Arial"/>
        </w:rPr>
        <w:instrText xml:space="preserve"> SEQ Slika \* ARABIC </w:instrText>
      </w:r>
      <w:r w:rsidR="007A077E">
        <w:rPr>
          <w:rFonts w:eastAsia="Arial"/>
        </w:rPr>
        <w:fldChar w:fldCharType="separate"/>
      </w:r>
      <w:r w:rsidR="0040635C">
        <w:rPr>
          <w:rFonts w:eastAsia="Arial"/>
        </w:rPr>
        <w:t>18</w:t>
      </w:r>
      <w:r w:rsidR="007A077E">
        <w:rPr>
          <w:rFonts w:eastAsia="Arial"/>
        </w:rPr>
        <w:fldChar w:fldCharType="end"/>
      </w:r>
      <w:r w:rsidRPr="003344A4">
        <w:rPr>
          <w:rFonts w:eastAsia="Arial"/>
        </w:rPr>
        <w:t>: Območja s posebnimi omejitvami</w:t>
      </w:r>
      <w:bookmarkEnd w:id="74"/>
    </w:p>
    <w:p w14:paraId="14A9EDED" w14:textId="77777777" w:rsidR="006C63D5" w:rsidRPr="003344A4" w:rsidRDefault="006C63D5" w:rsidP="006C63D5">
      <w:pPr>
        <w:rPr>
          <w:rFonts w:cs="Arial"/>
        </w:rPr>
      </w:pPr>
    </w:p>
    <w:p w14:paraId="561958F7" w14:textId="77777777" w:rsidR="006C63D5" w:rsidRPr="003344A4" w:rsidRDefault="006C63D5" w:rsidP="006C63D5">
      <w:pPr>
        <w:jc w:val="center"/>
        <w:rPr>
          <w:rFonts w:cs="Arial"/>
        </w:rPr>
      </w:pPr>
      <w:r w:rsidRPr="003344A4">
        <w:rPr>
          <w:rFonts w:cs="Arial"/>
          <w:noProof/>
          <w:lang w:eastAsia="sl-SI"/>
        </w:rPr>
        <w:drawing>
          <wp:inline distT="0" distB="0" distL="0" distR="0" wp14:anchorId="24B7499B" wp14:editId="268F8332">
            <wp:extent cx="3448050" cy="2441378"/>
            <wp:effectExtent l="0" t="0" r="0" b="0"/>
            <wp:docPr id="1631865537" name="Slika 163186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00610" name=""/>
                    <pic:cNvPicPr>
                      <a:picLocks noChangeAspect="1"/>
                    </pic:cNvPicPr>
                  </pic:nvPicPr>
                  <pic:blipFill>
                    <a:blip r:embed="rId33"/>
                    <a:stretch>
                      <a:fillRect/>
                    </a:stretch>
                  </pic:blipFill>
                  <pic:spPr>
                    <a:xfrm>
                      <a:off x="0" y="0"/>
                      <a:ext cx="3453061" cy="2444926"/>
                    </a:xfrm>
                    <a:prstGeom prst="rect">
                      <a:avLst/>
                    </a:prstGeom>
                  </pic:spPr>
                </pic:pic>
              </a:graphicData>
            </a:graphic>
          </wp:inline>
        </w:drawing>
      </w:r>
    </w:p>
    <w:p w14:paraId="5BACAB0B" w14:textId="77777777" w:rsidR="006C63D5" w:rsidRPr="003344A4" w:rsidRDefault="006C63D5" w:rsidP="006C63D5">
      <w:pPr>
        <w:jc w:val="center"/>
        <w:rPr>
          <w:rFonts w:cs="Arial"/>
        </w:rPr>
      </w:pPr>
    </w:p>
    <w:p w14:paraId="0A2ABD2F" w14:textId="77777777" w:rsidR="006C63D5" w:rsidRPr="003344A4" w:rsidRDefault="006C63D5" w:rsidP="006C63D5">
      <w:pPr>
        <w:rPr>
          <w:rFonts w:cs="Arial"/>
        </w:rPr>
      </w:pPr>
    </w:p>
    <w:p w14:paraId="24A8750A" w14:textId="77777777" w:rsidR="006C63D5" w:rsidRPr="003344A4" w:rsidRDefault="006C63D5" w:rsidP="006C63D5">
      <w:pPr>
        <w:rPr>
          <w:rFonts w:cs="Arial"/>
        </w:rPr>
      </w:pPr>
    </w:p>
    <w:p w14:paraId="6D9EC69D" w14:textId="08CF961D" w:rsidR="006C63D5" w:rsidRPr="00FA04E3" w:rsidRDefault="006412DC" w:rsidP="006519C3">
      <w:pPr>
        <w:pStyle w:val="Naslov2"/>
        <w:ind w:left="578" w:hanging="578"/>
      </w:pPr>
      <w:bookmarkStart w:id="75" w:name="_Toc42067301"/>
      <w:bookmarkStart w:id="76" w:name="_Toc55912185"/>
      <w:r w:rsidRPr="00FA04E3">
        <w:lastRenderedPageBreak/>
        <w:t>Struktura kmetijskih gospodarstev</w:t>
      </w:r>
      <w:bookmarkEnd w:id="75"/>
      <w:bookmarkEnd w:id="76"/>
    </w:p>
    <w:p w14:paraId="7F3667E6" w14:textId="77777777" w:rsidR="006C63D5" w:rsidRPr="00FA04E3" w:rsidRDefault="006C63D5" w:rsidP="006519C3">
      <w:pPr>
        <w:pStyle w:val="Naslov2"/>
        <w:ind w:left="578" w:hanging="578"/>
      </w:pPr>
      <w:bookmarkStart w:id="77" w:name="_Toc42067302"/>
      <w:bookmarkStart w:id="78" w:name="_Toc55912186"/>
      <w:r w:rsidRPr="00FA04E3">
        <w:t>Povprečno kmetijsko gospodarstvo v Sloveniji</w:t>
      </w:r>
      <w:bookmarkEnd w:id="77"/>
      <w:bookmarkEnd w:id="78"/>
    </w:p>
    <w:p w14:paraId="653CCDED" w14:textId="77777777" w:rsidR="006C63D5" w:rsidRPr="003344A4" w:rsidRDefault="006C63D5" w:rsidP="00AD76B1">
      <w:pPr>
        <w:spacing w:before="120" w:line="360" w:lineRule="auto"/>
        <w:jc w:val="both"/>
        <w:rPr>
          <w:rFonts w:cs="Arial"/>
          <w:szCs w:val="20"/>
        </w:rPr>
      </w:pPr>
      <w:r w:rsidRPr="003344A4">
        <w:rPr>
          <w:rFonts w:cs="Arial"/>
          <w:szCs w:val="20"/>
        </w:rPr>
        <w:t>Povprečno kmetijsko gospodarstvo v EU-28 obdeluje 14,8 ha njiv in 13,5 ha travinja. To je skoraj petkrat oziroma trikrat več kot povprečno slovensko kmetijsko gospodarstvo (3,2 ha njiv in 4,7 ha travinja). Podobno razmerje velja tudi pri trajnih nasadih, kjer v EU–28 kmetijska gospodarstva v povprečju obdelujejo 2,7 ha trajnih nasadov, kar je skoraj štirikrat več kot v Sloveniji (0,7 ha).</w:t>
      </w:r>
      <w:r w:rsidRPr="003344A4">
        <w:rPr>
          <w:rFonts w:cs="Arial"/>
          <w:szCs w:val="20"/>
          <w:vertAlign w:val="superscript"/>
        </w:rPr>
        <w:footnoteReference w:id="6"/>
      </w:r>
    </w:p>
    <w:p w14:paraId="68B4E22C" w14:textId="03F8576D" w:rsidR="006C63D5" w:rsidRDefault="006C63D5" w:rsidP="00AD76B1">
      <w:pPr>
        <w:spacing w:before="120" w:line="360" w:lineRule="auto"/>
        <w:jc w:val="both"/>
        <w:rPr>
          <w:rFonts w:cs="Arial"/>
          <w:szCs w:val="20"/>
        </w:rPr>
      </w:pPr>
      <w:r w:rsidRPr="003344A4">
        <w:rPr>
          <w:rFonts w:cs="Arial"/>
          <w:szCs w:val="20"/>
        </w:rPr>
        <w:t xml:space="preserve">Na povprečno velikem kmetijskem gospodarstvu v Sloveniji so v letu 2016 obdelovali 6,9 ha kmetijskih zemljišč (0,3 ha več kot v letu 2013) in so redili 6,0 GVŽ (0,5 več kot v letu 2013) ter gospodarili s povprečno 5,6 ha gozda. </w:t>
      </w:r>
      <w:r w:rsidR="00C9712F">
        <w:rPr>
          <w:rFonts w:cs="Arial"/>
          <w:szCs w:val="20"/>
        </w:rPr>
        <w:t>KMG je o</w:t>
      </w:r>
      <w:r w:rsidRPr="003344A4">
        <w:rPr>
          <w:rFonts w:cs="Arial"/>
          <w:szCs w:val="20"/>
        </w:rPr>
        <w:t>bdelovalo 0,10 hektarja trajnih travnikov in pašnikov več kot v letu 2013 (3,91 ha), 0,11 hektarja več njiv (2,51 ha) in enako površino trajnih nasadov kot v letu 2013 (0,38 ha). Povprečni standardni prihodek na kmetijsko gospodarstvo je v 2016 znašal 16.577 evrov (v 2013: 13.944). Povprečno je bilo na kmetijskem gospodarstvu zaposlenih 2,8 osebe oz. 1,1 PDM.</w:t>
      </w:r>
      <w:r w:rsidRPr="003344A4">
        <w:rPr>
          <w:rFonts w:cs="Arial"/>
          <w:szCs w:val="20"/>
          <w:vertAlign w:val="superscript"/>
        </w:rPr>
        <w:footnoteReference w:id="7"/>
      </w:r>
    </w:p>
    <w:p w14:paraId="7E55B375" w14:textId="77777777" w:rsidR="006C63D5" w:rsidRPr="003344A4" w:rsidRDefault="006C63D5" w:rsidP="006C63D5">
      <w:pPr>
        <w:spacing w:before="120" w:line="264" w:lineRule="auto"/>
        <w:rPr>
          <w:rFonts w:cs="Arial"/>
          <w:szCs w:val="20"/>
        </w:rPr>
      </w:pPr>
    </w:p>
    <w:p w14:paraId="38D28AE9" w14:textId="77777777" w:rsidR="006C63D5" w:rsidRPr="00B26693" w:rsidRDefault="006C63D5" w:rsidP="006519C3">
      <w:pPr>
        <w:pStyle w:val="Naslov2"/>
        <w:ind w:left="578" w:hanging="578"/>
      </w:pPr>
      <w:bookmarkStart w:id="79" w:name="_Toc31893481"/>
      <w:bookmarkStart w:id="80" w:name="_Toc42067303"/>
      <w:bookmarkStart w:id="81" w:name="_Toc55912187"/>
      <w:r w:rsidRPr="00B26693">
        <w:t xml:space="preserve">Število </w:t>
      </w:r>
      <w:bookmarkEnd w:id="79"/>
      <w:r w:rsidRPr="00B26693">
        <w:t>kmetijskih gospodarstev</w:t>
      </w:r>
      <w:bookmarkEnd w:id="80"/>
      <w:bookmarkEnd w:id="81"/>
    </w:p>
    <w:p w14:paraId="0027ECC8" w14:textId="73022A58" w:rsidR="006C63D5" w:rsidRPr="003344A4" w:rsidRDefault="006C63D5" w:rsidP="00AD76B1">
      <w:pPr>
        <w:spacing w:before="120" w:line="360" w:lineRule="auto"/>
        <w:jc w:val="both"/>
        <w:rPr>
          <w:rFonts w:cs="Arial"/>
          <w:szCs w:val="20"/>
        </w:rPr>
      </w:pPr>
      <w:r w:rsidRPr="003344A4">
        <w:rPr>
          <w:rFonts w:cs="Arial"/>
          <w:szCs w:val="20"/>
        </w:rPr>
        <w:t>Po podatkih strukturnega raziskovanja kmetijstva v letu 2016 je bilo v državah EU–28 nekaj manj kot 10,5 milijona kmetijskih gospodarstev. Nadaljuje se trend zmanjševanja števila kmetijskih gospodarstev, saj se je na ravni celotne EU v primerjavi z letom 2010 njihovo število zmanjšalo za 1,8 milijona oziroma za 15 %.</w:t>
      </w:r>
      <w:r w:rsidRPr="003344A4">
        <w:rPr>
          <w:rFonts w:cs="Arial"/>
          <w:szCs w:val="20"/>
          <w:vertAlign w:val="superscript"/>
        </w:rPr>
        <w:footnoteReference w:id="8"/>
      </w:r>
      <w:r w:rsidRPr="003344A4">
        <w:rPr>
          <w:rFonts w:cs="Arial"/>
          <w:szCs w:val="20"/>
        </w:rPr>
        <w:t xml:space="preserve"> Po statističnih podatkih </w:t>
      </w:r>
      <w:r w:rsidR="00C9712F">
        <w:rPr>
          <w:rFonts w:cs="Arial"/>
          <w:szCs w:val="20"/>
        </w:rPr>
        <w:t>sta</w:t>
      </w:r>
      <w:r w:rsidRPr="003344A4">
        <w:rPr>
          <w:rFonts w:cs="Arial"/>
          <w:szCs w:val="20"/>
        </w:rPr>
        <w:t xml:space="preserve"> bil</w:t>
      </w:r>
      <w:r w:rsidR="00C9712F">
        <w:rPr>
          <w:rFonts w:cs="Arial"/>
          <w:szCs w:val="20"/>
        </w:rPr>
        <w:t>i</w:t>
      </w:r>
      <w:r w:rsidRPr="003344A4">
        <w:rPr>
          <w:rFonts w:cs="Arial"/>
          <w:szCs w:val="20"/>
        </w:rPr>
        <w:t xml:space="preserve"> 1. junija 2016 v Sloveniji 69.902 kmetijski gospodarstvi. Od tega je bilo 231 kmetijskih podjetij, </w:t>
      </w:r>
      <w:r w:rsidR="00C9712F">
        <w:rPr>
          <w:rFonts w:cs="Arial"/>
          <w:szCs w:val="20"/>
        </w:rPr>
        <w:t>preostalo</w:t>
      </w:r>
      <w:r w:rsidRPr="003344A4">
        <w:rPr>
          <w:rFonts w:cs="Arial"/>
          <w:szCs w:val="20"/>
        </w:rPr>
        <w:t xml:space="preserve"> so bile družinske kmetije (69.671).</w:t>
      </w:r>
      <w:r w:rsidRPr="003344A4">
        <w:rPr>
          <w:rFonts w:cs="Arial"/>
          <w:szCs w:val="20"/>
          <w:vertAlign w:val="superscript"/>
        </w:rPr>
        <w:footnoteReference w:id="9"/>
      </w:r>
      <w:r w:rsidRPr="003344A4">
        <w:rPr>
          <w:rFonts w:cs="Arial"/>
          <w:szCs w:val="20"/>
        </w:rPr>
        <w:t xml:space="preserve"> Skupno število kmetijskih gospodarstev se je zmanjšalo za 6,35 %.</w:t>
      </w:r>
      <w:r w:rsidRPr="003344A4">
        <w:rPr>
          <w:rFonts w:cs="Arial"/>
          <w:szCs w:val="20"/>
          <w:vertAlign w:val="superscript"/>
        </w:rPr>
        <w:footnoteReference w:id="10"/>
      </w:r>
      <w:r w:rsidRPr="003344A4">
        <w:rPr>
          <w:rFonts w:cs="Arial"/>
          <w:szCs w:val="20"/>
        </w:rPr>
        <w:t xml:space="preserve"> </w:t>
      </w:r>
    </w:p>
    <w:p w14:paraId="16B369DC" w14:textId="351F54E0" w:rsidR="006C63D5" w:rsidRPr="003344A4" w:rsidRDefault="006C63D5" w:rsidP="00AD76B1">
      <w:pPr>
        <w:spacing w:before="120" w:line="360" w:lineRule="auto"/>
        <w:jc w:val="both"/>
        <w:rPr>
          <w:rFonts w:cs="Arial"/>
          <w:szCs w:val="20"/>
        </w:rPr>
      </w:pPr>
      <w:r w:rsidRPr="003344A4">
        <w:rPr>
          <w:rFonts w:cs="Arial"/>
          <w:szCs w:val="20"/>
        </w:rPr>
        <w:t>V Vzhodni Sloveniji se je nahaja 70,74 % kmetijskih gospodarstev (49.448), v Zahodni Sloveniji pa 29,26 % (20.454). Največ kmetijskih gospodarstev se nahaja v podravski (10.990), v savinjski (10.274) in v jugovzhodni statistični regiji (8.141), daleč najmanj pa v zasavski (1.674).</w:t>
      </w:r>
    </w:p>
    <w:p w14:paraId="7BF0CF0C" w14:textId="77777777" w:rsidR="006C63D5" w:rsidRPr="003344A4" w:rsidRDefault="006C63D5" w:rsidP="00AD76B1">
      <w:pPr>
        <w:spacing w:before="120" w:line="360" w:lineRule="auto"/>
        <w:jc w:val="both"/>
        <w:rPr>
          <w:rFonts w:cs="Arial"/>
          <w:szCs w:val="20"/>
        </w:rPr>
      </w:pPr>
      <w:r w:rsidRPr="003344A4">
        <w:rPr>
          <w:rFonts w:cs="Arial"/>
          <w:szCs w:val="20"/>
        </w:rPr>
        <w:t>Na 40.149 družinskih kmetijah (58 %) je bil pretežni del kmetijske pridelave namenjen za lastno porabo, na 29.523 družinskih kmetijah (42 %) pa je bil pretežni del kmetijskih pridelkov namenjen za prodajo.</w:t>
      </w:r>
      <w:r w:rsidRPr="003344A4">
        <w:rPr>
          <w:rFonts w:cs="Arial"/>
          <w:bCs/>
          <w:szCs w:val="20"/>
          <w:vertAlign w:val="superscript"/>
        </w:rPr>
        <w:footnoteReference w:id="11"/>
      </w:r>
    </w:p>
    <w:p w14:paraId="6043FB6C" w14:textId="77777777" w:rsidR="006C63D5" w:rsidRPr="003344A4" w:rsidRDefault="006C63D5" w:rsidP="006C63D5">
      <w:pPr>
        <w:rPr>
          <w:rFonts w:cs="Arial"/>
        </w:rPr>
      </w:pPr>
    </w:p>
    <w:p w14:paraId="2B11383A" w14:textId="77777777" w:rsidR="006C63D5" w:rsidRPr="00B26693" w:rsidRDefault="006C63D5" w:rsidP="006519C3">
      <w:pPr>
        <w:pStyle w:val="Naslov2"/>
        <w:ind w:left="578" w:hanging="578"/>
      </w:pPr>
      <w:bookmarkStart w:id="82" w:name="_Toc31893482"/>
      <w:bookmarkStart w:id="83" w:name="_Toc42067304"/>
      <w:bookmarkStart w:id="84" w:name="_Toc55912188"/>
      <w:r w:rsidRPr="00B26693">
        <w:lastRenderedPageBreak/>
        <w:t xml:space="preserve">Fizična velikost </w:t>
      </w:r>
      <w:bookmarkEnd w:id="82"/>
      <w:r w:rsidRPr="00B26693">
        <w:t>kmetijskih gospodarstev glede na KZU</w:t>
      </w:r>
      <w:bookmarkEnd w:id="83"/>
      <w:bookmarkEnd w:id="84"/>
    </w:p>
    <w:p w14:paraId="4F428970" w14:textId="77777777" w:rsidR="00C473E5" w:rsidRDefault="006C63D5" w:rsidP="00C473E5">
      <w:pPr>
        <w:spacing w:before="120" w:line="360" w:lineRule="auto"/>
        <w:jc w:val="both"/>
        <w:rPr>
          <w:rFonts w:cs="Arial"/>
          <w:szCs w:val="20"/>
        </w:rPr>
      </w:pPr>
      <w:r w:rsidRPr="003344A4">
        <w:rPr>
          <w:rFonts w:cs="Arial"/>
          <w:szCs w:val="20"/>
        </w:rPr>
        <w:t>Kmetijska gospodarstva v državah EU–28 so v letu 2016 upravljala skoraj 211 milijonov ha zemljišč, pri čemer je bilo v kmetijski rabi dobrih 173 milijonov ha. Povprečno kmetijsko gospodarstvo v EU–28 obdeluje nekaj manj kot 17 ha KZU, kar je za 2,2 ha ali za 15 % več kot leta 2010. Slovenija s slabimi 7 ha KZU na kmetijsko gospodarstvo spada v krog držav z najmanjšo povprečno velikostjo kmetijskih gospodarstev.</w:t>
      </w:r>
      <w:r w:rsidRPr="003344A4">
        <w:rPr>
          <w:rFonts w:cs="Arial"/>
          <w:szCs w:val="20"/>
          <w:vertAlign w:val="superscript"/>
        </w:rPr>
        <w:footnoteReference w:id="12"/>
      </w:r>
      <w:r w:rsidRPr="003344A4">
        <w:rPr>
          <w:rFonts w:cs="Arial"/>
          <w:szCs w:val="20"/>
        </w:rPr>
        <w:t xml:space="preserve"> Kljub temu, da se je število kmetijskih gospodarstev zmanjšalo, pa je površina kmetijskih zemljišč v uporabi ostala skoraj enaka kot v letu 2013.</w:t>
      </w:r>
      <w:r w:rsidRPr="003344A4">
        <w:rPr>
          <w:rFonts w:cs="Arial"/>
          <w:szCs w:val="20"/>
          <w:vertAlign w:val="superscript"/>
        </w:rPr>
        <w:footnoteReference w:id="13"/>
      </w:r>
    </w:p>
    <w:p w14:paraId="4393CC60" w14:textId="072FF6A2" w:rsidR="006C63D5" w:rsidRPr="003344A4" w:rsidRDefault="00C9160B" w:rsidP="00C473E5">
      <w:pPr>
        <w:keepNext/>
        <w:keepLines/>
        <w:spacing w:before="120" w:after="0" w:line="360" w:lineRule="auto"/>
        <w:jc w:val="both"/>
      </w:pPr>
      <w:bookmarkStart w:id="85" w:name="_Toc55913733"/>
      <w:r>
        <w:lastRenderedPageBreak/>
        <w:t>Tabela</w:t>
      </w:r>
      <w:r w:rsidR="006C63D5" w:rsidRPr="003D6FF8">
        <w:t xml:space="preserve"> </w:t>
      </w:r>
      <w:r w:rsidR="0001708D">
        <w:rPr>
          <w:noProof/>
        </w:rPr>
        <w:fldChar w:fldCharType="begin"/>
      </w:r>
      <w:r w:rsidR="0001708D">
        <w:rPr>
          <w:noProof/>
        </w:rPr>
        <w:instrText xml:space="preserve"> SEQ Tabela \* ARABIC </w:instrText>
      </w:r>
      <w:r w:rsidR="0001708D">
        <w:rPr>
          <w:noProof/>
        </w:rPr>
        <w:fldChar w:fldCharType="separate"/>
      </w:r>
      <w:r w:rsidR="00DF0D48">
        <w:rPr>
          <w:noProof/>
        </w:rPr>
        <w:t>22</w:t>
      </w:r>
      <w:r w:rsidR="0001708D">
        <w:rPr>
          <w:noProof/>
        </w:rPr>
        <w:fldChar w:fldCharType="end"/>
      </w:r>
      <w:r w:rsidR="006C63D5" w:rsidRPr="005F6A3A">
        <w:t xml:space="preserve">: </w:t>
      </w:r>
      <w:r w:rsidR="006C63D5" w:rsidRPr="001C5611">
        <w:t>Velikost kmetijskih gospodarstev glede na KZU in standardni prihodek</w:t>
      </w:r>
      <w:bookmarkEnd w:id="85"/>
    </w:p>
    <w:tbl>
      <w:tblPr>
        <w:tblW w:w="5000" w:type="pct"/>
        <w:tblCellMar>
          <w:left w:w="0" w:type="dxa"/>
          <w:right w:w="0" w:type="dxa"/>
        </w:tblCellMar>
        <w:tblLook w:val="04A0" w:firstRow="1" w:lastRow="0" w:firstColumn="1" w:lastColumn="0" w:noHBand="0" w:noVBand="1"/>
      </w:tblPr>
      <w:tblGrid>
        <w:gridCol w:w="682"/>
        <w:gridCol w:w="3777"/>
        <w:gridCol w:w="920"/>
        <w:gridCol w:w="921"/>
        <w:gridCol w:w="921"/>
        <w:gridCol w:w="921"/>
        <w:gridCol w:w="920"/>
      </w:tblGrid>
      <w:tr w:rsidR="006C63D5" w:rsidRPr="00F44FA4" w14:paraId="4BB0A3A7" w14:textId="77777777" w:rsidTr="00684D07">
        <w:trPr>
          <w:trHeight w:val="315"/>
        </w:trPr>
        <w:tc>
          <w:tcPr>
            <w:tcW w:w="377" w:type="pct"/>
            <w:tcBorders>
              <w:top w:val="single" w:sz="4" w:space="0" w:color="auto"/>
              <w:left w:val="single" w:sz="4" w:space="0" w:color="auto"/>
              <w:bottom w:val="single" w:sz="4" w:space="0" w:color="auto"/>
              <w:right w:val="single" w:sz="4" w:space="0" w:color="auto"/>
            </w:tcBorders>
            <w:shd w:val="clear" w:color="000000" w:fill="92D050"/>
            <w:noWrap/>
            <w:tcMar>
              <w:top w:w="15" w:type="dxa"/>
              <w:left w:w="15" w:type="dxa"/>
              <w:bottom w:w="0" w:type="dxa"/>
              <w:right w:w="15" w:type="dxa"/>
            </w:tcMar>
            <w:vAlign w:val="bottom"/>
            <w:hideMark/>
          </w:tcPr>
          <w:p w14:paraId="18146A1A" w14:textId="77777777" w:rsidR="006C63D5" w:rsidRPr="00F44FA4" w:rsidRDefault="006C63D5" w:rsidP="00C473E5">
            <w:pPr>
              <w:keepNext/>
              <w:keepLines/>
              <w:spacing w:after="0"/>
              <w:rPr>
                <w:rFonts w:cs="Arial"/>
                <w:b/>
                <w:bCs/>
                <w:color w:val="000000"/>
                <w:szCs w:val="20"/>
              </w:rPr>
            </w:pPr>
            <w:r w:rsidRPr="00F44FA4">
              <w:rPr>
                <w:rFonts w:cs="Arial"/>
                <w:b/>
                <w:bCs/>
                <w:color w:val="000000"/>
                <w:szCs w:val="20"/>
              </w:rPr>
              <w:t>C.12</w:t>
            </w:r>
          </w:p>
        </w:tc>
        <w:tc>
          <w:tcPr>
            <w:tcW w:w="2084" w:type="pct"/>
            <w:tcBorders>
              <w:top w:val="single" w:sz="4"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bottom"/>
            <w:hideMark/>
          </w:tcPr>
          <w:p w14:paraId="62371826" w14:textId="77777777" w:rsidR="006C63D5" w:rsidRPr="00F44FA4" w:rsidRDefault="006C63D5" w:rsidP="00C473E5">
            <w:pPr>
              <w:keepNext/>
              <w:keepLines/>
              <w:spacing w:after="0"/>
              <w:rPr>
                <w:rFonts w:cs="Arial"/>
                <w:b/>
                <w:bCs/>
                <w:color w:val="000000"/>
                <w:szCs w:val="20"/>
              </w:rPr>
            </w:pPr>
            <w:r w:rsidRPr="00F44FA4">
              <w:rPr>
                <w:rFonts w:cs="Arial"/>
                <w:b/>
                <w:bCs/>
                <w:color w:val="000000"/>
                <w:szCs w:val="20"/>
              </w:rPr>
              <w:t>Kmetijska gospodarstva (kmetije)</w:t>
            </w:r>
          </w:p>
        </w:tc>
        <w:tc>
          <w:tcPr>
            <w:tcW w:w="508" w:type="pct"/>
            <w:tcBorders>
              <w:top w:val="single" w:sz="4"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76A64630" w14:textId="77777777" w:rsidR="006C63D5" w:rsidRPr="00F44FA4" w:rsidRDefault="006C63D5" w:rsidP="00C473E5">
            <w:pPr>
              <w:keepNext/>
              <w:keepLines/>
              <w:spacing w:after="0"/>
              <w:jc w:val="right"/>
              <w:rPr>
                <w:rFonts w:cs="Arial"/>
                <w:b/>
                <w:bCs/>
                <w:color w:val="000000"/>
                <w:szCs w:val="20"/>
              </w:rPr>
            </w:pPr>
            <w:r w:rsidRPr="00F44FA4">
              <w:rPr>
                <w:rFonts w:cs="Arial"/>
                <w:b/>
                <w:bCs/>
                <w:color w:val="000000"/>
                <w:szCs w:val="20"/>
              </w:rPr>
              <w:t>2005</w:t>
            </w:r>
          </w:p>
        </w:tc>
        <w:tc>
          <w:tcPr>
            <w:tcW w:w="508" w:type="pct"/>
            <w:tcBorders>
              <w:top w:val="single" w:sz="4"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63DF9E37" w14:textId="77777777" w:rsidR="006C63D5" w:rsidRPr="00F44FA4" w:rsidRDefault="006C63D5" w:rsidP="00C473E5">
            <w:pPr>
              <w:keepNext/>
              <w:keepLines/>
              <w:spacing w:after="0"/>
              <w:jc w:val="right"/>
              <w:rPr>
                <w:rFonts w:cs="Arial"/>
                <w:b/>
                <w:bCs/>
                <w:color w:val="000000"/>
                <w:szCs w:val="20"/>
              </w:rPr>
            </w:pPr>
            <w:r w:rsidRPr="00F44FA4">
              <w:rPr>
                <w:rFonts w:cs="Arial"/>
                <w:b/>
                <w:bCs/>
                <w:color w:val="000000"/>
                <w:szCs w:val="20"/>
              </w:rPr>
              <w:t>2007</w:t>
            </w:r>
          </w:p>
        </w:tc>
        <w:tc>
          <w:tcPr>
            <w:tcW w:w="508" w:type="pct"/>
            <w:tcBorders>
              <w:top w:val="single" w:sz="4"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14C58AB6" w14:textId="77777777" w:rsidR="006C63D5" w:rsidRPr="00F44FA4" w:rsidRDefault="006C63D5" w:rsidP="00C473E5">
            <w:pPr>
              <w:keepNext/>
              <w:keepLines/>
              <w:spacing w:after="0"/>
              <w:jc w:val="right"/>
              <w:rPr>
                <w:rFonts w:cs="Arial"/>
                <w:b/>
                <w:bCs/>
                <w:color w:val="000000"/>
                <w:szCs w:val="20"/>
              </w:rPr>
            </w:pPr>
            <w:r w:rsidRPr="00F44FA4">
              <w:rPr>
                <w:rFonts w:cs="Arial"/>
                <w:b/>
                <w:bCs/>
                <w:color w:val="000000"/>
                <w:szCs w:val="20"/>
              </w:rPr>
              <w:t>2010</w:t>
            </w:r>
          </w:p>
        </w:tc>
        <w:tc>
          <w:tcPr>
            <w:tcW w:w="508" w:type="pct"/>
            <w:tcBorders>
              <w:top w:val="single" w:sz="4"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79671CB7" w14:textId="77777777" w:rsidR="006C63D5" w:rsidRPr="00F44FA4" w:rsidRDefault="006C63D5" w:rsidP="00C473E5">
            <w:pPr>
              <w:keepNext/>
              <w:keepLines/>
              <w:spacing w:after="0"/>
              <w:jc w:val="right"/>
              <w:rPr>
                <w:rFonts w:cs="Arial"/>
                <w:b/>
                <w:bCs/>
                <w:color w:val="000000"/>
                <w:szCs w:val="20"/>
              </w:rPr>
            </w:pPr>
            <w:r w:rsidRPr="00F44FA4">
              <w:rPr>
                <w:rFonts w:cs="Arial"/>
                <w:b/>
                <w:bCs/>
                <w:color w:val="000000"/>
                <w:szCs w:val="20"/>
              </w:rPr>
              <w:t>2013</w:t>
            </w:r>
          </w:p>
        </w:tc>
        <w:tc>
          <w:tcPr>
            <w:tcW w:w="508" w:type="pct"/>
            <w:tcBorders>
              <w:top w:val="single" w:sz="4" w:space="0" w:color="auto"/>
              <w:left w:val="nil"/>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03C585F4" w14:textId="77777777" w:rsidR="006C63D5" w:rsidRPr="00F44FA4" w:rsidRDefault="006C63D5" w:rsidP="00C473E5">
            <w:pPr>
              <w:keepNext/>
              <w:keepLines/>
              <w:spacing w:after="0"/>
              <w:jc w:val="right"/>
              <w:rPr>
                <w:rFonts w:cs="Arial"/>
                <w:b/>
                <w:bCs/>
                <w:color w:val="000000"/>
                <w:szCs w:val="20"/>
              </w:rPr>
            </w:pPr>
            <w:r w:rsidRPr="00F44FA4">
              <w:rPr>
                <w:rFonts w:cs="Arial"/>
                <w:b/>
                <w:bCs/>
                <w:color w:val="000000"/>
                <w:szCs w:val="20"/>
              </w:rPr>
              <w:t>2016</w:t>
            </w:r>
          </w:p>
        </w:tc>
      </w:tr>
      <w:tr w:rsidR="006C63D5" w:rsidRPr="00F44FA4" w14:paraId="77E8C81B" w14:textId="77777777" w:rsidTr="00684D07">
        <w:trPr>
          <w:trHeight w:val="675"/>
        </w:trPr>
        <w:tc>
          <w:tcPr>
            <w:tcW w:w="377"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3187B" w14:textId="77777777" w:rsidR="006C63D5" w:rsidRPr="00F44FA4" w:rsidRDefault="006C63D5" w:rsidP="00C473E5">
            <w:pPr>
              <w:keepNext/>
              <w:keepLines/>
              <w:rPr>
                <w:rFonts w:cs="Arial"/>
                <w:color w:val="000000"/>
                <w:szCs w:val="20"/>
              </w:rPr>
            </w:pPr>
            <w:r w:rsidRPr="00F44FA4">
              <w:rPr>
                <w:rFonts w:cs="Arial"/>
                <w:color w:val="000000"/>
                <w:szCs w:val="20"/>
              </w:rPr>
              <w:t> </w:t>
            </w:r>
          </w:p>
        </w:tc>
        <w:tc>
          <w:tcPr>
            <w:tcW w:w="20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A4F0639" w14:textId="77777777" w:rsidR="006C63D5" w:rsidRPr="00F44FA4" w:rsidRDefault="006C63D5" w:rsidP="00C473E5">
            <w:pPr>
              <w:keepNext/>
              <w:keepLines/>
              <w:rPr>
                <w:rFonts w:cs="Arial"/>
                <w:color w:val="000000"/>
                <w:szCs w:val="20"/>
              </w:rPr>
            </w:pPr>
            <w:r w:rsidRPr="00F44FA4">
              <w:rPr>
                <w:rFonts w:cs="Arial"/>
                <w:color w:val="000000"/>
                <w:szCs w:val="20"/>
              </w:rPr>
              <w:t>Velikost kmetijskih gospodarstev</w:t>
            </w:r>
            <w:r w:rsidRPr="00F44FA4">
              <w:rPr>
                <w:rFonts w:cs="Arial"/>
                <w:color w:val="000000"/>
                <w:szCs w:val="20"/>
              </w:rPr>
              <w:br/>
              <w:t>gospodarstva s 100 ha in več</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E5C87"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100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053C8"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100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ABDA0"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100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99625"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110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1C469"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120 </w:t>
            </w:r>
          </w:p>
        </w:tc>
      </w:tr>
      <w:tr w:rsidR="006C63D5" w:rsidRPr="00F44FA4" w14:paraId="187CBB1F" w14:textId="77777777" w:rsidTr="00684D07">
        <w:trPr>
          <w:trHeight w:val="315"/>
        </w:trPr>
        <w:tc>
          <w:tcPr>
            <w:tcW w:w="377" w:type="pct"/>
            <w:vMerge/>
            <w:tcBorders>
              <w:top w:val="nil"/>
              <w:left w:val="single" w:sz="4" w:space="0" w:color="auto"/>
              <w:bottom w:val="single" w:sz="4" w:space="0" w:color="auto"/>
              <w:right w:val="single" w:sz="4" w:space="0" w:color="auto"/>
            </w:tcBorders>
            <w:vAlign w:val="center"/>
            <w:hideMark/>
          </w:tcPr>
          <w:p w14:paraId="3851BD74" w14:textId="77777777" w:rsidR="006C63D5" w:rsidRPr="00F44FA4" w:rsidRDefault="006C63D5" w:rsidP="00C473E5">
            <w:pPr>
              <w:keepNext/>
              <w:keepLines/>
              <w:rPr>
                <w:rFonts w:cs="Arial"/>
                <w:color w:val="000000"/>
                <w:szCs w:val="20"/>
              </w:rPr>
            </w:pPr>
          </w:p>
        </w:tc>
        <w:tc>
          <w:tcPr>
            <w:tcW w:w="20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DD88B" w14:textId="77777777" w:rsidR="006C63D5" w:rsidRPr="00F44FA4" w:rsidRDefault="006C63D5" w:rsidP="00C473E5">
            <w:pPr>
              <w:keepNext/>
              <w:keepLines/>
              <w:rPr>
                <w:rFonts w:cs="Arial"/>
                <w:color w:val="000000"/>
                <w:szCs w:val="20"/>
              </w:rPr>
            </w:pPr>
            <w:r w:rsidRPr="00F44FA4">
              <w:rPr>
                <w:rFonts w:cs="Arial"/>
                <w:color w:val="000000"/>
                <w:szCs w:val="20"/>
              </w:rPr>
              <w:t>gospodarstva s 50-99.9 ha</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91854"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210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6FB19"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290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BCAD9"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380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1955D"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420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BE2E8"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500 </w:t>
            </w:r>
          </w:p>
        </w:tc>
      </w:tr>
      <w:tr w:rsidR="006C63D5" w:rsidRPr="00F44FA4" w14:paraId="2571AFDB" w14:textId="77777777" w:rsidTr="00684D07">
        <w:trPr>
          <w:trHeight w:val="315"/>
        </w:trPr>
        <w:tc>
          <w:tcPr>
            <w:tcW w:w="377" w:type="pct"/>
            <w:vMerge/>
            <w:tcBorders>
              <w:top w:val="nil"/>
              <w:left w:val="single" w:sz="4" w:space="0" w:color="auto"/>
              <w:bottom w:val="single" w:sz="4" w:space="0" w:color="auto"/>
              <w:right w:val="single" w:sz="4" w:space="0" w:color="auto"/>
            </w:tcBorders>
            <w:vAlign w:val="center"/>
            <w:hideMark/>
          </w:tcPr>
          <w:p w14:paraId="042349C4" w14:textId="77777777" w:rsidR="006C63D5" w:rsidRPr="00F44FA4" w:rsidRDefault="006C63D5" w:rsidP="00C473E5">
            <w:pPr>
              <w:keepNext/>
              <w:keepLines/>
              <w:rPr>
                <w:rFonts w:cs="Arial"/>
                <w:color w:val="000000"/>
                <w:szCs w:val="20"/>
              </w:rPr>
            </w:pPr>
          </w:p>
        </w:tc>
        <w:tc>
          <w:tcPr>
            <w:tcW w:w="20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18BD7" w14:textId="77777777" w:rsidR="006C63D5" w:rsidRPr="00F44FA4" w:rsidRDefault="006C63D5" w:rsidP="00C473E5">
            <w:pPr>
              <w:keepNext/>
              <w:keepLines/>
              <w:rPr>
                <w:rFonts w:cs="Arial"/>
                <w:color w:val="000000"/>
                <w:szCs w:val="20"/>
              </w:rPr>
            </w:pPr>
            <w:r w:rsidRPr="00F44FA4">
              <w:rPr>
                <w:rFonts w:cs="Arial"/>
                <w:color w:val="000000"/>
                <w:szCs w:val="20"/>
              </w:rPr>
              <w:t>gospodarstva s 30-49.9 ha</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E9450"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720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CBFC4"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890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5A209"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970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61952"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1.070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647EB"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1.250 </w:t>
            </w:r>
          </w:p>
        </w:tc>
      </w:tr>
      <w:tr w:rsidR="006C63D5" w:rsidRPr="00F44FA4" w14:paraId="51B2BA46" w14:textId="77777777" w:rsidTr="00684D07">
        <w:trPr>
          <w:trHeight w:val="315"/>
        </w:trPr>
        <w:tc>
          <w:tcPr>
            <w:tcW w:w="377" w:type="pct"/>
            <w:vMerge/>
            <w:tcBorders>
              <w:top w:val="nil"/>
              <w:left w:val="single" w:sz="4" w:space="0" w:color="auto"/>
              <w:bottom w:val="single" w:sz="4" w:space="0" w:color="auto"/>
              <w:right w:val="single" w:sz="4" w:space="0" w:color="auto"/>
            </w:tcBorders>
            <w:vAlign w:val="center"/>
            <w:hideMark/>
          </w:tcPr>
          <w:p w14:paraId="157421DA" w14:textId="77777777" w:rsidR="006C63D5" w:rsidRPr="00F44FA4" w:rsidRDefault="006C63D5" w:rsidP="00C473E5">
            <w:pPr>
              <w:keepNext/>
              <w:keepLines/>
              <w:rPr>
                <w:rFonts w:cs="Arial"/>
                <w:color w:val="000000"/>
                <w:szCs w:val="20"/>
              </w:rPr>
            </w:pPr>
          </w:p>
        </w:tc>
        <w:tc>
          <w:tcPr>
            <w:tcW w:w="20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37200" w14:textId="77777777" w:rsidR="006C63D5" w:rsidRPr="00F44FA4" w:rsidRDefault="006C63D5" w:rsidP="00C473E5">
            <w:pPr>
              <w:keepNext/>
              <w:keepLines/>
              <w:rPr>
                <w:rFonts w:cs="Arial"/>
                <w:color w:val="000000"/>
                <w:szCs w:val="20"/>
              </w:rPr>
            </w:pPr>
            <w:r w:rsidRPr="00F44FA4">
              <w:rPr>
                <w:rFonts w:cs="Arial"/>
                <w:color w:val="000000"/>
                <w:szCs w:val="20"/>
              </w:rPr>
              <w:t>gospodarstva z 20-29.9 ha</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9409D"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1.710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0C656"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1.890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5C276"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2.020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1EDF4"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2.050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26F40"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2.180 </w:t>
            </w:r>
          </w:p>
        </w:tc>
      </w:tr>
      <w:tr w:rsidR="006C63D5" w:rsidRPr="00F44FA4" w14:paraId="2260E760" w14:textId="77777777" w:rsidTr="00684D07">
        <w:trPr>
          <w:trHeight w:val="315"/>
        </w:trPr>
        <w:tc>
          <w:tcPr>
            <w:tcW w:w="377" w:type="pct"/>
            <w:vMerge/>
            <w:tcBorders>
              <w:top w:val="nil"/>
              <w:left w:val="single" w:sz="4" w:space="0" w:color="auto"/>
              <w:bottom w:val="single" w:sz="4" w:space="0" w:color="auto"/>
              <w:right w:val="single" w:sz="4" w:space="0" w:color="auto"/>
            </w:tcBorders>
            <w:vAlign w:val="center"/>
            <w:hideMark/>
          </w:tcPr>
          <w:p w14:paraId="50A0E8F8" w14:textId="77777777" w:rsidR="006C63D5" w:rsidRPr="00F44FA4" w:rsidRDefault="006C63D5" w:rsidP="00C473E5">
            <w:pPr>
              <w:keepNext/>
              <w:keepLines/>
              <w:rPr>
                <w:rFonts w:cs="Arial"/>
                <w:color w:val="000000"/>
                <w:szCs w:val="20"/>
              </w:rPr>
            </w:pPr>
          </w:p>
        </w:tc>
        <w:tc>
          <w:tcPr>
            <w:tcW w:w="20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64E41" w14:textId="77777777" w:rsidR="006C63D5" w:rsidRPr="00F44FA4" w:rsidRDefault="006C63D5" w:rsidP="00C473E5">
            <w:pPr>
              <w:keepNext/>
              <w:keepLines/>
              <w:rPr>
                <w:rFonts w:cs="Arial"/>
                <w:color w:val="000000"/>
                <w:szCs w:val="20"/>
              </w:rPr>
            </w:pPr>
            <w:r w:rsidRPr="00F44FA4">
              <w:rPr>
                <w:rFonts w:cs="Arial"/>
                <w:color w:val="000000"/>
                <w:szCs w:val="20"/>
              </w:rPr>
              <w:t>gospodarstva z 10-19.9 ha</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4FD7D"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8.820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D7124"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8.550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A258D"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8.350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F8A43"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8.190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7DF5F"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8.230 </w:t>
            </w:r>
          </w:p>
        </w:tc>
      </w:tr>
      <w:tr w:rsidR="006C63D5" w:rsidRPr="00F44FA4" w14:paraId="478B70B0" w14:textId="77777777" w:rsidTr="00684D07">
        <w:trPr>
          <w:trHeight w:val="315"/>
        </w:trPr>
        <w:tc>
          <w:tcPr>
            <w:tcW w:w="377" w:type="pct"/>
            <w:vMerge/>
            <w:tcBorders>
              <w:top w:val="nil"/>
              <w:left w:val="single" w:sz="4" w:space="0" w:color="auto"/>
              <w:bottom w:val="single" w:sz="4" w:space="0" w:color="auto"/>
              <w:right w:val="single" w:sz="4" w:space="0" w:color="auto"/>
            </w:tcBorders>
            <w:vAlign w:val="center"/>
            <w:hideMark/>
          </w:tcPr>
          <w:p w14:paraId="7A9919A0" w14:textId="77777777" w:rsidR="006C63D5" w:rsidRPr="00F44FA4" w:rsidRDefault="006C63D5" w:rsidP="00C473E5">
            <w:pPr>
              <w:keepNext/>
              <w:keepLines/>
              <w:rPr>
                <w:rFonts w:cs="Arial"/>
                <w:color w:val="000000"/>
                <w:szCs w:val="20"/>
              </w:rPr>
            </w:pPr>
          </w:p>
        </w:tc>
        <w:tc>
          <w:tcPr>
            <w:tcW w:w="20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90177" w14:textId="77777777" w:rsidR="006C63D5" w:rsidRPr="00F44FA4" w:rsidRDefault="006C63D5" w:rsidP="00C473E5">
            <w:pPr>
              <w:keepNext/>
              <w:keepLines/>
              <w:rPr>
                <w:rFonts w:cs="Arial"/>
                <w:color w:val="000000"/>
                <w:szCs w:val="20"/>
              </w:rPr>
            </w:pPr>
            <w:r w:rsidRPr="00F44FA4">
              <w:rPr>
                <w:rFonts w:cs="Arial"/>
                <w:color w:val="000000"/>
                <w:szCs w:val="20"/>
              </w:rPr>
              <w:t>gospodarstva s 5-9.9 ha</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A1343"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19.770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1D3CC"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19.140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70682"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17.440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19B6B"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17.260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42AD1"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16.060 </w:t>
            </w:r>
          </w:p>
        </w:tc>
      </w:tr>
      <w:tr w:rsidR="006C63D5" w:rsidRPr="00F44FA4" w14:paraId="3344062D" w14:textId="77777777" w:rsidTr="00684D07">
        <w:trPr>
          <w:trHeight w:val="315"/>
        </w:trPr>
        <w:tc>
          <w:tcPr>
            <w:tcW w:w="377" w:type="pct"/>
            <w:vMerge/>
            <w:tcBorders>
              <w:top w:val="nil"/>
              <w:left w:val="single" w:sz="4" w:space="0" w:color="auto"/>
              <w:bottom w:val="single" w:sz="4" w:space="0" w:color="auto"/>
              <w:right w:val="single" w:sz="4" w:space="0" w:color="auto"/>
            </w:tcBorders>
            <w:vAlign w:val="center"/>
            <w:hideMark/>
          </w:tcPr>
          <w:p w14:paraId="4B6EE4D5" w14:textId="77777777" w:rsidR="006C63D5" w:rsidRPr="00F44FA4" w:rsidRDefault="006C63D5" w:rsidP="00C473E5">
            <w:pPr>
              <w:keepNext/>
              <w:keepLines/>
              <w:rPr>
                <w:rFonts w:cs="Arial"/>
                <w:color w:val="000000"/>
                <w:szCs w:val="20"/>
              </w:rPr>
            </w:pPr>
          </w:p>
        </w:tc>
        <w:tc>
          <w:tcPr>
            <w:tcW w:w="20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D917F" w14:textId="77777777" w:rsidR="006C63D5" w:rsidRPr="00F44FA4" w:rsidRDefault="006C63D5" w:rsidP="00C473E5">
            <w:pPr>
              <w:keepNext/>
              <w:keepLines/>
              <w:rPr>
                <w:rFonts w:cs="Arial"/>
                <w:color w:val="000000"/>
                <w:szCs w:val="20"/>
              </w:rPr>
            </w:pPr>
            <w:r w:rsidRPr="00F44FA4">
              <w:rPr>
                <w:rFonts w:cs="Arial"/>
                <w:color w:val="000000"/>
                <w:szCs w:val="20"/>
              </w:rPr>
              <w:t>gospodarstva z 2-4.9 ha</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3B856"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27.860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3972E"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25.850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B94AD"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24.920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3B04D"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24.810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F52AF"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24.050 </w:t>
            </w:r>
          </w:p>
        </w:tc>
      </w:tr>
      <w:tr w:rsidR="006C63D5" w:rsidRPr="00F44FA4" w14:paraId="4EE232C5" w14:textId="77777777" w:rsidTr="00684D07">
        <w:trPr>
          <w:trHeight w:val="315"/>
        </w:trPr>
        <w:tc>
          <w:tcPr>
            <w:tcW w:w="377" w:type="pct"/>
            <w:vMerge/>
            <w:tcBorders>
              <w:top w:val="nil"/>
              <w:left w:val="single" w:sz="4" w:space="0" w:color="auto"/>
              <w:bottom w:val="single" w:sz="4" w:space="0" w:color="auto"/>
              <w:right w:val="single" w:sz="4" w:space="0" w:color="auto"/>
            </w:tcBorders>
            <w:vAlign w:val="center"/>
            <w:hideMark/>
          </w:tcPr>
          <w:p w14:paraId="53ADB6E7" w14:textId="77777777" w:rsidR="006C63D5" w:rsidRPr="00F44FA4" w:rsidRDefault="006C63D5" w:rsidP="00C473E5">
            <w:pPr>
              <w:keepNext/>
              <w:keepLines/>
              <w:rPr>
                <w:rFonts w:cs="Arial"/>
                <w:color w:val="000000"/>
                <w:szCs w:val="20"/>
              </w:rPr>
            </w:pPr>
          </w:p>
        </w:tc>
        <w:tc>
          <w:tcPr>
            <w:tcW w:w="20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E8B7E" w14:textId="77777777" w:rsidR="006C63D5" w:rsidRPr="00F44FA4" w:rsidRDefault="006C63D5" w:rsidP="00C473E5">
            <w:pPr>
              <w:keepNext/>
              <w:keepLines/>
              <w:rPr>
                <w:rFonts w:cs="Arial"/>
                <w:color w:val="000000"/>
                <w:szCs w:val="20"/>
              </w:rPr>
            </w:pPr>
            <w:r w:rsidRPr="00F44FA4">
              <w:rPr>
                <w:rFonts w:cs="Arial"/>
                <w:color w:val="000000"/>
                <w:szCs w:val="20"/>
              </w:rPr>
              <w:t>gospodarstva z manj kot 2 ha</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A36DE"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17.970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7B12D"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18.620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4CC9C"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20.470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A5E88"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18.460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94393"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17.520 </w:t>
            </w:r>
          </w:p>
        </w:tc>
      </w:tr>
      <w:tr w:rsidR="006C63D5" w:rsidRPr="00F44FA4" w14:paraId="7EA56AA0" w14:textId="77777777" w:rsidTr="00684D07">
        <w:trPr>
          <w:trHeight w:val="630"/>
        </w:trPr>
        <w:tc>
          <w:tcPr>
            <w:tcW w:w="377" w:type="pct"/>
            <w:vMerge/>
            <w:tcBorders>
              <w:top w:val="nil"/>
              <w:left w:val="single" w:sz="4" w:space="0" w:color="auto"/>
              <w:bottom w:val="single" w:sz="4" w:space="0" w:color="auto"/>
              <w:right w:val="single" w:sz="4" w:space="0" w:color="auto"/>
            </w:tcBorders>
            <w:vAlign w:val="center"/>
            <w:hideMark/>
          </w:tcPr>
          <w:p w14:paraId="56C29DA3" w14:textId="77777777" w:rsidR="006C63D5" w:rsidRPr="00F44FA4" w:rsidRDefault="006C63D5" w:rsidP="00C473E5">
            <w:pPr>
              <w:keepNext/>
              <w:keepLines/>
              <w:rPr>
                <w:rFonts w:cs="Arial"/>
                <w:color w:val="000000"/>
                <w:szCs w:val="20"/>
              </w:rPr>
            </w:pPr>
          </w:p>
        </w:tc>
        <w:tc>
          <w:tcPr>
            <w:tcW w:w="20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326498A" w14:textId="77777777" w:rsidR="006C63D5" w:rsidRPr="00F44FA4" w:rsidRDefault="006C63D5" w:rsidP="00C473E5">
            <w:pPr>
              <w:keepNext/>
              <w:keepLines/>
              <w:rPr>
                <w:rFonts w:cs="Arial"/>
                <w:color w:val="000000"/>
                <w:szCs w:val="20"/>
              </w:rPr>
            </w:pPr>
            <w:r w:rsidRPr="00F44FA4">
              <w:rPr>
                <w:rFonts w:cs="Arial"/>
                <w:color w:val="000000"/>
                <w:szCs w:val="20"/>
              </w:rPr>
              <w:t xml:space="preserve">Povprečna velikost gospodarstva </w:t>
            </w:r>
            <w:r w:rsidRPr="00F44FA4">
              <w:rPr>
                <w:rFonts w:cs="Arial"/>
                <w:color w:val="000000"/>
                <w:szCs w:val="20"/>
              </w:rPr>
              <w:br/>
              <w:t>ekonomska velikost (EUR SO)</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FE602" w14:textId="77777777" w:rsidR="006C63D5" w:rsidRPr="00F44FA4" w:rsidRDefault="006C63D5" w:rsidP="00C473E5">
            <w:pPr>
              <w:keepNext/>
              <w:keepLines/>
              <w:jc w:val="right"/>
              <w:rPr>
                <w:rFonts w:cs="Arial"/>
                <w:color w:val="000000"/>
                <w:szCs w:val="20"/>
              </w:rPr>
            </w:pPr>
            <w:r w:rsidRPr="00F44FA4">
              <w:rPr>
                <w:rFonts w:cs="Arial"/>
                <w:color w:val="000000"/>
                <w:szCs w:val="20"/>
              </w:rPr>
              <w:t>10.805,29</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7C162" w14:textId="77777777" w:rsidR="006C63D5" w:rsidRPr="00F44FA4" w:rsidRDefault="006C63D5" w:rsidP="00C473E5">
            <w:pPr>
              <w:keepNext/>
              <w:keepLines/>
              <w:jc w:val="right"/>
              <w:rPr>
                <w:rFonts w:cs="Arial"/>
                <w:color w:val="000000"/>
                <w:szCs w:val="20"/>
              </w:rPr>
            </w:pPr>
            <w:r w:rsidRPr="00F44FA4">
              <w:rPr>
                <w:rFonts w:cs="Arial"/>
                <w:color w:val="000000"/>
                <w:szCs w:val="20"/>
              </w:rPr>
              <w:t>11.746,70</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2914F" w14:textId="77777777" w:rsidR="006C63D5" w:rsidRPr="00F44FA4" w:rsidRDefault="006C63D5" w:rsidP="00C473E5">
            <w:pPr>
              <w:keepNext/>
              <w:keepLines/>
              <w:jc w:val="right"/>
              <w:rPr>
                <w:rFonts w:cs="Arial"/>
                <w:color w:val="000000"/>
                <w:szCs w:val="20"/>
              </w:rPr>
            </w:pPr>
            <w:r w:rsidRPr="00F44FA4">
              <w:rPr>
                <w:rFonts w:cs="Arial"/>
                <w:color w:val="000000"/>
                <w:szCs w:val="20"/>
              </w:rPr>
              <w:t>12.233,01</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D7331" w14:textId="77777777" w:rsidR="006C63D5" w:rsidRPr="00F44FA4" w:rsidRDefault="006C63D5" w:rsidP="00C473E5">
            <w:pPr>
              <w:keepNext/>
              <w:keepLines/>
              <w:jc w:val="right"/>
              <w:rPr>
                <w:rFonts w:cs="Arial"/>
                <w:color w:val="000000"/>
                <w:szCs w:val="20"/>
              </w:rPr>
            </w:pPr>
            <w:r w:rsidRPr="00F44FA4">
              <w:rPr>
                <w:rFonts w:cs="Arial"/>
                <w:color w:val="000000"/>
                <w:szCs w:val="20"/>
              </w:rPr>
              <w:t>13.943,49</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9036D" w14:textId="77777777" w:rsidR="006C63D5" w:rsidRPr="00F44FA4" w:rsidRDefault="006C63D5" w:rsidP="00C473E5">
            <w:pPr>
              <w:keepNext/>
              <w:keepLines/>
              <w:jc w:val="right"/>
              <w:rPr>
                <w:rFonts w:cs="Arial"/>
                <w:color w:val="000000"/>
                <w:szCs w:val="20"/>
              </w:rPr>
            </w:pPr>
            <w:r w:rsidRPr="00F44FA4">
              <w:rPr>
                <w:rFonts w:cs="Arial"/>
                <w:color w:val="000000"/>
                <w:szCs w:val="20"/>
              </w:rPr>
              <w:t>16.577,59</w:t>
            </w:r>
          </w:p>
        </w:tc>
      </w:tr>
      <w:tr w:rsidR="006C63D5" w:rsidRPr="00F44FA4" w14:paraId="1E91C73F" w14:textId="77777777" w:rsidTr="00684D07">
        <w:trPr>
          <w:trHeight w:val="315"/>
        </w:trPr>
        <w:tc>
          <w:tcPr>
            <w:tcW w:w="377" w:type="pct"/>
            <w:vMerge/>
            <w:tcBorders>
              <w:top w:val="nil"/>
              <w:left w:val="single" w:sz="4" w:space="0" w:color="auto"/>
              <w:bottom w:val="single" w:sz="4" w:space="0" w:color="auto"/>
              <w:right w:val="single" w:sz="4" w:space="0" w:color="auto"/>
            </w:tcBorders>
            <w:vAlign w:val="center"/>
            <w:hideMark/>
          </w:tcPr>
          <w:p w14:paraId="2AF86A0C" w14:textId="77777777" w:rsidR="006C63D5" w:rsidRPr="00F44FA4" w:rsidRDefault="006C63D5" w:rsidP="00C473E5">
            <w:pPr>
              <w:keepNext/>
              <w:keepLines/>
              <w:rPr>
                <w:rFonts w:cs="Arial"/>
                <w:color w:val="000000"/>
                <w:szCs w:val="20"/>
              </w:rPr>
            </w:pPr>
          </w:p>
        </w:tc>
        <w:tc>
          <w:tcPr>
            <w:tcW w:w="20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913D2" w14:textId="77777777" w:rsidR="006C63D5" w:rsidRPr="00F44FA4" w:rsidRDefault="006C63D5" w:rsidP="00C473E5">
            <w:pPr>
              <w:keepNext/>
              <w:keepLines/>
              <w:rPr>
                <w:rFonts w:cs="Arial"/>
                <w:color w:val="000000"/>
                <w:szCs w:val="20"/>
              </w:rPr>
            </w:pPr>
            <w:r w:rsidRPr="00F44FA4">
              <w:rPr>
                <w:rFonts w:cs="Arial"/>
                <w:color w:val="000000"/>
                <w:szCs w:val="20"/>
              </w:rPr>
              <w:t>delovna sila (v PDM)</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A2160" w14:textId="77777777" w:rsidR="006C63D5" w:rsidRPr="00F44FA4" w:rsidRDefault="006C63D5" w:rsidP="00C473E5">
            <w:pPr>
              <w:keepNext/>
              <w:keepLines/>
              <w:jc w:val="right"/>
              <w:rPr>
                <w:rFonts w:cs="Arial"/>
                <w:color w:val="000000"/>
                <w:szCs w:val="20"/>
              </w:rPr>
            </w:pPr>
            <w:r w:rsidRPr="00F44FA4">
              <w:rPr>
                <w:rFonts w:cs="Arial"/>
                <w:color w:val="000000"/>
                <w:szCs w:val="20"/>
              </w:rPr>
              <w:t>1,23</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F41A9" w14:textId="77777777" w:rsidR="006C63D5" w:rsidRPr="00F44FA4" w:rsidRDefault="006C63D5" w:rsidP="00C473E5">
            <w:pPr>
              <w:keepNext/>
              <w:keepLines/>
              <w:jc w:val="right"/>
              <w:rPr>
                <w:rFonts w:cs="Arial"/>
                <w:color w:val="000000"/>
                <w:szCs w:val="20"/>
              </w:rPr>
            </w:pPr>
            <w:r w:rsidRPr="00F44FA4">
              <w:rPr>
                <w:rFonts w:cs="Arial"/>
                <w:color w:val="000000"/>
                <w:szCs w:val="20"/>
              </w:rPr>
              <w:t>1,11</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6A571" w14:textId="77777777" w:rsidR="006C63D5" w:rsidRPr="00F44FA4" w:rsidRDefault="006C63D5" w:rsidP="00C473E5">
            <w:pPr>
              <w:keepNext/>
              <w:keepLines/>
              <w:jc w:val="right"/>
              <w:rPr>
                <w:rFonts w:cs="Arial"/>
                <w:color w:val="000000"/>
                <w:szCs w:val="20"/>
              </w:rPr>
            </w:pPr>
            <w:r w:rsidRPr="00F44FA4">
              <w:rPr>
                <w:rFonts w:cs="Arial"/>
                <w:color w:val="000000"/>
                <w:szCs w:val="20"/>
              </w:rPr>
              <w:t>1,03</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5D0F7" w14:textId="77777777" w:rsidR="006C63D5" w:rsidRPr="00F44FA4" w:rsidRDefault="006C63D5" w:rsidP="00C473E5">
            <w:pPr>
              <w:keepNext/>
              <w:keepLines/>
              <w:jc w:val="right"/>
              <w:rPr>
                <w:rFonts w:cs="Arial"/>
                <w:color w:val="000000"/>
                <w:szCs w:val="20"/>
              </w:rPr>
            </w:pPr>
            <w:r w:rsidRPr="00F44FA4">
              <w:rPr>
                <w:rFonts w:cs="Arial"/>
                <w:color w:val="000000"/>
                <w:szCs w:val="20"/>
              </w:rPr>
              <w:t>1,14</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E9548" w14:textId="77777777" w:rsidR="006C63D5" w:rsidRPr="00F44FA4" w:rsidRDefault="006C63D5" w:rsidP="00C473E5">
            <w:pPr>
              <w:keepNext/>
              <w:keepLines/>
              <w:jc w:val="right"/>
              <w:rPr>
                <w:rFonts w:cs="Arial"/>
                <w:color w:val="000000"/>
                <w:szCs w:val="20"/>
              </w:rPr>
            </w:pPr>
            <w:r w:rsidRPr="00F44FA4">
              <w:rPr>
                <w:rFonts w:cs="Arial"/>
                <w:color w:val="000000"/>
                <w:szCs w:val="20"/>
              </w:rPr>
              <w:t>1,12</w:t>
            </w:r>
          </w:p>
        </w:tc>
      </w:tr>
      <w:tr w:rsidR="006C63D5" w:rsidRPr="00F44FA4" w14:paraId="5E78BEBB" w14:textId="77777777" w:rsidTr="00684D07">
        <w:trPr>
          <w:trHeight w:val="315"/>
        </w:trPr>
        <w:tc>
          <w:tcPr>
            <w:tcW w:w="377" w:type="pct"/>
            <w:vMerge/>
            <w:tcBorders>
              <w:top w:val="nil"/>
              <w:left w:val="single" w:sz="4" w:space="0" w:color="auto"/>
              <w:bottom w:val="single" w:sz="4" w:space="0" w:color="auto"/>
              <w:right w:val="single" w:sz="4" w:space="0" w:color="auto"/>
            </w:tcBorders>
            <w:vAlign w:val="center"/>
            <w:hideMark/>
          </w:tcPr>
          <w:p w14:paraId="5995786D" w14:textId="77777777" w:rsidR="006C63D5" w:rsidRPr="00F44FA4" w:rsidRDefault="006C63D5" w:rsidP="00C473E5">
            <w:pPr>
              <w:keepNext/>
              <w:keepLines/>
              <w:rPr>
                <w:rFonts w:cs="Arial"/>
                <w:color w:val="000000"/>
                <w:szCs w:val="20"/>
              </w:rPr>
            </w:pPr>
          </w:p>
        </w:tc>
        <w:tc>
          <w:tcPr>
            <w:tcW w:w="20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39E4CF" w14:textId="77777777" w:rsidR="006C63D5" w:rsidRPr="00F44FA4" w:rsidRDefault="006C63D5" w:rsidP="00C473E5">
            <w:pPr>
              <w:keepNext/>
              <w:keepLines/>
              <w:rPr>
                <w:rFonts w:cs="Arial"/>
                <w:color w:val="000000"/>
                <w:szCs w:val="20"/>
              </w:rPr>
            </w:pPr>
            <w:r w:rsidRPr="00F44FA4">
              <w:rPr>
                <w:rFonts w:cs="Arial"/>
                <w:color w:val="000000"/>
                <w:szCs w:val="20"/>
              </w:rPr>
              <w:t>delovna sila (število oseb)</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BB2AB" w14:textId="77777777" w:rsidR="006C63D5" w:rsidRPr="00F44FA4" w:rsidRDefault="006C63D5" w:rsidP="00C473E5">
            <w:pPr>
              <w:keepNext/>
              <w:keepLines/>
              <w:jc w:val="right"/>
              <w:rPr>
                <w:rFonts w:cs="Arial"/>
                <w:color w:val="000000"/>
                <w:szCs w:val="20"/>
              </w:rPr>
            </w:pPr>
            <w:r w:rsidRPr="00F44FA4">
              <w:rPr>
                <w:rFonts w:cs="Arial"/>
                <w:color w:val="000000"/>
                <w:szCs w:val="20"/>
              </w:rPr>
              <w:t>2,69</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1F8F4" w14:textId="77777777" w:rsidR="006C63D5" w:rsidRPr="00F44FA4" w:rsidRDefault="006C63D5" w:rsidP="00C473E5">
            <w:pPr>
              <w:keepNext/>
              <w:keepLines/>
              <w:jc w:val="right"/>
              <w:rPr>
                <w:rFonts w:cs="Arial"/>
                <w:color w:val="000000"/>
                <w:szCs w:val="20"/>
              </w:rPr>
            </w:pPr>
            <w:r w:rsidRPr="00F44FA4">
              <w:rPr>
                <w:rFonts w:cs="Arial"/>
                <w:color w:val="000000"/>
                <w:szCs w:val="20"/>
              </w:rPr>
              <w:t>2,66</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87045" w14:textId="77777777" w:rsidR="006C63D5" w:rsidRPr="00F44FA4" w:rsidRDefault="006C63D5" w:rsidP="00C473E5">
            <w:pPr>
              <w:keepNext/>
              <w:keepLines/>
              <w:jc w:val="right"/>
              <w:rPr>
                <w:rFonts w:cs="Arial"/>
                <w:color w:val="000000"/>
                <w:szCs w:val="20"/>
              </w:rPr>
            </w:pPr>
            <w:r w:rsidRPr="00F44FA4">
              <w:rPr>
                <w:rFonts w:cs="Arial"/>
                <w:color w:val="000000"/>
                <w:szCs w:val="20"/>
              </w:rPr>
              <w:t>2,79</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7F9C9" w14:textId="77777777" w:rsidR="006C63D5" w:rsidRPr="00F44FA4" w:rsidRDefault="006C63D5" w:rsidP="00C473E5">
            <w:pPr>
              <w:keepNext/>
              <w:keepLines/>
              <w:jc w:val="right"/>
              <w:rPr>
                <w:rFonts w:cs="Arial"/>
                <w:color w:val="000000"/>
                <w:szCs w:val="20"/>
              </w:rPr>
            </w:pPr>
            <w:r w:rsidRPr="00F44FA4">
              <w:rPr>
                <w:rFonts w:cs="Arial"/>
                <w:color w:val="000000"/>
                <w:szCs w:val="20"/>
              </w:rPr>
              <w:t>2,77</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64B04" w14:textId="77777777" w:rsidR="006C63D5" w:rsidRPr="00F44FA4" w:rsidRDefault="006C63D5" w:rsidP="00C473E5">
            <w:pPr>
              <w:keepNext/>
              <w:keepLines/>
              <w:jc w:val="right"/>
              <w:rPr>
                <w:rFonts w:cs="Arial"/>
                <w:color w:val="000000"/>
                <w:szCs w:val="20"/>
              </w:rPr>
            </w:pPr>
            <w:r w:rsidRPr="00F44FA4">
              <w:rPr>
                <w:rFonts w:cs="Arial"/>
                <w:color w:val="000000"/>
                <w:szCs w:val="20"/>
              </w:rPr>
              <w:t>2,81</w:t>
            </w:r>
          </w:p>
        </w:tc>
      </w:tr>
      <w:tr w:rsidR="006C63D5" w:rsidRPr="00F44FA4" w14:paraId="56C1DD07" w14:textId="77777777" w:rsidTr="00684D07">
        <w:trPr>
          <w:trHeight w:val="315"/>
        </w:trPr>
        <w:tc>
          <w:tcPr>
            <w:tcW w:w="377" w:type="pct"/>
            <w:vMerge/>
            <w:tcBorders>
              <w:top w:val="nil"/>
              <w:left w:val="single" w:sz="4" w:space="0" w:color="auto"/>
              <w:bottom w:val="single" w:sz="4" w:space="0" w:color="auto"/>
              <w:right w:val="single" w:sz="4" w:space="0" w:color="auto"/>
            </w:tcBorders>
            <w:vAlign w:val="center"/>
            <w:hideMark/>
          </w:tcPr>
          <w:p w14:paraId="5939E386" w14:textId="77777777" w:rsidR="006C63D5" w:rsidRPr="00F44FA4" w:rsidRDefault="006C63D5" w:rsidP="00C473E5">
            <w:pPr>
              <w:keepNext/>
              <w:keepLines/>
              <w:rPr>
                <w:rFonts w:cs="Arial"/>
                <w:color w:val="000000"/>
                <w:szCs w:val="20"/>
              </w:rPr>
            </w:pPr>
          </w:p>
        </w:tc>
        <w:tc>
          <w:tcPr>
            <w:tcW w:w="20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A727C" w14:textId="77777777" w:rsidR="006C63D5" w:rsidRPr="00F44FA4" w:rsidRDefault="006C63D5" w:rsidP="00C473E5">
            <w:pPr>
              <w:keepNext/>
              <w:keepLines/>
              <w:rPr>
                <w:rFonts w:cs="Arial"/>
                <w:color w:val="000000"/>
                <w:szCs w:val="20"/>
              </w:rPr>
            </w:pPr>
            <w:r w:rsidRPr="00F44FA4">
              <w:rPr>
                <w:rFonts w:cs="Arial"/>
                <w:color w:val="000000"/>
                <w:szCs w:val="20"/>
              </w:rPr>
              <w:t>fizična površina (ha)</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6BA9E" w14:textId="77777777" w:rsidR="006C63D5" w:rsidRPr="00F44FA4" w:rsidRDefault="006C63D5" w:rsidP="00C473E5">
            <w:pPr>
              <w:keepNext/>
              <w:keepLines/>
              <w:jc w:val="right"/>
              <w:rPr>
                <w:rFonts w:cs="Arial"/>
                <w:color w:val="000000"/>
                <w:szCs w:val="20"/>
              </w:rPr>
            </w:pPr>
            <w:r w:rsidRPr="00F44FA4">
              <w:rPr>
                <w:rFonts w:cs="Arial"/>
                <w:color w:val="000000"/>
                <w:szCs w:val="20"/>
              </w:rPr>
              <w:t>6,29</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20263" w14:textId="77777777" w:rsidR="006C63D5" w:rsidRPr="00F44FA4" w:rsidRDefault="006C63D5" w:rsidP="00C473E5">
            <w:pPr>
              <w:keepNext/>
              <w:keepLines/>
              <w:jc w:val="right"/>
              <w:rPr>
                <w:rFonts w:cs="Arial"/>
                <w:color w:val="000000"/>
                <w:szCs w:val="20"/>
              </w:rPr>
            </w:pPr>
            <w:r w:rsidRPr="00F44FA4">
              <w:rPr>
                <w:rFonts w:cs="Arial"/>
                <w:color w:val="000000"/>
                <w:szCs w:val="20"/>
              </w:rPr>
              <w:t>6,49</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25247" w14:textId="77777777" w:rsidR="006C63D5" w:rsidRPr="00F44FA4" w:rsidRDefault="006C63D5" w:rsidP="00C473E5">
            <w:pPr>
              <w:keepNext/>
              <w:keepLines/>
              <w:jc w:val="right"/>
              <w:rPr>
                <w:rFonts w:cs="Arial"/>
                <w:color w:val="000000"/>
                <w:szCs w:val="20"/>
              </w:rPr>
            </w:pPr>
            <w:r w:rsidRPr="00F44FA4">
              <w:rPr>
                <w:rFonts w:cs="Arial"/>
                <w:color w:val="000000"/>
                <w:szCs w:val="20"/>
              </w:rPr>
              <w:t>6,47</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B3E1D" w14:textId="77777777" w:rsidR="006C63D5" w:rsidRPr="00F44FA4" w:rsidRDefault="006C63D5" w:rsidP="00C473E5">
            <w:pPr>
              <w:keepNext/>
              <w:keepLines/>
              <w:jc w:val="right"/>
              <w:rPr>
                <w:rFonts w:cs="Arial"/>
                <w:color w:val="000000"/>
                <w:szCs w:val="20"/>
              </w:rPr>
            </w:pPr>
            <w:r w:rsidRPr="00F44FA4">
              <w:rPr>
                <w:rFonts w:cs="Arial"/>
                <w:color w:val="000000"/>
                <w:szCs w:val="20"/>
              </w:rPr>
              <w:t>6,71</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9AD3F3" w14:textId="77777777" w:rsidR="006C63D5" w:rsidRPr="00F44FA4" w:rsidRDefault="006C63D5" w:rsidP="00C473E5">
            <w:pPr>
              <w:keepNext/>
              <w:keepLines/>
              <w:jc w:val="right"/>
              <w:rPr>
                <w:rFonts w:cs="Arial"/>
                <w:color w:val="000000"/>
                <w:szCs w:val="20"/>
              </w:rPr>
            </w:pPr>
            <w:r w:rsidRPr="00F44FA4">
              <w:rPr>
                <w:rFonts w:cs="Arial"/>
                <w:color w:val="000000"/>
                <w:szCs w:val="20"/>
              </w:rPr>
              <w:t>6,99</w:t>
            </w:r>
          </w:p>
        </w:tc>
      </w:tr>
      <w:tr w:rsidR="006C63D5" w:rsidRPr="00F44FA4" w14:paraId="1796304D" w14:textId="77777777" w:rsidTr="00684D07">
        <w:trPr>
          <w:trHeight w:val="630"/>
        </w:trPr>
        <w:tc>
          <w:tcPr>
            <w:tcW w:w="377" w:type="pct"/>
            <w:vMerge/>
            <w:tcBorders>
              <w:top w:val="nil"/>
              <w:left w:val="single" w:sz="4" w:space="0" w:color="auto"/>
              <w:bottom w:val="single" w:sz="4" w:space="0" w:color="auto"/>
              <w:right w:val="single" w:sz="4" w:space="0" w:color="auto"/>
            </w:tcBorders>
            <w:vAlign w:val="center"/>
            <w:hideMark/>
          </w:tcPr>
          <w:p w14:paraId="664947E2" w14:textId="77777777" w:rsidR="006C63D5" w:rsidRPr="00F44FA4" w:rsidRDefault="006C63D5" w:rsidP="00C473E5">
            <w:pPr>
              <w:keepNext/>
              <w:keepLines/>
              <w:rPr>
                <w:rFonts w:cs="Arial"/>
                <w:color w:val="000000"/>
                <w:szCs w:val="20"/>
              </w:rPr>
            </w:pPr>
          </w:p>
        </w:tc>
        <w:tc>
          <w:tcPr>
            <w:tcW w:w="20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45789FC" w14:textId="77777777" w:rsidR="006C63D5" w:rsidRPr="00F44FA4" w:rsidRDefault="006C63D5" w:rsidP="00C473E5">
            <w:pPr>
              <w:keepNext/>
              <w:keepLines/>
              <w:rPr>
                <w:rFonts w:cs="Arial"/>
                <w:color w:val="000000"/>
                <w:szCs w:val="20"/>
              </w:rPr>
            </w:pPr>
            <w:r w:rsidRPr="00F44FA4">
              <w:rPr>
                <w:rFonts w:cs="Arial"/>
                <w:color w:val="000000"/>
                <w:szCs w:val="20"/>
              </w:rPr>
              <w:t xml:space="preserve">Ekonomska velikost gospodarstva </w:t>
            </w:r>
            <w:r w:rsidRPr="00F44FA4">
              <w:rPr>
                <w:rFonts w:cs="Arial"/>
                <w:color w:val="000000"/>
                <w:szCs w:val="20"/>
              </w:rPr>
              <w:br/>
            </w:r>
            <w:proofErr w:type="spellStart"/>
            <w:r w:rsidRPr="00F44FA4">
              <w:rPr>
                <w:rFonts w:cs="Arial"/>
                <w:color w:val="000000"/>
                <w:szCs w:val="20"/>
              </w:rPr>
              <w:t>gospodarstva</w:t>
            </w:r>
            <w:proofErr w:type="spellEnd"/>
            <w:r w:rsidRPr="00F44FA4">
              <w:rPr>
                <w:rFonts w:cs="Arial"/>
                <w:color w:val="000000"/>
                <w:szCs w:val="20"/>
              </w:rPr>
              <w:t xml:space="preserve"> z 500 000 EUR in več EUR SO</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55D11"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50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02AD1"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60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7855E"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40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44123"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50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3BB54"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70 </w:t>
            </w:r>
          </w:p>
        </w:tc>
      </w:tr>
      <w:tr w:rsidR="006C63D5" w:rsidRPr="00F44FA4" w14:paraId="54370E86" w14:textId="77777777" w:rsidTr="00684D07">
        <w:trPr>
          <w:trHeight w:val="315"/>
        </w:trPr>
        <w:tc>
          <w:tcPr>
            <w:tcW w:w="377" w:type="pct"/>
            <w:vMerge/>
            <w:tcBorders>
              <w:top w:val="nil"/>
              <w:left w:val="single" w:sz="4" w:space="0" w:color="auto"/>
              <w:bottom w:val="single" w:sz="4" w:space="0" w:color="auto"/>
              <w:right w:val="single" w:sz="4" w:space="0" w:color="auto"/>
            </w:tcBorders>
            <w:vAlign w:val="center"/>
            <w:hideMark/>
          </w:tcPr>
          <w:p w14:paraId="77C7C8F2" w14:textId="77777777" w:rsidR="006C63D5" w:rsidRPr="00F44FA4" w:rsidRDefault="006C63D5" w:rsidP="00C473E5">
            <w:pPr>
              <w:keepNext/>
              <w:keepLines/>
              <w:rPr>
                <w:rFonts w:cs="Arial"/>
                <w:color w:val="000000"/>
                <w:szCs w:val="20"/>
              </w:rPr>
            </w:pPr>
          </w:p>
        </w:tc>
        <w:tc>
          <w:tcPr>
            <w:tcW w:w="20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4D6FD" w14:textId="77777777" w:rsidR="006C63D5" w:rsidRPr="00F44FA4" w:rsidRDefault="006C63D5" w:rsidP="00C473E5">
            <w:pPr>
              <w:keepNext/>
              <w:keepLines/>
              <w:rPr>
                <w:rFonts w:cs="Arial"/>
                <w:color w:val="000000"/>
                <w:szCs w:val="20"/>
              </w:rPr>
            </w:pPr>
            <w:r w:rsidRPr="00F44FA4">
              <w:rPr>
                <w:rFonts w:cs="Arial"/>
                <w:color w:val="000000"/>
                <w:szCs w:val="20"/>
              </w:rPr>
              <w:t>gospodarstva z 250 000-499 999 EUR SO</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8711E"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40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85122"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160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D58E5"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80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83756"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120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FB888"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180 </w:t>
            </w:r>
          </w:p>
        </w:tc>
      </w:tr>
      <w:tr w:rsidR="006C63D5" w:rsidRPr="00F44FA4" w14:paraId="2FF579C9" w14:textId="77777777" w:rsidTr="00684D07">
        <w:trPr>
          <w:trHeight w:val="315"/>
        </w:trPr>
        <w:tc>
          <w:tcPr>
            <w:tcW w:w="377" w:type="pct"/>
            <w:vMerge/>
            <w:tcBorders>
              <w:top w:val="nil"/>
              <w:left w:val="single" w:sz="4" w:space="0" w:color="auto"/>
              <w:bottom w:val="single" w:sz="4" w:space="0" w:color="auto"/>
              <w:right w:val="single" w:sz="4" w:space="0" w:color="auto"/>
            </w:tcBorders>
            <w:vAlign w:val="center"/>
            <w:hideMark/>
          </w:tcPr>
          <w:p w14:paraId="5F3511B4" w14:textId="77777777" w:rsidR="006C63D5" w:rsidRPr="00F44FA4" w:rsidRDefault="006C63D5" w:rsidP="00C473E5">
            <w:pPr>
              <w:keepNext/>
              <w:keepLines/>
              <w:rPr>
                <w:rFonts w:cs="Arial"/>
                <w:color w:val="000000"/>
                <w:szCs w:val="20"/>
              </w:rPr>
            </w:pPr>
          </w:p>
        </w:tc>
        <w:tc>
          <w:tcPr>
            <w:tcW w:w="20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51D3B" w14:textId="77777777" w:rsidR="006C63D5" w:rsidRPr="00F44FA4" w:rsidRDefault="006C63D5" w:rsidP="00C473E5">
            <w:pPr>
              <w:keepNext/>
              <w:keepLines/>
              <w:rPr>
                <w:rFonts w:cs="Arial"/>
                <w:color w:val="000000"/>
                <w:szCs w:val="20"/>
              </w:rPr>
            </w:pPr>
            <w:r w:rsidRPr="00F44FA4">
              <w:rPr>
                <w:rFonts w:cs="Arial"/>
                <w:color w:val="000000"/>
                <w:szCs w:val="20"/>
              </w:rPr>
              <w:t>gospodarstva s 100 000-249 999 EUR SO</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F170F"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450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45DE2"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500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2933A"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780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6CFAC"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950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9A46A"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1.300 </w:t>
            </w:r>
          </w:p>
        </w:tc>
      </w:tr>
      <w:tr w:rsidR="006C63D5" w:rsidRPr="00F44FA4" w14:paraId="047477FC" w14:textId="77777777" w:rsidTr="00684D07">
        <w:trPr>
          <w:trHeight w:val="315"/>
        </w:trPr>
        <w:tc>
          <w:tcPr>
            <w:tcW w:w="377" w:type="pct"/>
            <w:vMerge/>
            <w:tcBorders>
              <w:top w:val="nil"/>
              <w:left w:val="single" w:sz="4" w:space="0" w:color="auto"/>
              <w:bottom w:val="single" w:sz="4" w:space="0" w:color="auto"/>
              <w:right w:val="single" w:sz="4" w:space="0" w:color="auto"/>
            </w:tcBorders>
            <w:vAlign w:val="center"/>
            <w:hideMark/>
          </w:tcPr>
          <w:p w14:paraId="774DD07C" w14:textId="77777777" w:rsidR="006C63D5" w:rsidRPr="00F44FA4" w:rsidRDefault="006C63D5" w:rsidP="00C473E5">
            <w:pPr>
              <w:keepNext/>
              <w:keepLines/>
              <w:rPr>
                <w:rFonts w:cs="Arial"/>
                <w:color w:val="000000"/>
                <w:szCs w:val="20"/>
              </w:rPr>
            </w:pPr>
          </w:p>
        </w:tc>
        <w:tc>
          <w:tcPr>
            <w:tcW w:w="20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41549" w14:textId="77777777" w:rsidR="006C63D5" w:rsidRPr="00F44FA4" w:rsidRDefault="006C63D5" w:rsidP="00C473E5">
            <w:pPr>
              <w:keepNext/>
              <w:keepLines/>
              <w:rPr>
                <w:rFonts w:cs="Arial"/>
                <w:color w:val="000000"/>
                <w:szCs w:val="20"/>
              </w:rPr>
            </w:pPr>
            <w:r w:rsidRPr="00F44FA4">
              <w:rPr>
                <w:rFonts w:cs="Arial"/>
                <w:color w:val="000000"/>
                <w:szCs w:val="20"/>
              </w:rPr>
              <w:t>gospodarstva s 50 000-99 999 EUR SO</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1959E"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1.540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5B13A"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1.630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CEE63"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2.170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23085"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2.410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C2F04"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2.900 </w:t>
            </w:r>
          </w:p>
        </w:tc>
      </w:tr>
      <w:tr w:rsidR="006C63D5" w:rsidRPr="00F44FA4" w14:paraId="1748547E" w14:textId="77777777" w:rsidTr="00684D07">
        <w:trPr>
          <w:trHeight w:val="315"/>
        </w:trPr>
        <w:tc>
          <w:tcPr>
            <w:tcW w:w="377" w:type="pct"/>
            <w:vMerge/>
            <w:tcBorders>
              <w:top w:val="nil"/>
              <w:left w:val="single" w:sz="4" w:space="0" w:color="auto"/>
              <w:bottom w:val="single" w:sz="4" w:space="0" w:color="auto"/>
              <w:right w:val="single" w:sz="4" w:space="0" w:color="auto"/>
            </w:tcBorders>
            <w:vAlign w:val="center"/>
            <w:hideMark/>
          </w:tcPr>
          <w:p w14:paraId="032BB5A0" w14:textId="77777777" w:rsidR="006C63D5" w:rsidRPr="00F44FA4" w:rsidRDefault="006C63D5" w:rsidP="00C473E5">
            <w:pPr>
              <w:keepNext/>
              <w:keepLines/>
              <w:rPr>
                <w:rFonts w:cs="Arial"/>
                <w:color w:val="000000"/>
                <w:szCs w:val="20"/>
              </w:rPr>
            </w:pPr>
          </w:p>
        </w:tc>
        <w:tc>
          <w:tcPr>
            <w:tcW w:w="20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35BA5" w14:textId="77777777" w:rsidR="006C63D5" w:rsidRPr="00F44FA4" w:rsidRDefault="006C63D5" w:rsidP="00C473E5">
            <w:pPr>
              <w:keepNext/>
              <w:keepLines/>
              <w:rPr>
                <w:rFonts w:cs="Arial"/>
                <w:color w:val="000000"/>
                <w:szCs w:val="20"/>
              </w:rPr>
            </w:pPr>
            <w:r w:rsidRPr="00F44FA4">
              <w:rPr>
                <w:rFonts w:cs="Arial"/>
                <w:color w:val="000000"/>
                <w:szCs w:val="20"/>
              </w:rPr>
              <w:t>gospodarstva s 25 000-49 999 EUR SO</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F9C57"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4.290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D8674"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4.300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BE99A"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4.460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DB481"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4.700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2807F"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5.170 </w:t>
            </w:r>
          </w:p>
        </w:tc>
      </w:tr>
      <w:tr w:rsidR="006C63D5" w:rsidRPr="00F44FA4" w14:paraId="3BF9B48E" w14:textId="77777777" w:rsidTr="00684D07">
        <w:trPr>
          <w:trHeight w:val="315"/>
        </w:trPr>
        <w:tc>
          <w:tcPr>
            <w:tcW w:w="377" w:type="pct"/>
            <w:vMerge/>
            <w:tcBorders>
              <w:top w:val="nil"/>
              <w:left w:val="single" w:sz="4" w:space="0" w:color="auto"/>
              <w:bottom w:val="single" w:sz="4" w:space="0" w:color="auto"/>
              <w:right w:val="single" w:sz="4" w:space="0" w:color="auto"/>
            </w:tcBorders>
            <w:vAlign w:val="center"/>
            <w:hideMark/>
          </w:tcPr>
          <w:p w14:paraId="4CDE1CC5" w14:textId="77777777" w:rsidR="006C63D5" w:rsidRPr="00F44FA4" w:rsidRDefault="006C63D5" w:rsidP="00C473E5">
            <w:pPr>
              <w:keepNext/>
              <w:keepLines/>
              <w:rPr>
                <w:rFonts w:cs="Arial"/>
                <w:color w:val="000000"/>
                <w:szCs w:val="20"/>
              </w:rPr>
            </w:pPr>
          </w:p>
        </w:tc>
        <w:tc>
          <w:tcPr>
            <w:tcW w:w="20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297D9" w14:textId="77777777" w:rsidR="006C63D5" w:rsidRPr="00F44FA4" w:rsidRDefault="006C63D5" w:rsidP="00C473E5">
            <w:pPr>
              <w:keepNext/>
              <w:keepLines/>
              <w:rPr>
                <w:rFonts w:cs="Arial"/>
                <w:color w:val="000000"/>
                <w:szCs w:val="20"/>
              </w:rPr>
            </w:pPr>
            <w:r w:rsidRPr="00F44FA4">
              <w:rPr>
                <w:rFonts w:cs="Arial"/>
                <w:color w:val="000000"/>
                <w:szCs w:val="20"/>
              </w:rPr>
              <w:t>gospodarstva z 15 000-24 999 EUR SO</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810FB"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6.050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07362"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5.370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74427"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5.000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E65EE"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5.850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94C88"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5.840 </w:t>
            </w:r>
          </w:p>
        </w:tc>
      </w:tr>
      <w:tr w:rsidR="006C63D5" w:rsidRPr="00F44FA4" w14:paraId="6A783489" w14:textId="77777777" w:rsidTr="00684D07">
        <w:trPr>
          <w:trHeight w:val="315"/>
        </w:trPr>
        <w:tc>
          <w:tcPr>
            <w:tcW w:w="377" w:type="pct"/>
            <w:vMerge/>
            <w:tcBorders>
              <w:top w:val="nil"/>
              <w:left w:val="single" w:sz="4" w:space="0" w:color="auto"/>
              <w:bottom w:val="single" w:sz="4" w:space="0" w:color="auto"/>
              <w:right w:val="single" w:sz="4" w:space="0" w:color="auto"/>
            </w:tcBorders>
            <w:vAlign w:val="center"/>
            <w:hideMark/>
          </w:tcPr>
          <w:p w14:paraId="7590796F" w14:textId="77777777" w:rsidR="006C63D5" w:rsidRPr="00F44FA4" w:rsidRDefault="006C63D5" w:rsidP="00C473E5">
            <w:pPr>
              <w:keepNext/>
              <w:keepLines/>
              <w:rPr>
                <w:rFonts w:cs="Arial"/>
                <w:color w:val="000000"/>
                <w:szCs w:val="20"/>
              </w:rPr>
            </w:pPr>
          </w:p>
        </w:tc>
        <w:tc>
          <w:tcPr>
            <w:tcW w:w="20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F8CF6" w14:textId="77777777" w:rsidR="006C63D5" w:rsidRPr="00F44FA4" w:rsidRDefault="006C63D5" w:rsidP="00C473E5">
            <w:pPr>
              <w:keepNext/>
              <w:keepLines/>
              <w:rPr>
                <w:rFonts w:cs="Arial"/>
                <w:color w:val="000000"/>
                <w:szCs w:val="20"/>
              </w:rPr>
            </w:pPr>
            <w:r w:rsidRPr="00F44FA4">
              <w:rPr>
                <w:rFonts w:cs="Arial"/>
                <w:color w:val="000000"/>
                <w:szCs w:val="20"/>
              </w:rPr>
              <w:t>gospodarstva z 8 000-14 999 EUR SO</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F9A1A"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11.800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79E08"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11.050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6506E"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10.650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85649"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11.430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335EA"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13.330 </w:t>
            </w:r>
          </w:p>
        </w:tc>
      </w:tr>
      <w:tr w:rsidR="006C63D5" w:rsidRPr="00F44FA4" w14:paraId="58269072" w14:textId="77777777" w:rsidTr="00684D07">
        <w:trPr>
          <w:trHeight w:val="315"/>
        </w:trPr>
        <w:tc>
          <w:tcPr>
            <w:tcW w:w="377" w:type="pct"/>
            <w:vMerge/>
            <w:tcBorders>
              <w:top w:val="nil"/>
              <w:left w:val="single" w:sz="4" w:space="0" w:color="auto"/>
              <w:bottom w:val="single" w:sz="4" w:space="0" w:color="auto"/>
              <w:right w:val="single" w:sz="4" w:space="0" w:color="auto"/>
            </w:tcBorders>
            <w:vAlign w:val="center"/>
            <w:hideMark/>
          </w:tcPr>
          <w:p w14:paraId="20846681" w14:textId="77777777" w:rsidR="006C63D5" w:rsidRPr="00F44FA4" w:rsidRDefault="006C63D5" w:rsidP="00C473E5">
            <w:pPr>
              <w:keepNext/>
              <w:keepLines/>
              <w:rPr>
                <w:rFonts w:cs="Arial"/>
                <w:color w:val="000000"/>
                <w:szCs w:val="20"/>
              </w:rPr>
            </w:pPr>
          </w:p>
        </w:tc>
        <w:tc>
          <w:tcPr>
            <w:tcW w:w="20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D2A93" w14:textId="77777777" w:rsidR="006C63D5" w:rsidRPr="00F44FA4" w:rsidRDefault="006C63D5" w:rsidP="00C473E5">
            <w:pPr>
              <w:keepNext/>
              <w:keepLines/>
              <w:rPr>
                <w:rFonts w:cs="Arial"/>
                <w:color w:val="000000"/>
                <w:szCs w:val="20"/>
              </w:rPr>
            </w:pPr>
            <w:r w:rsidRPr="00F44FA4">
              <w:rPr>
                <w:rFonts w:cs="Arial"/>
                <w:color w:val="000000"/>
                <w:szCs w:val="20"/>
              </w:rPr>
              <w:t>gospodarstva z 4 000-7 999 EUR SO</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6F65D"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19.800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600AA"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18.450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43A0B"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18.120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3B25B"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19.280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E1849"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17.860 </w:t>
            </w:r>
          </w:p>
        </w:tc>
      </w:tr>
      <w:tr w:rsidR="006C63D5" w:rsidRPr="00F44FA4" w14:paraId="36752247" w14:textId="77777777" w:rsidTr="00684D07">
        <w:trPr>
          <w:trHeight w:val="315"/>
        </w:trPr>
        <w:tc>
          <w:tcPr>
            <w:tcW w:w="377" w:type="pct"/>
            <w:vMerge/>
            <w:tcBorders>
              <w:top w:val="nil"/>
              <w:left w:val="single" w:sz="4" w:space="0" w:color="auto"/>
              <w:bottom w:val="single" w:sz="4" w:space="0" w:color="auto"/>
              <w:right w:val="single" w:sz="4" w:space="0" w:color="auto"/>
            </w:tcBorders>
            <w:vAlign w:val="center"/>
            <w:hideMark/>
          </w:tcPr>
          <w:p w14:paraId="5A803CC7" w14:textId="77777777" w:rsidR="006C63D5" w:rsidRPr="00F44FA4" w:rsidRDefault="006C63D5" w:rsidP="00C473E5">
            <w:pPr>
              <w:keepNext/>
              <w:keepLines/>
              <w:rPr>
                <w:rFonts w:cs="Arial"/>
                <w:color w:val="000000"/>
                <w:szCs w:val="20"/>
              </w:rPr>
            </w:pPr>
          </w:p>
        </w:tc>
        <w:tc>
          <w:tcPr>
            <w:tcW w:w="20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8968F" w14:textId="77777777" w:rsidR="006C63D5" w:rsidRPr="00F44FA4" w:rsidRDefault="006C63D5" w:rsidP="00C473E5">
            <w:pPr>
              <w:keepNext/>
              <w:keepLines/>
              <w:rPr>
                <w:rFonts w:cs="Arial"/>
                <w:color w:val="000000"/>
                <w:szCs w:val="20"/>
              </w:rPr>
            </w:pPr>
            <w:r w:rsidRPr="00F44FA4">
              <w:rPr>
                <w:rFonts w:cs="Arial"/>
                <w:color w:val="000000"/>
                <w:szCs w:val="20"/>
              </w:rPr>
              <w:t>gospodarstva z 2 000-3 999 EUR SO</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48D84"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18.810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5E92F"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16.850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F5696"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17.650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9A044"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15.370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64080"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13.250 </w:t>
            </w:r>
          </w:p>
        </w:tc>
      </w:tr>
      <w:tr w:rsidR="006C63D5" w:rsidRPr="00F44FA4" w14:paraId="092A4138" w14:textId="77777777" w:rsidTr="00684D07">
        <w:trPr>
          <w:trHeight w:val="315"/>
        </w:trPr>
        <w:tc>
          <w:tcPr>
            <w:tcW w:w="377" w:type="pct"/>
            <w:vMerge/>
            <w:tcBorders>
              <w:top w:val="nil"/>
              <w:left w:val="single" w:sz="4" w:space="0" w:color="auto"/>
              <w:bottom w:val="single" w:sz="4" w:space="0" w:color="auto"/>
              <w:right w:val="single" w:sz="4" w:space="0" w:color="auto"/>
            </w:tcBorders>
            <w:vAlign w:val="center"/>
            <w:hideMark/>
          </w:tcPr>
          <w:p w14:paraId="46B0C4FA" w14:textId="77777777" w:rsidR="006C63D5" w:rsidRPr="00F44FA4" w:rsidRDefault="006C63D5" w:rsidP="00C473E5">
            <w:pPr>
              <w:keepNext/>
              <w:keepLines/>
              <w:rPr>
                <w:rFonts w:cs="Arial"/>
                <w:color w:val="000000"/>
                <w:szCs w:val="20"/>
              </w:rPr>
            </w:pPr>
          </w:p>
        </w:tc>
        <w:tc>
          <w:tcPr>
            <w:tcW w:w="20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17F32" w14:textId="77777777" w:rsidR="006C63D5" w:rsidRPr="00F44FA4" w:rsidRDefault="006C63D5" w:rsidP="00C473E5">
            <w:pPr>
              <w:keepNext/>
              <w:keepLines/>
              <w:rPr>
                <w:rFonts w:cs="Arial"/>
                <w:color w:val="000000"/>
                <w:szCs w:val="20"/>
              </w:rPr>
            </w:pPr>
            <w:r w:rsidRPr="00F44FA4">
              <w:rPr>
                <w:rFonts w:cs="Arial"/>
                <w:color w:val="000000"/>
                <w:szCs w:val="20"/>
              </w:rPr>
              <w:t>gospodarstva z manj kot 2 000 EUR SO</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94282"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14.330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9488B"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16.970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0FC19"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15.690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431BB"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12.200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4CD70"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10.010 </w:t>
            </w:r>
          </w:p>
        </w:tc>
      </w:tr>
      <w:tr w:rsidR="006C63D5" w:rsidRPr="00F44FA4" w14:paraId="1EF6B200" w14:textId="77777777" w:rsidTr="00684D07">
        <w:trPr>
          <w:trHeight w:val="315"/>
        </w:trPr>
        <w:tc>
          <w:tcPr>
            <w:tcW w:w="377" w:type="pct"/>
            <w:vMerge/>
            <w:tcBorders>
              <w:top w:val="nil"/>
              <w:left w:val="single" w:sz="4" w:space="0" w:color="auto"/>
              <w:bottom w:val="single" w:sz="4" w:space="0" w:color="auto"/>
              <w:right w:val="single" w:sz="4" w:space="0" w:color="auto"/>
            </w:tcBorders>
            <w:vAlign w:val="center"/>
            <w:hideMark/>
          </w:tcPr>
          <w:p w14:paraId="3514BAD1" w14:textId="77777777" w:rsidR="006C63D5" w:rsidRPr="00F44FA4" w:rsidRDefault="006C63D5" w:rsidP="00C473E5">
            <w:pPr>
              <w:keepNext/>
              <w:keepLines/>
              <w:rPr>
                <w:rFonts w:cs="Arial"/>
                <w:color w:val="000000"/>
                <w:szCs w:val="20"/>
              </w:rPr>
            </w:pPr>
          </w:p>
        </w:tc>
        <w:tc>
          <w:tcPr>
            <w:tcW w:w="20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FA39D" w14:textId="77777777" w:rsidR="006C63D5" w:rsidRPr="00F44FA4" w:rsidRDefault="006C63D5" w:rsidP="00C473E5">
            <w:pPr>
              <w:keepNext/>
              <w:keepLines/>
              <w:rPr>
                <w:rFonts w:cs="Arial"/>
                <w:color w:val="000000"/>
                <w:szCs w:val="20"/>
              </w:rPr>
            </w:pPr>
            <w:r w:rsidRPr="00F44FA4">
              <w:rPr>
                <w:rFonts w:cs="Arial"/>
                <w:color w:val="000000"/>
                <w:szCs w:val="20"/>
              </w:rPr>
              <w:t>Število kmetijskih gospodarstev</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4A702"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77.170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7E3FF"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75.340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29989"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74.650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8E5D2"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72.380 </w:t>
            </w:r>
          </w:p>
        </w:tc>
        <w:tc>
          <w:tcPr>
            <w:tcW w:w="5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5AD4F" w14:textId="77777777" w:rsidR="006C63D5" w:rsidRPr="00F44FA4" w:rsidRDefault="006C63D5" w:rsidP="00C473E5">
            <w:pPr>
              <w:keepNext/>
              <w:keepLines/>
              <w:jc w:val="right"/>
              <w:rPr>
                <w:rFonts w:cs="Arial"/>
                <w:color w:val="000000"/>
                <w:szCs w:val="20"/>
              </w:rPr>
            </w:pPr>
            <w:r w:rsidRPr="00F44FA4">
              <w:rPr>
                <w:rFonts w:cs="Arial"/>
                <w:color w:val="000000"/>
                <w:szCs w:val="20"/>
              </w:rPr>
              <w:t xml:space="preserve">69.900 </w:t>
            </w:r>
          </w:p>
        </w:tc>
      </w:tr>
    </w:tbl>
    <w:p w14:paraId="08E01DFD" w14:textId="77777777" w:rsidR="00684D07" w:rsidRDefault="00684D07" w:rsidP="00C473E5">
      <w:pPr>
        <w:keepNext/>
        <w:keepLines/>
        <w:spacing w:before="120" w:after="240" w:line="264" w:lineRule="auto"/>
        <w:rPr>
          <w:rFonts w:cs="Arial"/>
          <w:bCs/>
          <w:i/>
          <w:szCs w:val="20"/>
        </w:rPr>
      </w:pPr>
      <w:r>
        <w:rPr>
          <w:rFonts w:eastAsia="Arial" w:cs="Arial"/>
          <w:bCs/>
          <w:sz w:val="16"/>
          <w:szCs w:val="16"/>
        </w:rPr>
        <w:t xml:space="preserve">Vir: </w:t>
      </w:r>
      <w:proofErr w:type="spellStart"/>
      <w:r w:rsidRPr="004629B1">
        <w:rPr>
          <w:rFonts w:eastAsia="Calibri"/>
          <w:sz w:val="16"/>
          <w:szCs w:val="16"/>
        </w:rPr>
        <w:t>Dashboard</w:t>
      </w:r>
      <w:proofErr w:type="spellEnd"/>
      <w:r w:rsidRPr="004629B1">
        <w:rPr>
          <w:rFonts w:eastAsia="Calibri"/>
          <w:sz w:val="16"/>
          <w:szCs w:val="16"/>
        </w:rPr>
        <w:t xml:space="preserve"> </w:t>
      </w:r>
      <w:proofErr w:type="spellStart"/>
      <w:r w:rsidRPr="004629B1">
        <w:rPr>
          <w:rFonts w:eastAsia="Calibri"/>
          <w:sz w:val="16"/>
          <w:szCs w:val="16"/>
        </w:rPr>
        <w:t>Indicators</w:t>
      </w:r>
      <w:proofErr w:type="spellEnd"/>
      <w:r w:rsidRPr="004629B1">
        <w:rPr>
          <w:rFonts w:cs="Arial"/>
          <w:sz w:val="16"/>
          <w:szCs w:val="16"/>
        </w:rPr>
        <w:t xml:space="preserve"> </w:t>
      </w:r>
      <w:r w:rsidRPr="004629B1">
        <w:rPr>
          <w:rFonts w:eastAsia="Arial" w:cs="Arial"/>
          <w:bCs/>
          <w:sz w:val="16"/>
          <w:szCs w:val="16"/>
        </w:rPr>
        <w:t>https://gridata.ec.europa.eu/extensions/DashboardIndicators/DataExplorer.html?select=EU27_FLAG,1)</w:t>
      </w:r>
      <w:r w:rsidRPr="00826383" w:rsidDel="0048003A">
        <w:rPr>
          <w:rFonts w:cs="Arial"/>
          <w:bCs/>
          <w:i/>
          <w:szCs w:val="20"/>
        </w:rPr>
        <w:t xml:space="preserve"> </w:t>
      </w:r>
    </w:p>
    <w:p w14:paraId="1571A90F" w14:textId="77777777" w:rsidR="006C63D5" w:rsidRPr="003344A4" w:rsidRDefault="006C63D5" w:rsidP="00AD76B1">
      <w:pPr>
        <w:spacing w:before="120" w:line="360" w:lineRule="auto"/>
        <w:jc w:val="both"/>
        <w:rPr>
          <w:rFonts w:cs="Arial"/>
          <w:szCs w:val="20"/>
        </w:rPr>
      </w:pPr>
      <w:r w:rsidRPr="003344A4">
        <w:rPr>
          <w:rFonts w:cs="Arial"/>
        </w:rPr>
        <w:lastRenderedPageBreak/>
        <w:t xml:space="preserve">Slovenija ima v primerjavi z EU–28 še vedno zelo neugodno velikostno strukturo kmetijskih gospodarstev. Čeprav ima z 82 % podoben delež kmetijskih gospodarstev v velikostnih razredih do 10 ha kot EU–28 (77 %), pa je velika razlika v deležu KZU, ki jih ta kmetijska gospodarstva obdelujejo. V Sloveniji kmetijska gospodarstva, manjša od 10 ha, obdelujejo skoraj polovico (43 %) vse KZU, v EU–28 pa znaša ta delež le 11 %. V EU–28 več kot dve tretjini KZU (68 %) obdelujejo </w:t>
      </w:r>
      <w:r w:rsidRPr="003344A4">
        <w:rPr>
          <w:rFonts w:cs="Arial"/>
          <w:szCs w:val="20"/>
        </w:rPr>
        <w:t>gospodarstva, ki so večja od 50 ha. V Sloveniji tako velika gospodarstva obdelujejo le nekaj več kot desetino vse kmetijske zemlje v uporabi (14 %).</w:t>
      </w:r>
      <w:r w:rsidRPr="003344A4">
        <w:rPr>
          <w:rFonts w:cs="Arial"/>
          <w:szCs w:val="20"/>
          <w:vertAlign w:val="superscript"/>
        </w:rPr>
        <w:footnoteReference w:id="14"/>
      </w:r>
    </w:p>
    <w:p w14:paraId="446F52D4" w14:textId="77777777" w:rsidR="006C63D5" w:rsidRPr="003344A4" w:rsidRDefault="006C63D5" w:rsidP="00AD76B1">
      <w:pPr>
        <w:spacing w:before="120" w:line="360" w:lineRule="auto"/>
        <w:jc w:val="both"/>
        <w:rPr>
          <w:rFonts w:cs="Arial"/>
          <w:bCs/>
          <w:szCs w:val="20"/>
        </w:rPr>
      </w:pPr>
      <w:r w:rsidRPr="003344A4">
        <w:rPr>
          <w:rFonts w:cs="Arial"/>
          <w:szCs w:val="20"/>
        </w:rPr>
        <w:t>Kmetijska gospodarstva, na katerih so v 2016 obdelovali vsaj 20 ha kmetijskih zemljišč, so predstavljala 6 % tistih, ki so obdelovala kmetijska zemljišča (obdelovali so 34 % celotne površine kmetijskih zemljišč v uporabi). V drugi skupini so bila kmetijska gospodarstva, na katerih so obdelovali do 3 ha površine (obdelovali so 9 % celotne površine kmetijskih zemljišč v uporabi). Številčno pa so ta kmetijska gospodarstva predstavljala kar 40 % vseh tistih, na katerih  so obdelovali kmetijska zemljišča.</w:t>
      </w:r>
      <w:r w:rsidRPr="003344A4">
        <w:rPr>
          <w:rFonts w:cs="Arial"/>
          <w:bCs/>
          <w:szCs w:val="20"/>
        </w:rPr>
        <w:t xml:space="preserve"> Delež kmetijskih gospodarstev, na katerih so obdelovali najmanj 20 hektarjev kmetijskih zemljišč, se je od 2013 povečal za okoli 11 %.</w:t>
      </w:r>
      <w:r w:rsidRPr="003344A4">
        <w:rPr>
          <w:rFonts w:cs="Arial"/>
          <w:bCs/>
          <w:szCs w:val="20"/>
          <w:vertAlign w:val="superscript"/>
        </w:rPr>
        <w:footnoteReference w:id="15"/>
      </w:r>
    </w:p>
    <w:p w14:paraId="7DC9798F" w14:textId="77777777" w:rsidR="006C63D5" w:rsidRDefault="006C63D5" w:rsidP="00AD376E">
      <w:pPr>
        <w:spacing w:before="120" w:line="360" w:lineRule="auto"/>
        <w:jc w:val="both"/>
        <w:rPr>
          <w:rFonts w:cs="Arial"/>
          <w:szCs w:val="20"/>
          <w:lang w:eastAsia="sl-SI"/>
        </w:rPr>
      </w:pPr>
      <w:r w:rsidRPr="00AD376E">
        <w:rPr>
          <w:rFonts w:cs="Arial"/>
          <w:szCs w:val="20"/>
          <w:lang w:eastAsia="sl-SI"/>
        </w:rPr>
        <w:t>Izboljšanje velikostne strukture je posledica ponovnega zmanjšanja števila KMG v najmanjših velikostnih razredih ob hkratnem povečanju števila KMG v večjih velikostnih razredih</w:t>
      </w:r>
      <w:r w:rsidRPr="003344A4">
        <w:rPr>
          <w:rFonts w:cs="Arial"/>
          <w:szCs w:val="20"/>
          <w:lang w:eastAsia="sl-SI"/>
        </w:rPr>
        <w:t>.</w:t>
      </w:r>
      <w:r w:rsidRPr="003344A4">
        <w:rPr>
          <w:rFonts w:cs="Arial"/>
          <w:szCs w:val="20"/>
          <w:vertAlign w:val="superscript"/>
          <w:lang w:eastAsia="sl-SI"/>
        </w:rPr>
        <w:footnoteReference w:id="16"/>
      </w:r>
      <w:bookmarkStart w:id="86" w:name="_Toc31893483"/>
    </w:p>
    <w:p w14:paraId="35496E64" w14:textId="77777777" w:rsidR="006C63D5" w:rsidRPr="00C52B55" w:rsidRDefault="006C63D5" w:rsidP="006C63D5">
      <w:pPr>
        <w:spacing w:before="120" w:line="264" w:lineRule="auto"/>
        <w:rPr>
          <w:rFonts w:cs="Arial"/>
          <w:szCs w:val="20"/>
          <w:lang w:eastAsia="sl-SI"/>
        </w:rPr>
      </w:pPr>
    </w:p>
    <w:p w14:paraId="5D1CCD84" w14:textId="77777777" w:rsidR="006C63D5" w:rsidRPr="00B26693" w:rsidRDefault="006C63D5" w:rsidP="006519C3">
      <w:pPr>
        <w:pStyle w:val="Naslov2"/>
        <w:ind w:left="578" w:hanging="578"/>
      </w:pPr>
      <w:bookmarkStart w:id="87" w:name="_Toc42067305"/>
      <w:bookmarkStart w:id="88" w:name="_Toc55912189"/>
      <w:r w:rsidRPr="00B26693">
        <w:t>Ekonomska velikost KMG</w:t>
      </w:r>
      <w:bookmarkEnd w:id="86"/>
      <w:bookmarkEnd w:id="87"/>
      <w:bookmarkEnd w:id="88"/>
    </w:p>
    <w:p w14:paraId="35051CF7" w14:textId="77777777" w:rsidR="006C63D5" w:rsidRPr="003344A4" w:rsidRDefault="006C63D5" w:rsidP="00AD76B1">
      <w:pPr>
        <w:spacing w:before="120" w:line="360" w:lineRule="auto"/>
        <w:jc w:val="both"/>
        <w:rPr>
          <w:rFonts w:cs="Arial"/>
          <w:szCs w:val="20"/>
        </w:rPr>
      </w:pPr>
      <w:r w:rsidRPr="003344A4">
        <w:rPr>
          <w:rFonts w:cs="Arial"/>
          <w:szCs w:val="20"/>
        </w:rPr>
        <w:t>V EU–28 je imelo v letu 2016 več kot dve tretjini (68 %) kmetijskih gospodarstev standardni prihodek manjši od 8.000 EUR. V Sloveniji je delež gospodarstev, ki imajo standardni prihodek manjši od 8.000 EUR, nekoliko manjši od povprečja v EU–28 in znaša 59 %. Delež kmetijskih gospodarstev, ki imajo standardni prihodek nad 50 tisoč EUR, znaša v EU–28 dobrih 11 %. V Sloveniji je gospodarstev v tem razredu nekaj več kot 6 %, še vedno pa precej zaostajamo za povprečjem EU–28.</w:t>
      </w:r>
    </w:p>
    <w:p w14:paraId="20350BAB" w14:textId="77777777" w:rsidR="006C63D5" w:rsidRPr="003344A4" w:rsidRDefault="006C63D5" w:rsidP="00AD76B1">
      <w:pPr>
        <w:spacing w:before="120" w:line="360" w:lineRule="auto"/>
        <w:jc w:val="both"/>
        <w:rPr>
          <w:rFonts w:cs="Arial"/>
          <w:szCs w:val="20"/>
        </w:rPr>
      </w:pPr>
      <w:r w:rsidRPr="003344A4">
        <w:rPr>
          <w:rFonts w:cs="Arial"/>
          <w:szCs w:val="20"/>
        </w:rPr>
        <w:t>Leta 2016 je povprečna ekonomska velikost, merjena s standardnim prihodkom na gospodarstvo, v državah EU–28 znašala 34.784 EUR in je bila za 39 % višja kot leta 2010. Slovenija z nekaj več kot 16.500 EUR na gospodarstvo spada v krog držav, ki močno zaostajajo za povprečjem EU–28.</w:t>
      </w:r>
      <w:r w:rsidRPr="003344A4">
        <w:rPr>
          <w:rFonts w:cs="Arial"/>
          <w:szCs w:val="20"/>
          <w:vertAlign w:val="superscript"/>
        </w:rPr>
        <w:footnoteReference w:id="17"/>
      </w:r>
    </w:p>
    <w:p w14:paraId="552B6F72" w14:textId="2988A61C" w:rsidR="006C63D5" w:rsidRPr="003344A4" w:rsidRDefault="006C63D5" w:rsidP="00C473E5">
      <w:pPr>
        <w:spacing w:before="120" w:line="360" w:lineRule="auto"/>
        <w:jc w:val="both"/>
        <w:rPr>
          <w:rFonts w:cs="Arial"/>
        </w:rPr>
      </w:pPr>
      <w:r w:rsidRPr="003344A4">
        <w:rPr>
          <w:rFonts w:cs="Arial"/>
          <w:szCs w:val="20"/>
        </w:rPr>
        <w:t xml:space="preserve">Po statističnih podatkih je bilo 1. junija 2016 v Sloveniji 1.552 kmetijskih gospodarstev, katerih skupni standardni prihodek je bil večji kot 100.000 evrov, ali za skoraj 38 % več kot v letu 2013, ko je bilo takšnih kmetij 1.126. Skupni standardni prihodek teh kmetijskih gospodarstev je v letu 2016 znašal 363 </w:t>
      </w:r>
      <w:r w:rsidRPr="003344A4">
        <w:rPr>
          <w:rFonts w:cs="Arial"/>
          <w:szCs w:val="20"/>
        </w:rPr>
        <w:lastRenderedPageBreak/>
        <w:t>milijonov EUR, kar je za skoraj 34 % več kot v letu 2013, ko je bil standardni prihodek 272 milijonov evrov.</w:t>
      </w:r>
      <w:r w:rsidRPr="003344A4">
        <w:rPr>
          <w:rFonts w:cs="Arial"/>
          <w:szCs w:val="20"/>
          <w:vertAlign w:val="superscript"/>
        </w:rPr>
        <w:footnoteReference w:id="18"/>
      </w:r>
      <w:r w:rsidRPr="003344A4">
        <w:rPr>
          <w:rFonts w:cs="Arial"/>
          <w:szCs w:val="20"/>
        </w:rPr>
        <w:t xml:space="preserve">  </w:t>
      </w:r>
    </w:p>
    <w:p w14:paraId="7E5F4120" w14:textId="77777777" w:rsidR="006C63D5" w:rsidRPr="00B26693" w:rsidRDefault="006C63D5" w:rsidP="006519C3">
      <w:pPr>
        <w:pStyle w:val="Naslov2"/>
        <w:ind w:left="578" w:hanging="578"/>
      </w:pPr>
      <w:bookmarkStart w:id="89" w:name="_Toc42067306"/>
      <w:bookmarkStart w:id="90" w:name="_Toc31893484"/>
      <w:bookmarkStart w:id="91" w:name="_Toc55912190"/>
      <w:r w:rsidRPr="00B26693">
        <w:t>Tipologija kmetijskih gospodarstev</w:t>
      </w:r>
      <w:bookmarkEnd w:id="89"/>
      <w:bookmarkEnd w:id="91"/>
    </w:p>
    <w:bookmarkEnd w:id="90"/>
    <w:p w14:paraId="27526B3A" w14:textId="01C74759" w:rsidR="006C63D5" w:rsidRDefault="006C63D5" w:rsidP="00AD76B1">
      <w:pPr>
        <w:spacing w:before="120" w:line="360" w:lineRule="auto"/>
        <w:jc w:val="both"/>
        <w:rPr>
          <w:rFonts w:cs="Arial"/>
        </w:rPr>
      </w:pPr>
      <w:r w:rsidRPr="003344A4">
        <w:rPr>
          <w:rFonts w:cs="Arial"/>
        </w:rPr>
        <w:t>Tipi kmetovanja, ki so povezani z živinorejo (specializirani rej</w:t>
      </w:r>
      <w:r w:rsidR="00863058">
        <w:rPr>
          <w:rFonts w:cs="Arial"/>
        </w:rPr>
        <w:t>ci</w:t>
      </w:r>
      <w:r w:rsidRPr="003344A4">
        <w:rPr>
          <w:rFonts w:cs="Arial"/>
        </w:rPr>
        <w:t xml:space="preserve"> pašne živine, mešana živinoreja, specializirani prašičerejci in perutninarji), predstavljajo 58,9 % kmetij. Leta 2016 je bil prevladujoči tip kmetovanja v Sloveniji »specializirani rejec pašne živine« (35,7 % kmetijskih gospodarstev). Sledijo mu specializirani pridelovalci poljščin z </w:t>
      </w:r>
      <w:r w:rsidRPr="005B1C38">
        <w:rPr>
          <w:rFonts w:cs="Arial"/>
        </w:rPr>
        <w:t>1</w:t>
      </w:r>
      <w:r w:rsidR="005B1C38" w:rsidRPr="005B1C38">
        <w:rPr>
          <w:rFonts w:cs="Arial"/>
        </w:rPr>
        <w:t>9</w:t>
      </w:r>
      <w:r w:rsidRPr="005B1C38">
        <w:rPr>
          <w:rFonts w:cs="Arial"/>
        </w:rPr>
        <w:t>,2</w:t>
      </w:r>
      <w:r w:rsidRPr="003344A4">
        <w:rPr>
          <w:rFonts w:cs="Arial"/>
        </w:rPr>
        <w:t xml:space="preserve"> %, mešani rastlinski pridelovalci – živinoreja s </w:t>
      </w:r>
      <w:r w:rsidRPr="005B1C38">
        <w:rPr>
          <w:rFonts w:cs="Arial"/>
        </w:rPr>
        <w:t>17,</w:t>
      </w:r>
      <w:r w:rsidR="005B1C38">
        <w:rPr>
          <w:rFonts w:cs="Arial"/>
        </w:rPr>
        <w:t>2</w:t>
      </w:r>
      <w:r w:rsidRPr="003344A4">
        <w:rPr>
          <w:rFonts w:cs="Arial"/>
        </w:rPr>
        <w:t xml:space="preserve"> %</w:t>
      </w:r>
      <w:r w:rsidR="00863058">
        <w:rPr>
          <w:rFonts w:cs="Arial"/>
        </w:rPr>
        <w:t xml:space="preserve"> ter</w:t>
      </w:r>
      <w:r w:rsidRPr="003344A4">
        <w:rPr>
          <w:rFonts w:cs="Arial"/>
        </w:rPr>
        <w:t xml:space="preserve"> specializirani gojitelji trajnih nasadov s 13,1 % kmetijskih gospodarstev.</w:t>
      </w:r>
    </w:p>
    <w:p w14:paraId="47150D55" w14:textId="4393A9DA" w:rsidR="00B26693" w:rsidRPr="003344A4" w:rsidRDefault="00B26693" w:rsidP="00B26693">
      <w:pPr>
        <w:pStyle w:val="SCslika"/>
      </w:pPr>
      <w:bookmarkStart w:id="92" w:name="_Toc55913770"/>
      <w:r w:rsidRPr="00226CFA">
        <w:t xml:space="preserve">Slika </w:t>
      </w:r>
      <w:r w:rsidR="007A077E">
        <w:fldChar w:fldCharType="begin"/>
      </w:r>
      <w:r w:rsidR="007A077E">
        <w:instrText xml:space="preserve"> SEQ Slika \* ARABIC </w:instrText>
      </w:r>
      <w:r w:rsidR="007A077E">
        <w:fldChar w:fldCharType="separate"/>
      </w:r>
      <w:r w:rsidR="0040635C">
        <w:t>19</w:t>
      </w:r>
      <w:r w:rsidR="007A077E">
        <w:fldChar w:fldCharType="end"/>
      </w:r>
      <w:r w:rsidRPr="00226CFA">
        <w:t>: Delež števila kmetijskih gospodarstev po tipu kmetovanja za leto 2016</w:t>
      </w:r>
      <w:bookmarkEnd w:id="92"/>
    </w:p>
    <w:p w14:paraId="1FE85AA0" w14:textId="77777777" w:rsidR="006C63D5" w:rsidRPr="003344A4" w:rsidRDefault="006C63D5" w:rsidP="006C63D5">
      <w:pPr>
        <w:keepNext/>
        <w:spacing w:before="80" w:after="80" w:line="264" w:lineRule="auto"/>
        <w:jc w:val="center"/>
        <w:rPr>
          <w:rFonts w:cs="Arial"/>
          <w:noProof/>
          <w:sz w:val="16"/>
          <w:lang w:eastAsia="sl-SI"/>
        </w:rPr>
      </w:pPr>
      <w:r w:rsidRPr="003344A4">
        <w:rPr>
          <w:rFonts w:cs="Arial"/>
          <w:noProof/>
          <w:sz w:val="16"/>
          <w:shd w:val="clear" w:color="auto" w:fill="CCFF99"/>
          <w:lang w:eastAsia="sl-SI"/>
        </w:rPr>
        <w:drawing>
          <wp:inline distT="0" distB="0" distL="0" distR="0" wp14:anchorId="6AA8DE5E" wp14:editId="6B67A7BE">
            <wp:extent cx="5676900" cy="2720340"/>
            <wp:effectExtent l="0" t="0" r="0" b="3810"/>
            <wp:docPr id="26" name="Grafikon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B3B581F" w14:textId="338B632A" w:rsidR="006C63D5" w:rsidRPr="00B26693" w:rsidRDefault="006C63D5" w:rsidP="006C63D5">
      <w:pPr>
        <w:spacing w:before="120" w:line="264" w:lineRule="auto"/>
        <w:rPr>
          <w:rFonts w:cs="Arial"/>
          <w:sz w:val="16"/>
          <w:szCs w:val="16"/>
        </w:rPr>
      </w:pPr>
      <w:r w:rsidRPr="00B26693">
        <w:rPr>
          <w:rFonts w:cs="Arial"/>
          <w:sz w:val="16"/>
          <w:szCs w:val="16"/>
        </w:rPr>
        <w:t>Vir: Stati</w:t>
      </w:r>
      <w:r w:rsidR="00B26693" w:rsidRPr="00B26693">
        <w:rPr>
          <w:rFonts w:cs="Arial"/>
          <w:sz w:val="16"/>
          <w:szCs w:val="16"/>
        </w:rPr>
        <w:t>stični urad Republike Slovenije</w:t>
      </w:r>
    </w:p>
    <w:p w14:paraId="1EB06BCA" w14:textId="01FB91E7" w:rsidR="006C63D5" w:rsidRDefault="006C63D5" w:rsidP="00AD76B1">
      <w:pPr>
        <w:spacing w:before="120" w:line="360" w:lineRule="auto"/>
        <w:jc w:val="both"/>
        <w:rPr>
          <w:rFonts w:cs="Arial"/>
        </w:rPr>
      </w:pPr>
      <w:r w:rsidRPr="003344A4">
        <w:rPr>
          <w:rFonts w:cs="Arial"/>
        </w:rPr>
        <w:t>Od leta 2007 do 2016 se v vseh letih število kmetij zmanjšuje za tip kmetovanja specializirani rejec pašne živine, mešana živinoreja in specializirani prašičerejci in perutninarji. Razen pri tipih kmetovanja mešana živinoreja, specializirani vrtnar in specializirani prašičerejci in perutninarji, se je v omenjenem obdobju zmanjševala ali ohranjala ekonomska velikost kmetij. Pri ostalih tipih kmetovanja pa je prišlo do povečevanja ekonomske velikosti kmetij, kar kaže na proces koncentracije. Ta proces je še posebej izrazit za tip kmetovanja specializirani rejec pašne živine, kjer se je vzporedno z manjšanjem števila kmetij v vseh letih povečevala ekonomska velikost kmetij tega tipa kmetovanja.</w:t>
      </w:r>
    </w:p>
    <w:p w14:paraId="2B18FFAB" w14:textId="03A95B67" w:rsidR="00B26693" w:rsidRPr="003344A4" w:rsidRDefault="00B26693" w:rsidP="005B1C38">
      <w:pPr>
        <w:pStyle w:val="SCslika"/>
        <w:keepNext/>
        <w:keepLines/>
      </w:pPr>
      <w:bookmarkStart w:id="93" w:name="_Toc55913771"/>
      <w:r w:rsidRPr="00226CFA">
        <w:lastRenderedPageBreak/>
        <w:t xml:space="preserve">Slika </w:t>
      </w:r>
      <w:r w:rsidR="007A077E">
        <w:fldChar w:fldCharType="begin"/>
      </w:r>
      <w:r w:rsidR="007A077E">
        <w:instrText xml:space="preserve"> SEQ Slika \* ARABIC </w:instrText>
      </w:r>
      <w:r w:rsidR="007A077E">
        <w:fldChar w:fldCharType="separate"/>
      </w:r>
      <w:r w:rsidR="0040635C">
        <w:t>20</w:t>
      </w:r>
      <w:r w:rsidR="007A077E">
        <w:fldChar w:fldCharType="end"/>
      </w:r>
      <w:r w:rsidRPr="00226CFA">
        <w:t>: Število kmetijskih gospodarstev po tipu kmetovanja od leta 2007, 2010, 2013, 2016</w:t>
      </w:r>
      <w:bookmarkEnd w:id="93"/>
    </w:p>
    <w:p w14:paraId="092DCCCD" w14:textId="77777777" w:rsidR="006C63D5" w:rsidRPr="003344A4" w:rsidRDefault="006C63D5" w:rsidP="00F42F8F">
      <w:pPr>
        <w:pStyle w:val="1"/>
        <w:rPr>
          <w:noProof/>
        </w:rPr>
      </w:pPr>
      <w:r w:rsidRPr="003344A4">
        <w:rPr>
          <w:noProof/>
        </w:rPr>
        <w:drawing>
          <wp:inline distT="0" distB="0" distL="0" distR="0" wp14:anchorId="029B1DF0" wp14:editId="13D821AF">
            <wp:extent cx="5756745" cy="4651513"/>
            <wp:effectExtent l="0" t="0" r="0" b="0"/>
            <wp:docPr id="1631865538" name="Grafikon 16318655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D1690A4" w14:textId="77777777" w:rsidR="006C63D5" w:rsidRPr="003344A4" w:rsidRDefault="006C63D5" w:rsidP="005B1C38">
      <w:pPr>
        <w:keepNext/>
        <w:keepLines/>
        <w:spacing w:before="80" w:after="80" w:line="264" w:lineRule="auto"/>
        <w:jc w:val="center"/>
        <w:rPr>
          <w:rFonts w:cs="Arial"/>
          <w:noProof/>
          <w:sz w:val="12"/>
          <w:lang w:eastAsia="sl-SI"/>
        </w:rPr>
      </w:pPr>
    </w:p>
    <w:p w14:paraId="25B7B7F3" w14:textId="60C02FCB" w:rsidR="006C63D5" w:rsidRPr="00B26693" w:rsidRDefault="00B26693" w:rsidP="005B1C38">
      <w:pPr>
        <w:keepNext/>
        <w:keepLines/>
        <w:spacing w:before="120" w:line="264" w:lineRule="auto"/>
        <w:rPr>
          <w:rFonts w:cs="Arial"/>
          <w:sz w:val="16"/>
          <w:szCs w:val="16"/>
        </w:rPr>
      </w:pPr>
      <w:r w:rsidRPr="00B26693">
        <w:rPr>
          <w:rFonts w:cs="Arial"/>
          <w:noProof/>
          <w:sz w:val="16"/>
          <w:szCs w:val="16"/>
        </w:rPr>
        <w:t>Vir: SURS</w:t>
      </w:r>
    </w:p>
    <w:p w14:paraId="64160422" w14:textId="6DF6014E" w:rsidR="00B26693" w:rsidRDefault="00B26693" w:rsidP="00B26693">
      <w:pPr>
        <w:spacing w:before="80" w:after="80" w:line="264" w:lineRule="auto"/>
        <w:rPr>
          <w:rFonts w:cs="Arial"/>
          <w:noProof/>
          <w:sz w:val="16"/>
          <w:lang w:eastAsia="sl-SI"/>
        </w:rPr>
      </w:pPr>
    </w:p>
    <w:p w14:paraId="119D0E8E" w14:textId="0FF29E6C" w:rsidR="00B26693" w:rsidRDefault="00B26693" w:rsidP="00B26693">
      <w:pPr>
        <w:spacing w:before="80" w:after="80" w:line="264" w:lineRule="auto"/>
        <w:rPr>
          <w:rFonts w:cs="Arial"/>
          <w:noProof/>
          <w:sz w:val="16"/>
          <w:lang w:eastAsia="sl-SI"/>
        </w:rPr>
      </w:pPr>
    </w:p>
    <w:p w14:paraId="512DA7E3" w14:textId="25E2FA38" w:rsidR="006C63D5" w:rsidRPr="003344A4" w:rsidRDefault="00B26693" w:rsidP="0035086C">
      <w:bookmarkStart w:id="94" w:name="_Toc55913772"/>
      <w:r w:rsidRPr="00F42F8F">
        <w:lastRenderedPageBreak/>
        <w:t xml:space="preserve">Slika </w:t>
      </w:r>
      <w:r w:rsidR="007A077E">
        <w:fldChar w:fldCharType="begin"/>
      </w:r>
      <w:r w:rsidR="007A077E">
        <w:instrText xml:space="preserve"> SEQ Slika \* ARABIC </w:instrText>
      </w:r>
      <w:r w:rsidR="007A077E">
        <w:fldChar w:fldCharType="separate"/>
      </w:r>
      <w:r w:rsidR="0040635C">
        <w:t>21</w:t>
      </w:r>
      <w:r w:rsidR="007A077E">
        <w:fldChar w:fldCharType="end"/>
      </w:r>
      <w:r w:rsidRPr="00F42F8F">
        <w:t>: Ekonomska velikost kmetijskih gospodarstev v EUR po tipu kmetovanja od leta 2007</w:t>
      </w:r>
      <w:r w:rsidR="00F42F8F" w:rsidRPr="00F42F8F">
        <w:t>, 2010, 2013</w:t>
      </w:r>
      <w:r w:rsidR="00F42F8F">
        <w:t xml:space="preserve">, </w:t>
      </w:r>
      <w:r w:rsidR="00F42F8F" w:rsidRPr="00F42F8F">
        <w:t>2016</w:t>
      </w:r>
      <w:r w:rsidR="006C63D5" w:rsidRPr="003344A4">
        <w:drawing>
          <wp:inline distT="0" distB="0" distL="0" distR="0" wp14:anchorId="6590F178" wp14:editId="048C7099">
            <wp:extent cx="5756745" cy="5072932"/>
            <wp:effectExtent l="0" t="0" r="0" b="0"/>
            <wp:docPr id="15" name="Grafikon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bookmarkEnd w:id="94"/>
    </w:p>
    <w:p w14:paraId="5F8E961D" w14:textId="60B8B9BE" w:rsidR="006C63D5" w:rsidRPr="00B26693" w:rsidRDefault="00B26693" w:rsidP="005B1C38">
      <w:pPr>
        <w:keepNext/>
        <w:keepLines/>
        <w:spacing w:before="120" w:line="264" w:lineRule="auto"/>
        <w:rPr>
          <w:rFonts w:cs="Arial"/>
          <w:noProof/>
          <w:sz w:val="16"/>
          <w:szCs w:val="16"/>
        </w:rPr>
      </w:pPr>
      <w:r w:rsidRPr="00B26693">
        <w:rPr>
          <w:rFonts w:cs="Arial"/>
          <w:noProof/>
          <w:sz w:val="16"/>
          <w:szCs w:val="16"/>
        </w:rPr>
        <w:t>Vir: SURS</w:t>
      </w:r>
    </w:p>
    <w:p w14:paraId="7C21D0E4" w14:textId="77777777" w:rsidR="006C63D5" w:rsidRPr="003344A4" w:rsidRDefault="006C63D5" w:rsidP="006C63D5">
      <w:pPr>
        <w:spacing w:before="80" w:after="80" w:line="264" w:lineRule="auto"/>
        <w:jc w:val="center"/>
        <w:rPr>
          <w:rFonts w:cs="Arial"/>
          <w:noProof/>
          <w:sz w:val="16"/>
          <w:lang w:eastAsia="sl-SI"/>
        </w:rPr>
      </w:pPr>
    </w:p>
    <w:p w14:paraId="0B20A57B" w14:textId="721C1E57" w:rsidR="006C63D5" w:rsidRPr="00B26693" w:rsidRDefault="00B26693" w:rsidP="0035086C">
      <w:pPr>
        <w:rPr>
          <w:sz w:val="16"/>
        </w:rPr>
      </w:pPr>
      <w:bookmarkStart w:id="95" w:name="_Toc55913773"/>
      <w:r w:rsidRPr="005B1C38">
        <w:lastRenderedPageBreak/>
        <w:t xml:space="preserve">Slika </w:t>
      </w:r>
      <w:r w:rsidR="007A077E">
        <w:fldChar w:fldCharType="begin"/>
      </w:r>
      <w:r w:rsidR="007A077E">
        <w:instrText xml:space="preserve"> SEQ Slika \* ARABIC </w:instrText>
      </w:r>
      <w:r w:rsidR="007A077E">
        <w:fldChar w:fldCharType="separate"/>
      </w:r>
      <w:r w:rsidR="0040635C">
        <w:t>22</w:t>
      </w:r>
      <w:r w:rsidR="007A077E">
        <w:fldChar w:fldCharType="end"/>
      </w:r>
      <w:r w:rsidRPr="005B1C38">
        <w:t>: Primerjava deležev števila kmetij po tipih kmetovanja za leto 2016 med Slovenijo in EU-28</w:t>
      </w:r>
      <w:r w:rsidRPr="00226CFA">
        <w:t xml:space="preserve"> </w:t>
      </w:r>
      <w:r w:rsidR="006C63D5" w:rsidRPr="003344A4">
        <w:drawing>
          <wp:inline distT="0" distB="0" distL="0" distR="0" wp14:anchorId="1AC8558E" wp14:editId="1286F65D">
            <wp:extent cx="5788325" cy="6003985"/>
            <wp:effectExtent l="0" t="0" r="3175" b="0"/>
            <wp:docPr id="1631865539" name="Grafikon 1631865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bookmarkEnd w:id="95"/>
    </w:p>
    <w:p w14:paraId="7E790B37" w14:textId="5A197B87" w:rsidR="006C63D5" w:rsidRPr="00B26693" w:rsidRDefault="00B26693" w:rsidP="00B26693">
      <w:pPr>
        <w:spacing w:before="120" w:line="264" w:lineRule="auto"/>
        <w:rPr>
          <w:rFonts w:cs="Arial"/>
          <w:sz w:val="16"/>
          <w:szCs w:val="16"/>
        </w:rPr>
      </w:pPr>
      <w:r w:rsidRPr="00B26693">
        <w:rPr>
          <w:rFonts w:cs="Arial"/>
          <w:noProof/>
          <w:sz w:val="16"/>
          <w:szCs w:val="16"/>
        </w:rPr>
        <w:t>Vir: Eurostat</w:t>
      </w:r>
    </w:p>
    <w:p w14:paraId="3EB46DE8" w14:textId="77777777" w:rsidR="006C63D5" w:rsidRPr="003344A4" w:rsidRDefault="006C63D5" w:rsidP="006C63D5">
      <w:pPr>
        <w:rPr>
          <w:rFonts w:cs="Arial"/>
        </w:rPr>
      </w:pPr>
    </w:p>
    <w:p w14:paraId="2AE94535" w14:textId="52B0C7BC" w:rsidR="006C63D5" w:rsidRPr="00B26693" w:rsidRDefault="006412DC" w:rsidP="006519C3">
      <w:pPr>
        <w:pStyle w:val="Naslov2"/>
        <w:ind w:left="578" w:hanging="578"/>
      </w:pPr>
      <w:bookmarkStart w:id="96" w:name="_Toc42067307"/>
      <w:bookmarkStart w:id="97" w:name="_Toc55912191"/>
      <w:r w:rsidRPr="00B26693">
        <w:t>Živinoreja</w:t>
      </w:r>
      <w:bookmarkEnd w:id="96"/>
      <w:bookmarkEnd w:id="97"/>
    </w:p>
    <w:p w14:paraId="5210D99F" w14:textId="77777777" w:rsidR="006C63D5" w:rsidRPr="003344A4" w:rsidRDefault="006C63D5" w:rsidP="00AD76B1">
      <w:pPr>
        <w:spacing w:before="120" w:line="360" w:lineRule="auto"/>
        <w:jc w:val="both"/>
        <w:rPr>
          <w:rFonts w:cs="Arial"/>
          <w:szCs w:val="20"/>
        </w:rPr>
      </w:pPr>
      <w:r w:rsidRPr="003344A4">
        <w:rPr>
          <w:rFonts w:cs="Arial"/>
          <w:szCs w:val="20"/>
        </w:rPr>
        <w:t xml:space="preserve">Z rejo živine so se v Sloveniji v letu 2016 ukvarjali na 55.782 kmetijskih gospodarstvih, kar je sicer 3 % manj kot v letu 2013, vendar pa se je število GVŽ povečalo za 5 % (na 418.684). Povprečna velikost kmetijskih gospodarstev, </w:t>
      </w:r>
      <w:r w:rsidRPr="00F42F8F">
        <w:rPr>
          <w:rFonts w:cs="Arial"/>
          <w:szCs w:val="20"/>
        </w:rPr>
        <w:t>na katerih so redili živino</w:t>
      </w:r>
      <w:r w:rsidRPr="00863058">
        <w:rPr>
          <w:rFonts w:cs="Arial"/>
          <w:szCs w:val="20"/>
        </w:rPr>
        <w:t>,</w:t>
      </w:r>
      <w:r w:rsidRPr="003344A4">
        <w:rPr>
          <w:rFonts w:cs="Arial"/>
          <w:szCs w:val="20"/>
        </w:rPr>
        <w:t xml:space="preserve"> se je torej od leta 2013 povečala za 0,6 GVŽ, in sicer s 6,9 GVŽ na 7,5 GVŽ. </w:t>
      </w:r>
    </w:p>
    <w:p w14:paraId="6B797AA8" w14:textId="77777777" w:rsidR="006C63D5" w:rsidRPr="003344A4" w:rsidRDefault="006C63D5" w:rsidP="00AD76B1">
      <w:pPr>
        <w:spacing w:before="120" w:line="360" w:lineRule="auto"/>
        <w:jc w:val="both"/>
        <w:rPr>
          <w:rFonts w:cs="Arial"/>
          <w:szCs w:val="20"/>
        </w:rPr>
      </w:pPr>
      <w:r w:rsidRPr="003344A4">
        <w:rPr>
          <w:rFonts w:cs="Arial"/>
          <w:szCs w:val="20"/>
        </w:rPr>
        <w:lastRenderedPageBreak/>
        <w:t>Število GVŽ je v Sloveniji od leta 2005 do leta 2016 dokaj stabilno. Kljub vsemu je opaziti padec števila GVŽ med letoma 2007 in 2013. V letu 2016 se je število ponovno povzpelo na nivo pred letom 2005. Delež kmetij brez GVŽ glede na celotno število kmetijskih gospodarstev se je do leta 2010 povečal na 21% in se po tem letu ustalil pri 20%.</w:t>
      </w:r>
    </w:p>
    <w:p w14:paraId="2E636D54" w14:textId="3F94C1B9" w:rsidR="006C63D5" w:rsidRPr="003344A4" w:rsidRDefault="00503CF6" w:rsidP="00503CF6">
      <w:pPr>
        <w:pStyle w:val="SCslika"/>
      </w:pPr>
      <w:bookmarkStart w:id="98" w:name="_Ref31099547"/>
      <w:bookmarkStart w:id="99" w:name="_Toc55913774"/>
      <w:r w:rsidRPr="00D6132D">
        <w:t xml:space="preserve">Slika </w:t>
      </w:r>
      <w:r w:rsidR="007A077E">
        <w:fldChar w:fldCharType="begin"/>
      </w:r>
      <w:r w:rsidR="007A077E">
        <w:instrText xml:space="preserve"> SEQ Slika \* ARABIC </w:instrText>
      </w:r>
      <w:r w:rsidR="007A077E">
        <w:fldChar w:fldCharType="separate"/>
      </w:r>
      <w:r w:rsidR="0040635C">
        <w:t>23</w:t>
      </w:r>
      <w:r w:rsidR="007A077E">
        <w:fldChar w:fldCharType="end"/>
      </w:r>
      <w:bookmarkEnd w:id="98"/>
      <w:r w:rsidRPr="00D6132D">
        <w:t>: Št. GVŽ skupaj, delež kmetij brez GVŽ od vseh kmetij za Slovenijo od leta 2005 do 2016</w:t>
      </w:r>
      <w:bookmarkEnd w:id="99"/>
    </w:p>
    <w:p w14:paraId="13BAB750" w14:textId="7A7CF7F4" w:rsidR="006C63D5" w:rsidRPr="00432C9D" w:rsidRDefault="006C63D5" w:rsidP="00432C9D">
      <w:pPr>
        <w:keepNext/>
        <w:spacing w:before="120" w:line="264" w:lineRule="auto"/>
        <w:rPr>
          <w:rFonts w:cs="Arial"/>
        </w:rPr>
      </w:pPr>
      <w:r w:rsidRPr="003344A4">
        <w:rPr>
          <w:rFonts w:cs="Arial"/>
          <w:noProof/>
          <w:lang w:eastAsia="sl-SI"/>
        </w:rPr>
        <w:drawing>
          <wp:inline distT="0" distB="0" distL="0" distR="0" wp14:anchorId="5EA61617" wp14:editId="24AA5510">
            <wp:extent cx="5779698" cy="2743200"/>
            <wp:effectExtent l="0" t="0" r="0" b="0"/>
            <wp:docPr id="1631865344" name="Grafikon 1631865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432C9D" w:rsidRPr="00432C9D">
        <w:rPr>
          <w:rFonts w:cs="Arial"/>
          <w:sz w:val="16"/>
          <w:szCs w:val="16"/>
        </w:rPr>
        <w:t>Vir: SURS</w:t>
      </w:r>
    </w:p>
    <w:p w14:paraId="7D17417D" w14:textId="3B6D4801" w:rsidR="006C63D5" w:rsidRPr="003344A4" w:rsidRDefault="006C63D5" w:rsidP="00AD76B1">
      <w:pPr>
        <w:spacing w:before="120" w:line="360" w:lineRule="auto"/>
        <w:jc w:val="both"/>
        <w:rPr>
          <w:rFonts w:cs="Arial"/>
          <w:szCs w:val="20"/>
        </w:rPr>
      </w:pPr>
      <w:r w:rsidRPr="003344A4">
        <w:rPr>
          <w:rFonts w:cs="Arial"/>
          <w:szCs w:val="20"/>
        </w:rPr>
        <w:t>V Sloveniji se nakazuje postope</w:t>
      </w:r>
      <w:r w:rsidR="00863058">
        <w:rPr>
          <w:rFonts w:cs="Arial"/>
          <w:szCs w:val="20"/>
        </w:rPr>
        <w:t>n</w:t>
      </w:r>
      <w:r w:rsidRPr="003344A4">
        <w:rPr>
          <w:rFonts w:cs="Arial"/>
          <w:szCs w:val="20"/>
        </w:rPr>
        <w:t xml:space="preserve"> proces rasti števila kmetijskih gospodarstev, ki redijo večji obseg GVŽ. Število kmetijskih gospodarstev, na katerih so redili 20 ali več GVŽ, se je od 2013 do 2016 povečalo za 18 % (na 5.016) in na vseh skupaj so tako v letu 2016 redili 19 % GVŽ več kot v letu 2013 (218.947). Hkrati pa se je število tistih kmetijskih gospodarstev, na katerih so redili manj kot 20 GVŽ, zmanjšalo za 5 % (na 50.766); na teh pa so skupaj redili 199.738 GVŽ, to je manj kot polovic</w:t>
      </w:r>
      <w:r w:rsidR="00863058">
        <w:rPr>
          <w:rFonts w:cs="Arial"/>
          <w:szCs w:val="20"/>
        </w:rPr>
        <w:t>a</w:t>
      </w:r>
      <w:r w:rsidRPr="003344A4">
        <w:rPr>
          <w:rFonts w:cs="Arial"/>
          <w:szCs w:val="20"/>
        </w:rPr>
        <w:t xml:space="preserve"> </w:t>
      </w:r>
      <w:proofErr w:type="spellStart"/>
      <w:r w:rsidRPr="003344A4">
        <w:rPr>
          <w:rFonts w:cs="Arial"/>
          <w:szCs w:val="20"/>
        </w:rPr>
        <w:t>rejne</w:t>
      </w:r>
      <w:proofErr w:type="spellEnd"/>
      <w:r w:rsidRPr="003344A4">
        <w:rPr>
          <w:rFonts w:cs="Arial"/>
          <w:szCs w:val="20"/>
        </w:rPr>
        <w:t xml:space="preserve"> živine v Sloveniji (48 %).</w:t>
      </w:r>
      <w:r w:rsidRPr="003344A4">
        <w:rPr>
          <w:rFonts w:cs="Arial"/>
          <w:szCs w:val="20"/>
          <w:vertAlign w:val="superscript"/>
        </w:rPr>
        <w:footnoteReference w:id="19"/>
      </w:r>
      <w:r w:rsidRPr="003344A4">
        <w:rPr>
          <w:rFonts w:cs="Arial"/>
          <w:szCs w:val="20"/>
        </w:rPr>
        <w:t xml:space="preserve"> </w:t>
      </w:r>
    </w:p>
    <w:p w14:paraId="003858EB" w14:textId="77777777" w:rsidR="006C63D5" w:rsidRPr="003344A4" w:rsidRDefault="006C63D5" w:rsidP="00AD76B1">
      <w:pPr>
        <w:spacing w:before="120" w:line="360" w:lineRule="auto"/>
        <w:jc w:val="both"/>
        <w:rPr>
          <w:rFonts w:cs="Arial"/>
          <w:szCs w:val="20"/>
        </w:rPr>
      </w:pPr>
      <w:r w:rsidRPr="003344A4">
        <w:rPr>
          <w:rFonts w:cs="Arial"/>
          <w:szCs w:val="20"/>
        </w:rPr>
        <w:t xml:space="preserve">V letu 2016 so </w:t>
      </w:r>
      <w:r w:rsidRPr="00F42F8F">
        <w:rPr>
          <w:rFonts w:cs="Arial"/>
          <w:szCs w:val="20"/>
        </w:rPr>
        <w:t>živinorejska</w:t>
      </w:r>
      <w:r w:rsidRPr="003344A4">
        <w:rPr>
          <w:rFonts w:cs="Arial"/>
          <w:szCs w:val="20"/>
        </w:rPr>
        <w:t xml:space="preserve"> kmetijska gospodarstva v EU–28 v povprečju redila 22,9 GVŽ, v Sloveniji pa 9,1 GVŽ. </w:t>
      </w:r>
      <w:bookmarkStart w:id="100" w:name="_Toc31098460"/>
      <w:bookmarkStart w:id="101" w:name="_Toc31098463"/>
      <w:bookmarkStart w:id="102" w:name="_Toc31098464"/>
      <w:bookmarkStart w:id="103" w:name="_Toc31098465"/>
      <w:bookmarkStart w:id="104" w:name="_Toc31098467"/>
      <w:bookmarkStart w:id="105" w:name="_Toc31098469"/>
      <w:bookmarkStart w:id="106" w:name="_Toc31098470"/>
      <w:bookmarkStart w:id="107" w:name="_Toc31098472"/>
      <w:bookmarkStart w:id="108" w:name="_Toc31098036"/>
      <w:bookmarkStart w:id="109" w:name="_Toc31098474"/>
      <w:bookmarkStart w:id="110" w:name="_Toc29450202"/>
      <w:bookmarkStart w:id="111" w:name="_Toc29450312"/>
      <w:bookmarkStart w:id="112" w:name="_Toc29458670"/>
      <w:bookmarkEnd w:id="100"/>
      <w:bookmarkEnd w:id="101"/>
      <w:bookmarkEnd w:id="102"/>
      <w:bookmarkEnd w:id="103"/>
      <w:bookmarkEnd w:id="104"/>
      <w:bookmarkEnd w:id="105"/>
      <w:bookmarkEnd w:id="106"/>
      <w:bookmarkEnd w:id="107"/>
      <w:bookmarkEnd w:id="108"/>
      <w:bookmarkEnd w:id="109"/>
      <w:bookmarkEnd w:id="110"/>
      <w:bookmarkEnd w:id="111"/>
      <w:bookmarkEnd w:id="112"/>
      <w:r w:rsidRPr="003344A4">
        <w:rPr>
          <w:rFonts w:cs="Arial"/>
          <w:szCs w:val="20"/>
        </w:rPr>
        <w:t xml:space="preserve">Z vidika velikosti kmetijskih gospodarstev Slovenija praktično pri vseh živinorejskih usmeritvah močno zaostaja za povprečjem držav EU–28. Govedorejska gospodarstva v Sloveniji redijo trikrat manj goveda, pri prašičerejskih in ovčerejskih gospodarstvih je razkorak še večji, saj v Sloveniji ta gospodarstva v povprečju redijo kar šestkrat manj živali, kot je povprečje v EU–28. </w:t>
      </w:r>
    </w:p>
    <w:p w14:paraId="3D6057BF" w14:textId="7BB84008" w:rsidR="006C63D5" w:rsidRPr="003344A4" w:rsidRDefault="006C63D5" w:rsidP="005B1C38">
      <w:pPr>
        <w:spacing w:before="120" w:line="360" w:lineRule="auto"/>
        <w:jc w:val="both"/>
        <w:rPr>
          <w:rFonts w:cs="Arial"/>
          <w:szCs w:val="20"/>
        </w:rPr>
      </w:pPr>
      <w:r w:rsidRPr="003344A4">
        <w:rPr>
          <w:rFonts w:cs="Arial"/>
          <w:szCs w:val="20"/>
        </w:rPr>
        <w:t>Razlike so tudi v koncentraciji živinorejske proizvodnje. V povprečju je v EU–28 skoraj tri četrtine (71 %) gospodarstev, ki redijo do 5 GVŽ. Slovenija ima v tem razredu 62 % vseh živinorejskih gospodarstev. V velikostnem razredu gospodarstev, v katerem redijo nad 50 GVŽ, je v EU–28 9 % živinorejskih gospodarstev. Slovenija ima v tem razredu manj kot 3 % kmetijskih gospodarstev.</w:t>
      </w:r>
    </w:p>
    <w:p w14:paraId="34130ABE" w14:textId="77777777" w:rsidR="006C63D5" w:rsidRPr="003344A4" w:rsidRDefault="006C63D5" w:rsidP="00AD76B1">
      <w:pPr>
        <w:spacing w:before="120" w:line="360" w:lineRule="auto"/>
        <w:jc w:val="both"/>
        <w:rPr>
          <w:rFonts w:cs="Arial"/>
          <w:szCs w:val="20"/>
        </w:rPr>
      </w:pPr>
      <w:r w:rsidRPr="003344A4">
        <w:rPr>
          <w:rFonts w:cs="Arial"/>
          <w:szCs w:val="20"/>
        </w:rPr>
        <w:lastRenderedPageBreak/>
        <w:t>Razporeditev živine po posameznih velikostnih razredih GVŽ kaže na velike razlike v koncentraciji proizvodnje znotraj evropske živinoreje. V EU–28 je več kot tri četrtine (81 %) vse živine na gospodarstvih z več kot 50 GVŽ. Slovenija je s 35 % na dnu strukturne lestvice.</w:t>
      </w:r>
    </w:p>
    <w:p w14:paraId="598FE221" w14:textId="77777777" w:rsidR="006C63D5" w:rsidRPr="003344A4" w:rsidRDefault="006C63D5" w:rsidP="00AD76B1">
      <w:pPr>
        <w:spacing w:before="120" w:line="360" w:lineRule="auto"/>
        <w:jc w:val="both"/>
        <w:rPr>
          <w:rFonts w:cs="Arial"/>
          <w:szCs w:val="20"/>
        </w:rPr>
      </w:pPr>
      <w:r w:rsidRPr="003344A4">
        <w:rPr>
          <w:rFonts w:cs="Arial"/>
          <w:szCs w:val="20"/>
        </w:rPr>
        <w:t xml:space="preserve">Podatki glede na živinorejske usmeritve kažejo, da se je leta 2016 z rejo govedi ukvarjalo 35 % vseh živinorejskih gospodarstev v </w:t>
      </w:r>
      <w:r w:rsidRPr="00D6132D">
        <w:rPr>
          <w:rFonts w:cs="Arial"/>
          <w:szCs w:val="20"/>
        </w:rPr>
        <w:t>EU–28</w:t>
      </w:r>
      <w:r w:rsidRPr="003344A4">
        <w:rPr>
          <w:rFonts w:cs="Arial"/>
          <w:szCs w:val="20"/>
        </w:rPr>
        <w:t xml:space="preserve">, ki so v povprečju redila 44,4 glave govedi. V Sloveniji živinorejska gospodarstva v povprečju redijo 14,8 glave govedi. </w:t>
      </w:r>
    </w:p>
    <w:p w14:paraId="7FE2F449" w14:textId="77777777" w:rsidR="006C63D5" w:rsidRPr="003344A4" w:rsidRDefault="006C63D5" w:rsidP="00AD76B1">
      <w:pPr>
        <w:spacing w:before="120" w:line="360" w:lineRule="auto"/>
        <w:jc w:val="both"/>
        <w:rPr>
          <w:rFonts w:cs="Arial"/>
          <w:szCs w:val="20"/>
        </w:rPr>
      </w:pPr>
      <w:r w:rsidRPr="003344A4">
        <w:rPr>
          <w:rFonts w:cs="Arial"/>
          <w:szCs w:val="20"/>
        </w:rPr>
        <w:t>Prašiče v EU–28 redi dobra tretjina (34 %) vseh živinorejskih gospodarstev. V povprečju redijo 73,0 glave na gospodarstvo. V Sloveniji v povprečju redijo 12,1 glave prašičev, kar jo med vsemi državami EU–28 uvršča na predzadnje mesto.</w:t>
      </w:r>
    </w:p>
    <w:p w14:paraId="40C28EBA" w14:textId="77777777" w:rsidR="006C63D5" w:rsidRPr="003344A4" w:rsidRDefault="006C63D5" w:rsidP="00AD76B1">
      <w:pPr>
        <w:spacing w:before="120" w:line="360" w:lineRule="auto"/>
        <w:jc w:val="both"/>
        <w:rPr>
          <w:rFonts w:cs="Arial"/>
          <w:szCs w:val="20"/>
        </w:rPr>
      </w:pPr>
      <w:r w:rsidRPr="003344A4">
        <w:rPr>
          <w:rFonts w:cs="Arial"/>
          <w:szCs w:val="20"/>
        </w:rPr>
        <w:t>Z ovčerejo se je leta 2016 v državah EU–28 ukvarjalo okoli 14 % živinorejskih gospodarstev, ki so v povprečju redila 122,1 ovce na gospodarstvo. V Sloveniji se z ovčerejo ukvarja dobra desetina (11 %) živinorejskih gospodarstev, ki v povprečju redijo 21,9 ovce na gospodarstvo, kar jo med vsemi državami EU–28 uvršča na predzadnje mesto.</w:t>
      </w:r>
      <w:r w:rsidRPr="003344A4">
        <w:rPr>
          <w:rFonts w:cs="Arial"/>
          <w:szCs w:val="20"/>
          <w:vertAlign w:val="superscript"/>
        </w:rPr>
        <w:footnoteReference w:id="20"/>
      </w:r>
    </w:p>
    <w:p w14:paraId="7370AFBE" w14:textId="1DA22FFD" w:rsidR="006C63D5" w:rsidRPr="003344A4" w:rsidRDefault="00C9160B" w:rsidP="00432C9D">
      <w:pPr>
        <w:pStyle w:val="SCPreglednica"/>
        <w:rPr>
          <w:rFonts w:eastAsia="Arial"/>
          <w:sz w:val="16"/>
        </w:rPr>
      </w:pPr>
      <w:bookmarkStart w:id="113" w:name="_Toc55913734"/>
      <w:r>
        <w:t>Tabela</w:t>
      </w:r>
      <w:r w:rsidR="006C63D5" w:rsidRPr="003D6FF8">
        <w:t xml:space="preserve"> </w:t>
      </w:r>
      <w:r w:rsidR="0001708D">
        <w:rPr>
          <w:noProof/>
        </w:rPr>
        <w:fldChar w:fldCharType="begin"/>
      </w:r>
      <w:r w:rsidR="0001708D">
        <w:rPr>
          <w:noProof/>
        </w:rPr>
        <w:instrText xml:space="preserve"> SEQ Tabela \* ARABIC </w:instrText>
      </w:r>
      <w:r w:rsidR="0001708D">
        <w:rPr>
          <w:noProof/>
        </w:rPr>
        <w:fldChar w:fldCharType="separate"/>
      </w:r>
      <w:r w:rsidR="00DF0D48">
        <w:rPr>
          <w:noProof/>
        </w:rPr>
        <w:t>23</w:t>
      </w:r>
      <w:r w:rsidR="0001708D">
        <w:rPr>
          <w:noProof/>
        </w:rPr>
        <w:fldChar w:fldCharType="end"/>
      </w:r>
      <w:r w:rsidR="006C63D5" w:rsidRPr="003D6FF8">
        <w:t xml:space="preserve">: </w:t>
      </w:r>
      <w:r w:rsidR="006C63D5" w:rsidRPr="00D6132D">
        <w:t>Število živali in šte</w:t>
      </w:r>
      <w:r w:rsidR="00432C9D">
        <w:t>vilo KMG po kategorijah živali</w:t>
      </w:r>
      <w:bookmarkEnd w:id="113"/>
      <w:r w:rsidR="00432C9D">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3"/>
        <w:gridCol w:w="1360"/>
        <w:gridCol w:w="1360"/>
        <w:gridCol w:w="1359"/>
        <w:gridCol w:w="1160"/>
        <w:gridCol w:w="1160"/>
        <w:gridCol w:w="1160"/>
      </w:tblGrid>
      <w:tr w:rsidR="006C63D5" w:rsidRPr="00F44FA4" w14:paraId="5822114B" w14:textId="77777777" w:rsidTr="00C473E5">
        <w:trPr>
          <w:trHeight w:val="288"/>
        </w:trPr>
        <w:tc>
          <w:tcPr>
            <w:tcW w:w="829" w:type="pct"/>
            <w:shd w:val="clear" w:color="auto" w:fill="92D050"/>
            <w:noWrap/>
            <w:vAlign w:val="bottom"/>
            <w:hideMark/>
          </w:tcPr>
          <w:p w14:paraId="451304E3" w14:textId="77777777" w:rsidR="006C63D5" w:rsidRPr="00F44FA4" w:rsidRDefault="006C63D5" w:rsidP="004167E8">
            <w:pPr>
              <w:rPr>
                <w:rFonts w:cs="Arial"/>
                <w:color w:val="000000"/>
                <w:szCs w:val="20"/>
                <w:lang w:eastAsia="sl-SI"/>
              </w:rPr>
            </w:pPr>
            <w:r w:rsidRPr="00F44FA4">
              <w:rPr>
                <w:rFonts w:cs="Arial"/>
                <w:color w:val="000000"/>
                <w:szCs w:val="20"/>
                <w:lang w:eastAsia="sl-SI"/>
              </w:rPr>
              <w:t> </w:t>
            </w:r>
          </w:p>
        </w:tc>
        <w:tc>
          <w:tcPr>
            <w:tcW w:w="2250" w:type="pct"/>
            <w:gridSpan w:val="3"/>
            <w:shd w:val="clear" w:color="auto" w:fill="92D050"/>
            <w:noWrap/>
            <w:vAlign w:val="bottom"/>
            <w:hideMark/>
          </w:tcPr>
          <w:p w14:paraId="05AF426C" w14:textId="77777777" w:rsidR="006C63D5" w:rsidRPr="00F44FA4" w:rsidRDefault="006C63D5" w:rsidP="004167E8">
            <w:pPr>
              <w:jc w:val="center"/>
              <w:rPr>
                <w:rFonts w:cs="Arial"/>
                <w:b/>
                <w:bCs/>
                <w:color w:val="000000"/>
                <w:szCs w:val="20"/>
                <w:lang w:eastAsia="sl-SI"/>
              </w:rPr>
            </w:pPr>
            <w:r w:rsidRPr="00F44FA4">
              <w:rPr>
                <w:rFonts w:cs="Arial"/>
                <w:b/>
                <w:bCs/>
                <w:color w:val="000000"/>
                <w:szCs w:val="20"/>
                <w:lang w:eastAsia="sl-SI"/>
              </w:rPr>
              <w:t>Število živali</w:t>
            </w:r>
          </w:p>
        </w:tc>
        <w:tc>
          <w:tcPr>
            <w:tcW w:w="1920" w:type="pct"/>
            <w:gridSpan w:val="3"/>
            <w:shd w:val="clear" w:color="auto" w:fill="92D050"/>
            <w:noWrap/>
            <w:vAlign w:val="bottom"/>
            <w:hideMark/>
          </w:tcPr>
          <w:p w14:paraId="2F93E76D" w14:textId="77777777" w:rsidR="006C63D5" w:rsidRPr="00F44FA4" w:rsidRDefault="006C63D5" w:rsidP="004167E8">
            <w:pPr>
              <w:jc w:val="center"/>
              <w:rPr>
                <w:rFonts w:cs="Arial"/>
                <w:b/>
                <w:bCs/>
                <w:color w:val="000000"/>
                <w:szCs w:val="20"/>
                <w:lang w:eastAsia="sl-SI"/>
              </w:rPr>
            </w:pPr>
            <w:r w:rsidRPr="00F44FA4">
              <w:rPr>
                <w:rFonts w:cs="Arial"/>
                <w:b/>
                <w:bCs/>
                <w:color w:val="000000"/>
                <w:szCs w:val="20"/>
                <w:lang w:eastAsia="sl-SI"/>
              </w:rPr>
              <w:t>Število kmetijskih gospodarstev</w:t>
            </w:r>
          </w:p>
        </w:tc>
      </w:tr>
      <w:tr w:rsidR="006C63D5" w:rsidRPr="00F44FA4" w14:paraId="46766187" w14:textId="77777777" w:rsidTr="00C473E5">
        <w:trPr>
          <w:trHeight w:val="288"/>
        </w:trPr>
        <w:tc>
          <w:tcPr>
            <w:tcW w:w="829" w:type="pct"/>
            <w:shd w:val="clear" w:color="auto" w:fill="92D050"/>
            <w:noWrap/>
            <w:vAlign w:val="bottom"/>
            <w:hideMark/>
          </w:tcPr>
          <w:p w14:paraId="2DFE5C23" w14:textId="77777777" w:rsidR="006C63D5" w:rsidRPr="00F44FA4" w:rsidRDefault="006C63D5" w:rsidP="004167E8">
            <w:pPr>
              <w:rPr>
                <w:rFonts w:cs="Arial"/>
                <w:color w:val="000000"/>
                <w:szCs w:val="20"/>
                <w:lang w:eastAsia="sl-SI"/>
              </w:rPr>
            </w:pPr>
            <w:r w:rsidRPr="00F44FA4">
              <w:rPr>
                <w:rFonts w:cs="Arial"/>
                <w:color w:val="000000"/>
                <w:szCs w:val="20"/>
                <w:lang w:eastAsia="sl-SI"/>
              </w:rPr>
              <w:t> </w:t>
            </w:r>
          </w:p>
        </w:tc>
        <w:tc>
          <w:tcPr>
            <w:tcW w:w="750" w:type="pct"/>
            <w:shd w:val="clear" w:color="auto" w:fill="92D050"/>
            <w:noWrap/>
            <w:vAlign w:val="bottom"/>
            <w:hideMark/>
          </w:tcPr>
          <w:p w14:paraId="12218827" w14:textId="77777777" w:rsidR="006C63D5" w:rsidRPr="00F44FA4" w:rsidRDefault="006C63D5" w:rsidP="004167E8">
            <w:pPr>
              <w:jc w:val="center"/>
              <w:rPr>
                <w:rFonts w:cs="Arial"/>
                <w:b/>
                <w:bCs/>
                <w:color w:val="000000"/>
                <w:szCs w:val="20"/>
                <w:lang w:eastAsia="sl-SI"/>
              </w:rPr>
            </w:pPr>
            <w:r w:rsidRPr="00F44FA4">
              <w:rPr>
                <w:rFonts w:cs="Arial"/>
                <w:b/>
                <w:bCs/>
                <w:color w:val="000000"/>
                <w:szCs w:val="20"/>
                <w:lang w:eastAsia="sl-SI"/>
              </w:rPr>
              <w:t>2010</w:t>
            </w:r>
          </w:p>
        </w:tc>
        <w:tc>
          <w:tcPr>
            <w:tcW w:w="750" w:type="pct"/>
            <w:shd w:val="clear" w:color="auto" w:fill="92D050"/>
            <w:noWrap/>
            <w:vAlign w:val="bottom"/>
            <w:hideMark/>
          </w:tcPr>
          <w:p w14:paraId="2B71070D" w14:textId="77777777" w:rsidR="006C63D5" w:rsidRPr="00F44FA4" w:rsidRDefault="006C63D5" w:rsidP="004167E8">
            <w:pPr>
              <w:jc w:val="center"/>
              <w:rPr>
                <w:rFonts w:cs="Arial"/>
                <w:b/>
                <w:bCs/>
                <w:color w:val="000000"/>
                <w:szCs w:val="20"/>
                <w:lang w:eastAsia="sl-SI"/>
              </w:rPr>
            </w:pPr>
            <w:r w:rsidRPr="00F44FA4">
              <w:rPr>
                <w:rFonts w:cs="Arial"/>
                <w:b/>
                <w:bCs/>
                <w:color w:val="000000"/>
                <w:szCs w:val="20"/>
                <w:lang w:eastAsia="sl-SI"/>
              </w:rPr>
              <w:t>2013</w:t>
            </w:r>
          </w:p>
        </w:tc>
        <w:tc>
          <w:tcPr>
            <w:tcW w:w="750" w:type="pct"/>
            <w:shd w:val="clear" w:color="auto" w:fill="92D050"/>
            <w:noWrap/>
            <w:vAlign w:val="bottom"/>
            <w:hideMark/>
          </w:tcPr>
          <w:p w14:paraId="2A28511F" w14:textId="77777777" w:rsidR="006C63D5" w:rsidRPr="00F44FA4" w:rsidRDefault="006C63D5" w:rsidP="004167E8">
            <w:pPr>
              <w:jc w:val="center"/>
              <w:rPr>
                <w:rFonts w:cs="Arial"/>
                <w:b/>
                <w:bCs/>
                <w:color w:val="000000"/>
                <w:szCs w:val="20"/>
                <w:lang w:eastAsia="sl-SI"/>
              </w:rPr>
            </w:pPr>
            <w:r w:rsidRPr="00F44FA4">
              <w:rPr>
                <w:rFonts w:cs="Arial"/>
                <w:b/>
                <w:bCs/>
                <w:color w:val="000000"/>
                <w:szCs w:val="20"/>
                <w:lang w:eastAsia="sl-SI"/>
              </w:rPr>
              <w:t>2016</w:t>
            </w:r>
          </w:p>
        </w:tc>
        <w:tc>
          <w:tcPr>
            <w:tcW w:w="640" w:type="pct"/>
            <w:shd w:val="clear" w:color="auto" w:fill="92D050"/>
            <w:noWrap/>
            <w:vAlign w:val="bottom"/>
            <w:hideMark/>
          </w:tcPr>
          <w:p w14:paraId="67BCCC1B" w14:textId="77777777" w:rsidR="006C63D5" w:rsidRPr="00F44FA4" w:rsidRDefault="006C63D5" w:rsidP="004167E8">
            <w:pPr>
              <w:jc w:val="center"/>
              <w:rPr>
                <w:rFonts w:cs="Arial"/>
                <w:b/>
                <w:bCs/>
                <w:color w:val="000000"/>
                <w:szCs w:val="20"/>
                <w:lang w:eastAsia="sl-SI"/>
              </w:rPr>
            </w:pPr>
            <w:r w:rsidRPr="00F44FA4">
              <w:rPr>
                <w:rFonts w:cs="Arial"/>
                <w:b/>
                <w:bCs/>
                <w:color w:val="000000"/>
                <w:szCs w:val="20"/>
                <w:lang w:eastAsia="sl-SI"/>
              </w:rPr>
              <w:t>2010</w:t>
            </w:r>
          </w:p>
        </w:tc>
        <w:tc>
          <w:tcPr>
            <w:tcW w:w="640" w:type="pct"/>
            <w:shd w:val="clear" w:color="auto" w:fill="92D050"/>
            <w:noWrap/>
            <w:vAlign w:val="bottom"/>
            <w:hideMark/>
          </w:tcPr>
          <w:p w14:paraId="50EF0A57" w14:textId="77777777" w:rsidR="006C63D5" w:rsidRPr="00F44FA4" w:rsidRDefault="006C63D5" w:rsidP="004167E8">
            <w:pPr>
              <w:jc w:val="center"/>
              <w:rPr>
                <w:rFonts w:cs="Arial"/>
                <w:b/>
                <w:bCs/>
                <w:color w:val="000000"/>
                <w:szCs w:val="20"/>
                <w:lang w:eastAsia="sl-SI"/>
              </w:rPr>
            </w:pPr>
            <w:r w:rsidRPr="00F44FA4">
              <w:rPr>
                <w:rFonts w:cs="Arial"/>
                <w:b/>
                <w:bCs/>
                <w:color w:val="000000"/>
                <w:szCs w:val="20"/>
                <w:lang w:eastAsia="sl-SI"/>
              </w:rPr>
              <w:t>2013</w:t>
            </w:r>
          </w:p>
        </w:tc>
        <w:tc>
          <w:tcPr>
            <w:tcW w:w="640" w:type="pct"/>
            <w:shd w:val="clear" w:color="auto" w:fill="92D050"/>
            <w:noWrap/>
            <w:vAlign w:val="bottom"/>
            <w:hideMark/>
          </w:tcPr>
          <w:p w14:paraId="7D6C7FF9" w14:textId="77777777" w:rsidR="006C63D5" w:rsidRPr="00F44FA4" w:rsidRDefault="006C63D5" w:rsidP="004167E8">
            <w:pPr>
              <w:jc w:val="center"/>
              <w:rPr>
                <w:rFonts w:cs="Arial"/>
                <w:b/>
                <w:bCs/>
                <w:color w:val="000000"/>
                <w:szCs w:val="20"/>
                <w:lang w:eastAsia="sl-SI"/>
              </w:rPr>
            </w:pPr>
            <w:r w:rsidRPr="00F44FA4">
              <w:rPr>
                <w:rFonts w:cs="Arial"/>
                <w:b/>
                <w:bCs/>
                <w:color w:val="000000"/>
                <w:szCs w:val="20"/>
                <w:lang w:eastAsia="sl-SI"/>
              </w:rPr>
              <w:t>2016</w:t>
            </w:r>
          </w:p>
        </w:tc>
      </w:tr>
      <w:tr w:rsidR="006C63D5" w:rsidRPr="00F44FA4" w14:paraId="26C062EE" w14:textId="77777777" w:rsidTr="00C473E5">
        <w:trPr>
          <w:trHeight w:val="288"/>
        </w:trPr>
        <w:tc>
          <w:tcPr>
            <w:tcW w:w="829" w:type="pct"/>
            <w:shd w:val="clear" w:color="auto" w:fill="auto"/>
            <w:noWrap/>
            <w:vAlign w:val="bottom"/>
            <w:hideMark/>
          </w:tcPr>
          <w:p w14:paraId="46884B70" w14:textId="77777777" w:rsidR="006C63D5" w:rsidRPr="00F44FA4" w:rsidRDefault="006C63D5" w:rsidP="004167E8">
            <w:pPr>
              <w:rPr>
                <w:rFonts w:cs="Arial"/>
                <w:b/>
                <w:bCs/>
                <w:color w:val="000000"/>
                <w:szCs w:val="20"/>
                <w:lang w:eastAsia="sl-SI"/>
              </w:rPr>
            </w:pPr>
            <w:r w:rsidRPr="00F44FA4">
              <w:rPr>
                <w:rFonts w:cs="Arial"/>
                <w:b/>
                <w:bCs/>
                <w:color w:val="000000"/>
                <w:szCs w:val="20"/>
                <w:lang w:eastAsia="sl-SI"/>
              </w:rPr>
              <w:t>Govedo</w:t>
            </w:r>
          </w:p>
        </w:tc>
        <w:tc>
          <w:tcPr>
            <w:tcW w:w="750" w:type="pct"/>
            <w:shd w:val="clear" w:color="auto" w:fill="auto"/>
            <w:noWrap/>
            <w:vAlign w:val="bottom"/>
            <w:hideMark/>
          </w:tcPr>
          <w:p w14:paraId="75C2E7E4"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472.333</w:t>
            </w:r>
          </w:p>
        </w:tc>
        <w:tc>
          <w:tcPr>
            <w:tcW w:w="750" w:type="pct"/>
            <w:shd w:val="clear" w:color="auto" w:fill="auto"/>
            <w:noWrap/>
            <w:vAlign w:val="bottom"/>
            <w:hideMark/>
          </w:tcPr>
          <w:p w14:paraId="51471EB9"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462.066</w:t>
            </w:r>
          </w:p>
        </w:tc>
        <w:tc>
          <w:tcPr>
            <w:tcW w:w="750" w:type="pct"/>
            <w:shd w:val="clear" w:color="auto" w:fill="auto"/>
            <w:noWrap/>
            <w:vAlign w:val="bottom"/>
            <w:hideMark/>
          </w:tcPr>
          <w:p w14:paraId="307273A7"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486.014</w:t>
            </w:r>
          </w:p>
        </w:tc>
        <w:tc>
          <w:tcPr>
            <w:tcW w:w="640" w:type="pct"/>
            <w:shd w:val="clear" w:color="auto" w:fill="auto"/>
            <w:noWrap/>
            <w:vAlign w:val="bottom"/>
            <w:hideMark/>
          </w:tcPr>
          <w:p w14:paraId="31CB9C58"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36.119</w:t>
            </w:r>
          </w:p>
        </w:tc>
        <w:tc>
          <w:tcPr>
            <w:tcW w:w="640" w:type="pct"/>
            <w:shd w:val="clear" w:color="auto" w:fill="auto"/>
            <w:noWrap/>
            <w:vAlign w:val="bottom"/>
            <w:hideMark/>
          </w:tcPr>
          <w:p w14:paraId="6B39AB2A"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34.087</w:t>
            </w:r>
          </w:p>
        </w:tc>
        <w:tc>
          <w:tcPr>
            <w:tcW w:w="640" w:type="pct"/>
            <w:shd w:val="clear" w:color="auto" w:fill="auto"/>
            <w:noWrap/>
            <w:vAlign w:val="bottom"/>
            <w:hideMark/>
          </w:tcPr>
          <w:p w14:paraId="1E686A3D"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32.805</w:t>
            </w:r>
          </w:p>
        </w:tc>
      </w:tr>
      <w:tr w:rsidR="006C63D5" w:rsidRPr="00F44FA4" w14:paraId="4F9B4B12" w14:textId="77777777" w:rsidTr="00C473E5">
        <w:trPr>
          <w:trHeight w:val="288"/>
        </w:trPr>
        <w:tc>
          <w:tcPr>
            <w:tcW w:w="829" w:type="pct"/>
            <w:shd w:val="clear" w:color="auto" w:fill="auto"/>
            <w:noWrap/>
            <w:vAlign w:val="bottom"/>
            <w:hideMark/>
          </w:tcPr>
          <w:p w14:paraId="3DA003DA" w14:textId="77777777" w:rsidR="006C63D5" w:rsidRPr="00F44FA4" w:rsidRDefault="006C63D5" w:rsidP="004167E8">
            <w:pPr>
              <w:rPr>
                <w:rFonts w:cs="Arial"/>
                <w:b/>
                <w:bCs/>
                <w:color w:val="000000"/>
                <w:szCs w:val="20"/>
                <w:lang w:eastAsia="sl-SI"/>
              </w:rPr>
            </w:pPr>
            <w:r w:rsidRPr="00F44FA4">
              <w:rPr>
                <w:rFonts w:cs="Arial"/>
                <w:b/>
                <w:bCs/>
                <w:color w:val="000000"/>
                <w:szCs w:val="20"/>
                <w:lang w:eastAsia="sl-SI"/>
              </w:rPr>
              <w:t>Prašiči</w:t>
            </w:r>
          </w:p>
        </w:tc>
        <w:tc>
          <w:tcPr>
            <w:tcW w:w="750" w:type="pct"/>
            <w:shd w:val="clear" w:color="auto" w:fill="auto"/>
            <w:noWrap/>
            <w:vAlign w:val="bottom"/>
            <w:hideMark/>
          </w:tcPr>
          <w:p w14:paraId="3EC08F4C"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382.031</w:t>
            </w:r>
          </w:p>
        </w:tc>
        <w:tc>
          <w:tcPr>
            <w:tcW w:w="750" w:type="pct"/>
            <w:shd w:val="clear" w:color="auto" w:fill="auto"/>
            <w:noWrap/>
            <w:vAlign w:val="bottom"/>
            <w:hideMark/>
          </w:tcPr>
          <w:p w14:paraId="7C462CEC"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287.498</w:t>
            </w:r>
          </w:p>
        </w:tc>
        <w:tc>
          <w:tcPr>
            <w:tcW w:w="750" w:type="pct"/>
            <w:shd w:val="clear" w:color="auto" w:fill="auto"/>
            <w:noWrap/>
            <w:vAlign w:val="bottom"/>
            <w:hideMark/>
          </w:tcPr>
          <w:p w14:paraId="2B366387"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273.359</w:t>
            </w:r>
          </w:p>
        </w:tc>
        <w:tc>
          <w:tcPr>
            <w:tcW w:w="640" w:type="pct"/>
            <w:shd w:val="clear" w:color="auto" w:fill="auto"/>
            <w:noWrap/>
            <w:vAlign w:val="bottom"/>
            <w:hideMark/>
          </w:tcPr>
          <w:p w14:paraId="60950D61"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26.441</w:t>
            </w:r>
          </w:p>
        </w:tc>
        <w:tc>
          <w:tcPr>
            <w:tcW w:w="640" w:type="pct"/>
            <w:shd w:val="clear" w:color="auto" w:fill="auto"/>
            <w:noWrap/>
            <w:vAlign w:val="bottom"/>
            <w:hideMark/>
          </w:tcPr>
          <w:p w14:paraId="512F2C30"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23.700</w:t>
            </w:r>
          </w:p>
        </w:tc>
        <w:tc>
          <w:tcPr>
            <w:tcW w:w="640" w:type="pct"/>
            <w:shd w:val="clear" w:color="auto" w:fill="auto"/>
            <w:noWrap/>
            <w:vAlign w:val="bottom"/>
            <w:hideMark/>
          </w:tcPr>
          <w:p w14:paraId="19BF0123"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22.649</w:t>
            </w:r>
          </w:p>
        </w:tc>
      </w:tr>
      <w:tr w:rsidR="006C63D5" w:rsidRPr="00F44FA4" w14:paraId="449C8B5C" w14:textId="77777777" w:rsidTr="00C473E5">
        <w:trPr>
          <w:trHeight w:val="288"/>
        </w:trPr>
        <w:tc>
          <w:tcPr>
            <w:tcW w:w="829" w:type="pct"/>
            <w:shd w:val="clear" w:color="auto" w:fill="auto"/>
            <w:noWrap/>
            <w:vAlign w:val="bottom"/>
            <w:hideMark/>
          </w:tcPr>
          <w:p w14:paraId="139BC397" w14:textId="77777777" w:rsidR="006C63D5" w:rsidRPr="00F44FA4" w:rsidRDefault="006C63D5" w:rsidP="004167E8">
            <w:pPr>
              <w:rPr>
                <w:rFonts w:cs="Arial"/>
                <w:b/>
                <w:bCs/>
                <w:color w:val="000000"/>
                <w:szCs w:val="20"/>
                <w:lang w:eastAsia="sl-SI"/>
              </w:rPr>
            </w:pPr>
            <w:r w:rsidRPr="00F44FA4">
              <w:rPr>
                <w:rFonts w:cs="Arial"/>
                <w:b/>
                <w:bCs/>
                <w:color w:val="000000"/>
                <w:szCs w:val="20"/>
                <w:lang w:eastAsia="sl-SI"/>
              </w:rPr>
              <w:t>Perutnina</w:t>
            </w:r>
          </w:p>
        </w:tc>
        <w:tc>
          <w:tcPr>
            <w:tcW w:w="750" w:type="pct"/>
            <w:shd w:val="clear" w:color="auto" w:fill="auto"/>
            <w:noWrap/>
            <w:vAlign w:val="bottom"/>
            <w:hideMark/>
          </w:tcPr>
          <w:p w14:paraId="59AB275C"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4.900.990</w:t>
            </w:r>
          </w:p>
        </w:tc>
        <w:tc>
          <w:tcPr>
            <w:tcW w:w="750" w:type="pct"/>
            <w:shd w:val="clear" w:color="auto" w:fill="auto"/>
            <w:noWrap/>
            <w:vAlign w:val="bottom"/>
            <w:hideMark/>
          </w:tcPr>
          <w:p w14:paraId="1611D468"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4.858.025</w:t>
            </w:r>
          </w:p>
        </w:tc>
        <w:tc>
          <w:tcPr>
            <w:tcW w:w="750" w:type="pct"/>
            <w:shd w:val="clear" w:color="auto" w:fill="auto"/>
            <w:noWrap/>
            <w:vAlign w:val="bottom"/>
            <w:hideMark/>
          </w:tcPr>
          <w:p w14:paraId="450E6768"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6.222.661</w:t>
            </w:r>
          </w:p>
        </w:tc>
        <w:tc>
          <w:tcPr>
            <w:tcW w:w="640" w:type="pct"/>
            <w:shd w:val="clear" w:color="auto" w:fill="auto"/>
            <w:noWrap/>
            <w:vAlign w:val="bottom"/>
            <w:hideMark/>
          </w:tcPr>
          <w:p w14:paraId="54A1E183"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36.240</w:t>
            </w:r>
          </w:p>
        </w:tc>
        <w:tc>
          <w:tcPr>
            <w:tcW w:w="640" w:type="pct"/>
            <w:shd w:val="clear" w:color="auto" w:fill="auto"/>
            <w:noWrap/>
            <w:vAlign w:val="bottom"/>
            <w:hideMark/>
          </w:tcPr>
          <w:p w14:paraId="61554B89"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36.657</w:t>
            </w:r>
          </w:p>
        </w:tc>
        <w:tc>
          <w:tcPr>
            <w:tcW w:w="640" w:type="pct"/>
            <w:shd w:val="clear" w:color="auto" w:fill="auto"/>
            <w:noWrap/>
            <w:vAlign w:val="bottom"/>
            <w:hideMark/>
          </w:tcPr>
          <w:p w14:paraId="203FA4A8"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37.840</w:t>
            </w:r>
          </w:p>
        </w:tc>
      </w:tr>
      <w:tr w:rsidR="006C63D5" w:rsidRPr="00F44FA4" w14:paraId="4AE3EC69" w14:textId="77777777" w:rsidTr="00C473E5">
        <w:trPr>
          <w:trHeight w:val="288"/>
        </w:trPr>
        <w:tc>
          <w:tcPr>
            <w:tcW w:w="829" w:type="pct"/>
            <w:shd w:val="clear" w:color="auto" w:fill="auto"/>
            <w:noWrap/>
            <w:vAlign w:val="bottom"/>
            <w:hideMark/>
          </w:tcPr>
          <w:p w14:paraId="449B2974" w14:textId="77777777" w:rsidR="006C63D5" w:rsidRPr="00F44FA4" w:rsidRDefault="006C63D5" w:rsidP="004167E8">
            <w:pPr>
              <w:rPr>
                <w:rFonts w:cs="Arial"/>
                <w:b/>
                <w:bCs/>
                <w:color w:val="000000"/>
                <w:szCs w:val="20"/>
                <w:lang w:eastAsia="sl-SI"/>
              </w:rPr>
            </w:pPr>
            <w:r w:rsidRPr="00F44FA4">
              <w:rPr>
                <w:rFonts w:cs="Arial"/>
                <w:b/>
                <w:bCs/>
                <w:color w:val="000000"/>
                <w:szCs w:val="20"/>
                <w:lang w:eastAsia="sl-SI"/>
              </w:rPr>
              <w:t>Konji</w:t>
            </w:r>
          </w:p>
        </w:tc>
        <w:tc>
          <w:tcPr>
            <w:tcW w:w="750" w:type="pct"/>
            <w:shd w:val="clear" w:color="auto" w:fill="auto"/>
            <w:noWrap/>
            <w:vAlign w:val="bottom"/>
            <w:hideMark/>
          </w:tcPr>
          <w:p w14:paraId="0F92299A"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22.673</w:t>
            </w:r>
          </w:p>
        </w:tc>
        <w:tc>
          <w:tcPr>
            <w:tcW w:w="750" w:type="pct"/>
            <w:shd w:val="clear" w:color="auto" w:fill="auto"/>
            <w:noWrap/>
            <w:vAlign w:val="bottom"/>
            <w:hideMark/>
          </w:tcPr>
          <w:p w14:paraId="75529FFB"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21.832</w:t>
            </w:r>
          </w:p>
        </w:tc>
        <w:tc>
          <w:tcPr>
            <w:tcW w:w="750" w:type="pct"/>
            <w:shd w:val="clear" w:color="auto" w:fill="auto"/>
            <w:noWrap/>
            <w:vAlign w:val="bottom"/>
            <w:hideMark/>
          </w:tcPr>
          <w:p w14:paraId="7DD0525F"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19.453</w:t>
            </w:r>
          </w:p>
        </w:tc>
        <w:tc>
          <w:tcPr>
            <w:tcW w:w="640" w:type="pct"/>
            <w:shd w:val="clear" w:color="auto" w:fill="auto"/>
            <w:noWrap/>
            <w:vAlign w:val="bottom"/>
            <w:hideMark/>
          </w:tcPr>
          <w:p w14:paraId="3BF4FFD2"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5.948</w:t>
            </w:r>
          </w:p>
        </w:tc>
        <w:tc>
          <w:tcPr>
            <w:tcW w:w="640" w:type="pct"/>
            <w:shd w:val="clear" w:color="auto" w:fill="auto"/>
            <w:noWrap/>
            <w:vAlign w:val="bottom"/>
            <w:hideMark/>
          </w:tcPr>
          <w:p w14:paraId="4106F820"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6.029</w:t>
            </w:r>
          </w:p>
        </w:tc>
        <w:tc>
          <w:tcPr>
            <w:tcW w:w="640" w:type="pct"/>
            <w:shd w:val="clear" w:color="auto" w:fill="auto"/>
            <w:noWrap/>
            <w:vAlign w:val="bottom"/>
            <w:hideMark/>
          </w:tcPr>
          <w:p w14:paraId="4369BF7D"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5.766</w:t>
            </w:r>
          </w:p>
        </w:tc>
      </w:tr>
      <w:tr w:rsidR="006C63D5" w:rsidRPr="00F44FA4" w14:paraId="691660D1" w14:textId="77777777" w:rsidTr="00C473E5">
        <w:trPr>
          <w:trHeight w:val="288"/>
        </w:trPr>
        <w:tc>
          <w:tcPr>
            <w:tcW w:w="829" w:type="pct"/>
            <w:shd w:val="clear" w:color="auto" w:fill="auto"/>
            <w:noWrap/>
            <w:vAlign w:val="bottom"/>
            <w:hideMark/>
          </w:tcPr>
          <w:p w14:paraId="24F1555B" w14:textId="77777777" w:rsidR="006C63D5" w:rsidRPr="00F44FA4" w:rsidRDefault="006C63D5" w:rsidP="004167E8">
            <w:pPr>
              <w:rPr>
                <w:rFonts w:cs="Arial"/>
                <w:b/>
                <w:bCs/>
                <w:color w:val="000000"/>
                <w:szCs w:val="20"/>
                <w:lang w:eastAsia="sl-SI"/>
              </w:rPr>
            </w:pPr>
            <w:r w:rsidRPr="00F44FA4">
              <w:rPr>
                <w:rFonts w:cs="Arial"/>
                <w:b/>
                <w:bCs/>
                <w:color w:val="000000"/>
                <w:szCs w:val="20"/>
                <w:lang w:eastAsia="sl-SI"/>
              </w:rPr>
              <w:t>Ovce</w:t>
            </w:r>
          </w:p>
        </w:tc>
        <w:tc>
          <w:tcPr>
            <w:tcW w:w="750" w:type="pct"/>
            <w:shd w:val="clear" w:color="auto" w:fill="auto"/>
            <w:noWrap/>
            <w:vAlign w:val="bottom"/>
            <w:hideMark/>
          </w:tcPr>
          <w:p w14:paraId="59645C66"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137.737</w:t>
            </w:r>
          </w:p>
        </w:tc>
        <w:tc>
          <w:tcPr>
            <w:tcW w:w="750" w:type="pct"/>
            <w:shd w:val="clear" w:color="auto" w:fill="auto"/>
            <w:noWrap/>
            <w:vAlign w:val="bottom"/>
            <w:hideMark/>
          </w:tcPr>
          <w:p w14:paraId="7A3994CF"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130.657</w:t>
            </w:r>
          </w:p>
        </w:tc>
        <w:tc>
          <w:tcPr>
            <w:tcW w:w="750" w:type="pct"/>
            <w:shd w:val="clear" w:color="auto" w:fill="auto"/>
            <w:noWrap/>
            <w:vAlign w:val="bottom"/>
            <w:hideMark/>
          </w:tcPr>
          <w:p w14:paraId="0E0ECEA6"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134.929</w:t>
            </w:r>
          </w:p>
        </w:tc>
        <w:tc>
          <w:tcPr>
            <w:tcW w:w="640" w:type="pct"/>
            <w:shd w:val="clear" w:color="auto" w:fill="auto"/>
            <w:noWrap/>
            <w:vAlign w:val="bottom"/>
            <w:hideMark/>
          </w:tcPr>
          <w:p w14:paraId="691A7D1C"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6.181</w:t>
            </w:r>
          </w:p>
        </w:tc>
        <w:tc>
          <w:tcPr>
            <w:tcW w:w="640" w:type="pct"/>
            <w:shd w:val="clear" w:color="auto" w:fill="auto"/>
            <w:noWrap/>
            <w:vAlign w:val="bottom"/>
            <w:hideMark/>
          </w:tcPr>
          <w:p w14:paraId="383E8DF6"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6.243</w:t>
            </w:r>
          </w:p>
        </w:tc>
        <w:tc>
          <w:tcPr>
            <w:tcW w:w="640" w:type="pct"/>
            <w:shd w:val="clear" w:color="auto" w:fill="auto"/>
            <w:noWrap/>
            <w:vAlign w:val="bottom"/>
            <w:hideMark/>
          </w:tcPr>
          <w:p w14:paraId="52D8FAB2"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6.150</w:t>
            </w:r>
          </w:p>
        </w:tc>
      </w:tr>
      <w:tr w:rsidR="006C63D5" w:rsidRPr="00F44FA4" w14:paraId="53E5E91C" w14:textId="77777777" w:rsidTr="00C473E5">
        <w:trPr>
          <w:trHeight w:val="288"/>
        </w:trPr>
        <w:tc>
          <w:tcPr>
            <w:tcW w:w="829" w:type="pct"/>
            <w:shd w:val="clear" w:color="auto" w:fill="auto"/>
            <w:noWrap/>
            <w:vAlign w:val="bottom"/>
            <w:hideMark/>
          </w:tcPr>
          <w:p w14:paraId="1A8D302F" w14:textId="77777777" w:rsidR="006C63D5" w:rsidRPr="00F44FA4" w:rsidRDefault="006C63D5" w:rsidP="004167E8">
            <w:pPr>
              <w:rPr>
                <w:rFonts w:cs="Arial"/>
                <w:b/>
                <w:bCs/>
                <w:color w:val="000000"/>
                <w:szCs w:val="20"/>
                <w:lang w:eastAsia="sl-SI"/>
              </w:rPr>
            </w:pPr>
            <w:r w:rsidRPr="00F44FA4">
              <w:rPr>
                <w:rFonts w:cs="Arial"/>
                <w:b/>
                <w:bCs/>
                <w:color w:val="000000"/>
                <w:szCs w:val="20"/>
                <w:lang w:eastAsia="sl-SI"/>
              </w:rPr>
              <w:t>Koze</w:t>
            </w:r>
          </w:p>
        </w:tc>
        <w:tc>
          <w:tcPr>
            <w:tcW w:w="750" w:type="pct"/>
            <w:shd w:val="clear" w:color="auto" w:fill="auto"/>
            <w:noWrap/>
            <w:vAlign w:val="bottom"/>
            <w:hideMark/>
          </w:tcPr>
          <w:p w14:paraId="357E3106"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34.864</w:t>
            </w:r>
          </w:p>
        </w:tc>
        <w:tc>
          <w:tcPr>
            <w:tcW w:w="750" w:type="pct"/>
            <w:shd w:val="clear" w:color="auto" w:fill="auto"/>
            <w:noWrap/>
            <w:vAlign w:val="bottom"/>
            <w:hideMark/>
          </w:tcPr>
          <w:p w14:paraId="452B84A0"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34.542</w:t>
            </w:r>
          </w:p>
        </w:tc>
        <w:tc>
          <w:tcPr>
            <w:tcW w:w="750" w:type="pct"/>
            <w:shd w:val="clear" w:color="auto" w:fill="auto"/>
            <w:noWrap/>
            <w:vAlign w:val="bottom"/>
            <w:hideMark/>
          </w:tcPr>
          <w:p w14:paraId="318BD8F9"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38.564</w:t>
            </w:r>
          </w:p>
        </w:tc>
        <w:tc>
          <w:tcPr>
            <w:tcW w:w="640" w:type="pct"/>
            <w:shd w:val="clear" w:color="auto" w:fill="auto"/>
            <w:noWrap/>
            <w:vAlign w:val="bottom"/>
            <w:hideMark/>
          </w:tcPr>
          <w:p w14:paraId="5D0FA30B"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4.214</w:t>
            </w:r>
          </w:p>
        </w:tc>
        <w:tc>
          <w:tcPr>
            <w:tcW w:w="640" w:type="pct"/>
            <w:shd w:val="clear" w:color="auto" w:fill="auto"/>
            <w:noWrap/>
            <w:vAlign w:val="bottom"/>
            <w:hideMark/>
          </w:tcPr>
          <w:p w14:paraId="3BEECDFD"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4.022</w:t>
            </w:r>
          </w:p>
        </w:tc>
        <w:tc>
          <w:tcPr>
            <w:tcW w:w="640" w:type="pct"/>
            <w:shd w:val="clear" w:color="auto" w:fill="auto"/>
            <w:noWrap/>
            <w:vAlign w:val="bottom"/>
            <w:hideMark/>
          </w:tcPr>
          <w:p w14:paraId="53613974"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4.598</w:t>
            </w:r>
          </w:p>
        </w:tc>
      </w:tr>
      <w:tr w:rsidR="006C63D5" w:rsidRPr="00F44FA4" w14:paraId="69C4B0E0" w14:textId="77777777" w:rsidTr="00C473E5">
        <w:trPr>
          <w:trHeight w:val="288"/>
        </w:trPr>
        <w:tc>
          <w:tcPr>
            <w:tcW w:w="829" w:type="pct"/>
            <w:shd w:val="clear" w:color="auto" w:fill="auto"/>
            <w:noWrap/>
            <w:vAlign w:val="bottom"/>
            <w:hideMark/>
          </w:tcPr>
          <w:p w14:paraId="362CCC70" w14:textId="77777777" w:rsidR="006C63D5" w:rsidRPr="00F44FA4" w:rsidRDefault="006C63D5" w:rsidP="004167E8">
            <w:pPr>
              <w:rPr>
                <w:rFonts w:cs="Arial"/>
                <w:b/>
                <w:bCs/>
                <w:color w:val="000000"/>
                <w:szCs w:val="20"/>
                <w:lang w:eastAsia="sl-SI"/>
              </w:rPr>
            </w:pPr>
            <w:r w:rsidRPr="00F44FA4">
              <w:rPr>
                <w:rFonts w:cs="Arial"/>
                <w:b/>
                <w:bCs/>
                <w:color w:val="000000"/>
                <w:szCs w:val="20"/>
                <w:lang w:eastAsia="sl-SI"/>
              </w:rPr>
              <w:t>Kunci</w:t>
            </w:r>
          </w:p>
        </w:tc>
        <w:tc>
          <w:tcPr>
            <w:tcW w:w="750" w:type="pct"/>
            <w:shd w:val="clear" w:color="auto" w:fill="auto"/>
            <w:noWrap/>
            <w:vAlign w:val="bottom"/>
            <w:hideMark/>
          </w:tcPr>
          <w:p w14:paraId="6FABA26D"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85.088</w:t>
            </w:r>
          </w:p>
        </w:tc>
        <w:tc>
          <w:tcPr>
            <w:tcW w:w="750" w:type="pct"/>
            <w:shd w:val="clear" w:color="auto" w:fill="auto"/>
            <w:noWrap/>
            <w:vAlign w:val="bottom"/>
            <w:hideMark/>
          </w:tcPr>
          <w:p w14:paraId="26832337"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96.218</w:t>
            </w:r>
          </w:p>
        </w:tc>
        <w:tc>
          <w:tcPr>
            <w:tcW w:w="750" w:type="pct"/>
            <w:shd w:val="clear" w:color="auto" w:fill="auto"/>
            <w:noWrap/>
            <w:vAlign w:val="bottom"/>
            <w:hideMark/>
          </w:tcPr>
          <w:p w14:paraId="0FEAB2F3"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109.753</w:t>
            </w:r>
          </w:p>
        </w:tc>
        <w:tc>
          <w:tcPr>
            <w:tcW w:w="640" w:type="pct"/>
            <w:shd w:val="clear" w:color="auto" w:fill="auto"/>
            <w:noWrap/>
            <w:vAlign w:val="bottom"/>
            <w:hideMark/>
          </w:tcPr>
          <w:p w14:paraId="39DFD012"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8.051</w:t>
            </w:r>
          </w:p>
        </w:tc>
        <w:tc>
          <w:tcPr>
            <w:tcW w:w="640" w:type="pct"/>
            <w:shd w:val="clear" w:color="auto" w:fill="auto"/>
            <w:noWrap/>
            <w:vAlign w:val="bottom"/>
            <w:hideMark/>
          </w:tcPr>
          <w:p w14:paraId="5A3E1A6E"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8.300</w:t>
            </w:r>
          </w:p>
        </w:tc>
        <w:tc>
          <w:tcPr>
            <w:tcW w:w="640" w:type="pct"/>
            <w:shd w:val="clear" w:color="auto" w:fill="auto"/>
            <w:noWrap/>
            <w:vAlign w:val="bottom"/>
            <w:hideMark/>
          </w:tcPr>
          <w:p w14:paraId="1B88CA46"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8.672</w:t>
            </w:r>
          </w:p>
        </w:tc>
      </w:tr>
      <w:tr w:rsidR="006C63D5" w:rsidRPr="00F44FA4" w14:paraId="66FACB3E" w14:textId="77777777" w:rsidTr="00C473E5">
        <w:trPr>
          <w:trHeight w:val="288"/>
        </w:trPr>
        <w:tc>
          <w:tcPr>
            <w:tcW w:w="829" w:type="pct"/>
            <w:shd w:val="clear" w:color="auto" w:fill="auto"/>
            <w:noWrap/>
            <w:vAlign w:val="bottom"/>
            <w:hideMark/>
          </w:tcPr>
          <w:p w14:paraId="39C26C39" w14:textId="77777777" w:rsidR="006C63D5" w:rsidRPr="00F44FA4" w:rsidRDefault="006C63D5" w:rsidP="004167E8">
            <w:pPr>
              <w:rPr>
                <w:rFonts w:cs="Arial"/>
                <w:b/>
                <w:bCs/>
                <w:color w:val="000000"/>
                <w:szCs w:val="20"/>
                <w:lang w:eastAsia="sl-SI"/>
              </w:rPr>
            </w:pPr>
            <w:r w:rsidRPr="00F44FA4">
              <w:rPr>
                <w:rFonts w:cs="Arial"/>
                <w:b/>
                <w:bCs/>
                <w:color w:val="000000"/>
                <w:szCs w:val="20"/>
                <w:lang w:eastAsia="sl-SI"/>
              </w:rPr>
              <w:t>Jelenjad</w:t>
            </w:r>
          </w:p>
        </w:tc>
        <w:tc>
          <w:tcPr>
            <w:tcW w:w="750" w:type="pct"/>
            <w:shd w:val="clear" w:color="auto" w:fill="auto"/>
            <w:noWrap/>
            <w:vAlign w:val="bottom"/>
            <w:hideMark/>
          </w:tcPr>
          <w:p w14:paraId="72BEA14B"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7.341</w:t>
            </w:r>
          </w:p>
        </w:tc>
        <w:tc>
          <w:tcPr>
            <w:tcW w:w="750" w:type="pct"/>
            <w:shd w:val="clear" w:color="auto" w:fill="auto"/>
            <w:noWrap/>
            <w:vAlign w:val="bottom"/>
            <w:hideMark/>
          </w:tcPr>
          <w:p w14:paraId="163EAB3E"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9.745</w:t>
            </w:r>
          </w:p>
        </w:tc>
        <w:tc>
          <w:tcPr>
            <w:tcW w:w="750" w:type="pct"/>
            <w:shd w:val="clear" w:color="auto" w:fill="auto"/>
            <w:noWrap/>
            <w:vAlign w:val="bottom"/>
            <w:hideMark/>
          </w:tcPr>
          <w:p w14:paraId="7D3C19B3"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8.790</w:t>
            </w:r>
          </w:p>
        </w:tc>
        <w:tc>
          <w:tcPr>
            <w:tcW w:w="640" w:type="pct"/>
            <w:shd w:val="clear" w:color="auto" w:fill="auto"/>
            <w:noWrap/>
            <w:vAlign w:val="bottom"/>
            <w:hideMark/>
          </w:tcPr>
          <w:p w14:paraId="05B2E05E"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352</w:t>
            </w:r>
          </w:p>
        </w:tc>
        <w:tc>
          <w:tcPr>
            <w:tcW w:w="640" w:type="pct"/>
            <w:shd w:val="clear" w:color="auto" w:fill="auto"/>
            <w:noWrap/>
            <w:vAlign w:val="bottom"/>
            <w:hideMark/>
          </w:tcPr>
          <w:p w14:paraId="3A561ED6"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505</w:t>
            </w:r>
          </w:p>
        </w:tc>
        <w:tc>
          <w:tcPr>
            <w:tcW w:w="640" w:type="pct"/>
            <w:shd w:val="clear" w:color="auto" w:fill="auto"/>
            <w:noWrap/>
            <w:vAlign w:val="bottom"/>
            <w:hideMark/>
          </w:tcPr>
          <w:p w14:paraId="14E9C36C"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406</w:t>
            </w:r>
          </w:p>
        </w:tc>
      </w:tr>
    </w:tbl>
    <w:p w14:paraId="3E53EE87" w14:textId="2F572D05" w:rsidR="006C63D5" w:rsidRPr="00432C9D" w:rsidRDefault="00432C9D" w:rsidP="006C63D5">
      <w:pPr>
        <w:spacing w:before="120" w:line="264" w:lineRule="auto"/>
        <w:rPr>
          <w:rFonts w:cs="Arial"/>
          <w:sz w:val="16"/>
          <w:szCs w:val="16"/>
        </w:rPr>
      </w:pPr>
      <w:r w:rsidRPr="00432C9D">
        <w:rPr>
          <w:rFonts w:cs="Arial"/>
          <w:sz w:val="16"/>
          <w:szCs w:val="16"/>
        </w:rPr>
        <w:t>V</w:t>
      </w:r>
      <w:r>
        <w:rPr>
          <w:rFonts w:cs="Arial"/>
          <w:sz w:val="16"/>
          <w:szCs w:val="16"/>
        </w:rPr>
        <w:t>ir podatkov: SURS</w:t>
      </w:r>
    </w:p>
    <w:p w14:paraId="34F28530" w14:textId="77777777" w:rsidR="006C63D5" w:rsidRPr="003344A4" w:rsidRDefault="006C63D5" w:rsidP="006C63D5">
      <w:pPr>
        <w:spacing w:before="120" w:line="264" w:lineRule="auto"/>
        <w:rPr>
          <w:rFonts w:cs="Arial"/>
          <w:i/>
          <w:color w:val="000000"/>
          <w:sz w:val="16"/>
          <w:szCs w:val="16"/>
          <w:lang w:eastAsia="sl-SI"/>
        </w:rPr>
      </w:pPr>
    </w:p>
    <w:p w14:paraId="56EC5B9A" w14:textId="3F20D0BC" w:rsidR="006C63D5" w:rsidRPr="005A3E0F" w:rsidRDefault="006412DC" w:rsidP="006519C3">
      <w:pPr>
        <w:pStyle w:val="Naslov2"/>
        <w:ind w:left="578" w:hanging="578"/>
      </w:pPr>
      <w:bookmarkStart w:id="114" w:name="_Toc42067308"/>
      <w:bookmarkStart w:id="115" w:name="_Toc55912192"/>
      <w:r w:rsidRPr="005A3E0F">
        <w:t>Rastlinska proizvodnja</w:t>
      </w:r>
      <w:bookmarkEnd w:id="114"/>
      <w:bookmarkEnd w:id="115"/>
    </w:p>
    <w:p w14:paraId="448302A1" w14:textId="77777777" w:rsidR="006C63D5" w:rsidRPr="003344A4" w:rsidRDefault="006C63D5" w:rsidP="00AD76B1">
      <w:pPr>
        <w:spacing w:before="120" w:line="360" w:lineRule="auto"/>
        <w:jc w:val="both"/>
        <w:rPr>
          <w:rFonts w:cs="Arial"/>
          <w:szCs w:val="20"/>
        </w:rPr>
      </w:pPr>
      <w:r w:rsidRPr="003344A4">
        <w:rPr>
          <w:rFonts w:cs="Arial"/>
          <w:szCs w:val="20"/>
        </w:rPr>
        <w:t xml:space="preserve">Pri rastlinski pridelavi so najpomembnejše krmne rastline, vino, sveže vrtnine  in žita. Obseg rastlinske proizvodnje v Sloveniji je močno odvisen od naravnih razmer. Od leta 2011 dalje so vremenske razmere </w:t>
      </w:r>
      <w:r w:rsidRPr="003344A4">
        <w:rPr>
          <w:rFonts w:cs="Arial"/>
          <w:szCs w:val="20"/>
        </w:rPr>
        <w:lastRenderedPageBreak/>
        <w:t>zelo spremenljive, kar se odraža v velikih spremembah obsega proizvodnje. Neugodne vremenske razmere so tako na primer v letih 2016 in 2017 še posebej prizadele sadjarski sektor. Po dveh zelo skromnih letinah je bil pridelek sadja leta 2018 obilen in tudi v primerjavi z ugodnimi preteklimi leti nadpovprečen. Leta 2018 je bil izjemen tudi pridelek grozdja.</w:t>
      </w:r>
      <w:r w:rsidRPr="00115526">
        <w:t xml:space="preserve"> </w:t>
      </w:r>
      <w:r w:rsidRPr="00115526">
        <w:rPr>
          <w:rFonts w:cs="Arial"/>
          <w:szCs w:val="20"/>
        </w:rPr>
        <w:t>Količinsko je bila letina 2019 za večino njivskih posevkov boljša kot v letu prej. Hektarski pridelki so bili v primerjavi z daljšim obdobjem nadpovprečni</w:t>
      </w:r>
      <w:r>
        <w:rPr>
          <w:rFonts w:cs="Arial"/>
          <w:szCs w:val="20"/>
        </w:rPr>
        <w:t>.</w:t>
      </w:r>
    </w:p>
    <w:p w14:paraId="75B8AF29" w14:textId="518D2710" w:rsidR="006C63D5" w:rsidRPr="003344A4" w:rsidRDefault="006C63D5" w:rsidP="00C473E5">
      <w:pPr>
        <w:autoSpaceDE w:val="0"/>
        <w:autoSpaceDN w:val="0"/>
        <w:adjustRightInd w:val="0"/>
        <w:spacing w:before="120" w:line="360" w:lineRule="auto"/>
        <w:jc w:val="both"/>
        <w:rPr>
          <w:rFonts w:eastAsia="Calibri" w:cs="Arial"/>
          <w:color w:val="000000"/>
          <w:szCs w:val="20"/>
        </w:rPr>
      </w:pPr>
      <w:r w:rsidRPr="003344A4">
        <w:rPr>
          <w:rFonts w:eastAsia="Calibri" w:cs="Arial"/>
          <w:color w:val="000000"/>
          <w:szCs w:val="20"/>
        </w:rPr>
        <w:t xml:space="preserve">V strukturi posameznih vrst kmetijskih zemljišč je več kot polovica njiv namenjena pridelavi žita, kjer prevladujeta koruza za zrnje in pšenica, skoraj tretjina pa pridelavi zelene krme, pri čemer prevladujejo silažna koruza in krmne </w:t>
      </w:r>
      <w:proofErr w:type="spellStart"/>
      <w:r w:rsidRPr="003344A4">
        <w:rPr>
          <w:rFonts w:eastAsia="Calibri" w:cs="Arial"/>
          <w:color w:val="000000"/>
          <w:szCs w:val="20"/>
        </w:rPr>
        <w:t>koševine</w:t>
      </w:r>
      <w:proofErr w:type="spellEnd"/>
      <w:r w:rsidRPr="003344A4">
        <w:rPr>
          <w:rFonts w:eastAsia="Calibri" w:cs="Arial"/>
          <w:color w:val="000000"/>
          <w:szCs w:val="20"/>
        </w:rPr>
        <w:t xml:space="preserve"> (trava, detelja, lucerna, travne, travno-deteljne in deteljno-travne mešanice). Spremembe setvene strukture so med leti razmeroma majhne. </w:t>
      </w:r>
    </w:p>
    <w:p w14:paraId="306BDD3C" w14:textId="79ACF79C" w:rsidR="005A3E0F" w:rsidRPr="00226CFA" w:rsidRDefault="005A3E0F" w:rsidP="005A3E0F">
      <w:pPr>
        <w:pStyle w:val="SCslika"/>
        <w:rPr>
          <w:rFonts w:eastAsia="Calibri"/>
        </w:rPr>
      </w:pPr>
      <w:bookmarkStart w:id="116" w:name="_Toc55913775"/>
      <w:r w:rsidRPr="00226CFA">
        <w:t xml:space="preserve">Slika </w:t>
      </w:r>
      <w:r w:rsidR="007A077E">
        <w:fldChar w:fldCharType="begin"/>
      </w:r>
      <w:r w:rsidR="007A077E">
        <w:instrText xml:space="preserve"> SEQ Slika \* ARABIC </w:instrText>
      </w:r>
      <w:r w:rsidR="007A077E">
        <w:fldChar w:fldCharType="separate"/>
      </w:r>
      <w:r w:rsidR="0040635C">
        <w:t>24</w:t>
      </w:r>
      <w:r w:rsidR="007A077E">
        <w:fldChar w:fldCharType="end"/>
      </w:r>
      <w:r w:rsidRPr="00226CFA">
        <w:t>:</w:t>
      </w:r>
      <w:r w:rsidRPr="00226CFA">
        <w:rPr>
          <w:rFonts w:eastAsia="Calibri"/>
        </w:rPr>
        <w:t xml:space="preserve"> Skupna površina in setvena struktura njiv</w:t>
      </w:r>
      <w:bookmarkEnd w:id="116"/>
    </w:p>
    <w:p w14:paraId="5353438D" w14:textId="7C0288B9" w:rsidR="006C63D5" w:rsidRDefault="006C63D5" w:rsidP="005A3E0F">
      <w:pPr>
        <w:autoSpaceDE w:val="0"/>
        <w:autoSpaceDN w:val="0"/>
        <w:adjustRightInd w:val="0"/>
        <w:spacing w:before="120"/>
        <w:jc w:val="center"/>
        <w:rPr>
          <w:rFonts w:eastAsia="Calibri" w:cs="Arial"/>
          <w:color w:val="000000"/>
          <w:szCs w:val="20"/>
        </w:rPr>
      </w:pPr>
      <w:r>
        <w:rPr>
          <w:noProof/>
          <w:lang w:eastAsia="sl-SI"/>
        </w:rPr>
        <w:drawing>
          <wp:inline distT="0" distB="0" distL="0" distR="0" wp14:anchorId="358DFF16" wp14:editId="237FB248">
            <wp:extent cx="5486400" cy="2358832"/>
            <wp:effectExtent l="19050" t="19050" r="19050" b="2286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07267" cy="2367804"/>
                    </a:xfrm>
                    <a:prstGeom prst="rect">
                      <a:avLst/>
                    </a:prstGeom>
                    <a:ln>
                      <a:solidFill>
                        <a:schemeClr val="bg1">
                          <a:lumMod val="50000"/>
                        </a:schemeClr>
                      </a:solidFill>
                    </a:ln>
                  </pic:spPr>
                </pic:pic>
              </a:graphicData>
            </a:graphic>
          </wp:inline>
        </w:drawing>
      </w:r>
    </w:p>
    <w:p w14:paraId="3C534E04" w14:textId="67F371F7" w:rsidR="006C63D5" w:rsidRDefault="006C63D5" w:rsidP="00AD76B1">
      <w:pPr>
        <w:spacing w:before="120" w:line="360" w:lineRule="auto"/>
        <w:jc w:val="both"/>
        <w:rPr>
          <w:rFonts w:eastAsia="Calibri" w:cs="Arial"/>
          <w:color w:val="000000"/>
          <w:szCs w:val="20"/>
        </w:rPr>
      </w:pPr>
      <w:r w:rsidRPr="003344A4">
        <w:rPr>
          <w:rFonts w:eastAsia="Calibri" w:cs="Arial"/>
          <w:color w:val="000000"/>
          <w:szCs w:val="20"/>
        </w:rPr>
        <w:t>Pri trajnih nasadih po podatkih za leto 201</w:t>
      </w:r>
      <w:r>
        <w:rPr>
          <w:rFonts w:eastAsia="Calibri" w:cs="Arial"/>
          <w:color w:val="000000"/>
          <w:szCs w:val="20"/>
        </w:rPr>
        <w:t>9</w:t>
      </w:r>
      <w:r w:rsidRPr="003344A4">
        <w:rPr>
          <w:rFonts w:eastAsia="Calibri" w:cs="Arial"/>
          <w:color w:val="000000"/>
          <w:szCs w:val="20"/>
        </w:rPr>
        <w:t xml:space="preserve"> dobro polovico predstavljajo vinogradi, skoraj 40 % sadovnjaki in 5 </w:t>
      </w:r>
      <w:r w:rsidR="00395E29">
        <w:rPr>
          <w:rFonts w:eastAsia="Calibri" w:cs="Arial"/>
          <w:color w:val="000000"/>
          <w:szCs w:val="20"/>
        </w:rPr>
        <w:t>%</w:t>
      </w:r>
      <w:r w:rsidRPr="003344A4">
        <w:rPr>
          <w:rFonts w:eastAsia="Calibri" w:cs="Arial"/>
          <w:color w:val="000000"/>
          <w:szCs w:val="20"/>
        </w:rPr>
        <w:t xml:space="preserve"> oljčniki, ostalo pa drevesnice, trsnice in matičnjaki. </w:t>
      </w:r>
      <w:r w:rsidRPr="00CE22E3">
        <w:rPr>
          <w:rFonts w:eastAsia="Calibri" w:cs="Arial"/>
          <w:color w:val="000000"/>
          <w:szCs w:val="20"/>
        </w:rPr>
        <w:t>Med trajnimi nasadi se je zmanjš</w:t>
      </w:r>
      <w:r>
        <w:rPr>
          <w:rFonts w:eastAsia="Calibri" w:cs="Arial"/>
          <w:color w:val="000000"/>
          <w:szCs w:val="20"/>
        </w:rPr>
        <w:t>ala površina vinogradov</w:t>
      </w:r>
      <w:r w:rsidRPr="00CE22E3">
        <w:rPr>
          <w:rFonts w:eastAsia="Calibri" w:cs="Arial"/>
          <w:color w:val="000000"/>
          <w:szCs w:val="20"/>
        </w:rPr>
        <w:t xml:space="preserve">, povečala pa površina sadovnjakov </w:t>
      </w:r>
      <w:r>
        <w:rPr>
          <w:rFonts w:eastAsia="Calibri" w:cs="Arial"/>
          <w:color w:val="000000"/>
          <w:szCs w:val="20"/>
        </w:rPr>
        <w:t>i</w:t>
      </w:r>
      <w:r w:rsidRPr="00CE22E3">
        <w:rPr>
          <w:rFonts w:eastAsia="Calibri" w:cs="Arial"/>
          <w:color w:val="000000"/>
          <w:szCs w:val="20"/>
        </w:rPr>
        <w:t>n oljčnikov.</w:t>
      </w:r>
    </w:p>
    <w:p w14:paraId="7DEB7556" w14:textId="0BDA18A6" w:rsidR="006C63D5" w:rsidRPr="005A3E0F" w:rsidRDefault="006412DC" w:rsidP="005A3E0F">
      <w:pPr>
        <w:pStyle w:val="Naslov2"/>
      </w:pPr>
      <w:bookmarkStart w:id="117" w:name="_Toc42067309"/>
      <w:bookmarkStart w:id="118" w:name="_Toc55912193"/>
      <w:r w:rsidRPr="005A3E0F">
        <w:t>Delovna sila na kmetijskih gospodarstvih</w:t>
      </w:r>
      <w:bookmarkEnd w:id="117"/>
      <w:bookmarkEnd w:id="118"/>
      <w:r w:rsidRPr="005A3E0F">
        <w:t xml:space="preserve"> </w:t>
      </w:r>
    </w:p>
    <w:p w14:paraId="4D016AF6" w14:textId="77777777" w:rsidR="006C63D5" w:rsidRPr="003344A4" w:rsidRDefault="006C63D5" w:rsidP="00AD76B1">
      <w:pPr>
        <w:spacing w:before="120" w:line="360" w:lineRule="auto"/>
        <w:jc w:val="both"/>
        <w:rPr>
          <w:rFonts w:cs="Arial"/>
          <w:szCs w:val="20"/>
        </w:rPr>
      </w:pPr>
      <w:r w:rsidRPr="003344A4">
        <w:rPr>
          <w:rFonts w:cs="Arial"/>
          <w:szCs w:val="20"/>
        </w:rPr>
        <w:t>V državah EU–28 je v letu 2016 na kmetijskih gospodarstvih delalo nekaj več kot 9 milijonov polnovrednih delovnih moči (PDM). Obseg delovne sile se je v obdobju 2010–2016 zmanjšal za dobrih 8 %. Povprečno kmetijsko gospodarstvo v EU–28 zaposluje 0,9 PDM. Slovenija ima v primerjavi z EU–28 nadpovprečno zaposlenost na kmetijskih gospodarstvih (1,1 PDM). Ena PDM v Sloveniji obdela 5,9 ha KZU.</w:t>
      </w:r>
      <w:r w:rsidRPr="003344A4">
        <w:rPr>
          <w:rFonts w:cs="Arial"/>
          <w:szCs w:val="20"/>
          <w:vertAlign w:val="superscript"/>
        </w:rPr>
        <w:footnoteReference w:id="21"/>
      </w:r>
      <w:r w:rsidRPr="003344A4">
        <w:rPr>
          <w:rFonts w:cs="Arial"/>
          <w:szCs w:val="20"/>
        </w:rPr>
        <w:t xml:space="preserve"> V EU-28 pa je povprečje 19 ha KZU na 1 PDM.</w:t>
      </w:r>
    </w:p>
    <w:p w14:paraId="4A714FFC" w14:textId="77777777" w:rsidR="006C63D5" w:rsidRPr="003344A4" w:rsidRDefault="006C63D5" w:rsidP="00AD76B1">
      <w:pPr>
        <w:spacing w:before="120" w:line="360" w:lineRule="auto"/>
        <w:jc w:val="both"/>
        <w:rPr>
          <w:rFonts w:cs="Arial"/>
          <w:szCs w:val="20"/>
        </w:rPr>
      </w:pPr>
      <w:r w:rsidRPr="003344A4">
        <w:rPr>
          <w:rFonts w:cs="Arial"/>
          <w:szCs w:val="20"/>
        </w:rPr>
        <w:t xml:space="preserve">V letu 2016 se je v Sloveniji s kmetijsko dejavnostjo ukvarjalo okoli 200.000 delovno aktivnih oseb, ki so bile zaposlene v kmetijskih podjetjih ali na družinskih kmetijah. Skupni vložek dela v kmetijstvu v </w:t>
      </w:r>
      <w:r w:rsidRPr="003344A4">
        <w:rPr>
          <w:rFonts w:cs="Arial"/>
          <w:szCs w:val="20"/>
        </w:rPr>
        <w:lastRenderedPageBreak/>
        <w:t xml:space="preserve">Sloveniji v letu 2016, izražen v PDM, je bil 79.967 PDM ali 0,17 PDM na hektar KZU, kar je dobre 4 % več kot leta 2010. V primerjavi z letom 2010 se je skupno število PDM zmanjšalo za 1,4 %. </w:t>
      </w:r>
    </w:p>
    <w:p w14:paraId="08961D1F" w14:textId="77777777" w:rsidR="005A3E0F" w:rsidRDefault="006C63D5" w:rsidP="00AD76B1">
      <w:pPr>
        <w:spacing w:before="120" w:line="360" w:lineRule="auto"/>
        <w:jc w:val="both"/>
        <w:rPr>
          <w:rFonts w:cs="Arial"/>
          <w:szCs w:val="20"/>
        </w:rPr>
      </w:pPr>
      <w:r w:rsidRPr="003344A4">
        <w:rPr>
          <w:rFonts w:cs="Arial"/>
          <w:szCs w:val="20"/>
        </w:rPr>
        <w:t xml:space="preserve">V Sloveniji je kar 92 % dela v kmetijstvu v letu 2016 opravila družinska delovna sila. Preostali delež v glavnem predstavlja sezonska delovna sila na družinskih kmetijah (4,3 %). </w:t>
      </w:r>
    </w:p>
    <w:p w14:paraId="6BC1DCD5" w14:textId="4F70BCBA" w:rsidR="005A3E0F" w:rsidRPr="00226CFA" w:rsidRDefault="005A3E0F" w:rsidP="005A3E0F">
      <w:pPr>
        <w:pStyle w:val="SCslika"/>
      </w:pPr>
      <w:bookmarkStart w:id="119" w:name="_Toc55913776"/>
      <w:r w:rsidRPr="00226CFA">
        <w:t xml:space="preserve">Slika </w:t>
      </w:r>
      <w:r w:rsidR="007A077E">
        <w:fldChar w:fldCharType="begin"/>
      </w:r>
      <w:r w:rsidR="007A077E">
        <w:instrText xml:space="preserve"> SEQ Slika \* ARABIC </w:instrText>
      </w:r>
      <w:r w:rsidR="007A077E">
        <w:fldChar w:fldCharType="separate"/>
      </w:r>
      <w:r w:rsidR="0040635C">
        <w:t>25</w:t>
      </w:r>
      <w:r w:rsidR="007A077E">
        <w:fldChar w:fldCharType="end"/>
      </w:r>
      <w:r w:rsidRPr="00226CFA">
        <w:t>: Vložek dela na kmetijskih gospodarstvih, Slovenija, 2016</w:t>
      </w:r>
      <w:bookmarkEnd w:id="119"/>
      <w:r w:rsidRPr="00226CFA">
        <w:t xml:space="preserve"> </w:t>
      </w:r>
    </w:p>
    <w:p w14:paraId="7816509C" w14:textId="77777777" w:rsidR="006C63D5" w:rsidRPr="003344A4" w:rsidRDefault="006C63D5" w:rsidP="005A3E0F">
      <w:pPr>
        <w:spacing w:before="120" w:line="264" w:lineRule="auto"/>
        <w:jc w:val="both"/>
        <w:rPr>
          <w:rFonts w:cs="Arial"/>
          <w:szCs w:val="20"/>
        </w:rPr>
      </w:pPr>
    </w:p>
    <w:p w14:paraId="0CEAF604" w14:textId="1986EF27" w:rsidR="006C63D5" w:rsidRDefault="006C63D5" w:rsidP="005A3E0F">
      <w:pPr>
        <w:keepNext/>
        <w:spacing w:before="120" w:line="264" w:lineRule="auto"/>
        <w:jc w:val="center"/>
        <w:rPr>
          <w:rFonts w:cs="Arial"/>
        </w:rPr>
      </w:pPr>
      <w:r w:rsidRPr="003344A4">
        <w:rPr>
          <w:rFonts w:cs="Arial"/>
          <w:noProof/>
          <w:lang w:eastAsia="sl-SI"/>
        </w:rPr>
        <w:drawing>
          <wp:inline distT="0" distB="0" distL="0" distR="0" wp14:anchorId="74E72BFA" wp14:editId="638EFC05">
            <wp:extent cx="4518660" cy="2042160"/>
            <wp:effectExtent l="0" t="0" r="0" b="0"/>
            <wp:docPr id="1631865356" name="Slika 1631865356" descr="Grafikon 2: Vložek dela na kmetijskih gospodarstvih, Slovenija,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fikon 2: Vložek dela na kmetijskih gospodarstvih, Slovenija, 20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19535" cy="2042555"/>
                    </a:xfrm>
                    <a:prstGeom prst="rect">
                      <a:avLst/>
                    </a:prstGeom>
                    <a:noFill/>
                    <a:ln>
                      <a:noFill/>
                    </a:ln>
                  </pic:spPr>
                </pic:pic>
              </a:graphicData>
            </a:graphic>
          </wp:inline>
        </w:drawing>
      </w:r>
    </w:p>
    <w:p w14:paraId="689157F9" w14:textId="7DBBCDDC" w:rsidR="008A25A9" w:rsidRPr="008A25A9" w:rsidRDefault="008A25A9" w:rsidP="008A25A9">
      <w:pPr>
        <w:keepNext/>
        <w:spacing w:before="120" w:line="264" w:lineRule="auto"/>
        <w:rPr>
          <w:rFonts w:cs="Arial"/>
          <w:sz w:val="16"/>
          <w:szCs w:val="16"/>
        </w:rPr>
      </w:pPr>
      <w:r w:rsidRPr="008A25A9">
        <w:rPr>
          <w:rFonts w:cs="Arial"/>
          <w:sz w:val="16"/>
          <w:szCs w:val="16"/>
        </w:rPr>
        <w:t>Vir: SURS</w:t>
      </w:r>
    </w:p>
    <w:p w14:paraId="513A8817" w14:textId="77777777" w:rsidR="005A3E0F" w:rsidRDefault="006C63D5" w:rsidP="00AD76B1">
      <w:pPr>
        <w:spacing w:before="120" w:line="360" w:lineRule="auto"/>
        <w:jc w:val="both"/>
        <w:rPr>
          <w:rFonts w:cs="Arial"/>
          <w:i/>
          <w:szCs w:val="20"/>
        </w:rPr>
      </w:pPr>
      <w:r w:rsidRPr="003344A4">
        <w:rPr>
          <w:rFonts w:cs="Arial"/>
        </w:rPr>
        <w:t>Tudi pregled gibanja obsega delovne sile v daljšem časovnem obdobju (med letoma 2005 in 2016) kaže, da glavnino obsega dela zagotavljajo upravitelji kmetij skupaj z družinskimi člani na družinskih kmetijah.</w:t>
      </w:r>
      <w:r w:rsidR="005A3E0F" w:rsidRPr="005A3E0F">
        <w:rPr>
          <w:rFonts w:cs="Arial"/>
          <w:i/>
          <w:szCs w:val="20"/>
        </w:rPr>
        <w:t xml:space="preserve"> </w:t>
      </w:r>
    </w:p>
    <w:p w14:paraId="2CECB485" w14:textId="3C2D7075" w:rsidR="006C63D5" w:rsidRPr="003344A4" w:rsidRDefault="005A3E0F" w:rsidP="006519C3">
      <w:pPr>
        <w:pStyle w:val="SCslika"/>
      </w:pPr>
      <w:bookmarkStart w:id="120" w:name="_Toc55913777"/>
      <w:r w:rsidRPr="00522B81">
        <w:t xml:space="preserve">Slika </w:t>
      </w:r>
      <w:r w:rsidR="007A077E">
        <w:fldChar w:fldCharType="begin"/>
      </w:r>
      <w:r w:rsidR="007A077E">
        <w:instrText xml:space="preserve"> SEQ Slika \* ARABIC </w:instrText>
      </w:r>
      <w:r w:rsidR="007A077E">
        <w:fldChar w:fldCharType="separate"/>
      </w:r>
      <w:r w:rsidR="0040635C">
        <w:t>26</w:t>
      </w:r>
      <w:r w:rsidR="007A077E">
        <w:fldChar w:fldCharType="end"/>
      </w:r>
      <w:r w:rsidRPr="00522B81">
        <w:t>: Vložek dela na kmetijskih gospodarstvih, glede na izvor delovne sile, v PDM po letih, Slovenija</w:t>
      </w:r>
      <w:bookmarkEnd w:id="120"/>
    </w:p>
    <w:p w14:paraId="7D0A0789" w14:textId="77777777" w:rsidR="005A3E0F" w:rsidRDefault="006C63D5" w:rsidP="006519C3">
      <w:pPr>
        <w:spacing w:before="120" w:line="264" w:lineRule="auto"/>
        <w:jc w:val="center"/>
        <w:rPr>
          <w:rFonts w:cs="Arial"/>
        </w:rPr>
      </w:pPr>
      <w:r w:rsidRPr="003344A4">
        <w:rPr>
          <w:rFonts w:cs="Arial"/>
          <w:noProof/>
          <w:lang w:eastAsia="sl-SI"/>
        </w:rPr>
        <w:drawing>
          <wp:inline distT="0" distB="0" distL="0" distR="0" wp14:anchorId="7F6742B9" wp14:editId="3777BD87">
            <wp:extent cx="5294076" cy="2785534"/>
            <wp:effectExtent l="0" t="0" r="1905" b="0"/>
            <wp:docPr id="1631865359" name="Slika 163186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62413" t="37018" r="6085" b="16264"/>
                    <a:stretch/>
                  </pic:blipFill>
                  <pic:spPr bwMode="auto">
                    <a:xfrm>
                      <a:off x="0" y="0"/>
                      <a:ext cx="5296528" cy="2786824"/>
                    </a:xfrm>
                    <a:prstGeom prst="rect">
                      <a:avLst/>
                    </a:prstGeom>
                    <a:ln>
                      <a:noFill/>
                    </a:ln>
                    <a:extLst>
                      <a:ext uri="{53640926-AAD7-44D8-BBD7-CCE9431645EC}">
                        <a14:shadowObscured xmlns:a14="http://schemas.microsoft.com/office/drawing/2010/main"/>
                      </a:ext>
                    </a:extLst>
                  </pic:spPr>
                </pic:pic>
              </a:graphicData>
            </a:graphic>
          </wp:inline>
        </w:drawing>
      </w:r>
    </w:p>
    <w:p w14:paraId="269F69BF" w14:textId="09E1A836" w:rsidR="006C63D5" w:rsidRPr="005A3E0F" w:rsidRDefault="005A3E0F" w:rsidP="006519C3">
      <w:pPr>
        <w:spacing w:before="120" w:line="264" w:lineRule="auto"/>
        <w:rPr>
          <w:rFonts w:cs="Arial"/>
          <w:sz w:val="16"/>
          <w:szCs w:val="16"/>
        </w:rPr>
      </w:pPr>
      <w:r w:rsidRPr="005A3E0F">
        <w:rPr>
          <w:rFonts w:cs="Arial"/>
          <w:sz w:val="16"/>
          <w:szCs w:val="16"/>
        </w:rPr>
        <w:t>Vir: SURS</w:t>
      </w:r>
    </w:p>
    <w:p w14:paraId="7B7D4C3B" w14:textId="28340518" w:rsidR="006C63D5" w:rsidRPr="003344A4" w:rsidRDefault="00C9160B" w:rsidP="006519C3">
      <w:pPr>
        <w:keepNext/>
        <w:keepLines/>
        <w:spacing w:before="120" w:line="264" w:lineRule="auto"/>
        <w:rPr>
          <w:rFonts w:cs="Arial"/>
          <w:sz w:val="16"/>
          <w:szCs w:val="20"/>
        </w:rPr>
      </w:pPr>
      <w:bookmarkStart w:id="121" w:name="_Toc55913735"/>
      <w:r>
        <w:rPr>
          <w:rStyle w:val="SCPreglednicaZnak"/>
        </w:rPr>
        <w:lastRenderedPageBreak/>
        <w:t>Tabela</w:t>
      </w:r>
      <w:r w:rsidR="006C63D5" w:rsidRPr="00745452">
        <w:rPr>
          <w:rStyle w:val="SCPreglednicaZnak"/>
        </w:rPr>
        <w:t xml:space="preserve"> </w:t>
      </w:r>
      <w:r w:rsidR="006C63D5" w:rsidRPr="00745452">
        <w:rPr>
          <w:rStyle w:val="SCPreglednicaZnak"/>
        </w:rPr>
        <w:fldChar w:fldCharType="begin"/>
      </w:r>
      <w:r w:rsidR="006C63D5" w:rsidRPr="00745452">
        <w:rPr>
          <w:rStyle w:val="SCPreglednicaZnak"/>
        </w:rPr>
        <w:instrText xml:space="preserve"> SEQ Tabela \* ARABIC </w:instrText>
      </w:r>
      <w:r w:rsidR="006C63D5" w:rsidRPr="00745452">
        <w:rPr>
          <w:rStyle w:val="SCPreglednicaZnak"/>
        </w:rPr>
        <w:fldChar w:fldCharType="separate"/>
      </w:r>
      <w:r w:rsidR="00DF0D48">
        <w:rPr>
          <w:rStyle w:val="SCPreglednicaZnak"/>
          <w:noProof/>
        </w:rPr>
        <w:t>24</w:t>
      </w:r>
      <w:r w:rsidR="006C63D5" w:rsidRPr="00745452">
        <w:rPr>
          <w:rStyle w:val="SCPreglednicaZnak"/>
        </w:rPr>
        <w:fldChar w:fldCharType="end"/>
      </w:r>
      <w:r w:rsidR="006C63D5" w:rsidRPr="00745452">
        <w:rPr>
          <w:rStyle w:val="SCPreglednicaZnak"/>
        </w:rPr>
        <w:t>: Vložek dela na kmetijskih gospodarstvih glede na izvor, po letih, Slovenija</w:t>
      </w:r>
      <w:bookmarkEnd w:id="121"/>
      <w:r w:rsidR="006C63D5" w:rsidRPr="00522B81">
        <w:rPr>
          <w:rFonts w:cs="Arial"/>
          <w:bCs/>
          <w: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67"/>
        <w:gridCol w:w="1058"/>
        <w:gridCol w:w="1060"/>
        <w:gridCol w:w="1060"/>
        <w:gridCol w:w="1060"/>
        <w:gridCol w:w="1057"/>
      </w:tblGrid>
      <w:tr w:rsidR="006C63D5" w:rsidRPr="00F44FA4" w14:paraId="2EF5DAD4" w14:textId="77777777" w:rsidTr="00C473E5">
        <w:trPr>
          <w:trHeight w:val="288"/>
        </w:trPr>
        <w:tc>
          <w:tcPr>
            <w:tcW w:w="2078" w:type="pct"/>
            <w:shd w:val="clear" w:color="auto" w:fill="92D050"/>
            <w:noWrap/>
            <w:vAlign w:val="bottom"/>
            <w:hideMark/>
          </w:tcPr>
          <w:p w14:paraId="10E26F5E" w14:textId="77777777" w:rsidR="006C63D5" w:rsidRPr="00F44FA4" w:rsidRDefault="006C63D5" w:rsidP="006519C3">
            <w:pPr>
              <w:keepNext/>
              <w:keepLines/>
              <w:rPr>
                <w:rFonts w:cs="Arial"/>
                <w:color w:val="000000"/>
                <w:szCs w:val="20"/>
                <w:lang w:eastAsia="sl-SI"/>
              </w:rPr>
            </w:pPr>
            <w:r w:rsidRPr="00F44FA4">
              <w:rPr>
                <w:rFonts w:cs="Arial"/>
                <w:color w:val="000000"/>
                <w:szCs w:val="20"/>
                <w:lang w:eastAsia="sl-SI"/>
              </w:rPr>
              <w:t> </w:t>
            </w:r>
          </w:p>
        </w:tc>
        <w:tc>
          <w:tcPr>
            <w:tcW w:w="2922" w:type="pct"/>
            <w:gridSpan w:val="5"/>
            <w:shd w:val="clear" w:color="auto" w:fill="92D050"/>
            <w:noWrap/>
            <w:vAlign w:val="bottom"/>
            <w:hideMark/>
          </w:tcPr>
          <w:p w14:paraId="59D72D68" w14:textId="77777777" w:rsidR="006C63D5" w:rsidRPr="00F44FA4" w:rsidRDefault="006C63D5" w:rsidP="006519C3">
            <w:pPr>
              <w:keepNext/>
              <w:keepLines/>
              <w:jc w:val="center"/>
              <w:rPr>
                <w:rFonts w:cs="Arial"/>
                <w:b/>
                <w:color w:val="000000"/>
                <w:szCs w:val="20"/>
                <w:lang w:eastAsia="sl-SI"/>
              </w:rPr>
            </w:pPr>
            <w:r w:rsidRPr="00F44FA4">
              <w:rPr>
                <w:rFonts w:cs="Arial"/>
                <w:b/>
                <w:color w:val="000000"/>
                <w:szCs w:val="20"/>
                <w:lang w:eastAsia="sl-SI"/>
              </w:rPr>
              <w:t>Polnovredne delovne moči [PDM]</w:t>
            </w:r>
          </w:p>
        </w:tc>
      </w:tr>
      <w:tr w:rsidR="006C63D5" w:rsidRPr="00F44FA4" w14:paraId="1366B7A3" w14:textId="77777777" w:rsidTr="00C473E5">
        <w:trPr>
          <w:trHeight w:val="288"/>
        </w:trPr>
        <w:tc>
          <w:tcPr>
            <w:tcW w:w="2078" w:type="pct"/>
            <w:shd w:val="clear" w:color="auto" w:fill="92D050"/>
            <w:noWrap/>
            <w:vAlign w:val="bottom"/>
            <w:hideMark/>
          </w:tcPr>
          <w:p w14:paraId="28D8CE02" w14:textId="77777777" w:rsidR="006C63D5" w:rsidRPr="00F44FA4" w:rsidRDefault="006C63D5" w:rsidP="006519C3">
            <w:pPr>
              <w:keepNext/>
              <w:keepLines/>
              <w:rPr>
                <w:rFonts w:cs="Arial"/>
                <w:b/>
                <w:color w:val="000000"/>
                <w:szCs w:val="20"/>
                <w:lang w:eastAsia="sl-SI"/>
              </w:rPr>
            </w:pPr>
            <w:r w:rsidRPr="00F44FA4">
              <w:rPr>
                <w:rFonts w:cs="Arial"/>
                <w:b/>
                <w:color w:val="000000"/>
                <w:szCs w:val="20"/>
                <w:lang w:eastAsia="sl-SI"/>
              </w:rPr>
              <w:t> </w:t>
            </w:r>
          </w:p>
        </w:tc>
        <w:tc>
          <w:tcPr>
            <w:tcW w:w="584" w:type="pct"/>
            <w:shd w:val="clear" w:color="auto" w:fill="92D050"/>
            <w:noWrap/>
            <w:vAlign w:val="bottom"/>
            <w:hideMark/>
          </w:tcPr>
          <w:p w14:paraId="2063F826" w14:textId="77777777" w:rsidR="006C63D5" w:rsidRPr="00F44FA4" w:rsidRDefault="006C63D5" w:rsidP="006519C3">
            <w:pPr>
              <w:keepNext/>
              <w:keepLines/>
              <w:jc w:val="center"/>
              <w:rPr>
                <w:rFonts w:cs="Arial"/>
                <w:b/>
                <w:color w:val="000000"/>
                <w:szCs w:val="20"/>
                <w:lang w:eastAsia="sl-SI"/>
              </w:rPr>
            </w:pPr>
            <w:r w:rsidRPr="00F44FA4">
              <w:rPr>
                <w:rFonts w:cs="Arial"/>
                <w:b/>
                <w:color w:val="000000"/>
                <w:szCs w:val="20"/>
                <w:lang w:eastAsia="sl-SI"/>
              </w:rPr>
              <w:t>2005</w:t>
            </w:r>
          </w:p>
        </w:tc>
        <w:tc>
          <w:tcPr>
            <w:tcW w:w="585" w:type="pct"/>
            <w:shd w:val="clear" w:color="auto" w:fill="92D050"/>
            <w:noWrap/>
            <w:vAlign w:val="bottom"/>
            <w:hideMark/>
          </w:tcPr>
          <w:p w14:paraId="36337FFB" w14:textId="77777777" w:rsidR="006C63D5" w:rsidRPr="00F44FA4" w:rsidRDefault="006C63D5" w:rsidP="006519C3">
            <w:pPr>
              <w:keepNext/>
              <w:keepLines/>
              <w:jc w:val="center"/>
              <w:rPr>
                <w:rFonts w:cs="Arial"/>
                <w:b/>
                <w:color w:val="000000"/>
                <w:szCs w:val="20"/>
                <w:lang w:eastAsia="sl-SI"/>
              </w:rPr>
            </w:pPr>
            <w:r w:rsidRPr="00F44FA4">
              <w:rPr>
                <w:rFonts w:cs="Arial"/>
                <w:b/>
                <w:color w:val="000000"/>
                <w:szCs w:val="20"/>
                <w:lang w:eastAsia="sl-SI"/>
              </w:rPr>
              <w:t>2007</w:t>
            </w:r>
          </w:p>
        </w:tc>
        <w:tc>
          <w:tcPr>
            <w:tcW w:w="585" w:type="pct"/>
            <w:shd w:val="clear" w:color="auto" w:fill="92D050"/>
            <w:noWrap/>
            <w:vAlign w:val="bottom"/>
            <w:hideMark/>
          </w:tcPr>
          <w:p w14:paraId="70C1802B" w14:textId="77777777" w:rsidR="006C63D5" w:rsidRPr="00F44FA4" w:rsidRDefault="006C63D5" w:rsidP="006519C3">
            <w:pPr>
              <w:keepNext/>
              <w:keepLines/>
              <w:jc w:val="center"/>
              <w:rPr>
                <w:rFonts w:cs="Arial"/>
                <w:b/>
                <w:color w:val="000000"/>
                <w:szCs w:val="20"/>
                <w:lang w:eastAsia="sl-SI"/>
              </w:rPr>
            </w:pPr>
            <w:r w:rsidRPr="00F44FA4">
              <w:rPr>
                <w:rFonts w:cs="Arial"/>
                <w:b/>
                <w:color w:val="000000"/>
                <w:szCs w:val="20"/>
                <w:lang w:eastAsia="sl-SI"/>
              </w:rPr>
              <w:t>2010</w:t>
            </w:r>
          </w:p>
        </w:tc>
        <w:tc>
          <w:tcPr>
            <w:tcW w:w="585" w:type="pct"/>
            <w:shd w:val="clear" w:color="auto" w:fill="92D050"/>
            <w:noWrap/>
            <w:vAlign w:val="bottom"/>
            <w:hideMark/>
          </w:tcPr>
          <w:p w14:paraId="4A5EF678" w14:textId="77777777" w:rsidR="006C63D5" w:rsidRPr="00F44FA4" w:rsidRDefault="006C63D5" w:rsidP="006519C3">
            <w:pPr>
              <w:keepNext/>
              <w:keepLines/>
              <w:jc w:val="center"/>
              <w:rPr>
                <w:rFonts w:cs="Arial"/>
                <w:b/>
                <w:color w:val="000000"/>
                <w:szCs w:val="20"/>
                <w:lang w:eastAsia="sl-SI"/>
              </w:rPr>
            </w:pPr>
            <w:r w:rsidRPr="00F44FA4">
              <w:rPr>
                <w:rFonts w:cs="Arial"/>
                <w:b/>
                <w:color w:val="000000"/>
                <w:szCs w:val="20"/>
                <w:lang w:eastAsia="sl-SI"/>
              </w:rPr>
              <w:t>2013</w:t>
            </w:r>
          </w:p>
        </w:tc>
        <w:tc>
          <w:tcPr>
            <w:tcW w:w="583" w:type="pct"/>
            <w:shd w:val="clear" w:color="auto" w:fill="92D050"/>
            <w:noWrap/>
            <w:vAlign w:val="bottom"/>
            <w:hideMark/>
          </w:tcPr>
          <w:p w14:paraId="38223562" w14:textId="77777777" w:rsidR="006C63D5" w:rsidRPr="00F44FA4" w:rsidRDefault="006C63D5" w:rsidP="006519C3">
            <w:pPr>
              <w:keepNext/>
              <w:keepLines/>
              <w:jc w:val="center"/>
              <w:rPr>
                <w:rFonts w:cs="Arial"/>
                <w:b/>
                <w:color w:val="000000"/>
                <w:szCs w:val="20"/>
                <w:lang w:eastAsia="sl-SI"/>
              </w:rPr>
            </w:pPr>
            <w:r w:rsidRPr="00F44FA4">
              <w:rPr>
                <w:rFonts w:cs="Arial"/>
                <w:b/>
                <w:color w:val="000000"/>
                <w:szCs w:val="20"/>
                <w:lang w:eastAsia="sl-SI"/>
              </w:rPr>
              <w:t>2016</w:t>
            </w:r>
          </w:p>
        </w:tc>
      </w:tr>
      <w:tr w:rsidR="006C63D5" w:rsidRPr="00F44FA4" w14:paraId="62FBFBD8" w14:textId="77777777" w:rsidTr="00C473E5">
        <w:trPr>
          <w:trHeight w:val="288"/>
        </w:trPr>
        <w:tc>
          <w:tcPr>
            <w:tcW w:w="2078" w:type="pct"/>
            <w:shd w:val="clear" w:color="auto" w:fill="92D050"/>
            <w:vAlign w:val="bottom"/>
            <w:hideMark/>
          </w:tcPr>
          <w:p w14:paraId="669FA32E" w14:textId="77777777" w:rsidR="006C63D5" w:rsidRPr="00F44FA4" w:rsidRDefault="006C63D5" w:rsidP="006519C3">
            <w:pPr>
              <w:keepNext/>
              <w:keepLines/>
              <w:rPr>
                <w:rFonts w:cs="Arial"/>
                <w:b/>
                <w:bCs/>
                <w:color w:val="000000"/>
                <w:szCs w:val="20"/>
                <w:lang w:eastAsia="sl-SI"/>
              </w:rPr>
            </w:pPr>
            <w:r w:rsidRPr="00F44FA4">
              <w:rPr>
                <w:rFonts w:cs="Arial"/>
                <w:b/>
                <w:bCs/>
                <w:color w:val="000000"/>
                <w:szCs w:val="20"/>
                <w:lang w:eastAsia="sl-SI"/>
              </w:rPr>
              <w:t>Izvor delovne sile - SKUPAJ</w:t>
            </w:r>
          </w:p>
        </w:tc>
        <w:tc>
          <w:tcPr>
            <w:tcW w:w="584" w:type="pct"/>
            <w:shd w:val="clear" w:color="auto" w:fill="92D050"/>
            <w:noWrap/>
            <w:vAlign w:val="bottom"/>
            <w:hideMark/>
          </w:tcPr>
          <w:p w14:paraId="15441A0B" w14:textId="77777777" w:rsidR="006C63D5" w:rsidRPr="00F44FA4" w:rsidRDefault="006C63D5" w:rsidP="006519C3">
            <w:pPr>
              <w:keepNext/>
              <w:keepLines/>
              <w:jc w:val="right"/>
              <w:rPr>
                <w:rFonts w:cs="Arial"/>
                <w:b/>
                <w:color w:val="000000"/>
                <w:szCs w:val="20"/>
                <w:lang w:eastAsia="sl-SI"/>
              </w:rPr>
            </w:pPr>
            <w:r w:rsidRPr="00F44FA4">
              <w:rPr>
                <w:rFonts w:cs="Arial"/>
                <w:b/>
                <w:color w:val="000000"/>
                <w:szCs w:val="20"/>
                <w:lang w:eastAsia="sl-SI"/>
              </w:rPr>
              <w:t xml:space="preserve">           95.263   </w:t>
            </w:r>
          </w:p>
        </w:tc>
        <w:tc>
          <w:tcPr>
            <w:tcW w:w="585" w:type="pct"/>
            <w:shd w:val="clear" w:color="auto" w:fill="92D050"/>
            <w:noWrap/>
            <w:vAlign w:val="bottom"/>
            <w:hideMark/>
          </w:tcPr>
          <w:p w14:paraId="70A7D4E9" w14:textId="77777777" w:rsidR="006C63D5" w:rsidRPr="00F44FA4" w:rsidRDefault="006C63D5" w:rsidP="006519C3">
            <w:pPr>
              <w:keepNext/>
              <w:keepLines/>
              <w:jc w:val="right"/>
              <w:rPr>
                <w:rFonts w:cs="Arial"/>
                <w:b/>
                <w:color w:val="000000"/>
                <w:szCs w:val="20"/>
                <w:lang w:eastAsia="sl-SI"/>
              </w:rPr>
            </w:pPr>
            <w:r w:rsidRPr="00F44FA4">
              <w:rPr>
                <w:rFonts w:cs="Arial"/>
                <w:b/>
                <w:color w:val="000000"/>
                <w:szCs w:val="20"/>
                <w:lang w:eastAsia="sl-SI"/>
              </w:rPr>
              <w:t xml:space="preserve">              83.950   </w:t>
            </w:r>
          </w:p>
        </w:tc>
        <w:tc>
          <w:tcPr>
            <w:tcW w:w="585" w:type="pct"/>
            <w:shd w:val="clear" w:color="auto" w:fill="92D050"/>
            <w:noWrap/>
            <w:vAlign w:val="bottom"/>
            <w:hideMark/>
          </w:tcPr>
          <w:p w14:paraId="719FE255" w14:textId="77777777" w:rsidR="006C63D5" w:rsidRPr="00F44FA4" w:rsidRDefault="006C63D5" w:rsidP="006519C3">
            <w:pPr>
              <w:keepNext/>
              <w:keepLines/>
              <w:jc w:val="right"/>
              <w:rPr>
                <w:rFonts w:cs="Arial"/>
                <w:b/>
                <w:color w:val="000000"/>
                <w:szCs w:val="20"/>
                <w:lang w:eastAsia="sl-SI"/>
              </w:rPr>
            </w:pPr>
            <w:r w:rsidRPr="00F44FA4">
              <w:rPr>
                <w:rFonts w:cs="Arial"/>
                <w:b/>
                <w:color w:val="000000"/>
                <w:szCs w:val="20"/>
                <w:lang w:eastAsia="sl-SI"/>
              </w:rPr>
              <w:t xml:space="preserve">        77.012   </w:t>
            </w:r>
          </w:p>
        </w:tc>
        <w:tc>
          <w:tcPr>
            <w:tcW w:w="585" w:type="pct"/>
            <w:shd w:val="clear" w:color="auto" w:fill="92D050"/>
            <w:noWrap/>
            <w:vAlign w:val="bottom"/>
            <w:hideMark/>
          </w:tcPr>
          <w:p w14:paraId="1DBAC21B" w14:textId="77777777" w:rsidR="006C63D5" w:rsidRPr="00F44FA4" w:rsidRDefault="006C63D5" w:rsidP="006519C3">
            <w:pPr>
              <w:keepNext/>
              <w:keepLines/>
              <w:jc w:val="right"/>
              <w:rPr>
                <w:rFonts w:cs="Arial"/>
                <w:b/>
                <w:color w:val="000000"/>
                <w:szCs w:val="20"/>
                <w:lang w:eastAsia="sl-SI"/>
              </w:rPr>
            </w:pPr>
            <w:r w:rsidRPr="00F44FA4">
              <w:rPr>
                <w:rFonts w:cs="Arial"/>
                <w:b/>
                <w:color w:val="000000"/>
                <w:szCs w:val="20"/>
                <w:lang w:eastAsia="sl-SI"/>
              </w:rPr>
              <w:t xml:space="preserve">        82.746   </w:t>
            </w:r>
          </w:p>
        </w:tc>
        <w:tc>
          <w:tcPr>
            <w:tcW w:w="583" w:type="pct"/>
            <w:shd w:val="clear" w:color="auto" w:fill="92D050"/>
            <w:noWrap/>
            <w:vAlign w:val="bottom"/>
            <w:hideMark/>
          </w:tcPr>
          <w:p w14:paraId="20B53697" w14:textId="77777777" w:rsidR="006C63D5" w:rsidRPr="00F44FA4" w:rsidRDefault="006C63D5" w:rsidP="006519C3">
            <w:pPr>
              <w:keepNext/>
              <w:keepLines/>
              <w:jc w:val="right"/>
              <w:rPr>
                <w:rFonts w:cs="Arial"/>
                <w:b/>
                <w:color w:val="000000"/>
                <w:szCs w:val="20"/>
                <w:lang w:eastAsia="sl-SI"/>
              </w:rPr>
            </w:pPr>
            <w:r w:rsidRPr="00F44FA4">
              <w:rPr>
                <w:rFonts w:cs="Arial"/>
                <w:b/>
                <w:color w:val="000000"/>
                <w:szCs w:val="20"/>
                <w:lang w:eastAsia="sl-SI"/>
              </w:rPr>
              <w:t xml:space="preserve">        79.967   </w:t>
            </w:r>
          </w:p>
        </w:tc>
      </w:tr>
      <w:tr w:rsidR="006C63D5" w:rsidRPr="00F44FA4" w14:paraId="1936E666" w14:textId="77777777" w:rsidTr="00C473E5">
        <w:trPr>
          <w:trHeight w:val="288"/>
        </w:trPr>
        <w:tc>
          <w:tcPr>
            <w:tcW w:w="2078" w:type="pct"/>
            <w:shd w:val="clear" w:color="auto" w:fill="auto"/>
            <w:vAlign w:val="bottom"/>
            <w:hideMark/>
          </w:tcPr>
          <w:p w14:paraId="77F98820" w14:textId="77777777" w:rsidR="006C63D5" w:rsidRPr="00F44FA4" w:rsidRDefault="006C63D5" w:rsidP="006519C3">
            <w:pPr>
              <w:keepNext/>
              <w:keepLines/>
              <w:rPr>
                <w:rFonts w:cs="Arial"/>
                <w:color w:val="000000"/>
                <w:szCs w:val="20"/>
                <w:lang w:eastAsia="sl-SI"/>
              </w:rPr>
            </w:pPr>
            <w:r w:rsidRPr="00F44FA4">
              <w:rPr>
                <w:rFonts w:cs="Arial"/>
                <w:color w:val="000000"/>
                <w:szCs w:val="20"/>
                <w:lang w:eastAsia="sl-SI"/>
              </w:rPr>
              <w:t>Družinska delovna sila - gospodar - upravitelj</w:t>
            </w:r>
          </w:p>
        </w:tc>
        <w:tc>
          <w:tcPr>
            <w:tcW w:w="584" w:type="pct"/>
            <w:shd w:val="clear" w:color="auto" w:fill="auto"/>
            <w:noWrap/>
            <w:vAlign w:val="bottom"/>
            <w:hideMark/>
          </w:tcPr>
          <w:p w14:paraId="3AE81ABA"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40.912   </w:t>
            </w:r>
          </w:p>
        </w:tc>
        <w:tc>
          <w:tcPr>
            <w:tcW w:w="585" w:type="pct"/>
            <w:shd w:val="clear" w:color="auto" w:fill="auto"/>
            <w:noWrap/>
            <w:vAlign w:val="bottom"/>
            <w:hideMark/>
          </w:tcPr>
          <w:p w14:paraId="75562902"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36.816   </w:t>
            </w:r>
          </w:p>
        </w:tc>
        <w:tc>
          <w:tcPr>
            <w:tcW w:w="585" w:type="pct"/>
            <w:shd w:val="clear" w:color="auto" w:fill="auto"/>
            <w:noWrap/>
            <w:vAlign w:val="bottom"/>
            <w:hideMark/>
          </w:tcPr>
          <w:p w14:paraId="057030F5"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34.645   </w:t>
            </w:r>
          </w:p>
        </w:tc>
        <w:tc>
          <w:tcPr>
            <w:tcW w:w="585" w:type="pct"/>
            <w:shd w:val="clear" w:color="auto" w:fill="auto"/>
            <w:noWrap/>
            <w:vAlign w:val="bottom"/>
            <w:hideMark/>
          </w:tcPr>
          <w:p w14:paraId="3C12EAF7"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38.866   </w:t>
            </w:r>
          </w:p>
        </w:tc>
        <w:tc>
          <w:tcPr>
            <w:tcW w:w="583" w:type="pct"/>
            <w:shd w:val="clear" w:color="auto" w:fill="auto"/>
            <w:noWrap/>
            <w:vAlign w:val="bottom"/>
            <w:hideMark/>
          </w:tcPr>
          <w:p w14:paraId="3CCCD5E7"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36.609   </w:t>
            </w:r>
          </w:p>
        </w:tc>
      </w:tr>
      <w:tr w:rsidR="006C63D5" w:rsidRPr="00F44FA4" w14:paraId="2878C354" w14:textId="77777777" w:rsidTr="00C473E5">
        <w:trPr>
          <w:trHeight w:val="432"/>
        </w:trPr>
        <w:tc>
          <w:tcPr>
            <w:tcW w:w="2078" w:type="pct"/>
            <w:shd w:val="clear" w:color="auto" w:fill="auto"/>
            <w:vAlign w:val="bottom"/>
            <w:hideMark/>
          </w:tcPr>
          <w:p w14:paraId="6A31849C" w14:textId="77777777" w:rsidR="006C63D5" w:rsidRPr="00F44FA4" w:rsidRDefault="006C63D5" w:rsidP="006519C3">
            <w:pPr>
              <w:keepNext/>
              <w:keepLines/>
              <w:rPr>
                <w:rFonts w:cs="Arial"/>
                <w:color w:val="000000"/>
                <w:szCs w:val="20"/>
                <w:lang w:eastAsia="sl-SI"/>
              </w:rPr>
            </w:pPr>
            <w:r w:rsidRPr="00F44FA4">
              <w:rPr>
                <w:rFonts w:cs="Arial"/>
                <w:color w:val="000000"/>
                <w:szCs w:val="20"/>
                <w:lang w:eastAsia="sl-SI"/>
              </w:rPr>
              <w:t>Družinska delovna sila - drugi člani gospodinjstev, ki živijo na družinski kmetiji</w:t>
            </w:r>
          </w:p>
        </w:tc>
        <w:tc>
          <w:tcPr>
            <w:tcW w:w="584" w:type="pct"/>
            <w:shd w:val="clear" w:color="auto" w:fill="auto"/>
            <w:noWrap/>
            <w:vAlign w:val="bottom"/>
            <w:hideMark/>
          </w:tcPr>
          <w:p w14:paraId="08B93F4C"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45.846   </w:t>
            </w:r>
          </w:p>
        </w:tc>
        <w:tc>
          <w:tcPr>
            <w:tcW w:w="585" w:type="pct"/>
            <w:shd w:val="clear" w:color="auto" w:fill="auto"/>
            <w:noWrap/>
            <w:vAlign w:val="bottom"/>
            <w:hideMark/>
          </w:tcPr>
          <w:p w14:paraId="45BE0C4B"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40.581   </w:t>
            </w:r>
          </w:p>
        </w:tc>
        <w:tc>
          <w:tcPr>
            <w:tcW w:w="585" w:type="pct"/>
            <w:shd w:val="clear" w:color="auto" w:fill="auto"/>
            <w:noWrap/>
            <w:vAlign w:val="bottom"/>
            <w:hideMark/>
          </w:tcPr>
          <w:p w14:paraId="26EA703D"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34.037   </w:t>
            </w:r>
          </w:p>
        </w:tc>
        <w:tc>
          <w:tcPr>
            <w:tcW w:w="585" w:type="pct"/>
            <w:shd w:val="clear" w:color="auto" w:fill="auto"/>
            <w:noWrap/>
            <w:vAlign w:val="bottom"/>
            <w:hideMark/>
          </w:tcPr>
          <w:p w14:paraId="0AE0A995"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38.420   </w:t>
            </w:r>
          </w:p>
        </w:tc>
        <w:tc>
          <w:tcPr>
            <w:tcW w:w="583" w:type="pct"/>
            <w:shd w:val="clear" w:color="auto" w:fill="auto"/>
            <w:noWrap/>
            <w:vAlign w:val="bottom"/>
            <w:hideMark/>
          </w:tcPr>
          <w:p w14:paraId="67D66F4D"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36.978   </w:t>
            </w:r>
          </w:p>
        </w:tc>
      </w:tr>
      <w:tr w:rsidR="006C63D5" w:rsidRPr="00F44FA4" w14:paraId="1B7B2AA1" w14:textId="77777777" w:rsidTr="00C473E5">
        <w:trPr>
          <w:trHeight w:val="288"/>
        </w:trPr>
        <w:tc>
          <w:tcPr>
            <w:tcW w:w="2078" w:type="pct"/>
            <w:shd w:val="clear" w:color="auto" w:fill="auto"/>
            <w:vAlign w:val="bottom"/>
            <w:hideMark/>
          </w:tcPr>
          <w:p w14:paraId="3BEA25A3" w14:textId="77777777" w:rsidR="006C63D5" w:rsidRPr="00F44FA4" w:rsidRDefault="006C63D5" w:rsidP="006519C3">
            <w:pPr>
              <w:keepNext/>
              <w:keepLines/>
              <w:rPr>
                <w:rFonts w:cs="Arial"/>
                <w:color w:val="000000"/>
                <w:szCs w:val="20"/>
                <w:lang w:eastAsia="sl-SI"/>
              </w:rPr>
            </w:pPr>
            <w:r w:rsidRPr="00F44FA4">
              <w:rPr>
                <w:rFonts w:cs="Arial"/>
                <w:color w:val="000000"/>
                <w:szCs w:val="20"/>
                <w:lang w:eastAsia="sl-SI"/>
              </w:rPr>
              <w:t>Redno zaposleni - na družinskih kmetijah</w:t>
            </w:r>
          </w:p>
        </w:tc>
        <w:tc>
          <w:tcPr>
            <w:tcW w:w="584" w:type="pct"/>
            <w:shd w:val="clear" w:color="auto" w:fill="auto"/>
            <w:noWrap/>
            <w:vAlign w:val="bottom"/>
            <w:hideMark/>
          </w:tcPr>
          <w:p w14:paraId="20B2B9EE"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221   </w:t>
            </w:r>
          </w:p>
        </w:tc>
        <w:tc>
          <w:tcPr>
            <w:tcW w:w="585" w:type="pct"/>
            <w:shd w:val="clear" w:color="auto" w:fill="auto"/>
            <w:noWrap/>
            <w:vAlign w:val="bottom"/>
            <w:hideMark/>
          </w:tcPr>
          <w:p w14:paraId="03939F87"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175   </w:t>
            </w:r>
          </w:p>
        </w:tc>
        <w:tc>
          <w:tcPr>
            <w:tcW w:w="585" w:type="pct"/>
            <w:shd w:val="clear" w:color="auto" w:fill="auto"/>
            <w:noWrap/>
            <w:vAlign w:val="bottom"/>
            <w:hideMark/>
          </w:tcPr>
          <w:p w14:paraId="515BBD22"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225   </w:t>
            </w:r>
          </w:p>
        </w:tc>
        <w:tc>
          <w:tcPr>
            <w:tcW w:w="585" w:type="pct"/>
            <w:shd w:val="clear" w:color="auto" w:fill="auto"/>
            <w:noWrap/>
            <w:vAlign w:val="bottom"/>
            <w:hideMark/>
          </w:tcPr>
          <w:p w14:paraId="477398F1"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246   </w:t>
            </w:r>
          </w:p>
        </w:tc>
        <w:tc>
          <w:tcPr>
            <w:tcW w:w="583" w:type="pct"/>
            <w:shd w:val="clear" w:color="auto" w:fill="auto"/>
            <w:noWrap/>
            <w:vAlign w:val="bottom"/>
            <w:hideMark/>
          </w:tcPr>
          <w:p w14:paraId="38BF3C5A"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359   </w:t>
            </w:r>
          </w:p>
        </w:tc>
      </w:tr>
      <w:tr w:rsidR="006C63D5" w:rsidRPr="00F44FA4" w14:paraId="7ACF3D56" w14:textId="77777777" w:rsidTr="00C473E5">
        <w:trPr>
          <w:trHeight w:val="349"/>
        </w:trPr>
        <w:tc>
          <w:tcPr>
            <w:tcW w:w="2078" w:type="pct"/>
            <w:shd w:val="clear" w:color="auto" w:fill="auto"/>
            <w:vAlign w:val="bottom"/>
            <w:hideMark/>
          </w:tcPr>
          <w:p w14:paraId="5F1F2579" w14:textId="77777777" w:rsidR="006C63D5" w:rsidRPr="00F44FA4" w:rsidRDefault="006C63D5" w:rsidP="006519C3">
            <w:pPr>
              <w:keepNext/>
              <w:keepLines/>
              <w:rPr>
                <w:rFonts w:cs="Arial"/>
                <w:color w:val="000000"/>
                <w:szCs w:val="20"/>
                <w:lang w:eastAsia="sl-SI"/>
              </w:rPr>
            </w:pPr>
            <w:r w:rsidRPr="00F44FA4">
              <w:rPr>
                <w:rFonts w:cs="Arial"/>
                <w:color w:val="000000"/>
                <w:szCs w:val="20"/>
                <w:lang w:eastAsia="sl-SI"/>
              </w:rPr>
              <w:t>Redno zaposleni - v kmetijskih podjetjih in zadrugah</w:t>
            </w:r>
          </w:p>
        </w:tc>
        <w:tc>
          <w:tcPr>
            <w:tcW w:w="584" w:type="pct"/>
            <w:shd w:val="clear" w:color="auto" w:fill="auto"/>
            <w:noWrap/>
            <w:vAlign w:val="bottom"/>
            <w:hideMark/>
          </w:tcPr>
          <w:p w14:paraId="48ED7BA2"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3.124   </w:t>
            </w:r>
          </w:p>
        </w:tc>
        <w:tc>
          <w:tcPr>
            <w:tcW w:w="585" w:type="pct"/>
            <w:shd w:val="clear" w:color="auto" w:fill="auto"/>
            <w:noWrap/>
            <w:vAlign w:val="bottom"/>
            <w:hideMark/>
          </w:tcPr>
          <w:p w14:paraId="59ACC62C"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2.445   </w:t>
            </w:r>
          </w:p>
        </w:tc>
        <w:tc>
          <w:tcPr>
            <w:tcW w:w="585" w:type="pct"/>
            <w:shd w:val="clear" w:color="auto" w:fill="auto"/>
            <w:noWrap/>
            <w:vAlign w:val="bottom"/>
            <w:hideMark/>
          </w:tcPr>
          <w:p w14:paraId="543B7B65"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2.610   </w:t>
            </w:r>
          </w:p>
        </w:tc>
        <w:tc>
          <w:tcPr>
            <w:tcW w:w="585" w:type="pct"/>
            <w:shd w:val="clear" w:color="auto" w:fill="auto"/>
            <w:noWrap/>
            <w:vAlign w:val="bottom"/>
            <w:hideMark/>
          </w:tcPr>
          <w:p w14:paraId="08F9C3BC"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1.942   </w:t>
            </w:r>
          </w:p>
        </w:tc>
        <w:tc>
          <w:tcPr>
            <w:tcW w:w="583" w:type="pct"/>
            <w:shd w:val="clear" w:color="auto" w:fill="auto"/>
            <w:noWrap/>
            <w:vAlign w:val="bottom"/>
            <w:hideMark/>
          </w:tcPr>
          <w:p w14:paraId="70D6C84E"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2.078   </w:t>
            </w:r>
          </w:p>
        </w:tc>
      </w:tr>
      <w:tr w:rsidR="006C63D5" w:rsidRPr="00F44FA4" w14:paraId="049EC1B3" w14:textId="77777777" w:rsidTr="00C473E5">
        <w:trPr>
          <w:trHeight w:val="287"/>
        </w:trPr>
        <w:tc>
          <w:tcPr>
            <w:tcW w:w="2078" w:type="pct"/>
            <w:shd w:val="clear" w:color="auto" w:fill="auto"/>
            <w:vAlign w:val="bottom"/>
            <w:hideMark/>
          </w:tcPr>
          <w:p w14:paraId="7B7106BF" w14:textId="77777777" w:rsidR="006C63D5" w:rsidRPr="00F44FA4" w:rsidRDefault="006C63D5" w:rsidP="006519C3">
            <w:pPr>
              <w:keepNext/>
              <w:keepLines/>
              <w:rPr>
                <w:rFonts w:cs="Arial"/>
                <w:color w:val="000000"/>
                <w:szCs w:val="20"/>
                <w:lang w:eastAsia="sl-SI"/>
              </w:rPr>
            </w:pPr>
            <w:r w:rsidRPr="00F44FA4">
              <w:rPr>
                <w:rFonts w:cs="Arial"/>
                <w:color w:val="000000"/>
                <w:szCs w:val="20"/>
                <w:lang w:eastAsia="sl-SI"/>
              </w:rPr>
              <w:t>Sezonsko in priložnostno delo - na družinskih kmetijah</w:t>
            </w:r>
          </w:p>
        </w:tc>
        <w:tc>
          <w:tcPr>
            <w:tcW w:w="584" w:type="pct"/>
            <w:shd w:val="clear" w:color="auto" w:fill="auto"/>
            <w:noWrap/>
            <w:vAlign w:val="bottom"/>
            <w:hideMark/>
          </w:tcPr>
          <w:p w14:paraId="3A1CCCFE"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4.558   </w:t>
            </w:r>
          </w:p>
        </w:tc>
        <w:tc>
          <w:tcPr>
            <w:tcW w:w="585" w:type="pct"/>
            <w:shd w:val="clear" w:color="auto" w:fill="auto"/>
            <w:noWrap/>
            <w:vAlign w:val="bottom"/>
            <w:hideMark/>
          </w:tcPr>
          <w:p w14:paraId="7DF0ECA2"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3.253   </w:t>
            </w:r>
          </w:p>
        </w:tc>
        <w:tc>
          <w:tcPr>
            <w:tcW w:w="585" w:type="pct"/>
            <w:shd w:val="clear" w:color="auto" w:fill="auto"/>
            <w:noWrap/>
            <w:vAlign w:val="bottom"/>
            <w:hideMark/>
          </w:tcPr>
          <w:p w14:paraId="1EB3042E"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4.686   </w:t>
            </w:r>
          </w:p>
        </w:tc>
        <w:tc>
          <w:tcPr>
            <w:tcW w:w="585" w:type="pct"/>
            <w:shd w:val="clear" w:color="auto" w:fill="auto"/>
            <w:noWrap/>
            <w:vAlign w:val="bottom"/>
            <w:hideMark/>
          </w:tcPr>
          <w:p w14:paraId="54B41FF8"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2.658   </w:t>
            </w:r>
          </w:p>
        </w:tc>
        <w:tc>
          <w:tcPr>
            <w:tcW w:w="583" w:type="pct"/>
            <w:shd w:val="clear" w:color="auto" w:fill="auto"/>
            <w:noWrap/>
            <w:vAlign w:val="bottom"/>
            <w:hideMark/>
          </w:tcPr>
          <w:p w14:paraId="1D3B3CF8"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3.255   </w:t>
            </w:r>
          </w:p>
        </w:tc>
      </w:tr>
      <w:tr w:rsidR="006C63D5" w:rsidRPr="00F44FA4" w14:paraId="45FFA59F" w14:textId="77777777" w:rsidTr="00C473E5">
        <w:trPr>
          <w:trHeight w:val="288"/>
        </w:trPr>
        <w:tc>
          <w:tcPr>
            <w:tcW w:w="2078" w:type="pct"/>
            <w:shd w:val="clear" w:color="auto" w:fill="auto"/>
            <w:vAlign w:val="bottom"/>
            <w:hideMark/>
          </w:tcPr>
          <w:p w14:paraId="5979AE11" w14:textId="77777777" w:rsidR="006C63D5" w:rsidRPr="00F44FA4" w:rsidRDefault="006C63D5" w:rsidP="006519C3">
            <w:pPr>
              <w:keepNext/>
              <w:keepLines/>
              <w:rPr>
                <w:rFonts w:cs="Arial"/>
                <w:color w:val="000000"/>
                <w:szCs w:val="20"/>
                <w:lang w:eastAsia="sl-SI"/>
              </w:rPr>
            </w:pPr>
            <w:r w:rsidRPr="00F44FA4">
              <w:rPr>
                <w:rFonts w:cs="Arial"/>
                <w:color w:val="000000"/>
                <w:szCs w:val="20"/>
                <w:lang w:eastAsia="sl-SI"/>
              </w:rPr>
              <w:t>Sezonsko in priložnostno delo - v kmetijskih podjetjih in zadrugah</w:t>
            </w:r>
          </w:p>
        </w:tc>
        <w:tc>
          <w:tcPr>
            <w:tcW w:w="584" w:type="pct"/>
            <w:shd w:val="clear" w:color="auto" w:fill="auto"/>
            <w:noWrap/>
            <w:vAlign w:val="bottom"/>
            <w:hideMark/>
          </w:tcPr>
          <w:p w14:paraId="2C17AB4D"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315   </w:t>
            </w:r>
          </w:p>
        </w:tc>
        <w:tc>
          <w:tcPr>
            <w:tcW w:w="585" w:type="pct"/>
            <w:shd w:val="clear" w:color="auto" w:fill="auto"/>
            <w:noWrap/>
            <w:vAlign w:val="bottom"/>
            <w:hideMark/>
          </w:tcPr>
          <w:p w14:paraId="23137CBF"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449   </w:t>
            </w:r>
          </w:p>
        </w:tc>
        <w:tc>
          <w:tcPr>
            <w:tcW w:w="585" w:type="pct"/>
            <w:shd w:val="clear" w:color="auto" w:fill="auto"/>
            <w:noWrap/>
            <w:vAlign w:val="bottom"/>
            <w:hideMark/>
          </w:tcPr>
          <w:p w14:paraId="3DA561B6"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573   </w:t>
            </w:r>
          </w:p>
        </w:tc>
        <w:tc>
          <w:tcPr>
            <w:tcW w:w="585" w:type="pct"/>
            <w:shd w:val="clear" w:color="auto" w:fill="auto"/>
            <w:noWrap/>
            <w:vAlign w:val="bottom"/>
            <w:hideMark/>
          </w:tcPr>
          <w:p w14:paraId="0CA2510C"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389   </w:t>
            </w:r>
          </w:p>
        </w:tc>
        <w:tc>
          <w:tcPr>
            <w:tcW w:w="583" w:type="pct"/>
            <w:shd w:val="clear" w:color="auto" w:fill="auto"/>
            <w:noWrap/>
            <w:vAlign w:val="bottom"/>
            <w:hideMark/>
          </w:tcPr>
          <w:p w14:paraId="4A0BE93D"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494   </w:t>
            </w:r>
          </w:p>
        </w:tc>
      </w:tr>
    </w:tbl>
    <w:p w14:paraId="7B81A424" w14:textId="36BF30BC" w:rsidR="006C63D5" w:rsidRPr="00745452" w:rsidRDefault="00745452" w:rsidP="006519C3">
      <w:pPr>
        <w:keepNext/>
        <w:keepLines/>
        <w:spacing w:before="120" w:line="264" w:lineRule="auto"/>
        <w:rPr>
          <w:rFonts w:cs="Arial"/>
          <w:noProof/>
          <w:sz w:val="16"/>
          <w:szCs w:val="16"/>
          <w:lang w:eastAsia="sl-SI"/>
        </w:rPr>
      </w:pPr>
      <w:r w:rsidRPr="00745452">
        <w:rPr>
          <w:rFonts w:cs="Arial"/>
          <w:bCs/>
          <w:sz w:val="16"/>
          <w:szCs w:val="16"/>
        </w:rPr>
        <w:t>Vir: SURS</w:t>
      </w:r>
    </w:p>
    <w:p w14:paraId="37F261B3" w14:textId="7ECCF7BE" w:rsidR="006C63D5" w:rsidRPr="00745452" w:rsidRDefault="006C63D5" w:rsidP="006519C3">
      <w:pPr>
        <w:spacing w:line="360" w:lineRule="auto"/>
        <w:rPr>
          <w:rFonts w:cs="Arial"/>
        </w:rPr>
      </w:pPr>
      <w:r w:rsidRPr="003344A4">
        <w:rPr>
          <w:rFonts w:cs="Arial"/>
        </w:rPr>
        <w:t>Med upravitelji družinskih kmetij izrazito pre</w:t>
      </w:r>
      <w:r w:rsidR="00745452">
        <w:rPr>
          <w:rFonts w:cs="Arial"/>
        </w:rPr>
        <w:t xml:space="preserve">vladujejo moški (skoraj 80 %). </w:t>
      </w:r>
    </w:p>
    <w:p w14:paraId="689AD39C" w14:textId="1546EC37" w:rsidR="006C63D5" w:rsidRPr="003344A4" w:rsidRDefault="00C9160B" w:rsidP="006519C3">
      <w:pPr>
        <w:pStyle w:val="SCPreglednica"/>
        <w:keepNext/>
        <w:keepLines/>
        <w:rPr>
          <w:sz w:val="16"/>
          <w:szCs w:val="20"/>
        </w:rPr>
      </w:pPr>
      <w:bookmarkStart w:id="122" w:name="_Toc55913736"/>
      <w:r>
        <w:lastRenderedPageBreak/>
        <w:t>Tabela</w:t>
      </w:r>
      <w:r w:rsidR="006C63D5" w:rsidRPr="003D6FF8">
        <w:t xml:space="preserve"> </w:t>
      </w:r>
      <w:r w:rsidR="0001708D">
        <w:rPr>
          <w:noProof/>
        </w:rPr>
        <w:fldChar w:fldCharType="begin"/>
      </w:r>
      <w:r w:rsidR="0001708D">
        <w:rPr>
          <w:noProof/>
        </w:rPr>
        <w:instrText xml:space="preserve"> SEQ Tabela \* ARABIC </w:instrText>
      </w:r>
      <w:r w:rsidR="0001708D">
        <w:rPr>
          <w:noProof/>
        </w:rPr>
        <w:fldChar w:fldCharType="separate"/>
      </w:r>
      <w:r w:rsidR="00DF0D48">
        <w:rPr>
          <w:noProof/>
        </w:rPr>
        <w:t>25</w:t>
      </w:r>
      <w:r w:rsidR="0001708D">
        <w:rPr>
          <w:noProof/>
        </w:rPr>
        <w:fldChar w:fldCharType="end"/>
      </w:r>
      <w:r w:rsidR="006C63D5" w:rsidRPr="003D6FF8">
        <w:t xml:space="preserve">: </w:t>
      </w:r>
      <w:r w:rsidR="006C63D5" w:rsidRPr="00522B81">
        <w:t>Družinska delovna sila po spolu, po letih, Slovenija</w:t>
      </w:r>
      <w:bookmarkEnd w:id="122"/>
      <w:r w:rsidR="006C63D5" w:rsidRPr="00522B81">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63"/>
        <w:gridCol w:w="1115"/>
        <w:gridCol w:w="279"/>
        <w:gridCol w:w="977"/>
        <w:gridCol w:w="1044"/>
        <w:gridCol w:w="1046"/>
        <w:gridCol w:w="1046"/>
        <w:gridCol w:w="1046"/>
        <w:gridCol w:w="1046"/>
      </w:tblGrid>
      <w:tr w:rsidR="006C63D5" w:rsidRPr="00F44FA4" w14:paraId="59328F16" w14:textId="77777777" w:rsidTr="00C473E5">
        <w:trPr>
          <w:trHeight w:val="288"/>
        </w:trPr>
        <w:tc>
          <w:tcPr>
            <w:tcW w:w="2116" w:type="pct"/>
            <w:gridSpan w:val="4"/>
            <w:shd w:val="clear" w:color="auto" w:fill="92D050"/>
            <w:noWrap/>
            <w:vAlign w:val="bottom"/>
            <w:hideMark/>
          </w:tcPr>
          <w:p w14:paraId="16B501BC" w14:textId="77777777" w:rsidR="006C63D5" w:rsidRPr="00F44FA4" w:rsidRDefault="006C63D5" w:rsidP="006519C3">
            <w:pPr>
              <w:keepNext/>
              <w:keepLines/>
              <w:rPr>
                <w:rFonts w:cs="Arial"/>
                <w:color w:val="000000"/>
                <w:szCs w:val="20"/>
                <w:lang w:eastAsia="sl-SI"/>
              </w:rPr>
            </w:pPr>
            <w:r w:rsidRPr="00F44FA4">
              <w:rPr>
                <w:rFonts w:cs="Arial"/>
                <w:color w:val="000000"/>
                <w:szCs w:val="20"/>
                <w:lang w:eastAsia="sl-SI"/>
              </w:rPr>
              <w:t> </w:t>
            </w:r>
          </w:p>
          <w:p w14:paraId="391038A7" w14:textId="77777777" w:rsidR="006C63D5" w:rsidRPr="00F44FA4" w:rsidRDefault="006C63D5" w:rsidP="006519C3">
            <w:pPr>
              <w:keepNext/>
              <w:keepLines/>
              <w:rPr>
                <w:rFonts w:cs="Arial"/>
                <w:b/>
                <w:color w:val="000000"/>
                <w:szCs w:val="20"/>
                <w:lang w:eastAsia="sl-SI"/>
              </w:rPr>
            </w:pPr>
            <w:r w:rsidRPr="00F44FA4">
              <w:rPr>
                <w:rFonts w:cs="Arial"/>
                <w:b/>
                <w:color w:val="000000"/>
                <w:szCs w:val="20"/>
                <w:lang w:eastAsia="sl-SI"/>
              </w:rPr>
              <w:t> LETO</w:t>
            </w:r>
          </w:p>
        </w:tc>
        <w:tc>
          <w:tcPr>
            <w:tcW w:w="576" w:type="pct"/>
            <w:shd w:val="clear" w:color="auto" w:fill="92D050"/>
            <w:noWrap/>
            <w:vAlign w:val="bottom"/>
            <w:hideMark/>
          </w:tcPr>
          <w:p w14:paraId="3E5A30B7" w14:textId="77777777" w:rsidR="006C63D5" w:rsidRPr="00F44FA4" w:rsidRDefault="006C63D5" w:rsidP="006519C3">
            <w:pPr>
              <w:keepNext/>
              <w:keepLines/>
              <w:jc w:val="center"/>
              <w:rPr>
                <w:rFonts w:cs="Arial"/>
                <w:b/>
                <w:bCs/>
                <w:color w:val="000000"/>
                <w:szCs w:val="20"/>
                <w:lang w:eastAsia="sl-SI"/>
              </w:rPr>
            </w:pPr>
            <w:r w:rsidRPr="00F44FA4">
              <w:rPr>
                <w:rFonts w:cs="Arial"/>
                <w:b/>
                <w:bCs/>
                <w:color w:val="000000"/>
                <w:szCs w:val="20"/>
                <w:lang w:eastAsia="sl-SI"/>
              </w:rPr>
              <w:t>2005</w:t>
            </w:r>
          </w:p>
        </w:tc>
        <w:tc>
          <w:tcPr>
            <w:tcW w:w="577" w:type="pct"/>
            <w:shd w:val="clear" w:color="auto" w:fill="92D050"/>
            <w:noWrap/>
            <w:vAlign w:val="bottom"/>
            <w:hideMark/>
          </w:tcPr>
          <w:p w14:paraId="250BB25A" w14:textId="77777777" w:rsidR="006C63D5" w:rsidRPr="00F44FA4" w:rsidRDefault="006C63D5" w:rsidP="006519C3">
            <w:pPr>
              <w:keepNext/>
              <w:keepLines/>
              <w:jc w:val="center"/>
              <w:rPr>
                <w:rFonts w:cs="Arial"/>
                <w:b/>
                <w:bCs/>
                <w:color w:val="000000"/>
                <w:szCs w:val="20"/>
                <w:lang w:eastAsia="sl-SI"/>
              </w:rPr>
            </w:pPr>
            <w:r w:rsidRPr="00F44FA4">
              <w:rPr>
                <w:rFonts w:cs="Arial"/>
                <w:b/>
                <w:bCs/>
                <w:color w:val="000000"/>
                <w:szCs w:val="20"/>
                <w:lang w:eastAsia="sl-SI"/>
              </w:rPr>
              <w:t>2007</w:t>
            </w:r>
          </w:p>
        </w:tc>
        <w:tc>
          <w:tcPr>
            <w:tcW w:w="577" w:type="pct"/>
            <w:shd w:val="clear" w:color="auto" w:fill="92D050"/>
            <w:noWrap/>
            <w:vAlign w:val="bottom"/>
            <w:hideMark/>
          </w:tcPr>
          <w:p w14:paraId="4CC5E051" w14:textId="77777777" w:rsidR="006C63D5" w:rsidRPr="00F44FA4" w:rsidRDefault="006C63D5" w:rsidP="006519C3">
            <w:pPr>
              <w:keepNext/>
              <w:keepLines/>
              <w:jc w:val="center"/>
              <w:rPr>
                <w:rFonts w:cs="Arial"/>
                <w:b/>
                <w:bCs/>
                <w:color w:val="000000"/>
                <w:szCs w:val="20"/>
                <w:lang w:eastAsia="sl-SI"/>
              </w:rPr>
            </w:pPr>
            <w:r w:rsidRPr="00F44FA4">
              <w:rPr>
                <w:rFonts w:cs="Arial"/>
                <w:b/>
                <w:bCs/>
                <w:color w:val="000000"/>
                <w:szCs w:val="20"/>
                <w:lang w:eastAsia="sl-SI"/>
              </w:rPr>
              <w:t>2010</w:t>
            </w:r>
          </w:p>
        </w:tc>
        <w:tc>
          <w:tcPr>
            <w:tcW w:w="577" w:type="pct"/>
            <w:shd w:val="clear" w:color="auto" w:fill="92D050"/>
            <w:noWrap/>
            <w:vAlign w:val="bottom"/>
            <w:hideMark/>
          </w:tcPr>
          <w:p w14:paraId="5E3B510D" w14:textId="77777777" w:rsidR="006C63D5" w:rsidRPr="00F44FA4" w:rsidRDefault="006C63D5" w:rsidP="006519C3">
            <w:pPr>
              <w:keepNext/>
              <w:keepLines/>
              <w:jc w:val="center"/>
              <w:rPr>
                <w:rFonts w:cs="Arial"/>
                <w:b/>
                <w:bCs/>
                <w:color w:val="000000"/>
                <w:szCs w:val="20"/>
                <w:lang w:eastAsia="sl-SI"/>
              </w:rPr>
            </w:pPr>
            <w:r w:rsidRPr="00F44FA4">
              <w:rPr>
                <w:rFonts w:cs="Arial"/>
                <w:b/>
                <w:bCs/>
                <w:color w:val="000000"/>
                <w:szCs w:val="20"/>
                <w:lang w:eastAsia="sl-SI"/>
              </w:rPr>
              <w:t>2013</w:t>
            </w:r>
          </w:p>
        </w:tc>
        <w:tc>
          <w:tcPr>
            <w:tcW w:w="577" w:type="pct"/>
            <w:shd w:val="clear" w:color="auto" w:fill="92D050"/>
            <w:noWrap/>
            <w:vAlign w:val="bottom"/>
            <w:hideMark/>
          </w:tcPr>
          <w:p w14:paraId="24A14075" w14:textId="77777777" w:rsidR="006C63D5" w:rsidRPr="00F44FA4" w:rsidRDefault="006C63D5" w:rsidP="006519C3">
            <w:pPr>
              <w:keepNext/>
              <w:keepLines/>
              <w:jc w:val="center"/>
              <w:rPr>
                <w:rFonts w:cs="Arial"/>
                <w:b/>
                <w:bCs/>
                <w:color w:val="000000"/>
                <w:szCs w:val="20"/>
                <w:lang w:eastAsia="sl-SI"/>
              </w:rPr>
            </w:pPr>
            <w:r w:rsidRPr="00F44FA4">
              <w:rPr>
                <w:rFonts w:cs="Arial"/>
                <w:b/>
                <w:bCs/>
                <w:color w:val="000000"/>
                <w:szCs w:val="20"/>
                <w:lang w:eastAsia="sl-SI"/>
              </w:rPr>
              <w:t>2016</w:t>
            </w:r>
          </w:p>
        </w:tc>
      </w:tr>
      <w:tr w:rsidR="006C63D5" w:rsidRPr="00F44FA4" w14:paraId="63326BCD" w14:textId="77777777" w:rsidTr="00C473E5">
        <w:trPr>
          <w:trHeight w:val="288"/>
        </w:trPr>
        <w:tc>
          <w:tcPr>
            <w:tcW w:w="1423" w:type="pct"/>
            <w:gridSpan w:val="2"/>
            <w:tcBorders>
              <w:right w:val="nil"/>
            </w:tcBorders>
            <w:shd w:val="clear" w:color="auto" w:fill="92D050"/>
            <w:noWrap/>
            <w:vAlign w:val="bottom"/>
            <w:hideMark/>
          </w:tcPr>
          <w:p w14:paraId="03A81CE2" w14:textId="77777777" w:rsidR="006C63D5" w:rsidRPr="00F44FA4" w:rsidRDefault="006C63D5" w:rsidP="006519C3">
            <w:pPr>
              <w:keepNext/>
              <w:keepLines/>
              <w:rPr>
                <w:rFonts w:cs="Arial"/>
                <w:b/>
                <w:bCs/>
                <w:color w:val="000000"/>
                <w:szCs w:val="20"/>
                <w:lang w:eastAsia="sl-SI"/>
              </w:rPr>
            </w:pPr>
            <w:r w:rsidRPr="00F44FA4">
              <w:rPr>
                <w:rFonts w:cs="Arial"/>
                <w:b/>
                <w:bCs/>
                <w:color w:val="000000"/>
                <w:szCs w:val="20"/>
                <w:lang w:eastAsia="sl-SI"/>
              </w:rPr>
              <w:t>Gospodar - upravitelj</w:t>
            </w:r>
          </w:p>
        </w:tc>
        <w:tc>
          <w:tcPr>
            <w:tcW w:w="693" w:type="pct"/>
            <w:gridSpan w:val="2"/>
            <w:tcBorders>
              <w:left w:val="nil"/>
            </w:tcBorders>
            <w:shd w:val="clear" w:color="auto" w:fill="92D050"/>
            <w:noWrap/>
            <w:vAlign w:val="bottom"/>
            <w:hideMark/>
          </w:tcPr>
          <w:p w14:paraId="6368AE11" w14:textId="77777777" w:rsidR="006C63D5" w:rsidRPr="00F44FA4" w:rsidRDefault="006C63D5" w:rsidP="006519C3">
            <w:pPr>
              <w:keepNext/>
              <w:keepLines/>
              <w:jc w:val="right"/>
              <w:rPr>
                <w:rFonts w:cs="Arial"/>
                <w:b/>
                <w:bCs/>
                <w:color w:val="000000"/>
                <w:szCs w:val="20"/>
                <w:lang w:eastAsia="sl-SI"/>
              </w:rPr>
            </w:pPr>
            <w:r w:rsidRPr="00F44FA4">
              <w:rPr>
                <w:rFonts w:cs="Arial"/>
                <w:b/>
                <w:bCs/>
                <w:color w:val="000000"/>
                <w:szCs w:val="20"/>
                <w:lang w:eastAsia="sl-SI"/>
              </w:rPr>
              <w:t>SKUPAJ</w:t>
            </w:r>
          </w:p>
        </w:tc>
        <w:tc>
          <w:tcPr>
            <w:tcW w:w="576" w:type="pct"/>
            <w:shd w:val="clear" w:color="auto" w:fill="92D050"/>
            <w:noWrap/>
            <w:vAlign w:val="bottom"/>
            <w:hideMark/>
          </w:tcPr>
          <w:p w14:paraId="41EAA335" w14:textId="77777777" w:rsidR="006C63D5" w:rsidRPr="00F44FA4" w:rsidRDefault="006C63D5" w:rsidP="006519C3">
            <w:pPr>
              <w:keepNext/>
              <w:keepLines/>
              <w:jc w:val="right"/>
              <w:rPr>
                <w:rFonts w:cs="Arial"/>
                <w:b/>
                <w:color w:val="000000"/>
                <w:szCs w:val="20"/>
                <w:lang w:eastAsia="sl-SI"/>
              </w:rPr>
            </w:pPr>
            <w:r w:rsidRPr="00F44FA4">
              <w:rPr>
                <w:rFonts w:cs="Arial"/>
                <w:b/>
                <w:color w:val="000000"/>
                <w:szCs w:val="20"/>
                <w:lang w:eastAsia="sl-SI"/>
              </w:rPr>
              <w:t xml:space="preserve">                77.042   </w:t>
            </w:r>
          </w:p>
        </w:tc>
        <w:tc>
          <w:tcPr>
            <w:tcW w:w="577" w:type="pct"/>
            <w:shd w:val="clear" w:color="auto" w:fill="92D050"/>
            <w:noWrap/>
            <w:vAlign w:val="bottom"/>
            <w:hideMark/>
          </w:tcPr>
          <w:p w14:paraId="61840AB5" w14:textId="77777777" w:rsidR="006C63D5" w:rsidRPr="00F44FA4" w:rsidRDefault="006C63D5" w:rsidP="006519C3">
            <w:pPr>
              <w:keepNext/>
              <w:keepLines/>
              <w:jc w:val="right"/>
              <w:rPr>
                <w:rFonts w:cs="Arial"/>
                <w:b/>
                <w:color w:val="000000"/>
                <w:szCs w:val="20"/>
                <w:lang w:eastAsia="sl-SI"/>
              </w:rPr>
            </w:pPr>
            <w:r w:rsidRPr="00F44FA4">
              <w:rPr>
                <w:rFonts w:cs="Arial"/>
                <w:b/>
                <w:color w:val="000000"/>
                <w:szCs w:val="20"/>
                <w:lang w:eastAsia="sl-SI"/>
              </w:rPr>
              <w:t xml:space="preserve">                75.209   </w:t>
            </w:r>
          </w:p>
        </w:tc>
        <w:tc>
          <w:tcPr>
            <w:tcW w:w="577" w:type="pct"/>
            <w:shd w:val="clear" w:color="auto" w:fill="92D050"/>
            <w:noWrap/>
            <w:vAlign w:val="bottom"/>
            <w:hideMark/>
          </w:tcPr>
          <w:p w14:paraId="219BB585" w14:textId="77777777" w:rsidR="006C63D5" w:rsidRPr="00F44FA4" w:rsidRDefault="006C63D5" w:rsidP="006519C3">
            <w:pPr>
              <w:keepNext/>
              <w:keepLines/>
              <w:jc w:val="right"/>
              <w:rPr>
                <w:rFonts w:cs="Arial"/>
                <w:b/>
                <w:color w:val="000000"/>
                <w:szCs w:val="20"/>
                <w:lang w:eastAsia="sl-SI"/>
              </w:rPr>
            </w:pPr>
            <w:r w:rsidRPr="00F44FA4">
              <w:rPr>
                <w:rFonts w:cs="Arial"/>
                <w:b/>
                <w:color w:val="000000"/>
                <w:szCs w:val="20"/>
                <w:lang w:eastAsia="sl-SI"/>
              </w:rPr>
              <w:t xml:space="preserve">                74.425   </w:t>
            </w:r>
          </w:p>
        </w:tc>
        <w:tc>
          <w:tcPr>
            <w:tcW w:w="577" w:type="pct"/>
            <w:shd w:val="clear" w:color="auto" w:fill="92D050"/>
            <w:noWrap/>
            <w:vAlign w:val="bottom"/>
            <w:hideMark/>
          </w:tcPr>
          <w:p w14:paraId="6D8F7B24" w14:textId="77777777" w:rsidR="006C63D5" w:rsidRPr="00F44FA4" w:rsidRDefault="006C63D5" w:rsidP="006519C3">
            <w:pPr>
              <w:keepNext/>
              <w:keepLines/>
              <w:jc w:val="right"/>
              <w:rPr>
                <w:rFonts w:cs="Arial"/>
                <w:b/>
                <w:color w:val="000000"/>
                <w:szCs w:val="20"/>
                <w:lang w:eastAsia="sl-SI"/>
              </w:rPr>
            </w:pPr>
            <w:r w:rsidRPr="00F44FA4">
              <w:rPr>
                <w:rFonts w:cs="Arial"/>
                <w:b/>
                <w:color w:val="000000"/>
                <w:szCs w:val="20"/>
                <w:lang w:eastAsia="sl-SI"/>
              </w:rPr>
              <w:t xml:space="preserve">                72.176   </w:t>
            </w:r>
          </w:p>
        </w:tc>
        <w:tc>
          <w:tcPr>
            <w:tcW w:w="577" w:type="pct"/>
            <w:shd w:val="clear" w:color="auto" w:fill="92D050"/>
            <w:noWrap/>
            <w:vAlign w:val="bottom"/>
            <w:hideMark/>
          </w:tcPr>
          <w:p w14:paraId="34740D63"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69.671   </w:t>
            </w:r>
          </w:p>
        </w:tc>
      </w:tr>
      <w:tr w:rsidR="006C63D5" w:rsidRPr="00F44FA4" w14:paraId="094E65E5" w14:textId="77777777" w:rsidTr="00C473E5">
        <w:trPr>
          <w:trHeight w:val="288"/>
        </w:trPr>
        <w:tc>
          <w:tcPr>
            <w:tcW w:w="808" w:type="pct"/>
            <w:shd w:val="clear" w:color="auto" w:fill="auto"/>
            <w:noWrap/>
            <w:vAlign w:val="bottom"/>
            <w:hideMark/>
          </w:tcPr>
          <w:p w14:paraId="205E7356" w14:textId="77777777" w:rsidR="006C63D5" w:rsidRPr="00F44FA4" w:rsidRDefault="006C63D5" w:rsidP="006519C3">
            <w:pPr>
              <w:keepNext/>
              <w:keepLines/>
              <w:rPr>
                <w:rFonts w:cs="Arial"/>
                <w:color w:val="000000"/>
                <w:szCs w:val="20"/>
                <w:lang w:eastAsia="sl-SI"/>
              </w:rPr>
            </w:pPr>
            <w:r w:rsidRPr="00F44FA4">
              <w:rPr>
                <w:rFonts w:cs="Arial"/>
                <w:color w:val="000000"/>
                <w:szCs w:val="20"/>
                <w:lang w:eastAsia="sl-SI"/>
              </w:rPr>
              <w:t> </w:t>
            </w:r>
          </w:p>
        </w:tc>
        <w:tc>
          <w:tcPr>
            <w:tcW w:w="1308" w:type="pct"/>
            <w:gridSpan w:val="3"/>
            <w:shd w:val="clear" w:color="auto" w:fill="auto"/>
            <w:noWrap/>
            <w:vAlign w:val="bottom"/>
            <w:hideMark/>
          </w:tcPr>
          <w:p w14:paraId="627B783E" w14:textId="77777777" w:rsidR="006C63D5" w:rsidRPr="00F44FA4" w:rsidRDefault="006C63D5" w:rsidP="006519C3">
            <w:pPr>
              <w:keepNext/>
              <w:keepLines/>
              <w:jc w:val="right"/>
              <w:rPr>
                <w:rFonts w:cs="Arial"/>
                <w:bCs/>
                <w:color w:val="000000"/>
                <w:szCs w:val="20"/>
                <w:lang w:eastAsia="sl-SI"/>
              </w:rPr>
            </w:pPr>
            <w:r w:rsidRPr="00F44FA4">
              <w:rPr>
                <w:rFonts w:cs="Arial"/>
                <w:bCs/>
                <w:color w:val="000000"/>
                <w:szCs w:val="20"/>
                <w:lang w:eastAsia="sl-SI"/>
              </w:rPr>
              <w:t>Moški</w:t>
            </w:r>
          </w:p>
        </w:tc>
        <w:tc>
          <w:tcPr>
            <w:tcW w:w="576" w:type="pct"/>
            <w:shd w:val="clear" w:color="auto" w:fill="auto"/>
            <w:noWrap/>
            <w:vAlign w:val="bottom"/>
            <w:hideMark/>
          </w:tcPr>
          <w:p w14:paraId="35C0BFBC"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56.853   </w:t>
            </w:r>
          </w:p>
        </w:tc>
        <w:tc>
          <w:tcPr>
            <w:tcW w:w="577" w:type="pct"/>
            <w:shd w:val="clear" w:color="auto" w:fill="auto"/>
            <w:noWrap/>
            <w:vAlign w:val="bottom"/>
            <w:hideMark/>
          </w:tcPr>
          <w:p w14:paraId="3E8867A3"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55.446   </w:t>
            </w:r>
          </w:p>
        </w:tc>
        <w:tc>
          <w:tcPr>
            <w:tcW w:w="577" w:type="pct"/>
            <w:shd w:val="clear" w:color="auto" w:fill="auto"/>
            <w:noWrap/>
            <w:vAlign w:val="bottom"/>
            <w:hideMark/>
          </w:tcPr>
          <w:p w14:paraId="11FCB7FA"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54.125   </w:t>
            </w:r>
          </w:p>
        </w:tc>
        <w:tc>
          <w:tcPr>
            <w:tcW w:w="577" w:type="pct"/>
            <w:shd w:val="clear" w:color="auto" w:fill="auto"/>
            <w:noWrap/>
            <w:vAlign w:val="bottom"/>
            <w:hideMark/>
          </w:tcPr>
          <w:p w14:paraId="272AAA8B"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55.730   </w:t>
            </w:r>
          </w:p>
        </w:tc>
        <w:tc>
          <w:tcPr>
            <w:tcW w:w="577" w:type="pct"/>
            <w:shd w:val="clear" w:color="auto" w:fill="auto"/>
            <w:noWrap/>
            <w:vAlign w:val="bottom"/>
            <w:hideMark/>
          </w:tcPr>
          <w:p w14:paraId="2ADD5D3B"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55.575   </w:t>
            </w:r>
          </w:p>
        </w:tc>
      </w:tr>
      <w:tr w:rsidR="006C63D5" w:rsidRPr="00F44FA4" w14:paraId="0DB6BFB1" w14:textId="77777777" w:rsidTr="00C473E5">
        <w:trPr>
          <w:trHeight w:val="288"/>
        </w:trPr>
        <w:tc>
          <w:tcPr>
            <w:tcW w:w="808" w:type="pct"/>
            <w:shd w:val="clear" w:color="auto" w:fill="auto"/>
            <w:noWrap/>
            <w:vAlign w:val="bottom"/>
            <w:hideMark/>
          </w:tcPr>
          <w:p w14:paraId="1FA7C448" w14:textId="77777777" w:rsidR="006C63D5" w:rsidRPr="00F44FA4" w:rsidRDefault="006C63D5" w:rsidP="006519C3">
            <w:pPr>
              <w:keepNext/>
              <w:keepLines/>
              <w:rPr>
                <w:rFonts w:cs="Arial"/>
                <w:color w:val="000000"/>
                <w:szCs w:val="20"/>
                <w:lang w:eastAsia="sl-SI"/>
              </w:rPr>
            </w:pPr>
            <w:r w:rsidRPr="00F44FA4">
              <w:rPr>
                <w:rFonts w:cs="Arial"/>
                <w:color w:val="000000"/>
                <w:szCs w:val="20"/>
                <w:lang w:eastAsia="sl-SI"/>
              </w:rPr>
              <w:t> </w:t>
            </w:r>
          </w:p>
        </w:tc>
        <w:tc>
          <w:tcPr>
            <w:tcW w:w="1308" w:type="pct"/>
            <w:gridSpan w:val="3"/>
            <w:shd w:val="clear" w:color="auto" w:fill="auto"/>
            <w:noWrap/>
            <w:vAlign w:val="bottom"/>
            <w:hideMark/>
          </w:tcPr>
          <w:p w14:paraId="0221B994" w14:textId="77777777" w:rsidR="006C63D5" w:rsidRPr="00F44FA4" w:rsidRDefault="006C63D5" w:rsidP="006519C3">
            <w:pPr>
              <w:keepNext/>
              <w:keepLines/>
              <w:jc w:val="right"/>
              <w:rPr>
                <w:rFonts w:cs="Arial"/>
                <w:bCs/>
                <w:color w:val="000000"/>
                <w:szCs w:val="20"/>
                <w:lang w:eastAsia="sl-SI"/>
              </w:rPr>
            </w:pPr>
            <w:r w:rsidRPr="00F44FA4">
              <w:rPr>
                <w:rFonts w:cs="Arial"/>
                <w:bCs/>
                <w:color w:val="000000"/>
                <w:szCs w:val="20"/>
                <w:lang w:eastAsia="sl-SI"/>
              </w:rPr>
              <w:t>Ženske</w:t>
            </w:r>
          </w:p>
        </w:tc>
        <w:tc>
          <w:tcPr>
            <w:tcW w:w="576" w:type="pct"/>
            <w:shd w:val="clear" w:color="auto" w:fill="auto"/>
            <w:noWrap/>
            <w:vAlign w:val="bottom"/>
            <w:hideMark/>
          </w:tcPr>
          <w:p w14:paraId="62D917D0"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20.189   </w:t>
            </w:r>
          </w:p>
        </w:tc>
        <w:tc>
          <w:tcPr>
            <w:tcW w:w="577" w:type="pct"/>
            <w:shd w:val="clear" w:color="auto" w:fill="auto"/>
            <w:noWrap/>
            <w:vAlign w:val="bottom"/>
            <w:hideMark/>
          </w:tcPr>
          <w:p w14:paraId="3D73777B"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19.763   </w:t>
            </w:r>
          </w:p>
        </w:tc>
        <w:tc>
          <w:tcPr>
            <w:tcW w:w="577" w:type="pct"/>
            <w:shd w:val="clear" w:color="auto" w:fill="auto"/>
            <w:noWrap/>
            <w:vAlign w:val="bottom"/>
            <w:hideMark/>
          </w:tcPr>
          <w:p w14:paraId="11BB9043"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20.300   </w:t>
            </w:r>
          </w:p>
        </w:tc>
        <w:tc>
          <w:tcPr>
            <w:tcW w:w="577" w:type="pct"/>
            <w:shd w:val="clear" w:color="auto" w:fill="auto"/>
            <w:noWrap/>
            <w:vAlign w:val="bottom"/>
            <w:hideMark/>
          </w:tcPr>
          <w:p w14:paraId="639A275D"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16.447   </w:t>
            </w:r>
          </w:p>
        </w:tc>
        <w:tc>
          <w:tcPr>
            <w:tcW w:w="577" w:type="pct"/>
            <w:shd w:val="clear" w:color="auto" w:fill="auto"/>
            <w:noWrap/>
            <w:vAlign w:val="bottom"/>
            <w:hideMark/>
          </w:tcPr>
          <w:p w14:paraId="2BE51080"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14.096   </w:t>
            </w:r>
          </w:p>
        </w:tc>
      </w:tr>
      <w:tr w:rsidR="006C63D5" w:rsidRPr="00F44FA4" w14:paraId="4B119EE5" w14:textId="77777777" w:rsidTr="00C473E5">
        <w:trPr>
          <w:trHeight w:val="288"/>
        </w:trPr>
        <w:tc>
          <w:tcPr>
            <w:tcW w:w="1577" w:type="pct"/>
            <w:gridSpan w:val="3"/>
            <w:tcBorders>
              <w:right w:val="nil"/>
            </w:tcBorders>
            <w:shd w:val="clear" w:color="auto" w:fill="92D050"/>
            <w:noWrap/>
            <w:vAlign w:val="bottom"/>
            <w:hideMark/>
          </w:tcPr>
          <w:p w14:paraId="36E49DD4" w14:textId="77777777" w:rsidR="006C63D5" w:rsidRPr="00F44FA4" w:rsidRDefault="006C63D5" w:rsidP="006519C3">
            <w:pPr>
              <w:keepNext/>
              <w:keepLines/>
              <w:rPr>
                <w:rFonts w:cs="Arial"/>
                <w:b/>
                <w:bCs/>
                <w:color w:val="000000"/>
                <w:szCs w:val="20"/>
                <w:lang w:eastAsia="sl-SI"/>
              </w:rPr>
            </w:pPr>
            <w:r w:rsidRPr="00F44FA4">
              <w:rPr>
                <w:rFonts w:cs="Arial"/>
                <w:b/>
                <w:bCs/>
                <w:color w:val="000000"/>
                <w:szCs w:val="20"/>
                <w:lang w:eastAsia="sl-SI"/>
              </w:rPr>
              <w:t>Drugi družinski člani</w:t>
            </w:r>
          </w:p>
        </w:tc>
        <w:tc>
          <w:tcPr>
            <w:tcW w:w="539" w:type="pct"/>
            <w:tcBorders>
              <w:left w:val="nil"/>
            </w:tcBorders>
            <w:shd w:val="clear" w:color="auto" w:fill="92D050"/>
            <w:noWrap/>
            <w:vAlign w:val="bottom"/>
            <w:hideMark/>
          </w:tcPr>
          <w:p w14:paraId="7B878E27" w14:textId="77777777" w:rsidR="006C63D5" w:rsidRPr="00F44FA4" w:rsidRDefault="006C63D5" w:rsidP="006519C3">
            <w:pPr>
              <w:keepNext/>
              <w:keepLines/>
              <w:jc w:val="right"/>
              <w:rPr>
                <w:rFonts w:cs="Arial"/>
                <w:b/>
                <w:bCs/>
                <w:color w:val="000000"/>
                <w:szCs w:val="20"/>
                <w:lang w:eastAsia="sl-SI"/>
              </w:rPr>
            </w:pPr>
            <w:r w:rsidRPr="00F44FA4">
              <w:rPr>
                <w:rFonts w:cs="Arial"/>
                <w:b/>
                <w:bCs/>
                <w:color w:val="000000"/>
                <w:szCs w:val="20"/>
                <w:lang w:eastAsia="sl-SI"/>
              </w:rPr>
              <w:t>SKUPAJ</w:t>
            </w:r>
          </w:p>
        </w:tc>
        <w:tc>
          <w:tcPr>
            <w:tcW w:w="576" w:type="pct"/>
            <w:shd w:val="clear" w:color="auto" w:fill="92D050"/>
            <w:noWrap/>
            <w:vAlign w:val="bottom"/>
            <w:hideMark/>
          </w:tcPr>
          <w:p w14:paraId="1A655A98" w14:textId="77777777" w:rsidR="006C63D5" w:rsidRPr="00F44FA4" w:rsidRDefault="006C63D5" w:rsidP="006519C3">
            <w:pPr>
              <w:keepNext/>
              <w:keepLines/>
              <w:jc w:val="right"/>
              <w:rPr>
                <w:rFonts w:cs="Arial"/>
                <w:b/>
                <w:color w:val="000000"/>
                <w:szCs w:val="20"/>
                <w:lang w:eastAsia="sl-SI"/>
              </w:rPr>
            </w:pPr>
            <w:r w:rsidRPr="00F44FA4">
              <w:rPr>
                <w:rFonts w:cs="Arial"/>
                <w:b/>
                <w:color w:val="000000"/>
                <w:szCs w:val="20"/>
                <w:lang w:eastAsia="sl-SI"/>
              </w:rPr>
              <w:t xml:space="preserve">              126.976   </w:t>
            </w:r>
          </w:p>
        </w:tc>
        <w:tc>
          <w:tcPr>
            <w:tcW w:w="577" w:type="pct"/>
            <w:shd w:val="clear" w:color="auto" w:fill="92D050"/>
            <w:noWrap/>
            <w:vAlign w:val="bottom"/>
            <w:hideMark/>
          </w:tcPr>
          <w:p w14:paraId="3D512667" w14:textId="77777777" w:rsidR="006C63D5" w:rsidRPr="00F44FA4" w:rsidRDefault="006C63D5" w:rsidP="006519C3">
            <w:pPr>
              <w:keepNext/>
              <w:keepLines/>
              <w:jc w:val="right"/>
              <w:rPr>
                <w:rFonts w:cs="Arial"/>
                <w:b/>
                <w:color w:val="000000"/>
                <w:szCs w:val="20"/>
                <w:lang w:eastAsia="sl-SI"/>
              </w:rPr>
            </w:pPr>
            <w:r w:rsidRPr="00F44FA4">
              <w:rPr>
                <w:rFonts w:cs="Arial"/>
                <w:b/>
                <w:color w:val="000000"/>
                <w:szCs w:val="20"/>
                <w:lang w:eastAsia="sl-SI"/>
              </w:rPr>
              <w:t xml:space="preserve">              122.286   </w:t>
            </w:r>
          </w:p>
        </w:tc>
        <w:tc>
          <w:tcPr>
            <w:tcW w:w="577" w:type="pct"/>
            <w:shd w:val="clear" w:color="auto" w:fill="92D050"/>
            <w:noWrap/>
            <w:vAlign w:val="bottom"/>
            <w:hideMark/>
          </w:tcPr>
          <w:p w14:paraId="6D3B0532" w14:textId="77777777" w:rsidR="006C63D5" w:rsidRPr="00F44FA4" w:rsidRDefault="006C63D5" w:rsidP="006519C3">
            <w:pPr>
              <w:keepNext/>
              <w:keepLines/>
              <w:jc w:val="right"/>
              <w:rPr>
                <w:rFonts w:cs="Arial"/>
                <w:b/>
                <w:color w:val="000000"/>
                <w:szCs w:val="20"/>
                <w:lang w:eastAsia="sl-SI"/>
              </w:rPr>
            </w:pPr>
            <w:r w:rsidRPr="00F44FA4">
              <w:rPr>
                <w:rFonts w:cs="Arial"/>
                <w:b/>
                <w:color w:val="000000"/>
                <w:szCs w:val="20"/>
                <w:lang w:eastAsia="sl-SI"/>
              </w:rPr>
              <w:t xml:space="preserve">              130.820   </w:t>
            </w:r>
          </w:p>
        </w:tc>
        <w:tc>
          <w:tcPr>
            <w:tcW w:w="577" w:type="pct"/>
            <w:shd w:val="clear" w:color="auto" w:fill="92D050"/>
            <w:noWrap/>
            <w:vAlign w:val="bottom"/>
            <w:hideMark/>
          </w:tcPr>
          <w:p w14:paraId="0C434FD2" w14:textId="77777777" w:rsidR="006C63D5" w:rsidRPr="00F44FA4" w:rsidRDefault="006C63D5" w:rsidP="006519C3">
            <w:pPr>
              <w:keepNext/>
              <w:keepLines/>
              <w:jc w:val="right"/>
              <w:rPr>
                <w:rFonts w:cs="Arial"/>
                <w:b/>
                <w:color w:val="000000"/>
                <w:szCs w:val="20"/>
                <w:lang w:eastAsia="sl-SI"/>
              </w:rPr>
            </w:pPr>
            <w:r w:rsidRPr="00F44FA4">
              <w:rPr>
                <w:rFonts w:cs="Arial"/>
                <w:b/>
                <w:color w:val="000000"/>
                <w:szCs w:val="20"/>
                <w:lang w:eastAsia="sl-SI"/>
              </w:rPr>
              <w:t xml:space="preserve">              125.822   </w:t>
            </w:r>
          </w:p>
        </w:tc>
        <w:tc>
          <w:tcPr>
            <w:tcW w:w="577" w:type="pct"/>
            <w:shd w:val="clear" w:color="auto" w:fill="92D050"/>
            <w:noWrap/>
            <w:vAlign w:val="bottom"/>
            <w:hideMark/>
          </w:tcPr>
          <w:p w14:paraId="0D59DA1F" w14:textId="77777777" w:rsidR="006C63D5" w:rsidRPr="00F44FA4" w:rsidRDefault="006C63D5" w:rsidP="006519C3">
            <w:pPr>
              <w:keepNext/>
              <w:keepLines/>
              <w:jc w:val="right"/>
              <w:rPr>
                <w:rFonts w:cs="Arial"/>
                <w:b/>
                <w:color w:val="000000"/>
                <w:szCs w:val="20"/>
                <w:lang w:eastAsia="sl-SI"/>
              </w:rPr>
            </w:pPr>
            <w:r w:rsidRPr="00F44FA4">
              <w:rPr>
                <w:rFonts w:cs="Arial"/>
                <w:b/>
                <w:color w:val="000000"/>
                <w:szCs w:val="20"/>
                <w:lang w:eastAsia="sl-SI"/>
              </w:rPr>
              <w:t xml:space="preserve">              123.498   </w:t>
            </w:r>
          </w:p>
        </w:tc>
      </w:tr>
      <w:tr w:rsidR="006C63D5" w:rsidRPr="00F44FA4" w14:paraId="3A417AB8" w14:textId="77777777" w:rsidTr="00C473E5">
        <w:trPr>
          <w:trHeight w:val="288"/>
        </w:trPr>
        <w:tc>
          <w:tcPr>
            <w:tcW w:w="808" w:type="pct"/>
            <w:shd w:val="clear" w:color="auto" w:fill="auto"/>
            <w:noWrap/>
            <w:vAlign w:val="bottom"/>
            <w:hideMark/>
          </w:tcPr>
          <w:p w14:paraId="7E09838A" w14:textId="77777777" w:rsidR="006C63D5" w:rsidRPr="00F44FA4" w:rsidRDefault="006C63D5" w:rsidP="006519C3">
            <w:pPr>
              <w:keepNext/>
              <w:keepLines/>
              <w:rPr>
                <w:rFonts w:cs="Arial"/>
                <w:color w:val="000000"/>
                <w:szCs w:val="20"/>
                <w:lang w:eastAsia="sl-SI"/>
              </w:rPr>
            </w:pPr>
            <w:r w:rsidRPr="00F44FA4">
              <w:rPr>
                <w:rFonts w:cs="Arial"/>
                <w:color w:val="000000"/>
                <w:szCs w:val="20"/>
                <w:lang w:eastAsia="sl-SI"/>
              </w:rPr>
              <w:t> </w:t>
            </w:r>
          </w:p>
        </w:tc>
        <w:tc>
          <w:tcPr>
            <w:tcW w:w="1308" w:type="pct"/>
            <w:gridSpan w:val="3"/>
            <w:shd w:val="clear" w:color="auto" w:fill="auto"/>
            <w:noWrap/>
            <w:vAlign w:val="bottom"/>
            <w:hideMark/>
          </w:tcPr>
          <w:p w14:paraId="4E0848DB" w14:textId="77777777" w:rsidR="006C63D5" w:rsidRPr="00F44FA4" w:rsidRDefault="006C63D5" w:rsidP="006519C3">
            <w:pPr>
              <w:keepNext/>
              <w:keepLines/>
              <w:jc w:val="right"/>
              <w:rPr>
                <w:rFonts w:cs="Arial"/>
                <w:bCs/>
                <w:color w:val="000000"/>
                <w:szCs w:val="20"/>
                <w:lang w:eastAsia="sl-SI"/>
              </w:rPr>
            </w:pPr>
            <w:r w:rsidRPr="00F44FA4">
              <w:rPr>
                <w:rFonts w:cs="Arial"/>
                <w:bCs/>
                <w:color w:val="000000"/>
                <w:szCs w:val="20"/>
                <w:lang w:eastAsia="sl-SI"/>
              </w:rPr>
              <w:t>Moški</w:t>
            </w:r>
          </w:p>
        </w:tc>
        <w:tc>
          <w:tcPr>
            <w:tcW w:w="576" w:type="pct"/>
            <w:shd w:val="clear" w:color="auto" w:fill="auto"/>
            <w:noWrap/>
            <w:vAlign w:val="bottom"/>
            <w:hideMark/>
          </w:tcPr>
          <w:p w14:paraId="2EDFDFFD"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52.798   </w:t>
            </w:r>
          </w:p>
        </w:tc>
        <w:tc>
          <w:tcPr>
            <w:tcW w:w="577" w:type="pct"/>
            <w:shd w:val="clear" w:color="auto" w:fill="auto"/>
            <w:noWrap/>
            <w:vAlign w:val="bottom"/>
            <w:hideMark/>
          </w:tcPr>
          <w:p w14:paraId="5DA0AC00"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51.011   </w:t>
            </w:r>
          </w:p>
        </w:tc>
        <w:tc>
          <w:tcPr>
            <w:tcW w:w="577" w:type="pct"/>
            <w:shd w:val="clear" w:color="auto" w:fill="auto"/>
            <w:noWrap/>
            <w:vAlign w:val="bottom"/>
            <w:hideMark/>
          </w:tcPr>
          <w:p w14:paraId="77F35397"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56.784   </w:t>
            </w:r>
          </w:p>
        </w:tc>
        <w:tc>
          <w:tcPr>
            <w:tcW w:w="577" w:type="pct"/>
            <w:shd w:val="clear" w:color="auto" w:fill="auto"/>
            <w:noWrap/>
            <w:vAlign w:val="bottom"/>
            <w:hideMark/>
          </w:tcPr>
          <w:p w14:paraId="4CDAAEA8"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53.657   </w:t>
            </w:r>
          </w:p>
        </w:tc>
        <w:tc>
          <w:tcPr>
            <w:tcW w:w="577" w:type="pct"/>
            <w:shd w:val="clear" w:color="auto" w:fill="auto"/>
            <w:noWrap/>
            <w:vAlign w:val="bottom"/>
            <w:hideMark/>
          </w:tcPr>
          <w:p w14:paraId="7C6B44F6"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53.511   </w:t>
            </w:r>
          </w:p>
        </w:tc>
      </w:tr>
      <w:tr w:rsidR="006C63D5" w:rsidRPr="00F44FA4" w14:paraId="54B338F8" w14:textId="77777777" w:rsidTr="00C473E5">
        <w:trPr>
          <w:trHeight w:val="288"/>
        </w:trPr>
        <w:tc>
          <w:tcPr>
            <w:tcW w:w="808" w:type="pct"/>
            <w:shd w:val="clear" w:color="auto" w:fill="auto"/>
            <w:noWrap/>
            <w:vAlign w:val="bottom"/>
            <w:hideMark/>
          </w:tcPr>
          <w:p w14:paraId="7D0DA74D" w14:textId="77777777" w:rsidR="006C63D5" w:rsidRPr="00F44FA4" w:rsidRDefault="006C63D5" w:rsidP="006519C3">
            <w:pPr>
              <w:keepNext/>
              <w:keepLines/>
              <w:rPr>
                <w:rFonts w:cs="Arial"/>
                <w:color w:val="000000"/>
                <w:szCs w:val="20"/>
                <w:lang w:eastAsia="sl-SI"/>
              </w:rPr>
            </w:pPr>
            <w:r w:rsidRPr="00F44FA4">
              <w:rPr>
                <w:rFonts w:cs="Arial"/>
                <w:color w:val="000000"/>
                <w:szCs w:val="20"/>
                <w:lang w:eastAsia="sl-SI"/>
              </w:rPr>
              <w:t> </w:t>
            </w:r>
          </w:p>
        </w:tc>
        <w:tc>
          <w:tcPr>
            <w:tcW w:w="1308" w:type="pct"/>
            <w:gridSpan w:val="3"/>
            <w:shd w:val="clear" w:color="auto" w:fill="auto"/>
            <w:noWrap/>
            <w:vAlign w:val="bottom"/>
            <w:hideMark/>
          </w:tcPr>
          <w:p w14:paraId="0FD83999" w14:textId="77777777" w:rsidR="006C63D5" w:rsidRPr="00F44FA4" w:rsidRDefault="006C63D5" w:rsidP="006519C3">
            <w:pPr>
              <w:keepNext/>
              <w:keepLines/>
              <w:jc w:val="right"/>
              <w:rPr>
                <w:rFonts w:cs="Arial"/>
                <w:bCs/>
                <w:color w:val="000000"/>
                <w:szCs w:val="20"/>
                <w:lang w:eastAsia="sl-SI"/>
              </w:rPr>
            </w:pPr>
            <w:r w:rsidRPr="00F44FA4">
              <w:rPr>
                <w:rFonts w:cs="Arial"/>
                <w:bCs/>
                <w:color w:val="000000"/>
                <w:szCs w:val="20"/>
                <w:lang w:eastAsia="sl-SI"/>
              </w:rPr>
              <w:t>Ženske</w:t>
            </w:r>
          </w:p>
        </w:tc>
        <w:tc>
          <w:tcPr>
            <w:tcW w:w="576" w:type="pct"/>
            <w:shd w:val="clear" w:color="auto" w:fill="auto"/>
            <w:noWrap/>
            <w:vAlign w:val="bottom"/>
            <w:hideMark/>
          </w:tcPr>
          <w:p w14:paraId="75266989"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74.177   </w:t>
            </w:r>
          </w:p>
        </w:tc>
        <w:tc>
          <w:tcPr>
            <w:tcW w:w="577" w:type="pct"/>
            <w:shd w:val="clear" w:color="auto" w:fill="auto"/>
            <w:noWrap/>
            <w:vAlign w:val="bottom"/>
            <w:hideMark/>
          </w:tcPr>
          <w:p w14:paraId="5DABAD7F"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71.275   </w:t>
            </w:r>
          </w:p>
        </w:tc>
        <w:tc>
          <w:tcPr>
            <w:tcW w:w="577" w:type="pct"/>
            <w:shd w:val="clear" w:color="auto" w:fill="auto"/>
            <w:noWrap/>
            <w:vAlign w:val="bottom"/>
            <w:hideMark/>
          </w:tcPr>
          <w:p w14:paraId="1E2BBD60"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74.036   </w:t>
            </w:r>
          </w:p>
        </w:tc>
        <w:tc>
          <w:tcPr>
            <w:tcW w:w="577" w:type="pct"/>
            <w:shd w:val="clear" w:color="auto" w:fill="auto"/>
            <w:noWrap/>
            <w:vAlign w:val="bottom"/>
            <w:hideMark/>
          </w:tcPr>
          <w:p w14:paraId="0F0CD65B"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72.165   </w:t>
            </w:r>
          </w:p>
        </w:tc>
        <w:tc>
          <w:tcPr>
            <w:tcW w:w="577" w:type="pct"/>
            <w:shd w:val="clear" w:color="auto" w:fill="auto"/>
            <w:noWrap/>
            <w:vAlign w:val="bottom"/>
            <w:hideMark/>
          </w:tcPr>
          <w:p w14:paraId="7A8829A9" w14:textId="77777777" w:rsidR="006C63D5" w:rsidRPr="00F44FA4" w:rsidRDefault="006C63D5" w:rsidP="006519C3">
            <w:pPr>
              <w:keepNext/>
              <w:keepLines/>
              <w:jc w:val="right"/>
              <w:rPr>
                <w:rFonts w:cs="Arial"/>
                <w:color w:val="000000"/>
                <w:szCs w:val="20"/>
                <w:lang w:eastAsia="sl-SI"/>
              </w:rPr>
            </w:pPr>
            <w:r w:rsidRPr="00F44FA4">
              <w:rPr>
                <w:rFonts w:cs="Arial"/>
                <w:color w:val="000000"/>
                <w:szCs w:val="20"/>
                <w:lang w:eastAsia="sl-SI"/>
              </w:rPr>
              <w:t xml:space="preserve">                69.988   </w:t>
            </w:r>
          </w:p>
        </w:tc>
      </w:tr>
    </w:tbl>
    <w:p w14:paraId="05DC0376" w14:textId="1EA8C2DC" w:rsidR="006C63D5" w:rsidRDefault="005B1C38" w:rsidP="006519C3">
      <w:pPr>
        <w:keepNext/>
        <w:keepLines/>
        <w:spacing w:before="120" w:line="264" w:lineRule="auto"/>
        <w:rPr>
          <w:rFonts w:cs="Arial"/>
          <w:sz w:val="16"/>
          <w:szCs w:val="16"/>
        </w:rPr>
      </w:pPr>
      <w:r w:rsidRPr="005B1C38">
        <w:rPr>
          <w:rFonts w:cs="Arial"/>
          <w:sz w:val="16"/>
          <w:szCs w:val="16"/>
        </w:rPr>
        <w:t>Vir: SURS</w:t>
      </w:r>
    </w:p>
    <w:p w14:paraId="4B483881" w14:textId="77777777" w:rsidR="00DF0D48" w:rsidRPr="003344A4" w:rsidRDefault="00DF0D48" w:rsidP="006519C3">
      <w:pPr>
        <w:keepNext/>
        <w:keepLines/>
        <w:spacing w:before="120" w:line="264" w:lineRule="auto"/>
        <w:rPr>
          <w:rFonts w:cs="Arial"/>
        </w:rPr>
      </w:pPr>
    </w:p>
    <w:p w14:paraId="3B350732" w14:textId="4E8EB599" w:rsidR="006C63D5" w:rsidRPr="00745452" w:rsidRDefault="006412DC" w:rsidP="00DF0D48">
      <w:pPr>
        <w:pStyle w:val="Naslov2"/>
        <w:keepNext w:val="0"/>
        <w:keepLines w:val="0"/>
        <w:ind w:left="578" w:hanging="578"/>
      </w:pPr>
      <w:bookmarkStart w:id="123" w:name="_Toc42067310"/>
      <w:bookmarkStart w:id="124" w:name="_Toc55912194"/>
      <w:r w:rsidRPr="00745452">
        <w:t>Starostna in izobrazbena struktura v kmetijstvu</w:t>
      </w:r>
      <w:bookmarkEnd w:id="123"/>
      <w:bookmarkEnd w:id="124"/>
    </w:p>
    <w:p w14:paraId="50CD405D" w14:textId="01784332" w:rsidR="006C63D5" w:rsidRPr="003C7942" w:rsidRDefault="006C63D5" w:rsidP="00DF0D48">
      <w:pPr>
        <w:pStyle w:val="Naslov2"/>
        <w:keepNext w:val="0"/>
        <w:keepLines w:val="0"/>
        <w:ind w:left="578" w:hanging="578"/>
      </w:pPr>
      <w:bookmarkStart w:id="125" w:name="_Toc42067311"/>
      <w:bookmarkStart w:id="126" w:name="_Toc55912195"/>
      <w:r w:rsidRPr="00745452">
        <w:t>Izobrazbena struktura nosilcev kmetijskih gospodarstev</w:t>
      </w:r>
      <w:bookmarkEnd w:id="125"/>
      <w:bookmarkEnd w:id="126"/>
    </w:p>
    <w:p w14:paraId="29507773" w14:textId="023535A4" w:rsidR="006C63D5" w:rsidRDefault="006C63D5" w:rsidP="006519C3">
      <w:pPr>
        <w:spacing w:line="360" w:lineRule="auto"/>
        <w:jc w:val="both"/>
        <w:rPr>
          <w:rFonts w:cs="Arial"/>
          <w:szCs w:val="20"/>
        </w:rPr>
      </w:pPr>
      <w:r w:rsidRPr="003344A4">
        <w:rPr>
          <w:rFonts w:cs="Arial"/>
          <w:szCs w:val="20"/>
        </w:rPr>
        <w:t xml:space="preserve">Izobrazbena struktura nosilcev kmetijskih gospodarstev v Sloveniji se na splošno izboljšuje. Delež nosilcev, ki imajo samo praktične izkušnje, se zmanjšuje (z 72 % leta 2005 na 50 % leta 2016), in sicer predvsem na račun nosilcev z osnovno kmetijsko izobrazbo, čeprav je razvidna tudi rast števila nosilcev s popolno kmetijsko izobrazbo. </w:t>
      </w:r>
    </w:p>
    <w:p w14:paraId="0F034E39" w14:textId="0ECE5CD3" w:rsidR="006C63D5" w:rsidRPr="003344A4" w:rsidRDefault="00C9160B" w:rsidP="005B1C38">
      <w:pPr>
        <w:pStyle w:val="SCPreglednica"/>
        <w:keepNext/>
        <w:keepLines/>
        <w:rPr>
          <w:sz w:val="16"/>
          <w:szCs w:val="20"/>
        </w:rPr>
      </w:pPr>
      <w:bookmarkStart w:id="127" w:name="_Toc55913737"/>
      <w:r>
        <w:lastRenderedPageBreak/>
        <w:t>Tabela</w:t>
      </w:r>
      <w:r w:rsidR="006C63D5" w:rsidRPr="003D6FF8">
        <w:t xml:space="preserve"> </w:t>
      </w:r>
      <w:r w:rsidR="0001708D">
        <w:rPr>
          <w:noProof/>
        </w:rPr>
        <w:fldChar w:fldCharType="begin"/>
      </w:r>
      <w:r w:rsidR="0001708D">
        <w:rPr>
          <w:noProof/>
        </w:rPr>
        <w:instrText xml:space="preserve"> SEQ Tabela \* ARABIC </w:instrText>
      </w:r>
      <w:r w:rsidR="0001708D">
        <w:rPr>
          <w:noProof/>
        </w:rPr>
        <w:fldChar w:fldCharType="separate"/>
      </w:r>
      <w:r w:rsidR="00DF0D48">
        <w:rPr>
          <w:noProof/>
        </w:rPr>
        <w:t>26</w:t>
      </w:r>
      <w:r w:rsidR="0001708D">
        <w:rPr>
          <w:noProof/>
        </w:rPr>
        <w:fldChar w:fldCharType="end"/>
      </w:r>
      <w:r w:rsidR="006C63D5" w:rsidRPr="003D6FF8">
        <w:t xml:space="preserve">: </w:t>
      </w:r>
      <w:r w:rsidR="006C63D5" w:rsidRPr="00522B81">
        <w:t>Kmetijska izobrazba nosilcev KMG, v št. oseb, za leta 2005, 2010 in 2016</w:t>
      </w:r>
      <w:bookmarkEnd w:id="127"/>
      <w:r w:rsidR="006C63D5" w:rsidRPr="00522B81">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34"/>
        <w:gridCol w:w="977"/>
        <w:gridCol w:w="836"/>
        <w:gridCol w:w="837"/>
        <w:gridCol w:w="836"/>
        <w:gridCol w:w="979"/>
        <w:gridCol w:w="763"/>
      </w:tblGrid>
      <w:tr w:rsidR="006C63D5" w:rsidRPr="00F44FA4" w14:paraId="28E93833" w14:textId="77777777" w:rsidTr="00C473E5">
        <w:trPr>
          <w:trHeight w:val="288"/>
        </w:trPr>
        <w:tc>
          <w:tcPr>
            <w:tcW w:w="2116" w:type="pct"/>
            <w:shd w:val="clear" w:color="auto" w:fill="92D050"/>
            <w:noWrap/>
            <w:vAlign w:val="bottom"/>
            <w:hideMark/>
          </w:tcPr>
          <w:p w14:paraId="0CDC9336" w14:textId="77777777" w:rsidR="006C63D5" w:rsidRPr="00F44FA4" w:rsidRDefault="006C63D5" w:rsidP="005B1C38">
            <w:pPr>
              <w:keepNext/>
              <w:keepLines/>
              <w:rPr>
                <w:rFonts w:cs="Arial"/>
                <w:color w:val="000000"/>
                <w:szCs w:val="20"/>
                <w:lang w:eastAsia="sl-SI"/>
              </w:rPr>
            </w:pPr>
          </w:p>
        </w:tc>
        <w:tc>
          <w:tcPr>
            <w:tcW w:w="2884" w:type="pct"/>
            <w:gridSpan w:val="6"/>
            <w:shd w:val="clear" w:color="auto" w:fill="92D050"/>
            <w:noWrap/>
            <w:vAlign w:val="bottom"/>
            <w:hideMark/>
          </w:tcPr>
          <w:p w14:paraId="0508426E" w14:textId="77777777" w:rsidR="006C63D5" w:rsidRPr="00F44FA4" w:rsidRDefault="006C63D5" w:rsidP="005B1C38">
            <w:pPr>
              <w:keepNext/>
              <w:keepLines/>
              <w:jc w:val="center"/>
              <w:rPr>
                <w:rFonts w:cs="Arial"/>
                <w:b/>
                <w:bCs/>
                <w:color w:val="000000"/>
                <w:szCs w:val="20"/>
                <w:lang w:eastAsia="sl-SI"/>
              </w:rPr>
            </w:pPr>
            <w:r w:rsidRPr="00F44FA4">
              <w:rPr>
                <w:rFonts w:cs="Arial"/>
                <w:b/>
                <w:bCs/>
                <w:color w:val="000000"/>
                <w:szCs w:val="20"/>
                <w:lang w:eastAsia="sl-SI"/>
              </w:rPr>
              <w:t>število oseb</w:t>
            </w:r>
          </w:p>
        </w:tc>
      </w:tr>
      <w:tr w:rsidR="006C63D5" w:rsidRPr="00F44FA4" w14:paraId="1B112A09" w14:textId="77777777" w:rsidTr="00C473E5">
        <w:trPr>
          <w:trHeight w:val="288"/>
        </w:trPr>
        <w:tc>
          <w:tcPr>
            <w:tcW w:w="2116" w:type="pct"/>
            <w:shd w:val="clear" w:color="auto" w:fill="92D050"/>
            <w:noWrap/>
            <w:vAlign w:val="bottom"/>
            <w:hideMark/>
          </w:tcPr>
          <w:p w14:paraId="161DC5E3" w14:textId="77777777" w:rsidR="006C63D5" w:rsidRPr="00F44FA4" w:rsidRDefault="006C63D5" w:rsidP="005B1C38">
            <w:pPr>
              <w:keepNext/>
              <w:keepLines/>
              <w:jc w:val="center"/>
              <w:rPr>
                <w:rFonts w:cs="Arial"/>
                <w:color w:val="000000"/>
                <w:szCs w:val="20"/>
                <w:lang w:eastAsia="sl-SI"/>
              </w:rPr>
            </w:pPr>
          </w:p>
        </w:tc>
        <w:tc>
          <w:tcPr>
            <w:tcW w:w="539" w:type="pct"/>
            <w:shd w:val="clear" w:color="auto" w:fill="92D050"/>
            <w:noWrap/>
            <w:vAlign w:val="bottom"/>
            <w:hideMark/>
          </w:tcPr>
          <w:p w14:paraId="0F3D4246" w14:textId="77777777" w:rsidR="006C63D5" w:rsidRPr="00F44FA4" w:rsidRDefault="006C63D5" w:rsidP="005B1C38">
            <w:pPr>
              <w:keepNext/>
              <w:keepLines/>
              <w:jc w:val="center"/>
              <w:rPr>
                <w:rFonts w:cs="Arial"/>
                <w:b/>
                <w:bCs/>
                <w:color w:val="000000"/>
                <w:szCs w:val="20"/>
                <w:lang w:eastAsia="sl-SI"/>
              </w:rPr>
            </w:pPr>
            <w:r w:rsidRPr="00F44FA4">
              <w:rPr>
                <w:rFonts w:cs="Arial"/>
                <w:b/>
                <w:bCs/>
                <w:color w:val="000000"/>
                <w:szCs w:val="20"/>
                <w:lang w:eastAsia="sl-SI"/>
              </w:rPr>
              <w:t>2005</w:t>
            </w:r>
          </w:p>
        </w:tc>
        <w:tc>
          <w:tcPr>
            <w:tcW w:w="461" w:type="pct"/>
            <w:shd w:val="clear" w:color="auto" w:fill="92D050"/>
            <w:noWrap/>
            <w:vAlign w:val="bottom"/>
            <w:hideMark/>
          </w:tcPr>
          <w:p w14:paraId="3C2442BC" w14:textId="77777777" w:rsidR="006C63D5" w:rsidRPr="00F44FA4" w:rsidRDefault="006C63D5" w:rsidP="005B1C38">
            <w:pPr>
              <w:keepNext/>
              <w:keepLines/>
              <w:jc w:val="center"/>
              <w:rPr>
                <w:rFonts w:cs="Arial"/>
                <w:b/>
                <w:bCs/>
                <w:color w:val="000000"/>
                <w:szCs w:val="20"/>
                <w:lang w:eastAsia="sl-SI"/>
              </w:rPr>
            </w:pPr>
            <w:r w:rsidRPr="00F44FA4">
              <w:rPr>
                <w:rFonts w:cs="Arial"/>
                <w:b/>
                <w:bCs/>
                <w:color w:val="000000"/>
                <w:szCs w:val="20"/>
                <w:lang w:eastAsia="sl-SI"/>
              </w:rPr>
              <w:t>v %</w:t>
            </w:r>
          </w:p>
        </w:tc>
        <w:tc>
          <w:tcPr>
            <w:tcW w:w="462" w:type="pct"/>
            <w:shd w:val="clear" w:color="auto" w:fill="92D050"/>
            <w:noWrap/>
            <w:vAlign w:val="bottom"/>
            <w:hideMark/>
          </w:tcPr>
          <w:p w14:paraId="5620EED4" w14:textId="77777777" w:rsidR="006C63D5" w:rsidRPr="00F44FA4" w:rsidRDefault="006C63D5" w:rsidP="005B1C38">
            <w:pPr>
              <w:keepNext/>
              <w:keepLines/>
              <w:jc w:val="center"/>
              <w:rPr>
                <w:rFonts w:cs="Arial"/>
                <w:b/>
                <w:bCs/>
                <w:color w:val="000000"/>
                <w:szCs w:val="20"/>
                <w:lang w:eastAsia="sl-SI"/>
              </w:rPr>
            </w:pPr>
            <w:r w:rsidRPr="00F44FA4">
              <w:rPr>
                <w:rFonts w:cs="Arial"/>
                <w:b/>
                <w:bCs/>
                <w:color w:val="000000"/>
                <w:szCs w:val="20"/>
                <w:lang w:eastAsia="sl-SI"/>
              </w:rPr>
              <w:t>2010</w:t>
            </w:r>
          </w:p>
        </w:tc>
        <w:tc>
          <w:tcPr>
            <w:tcW w:w="461" w:type="pct"/>
            <w:shd w:val="clear" w:color="auto" w:fill="92D050"/>
            <w:noWrap/>
            <w:vAlign w:val="bottom"/>
            <w:hideMark/>
          </w:tcPr>
          <w:p w14:paraId="48770E43" w14:textId="77777777" w:rsidR="006C63D5" w:rsidRPr="00F44FA4" w:rsidRDefault="006C63D5" w:rsidP="005B1C38">
            <w:pPr>
              <w:keepNext/>
              <w:keepLines/>
              <w:jc w:val="center"/>
              <w:rPr>
                <w:rFonts w:cs="Arial"/>
                <w:b/>
                <w:bCs/>
                <w:color w:val="000000"/>
                <w:szCs w:val="20"/>
                <w:lang w:eastAsia="sl-SI"/>
              </w:rPr>
            </w:pPr>
            <w:r w:rsidRPr="00F44FA4">
              <w:rPr>
                <w:rFonts w:cs="Arial"/>
                <w:b/>
                <w:bCs/>
                <w:color w:val="000000"/>
                <w:szCs w:val="20"/>
                <w:lang w:eastAsia="sl-SI"/>
              </w:rPr>
              <w:t>v %</w:t>
            </w:r>
          </w:p>
        </w:tc>
        <w:tc>
          <w:tcPr>
            <w:tcW w:w="540" w:type="pct"/>
            <w:shd w:val="clear" w:color="auto" w:fill="92D050"/>
            <w:noWrap/>
            <w:vAlign w:val="bottom"/>
            <w:hideMark/>
          </w:tcPr>
          <w:p w14:paraId="1A6AF29D" w14:textId="77777777" w:rsidR="006C63D5" w:rsidRPr="00F44FA4" w:rsidRDefault="006C63D5" w:rsidP="005B1C38">
            <w:pPr>
              <w:keepNext/>
              <w:keepLines/>
              <w:jc w:val="center"/>
              <w:rPr>
                <w:rFonts w:cs="Arial"/>
                <w:b/>
                <w:bCs/>
                <w:color w:val="000000"/>
                <w:szCs w:val="20"/>
                <w:lang w:eastAsia="sl-SI"/>
              </w:rPr>
            </w:pPr>
            <w:r w:rsidRPr="00F44FA4">
              <w:rPr>
                <w:rFonts w:cs="Arial"/>
                <w:b/>
                <w:bCs/>
                <w:color w:val="000000"/>
                <w:szCs w:val="20"/>
                <w:lang w:eastAsia="sl-SI"/>
              </w:rPr>
              <w:t>2016</w:t>
            </w:r>
          </w:p>
        </w:tc>
        <w:tc>
          <w:tcPr>
            <w:tcW w:w="421" w:type="pct"/>
            <w:shd w:val="clear" w:color="auto" w:fill="92D050"/>
            <w:noWrap/>
            <w:vAlign w:val="bottom"/>
            <w:hideMark/>
          </w:tcPr>
          <w:p w14:paraId="13EA3573" w14:textId="77777777" w:rsidR="006C63D5" w:rsidRPr="00F44FA4" w:rsidRDefault="006C63D5" w:rsidP="005B1C38">
            <w:pPr>
              <w:keepNext/>
              <w:keepLines/>
              <w:jc w:val="center"/>
              <w:rPr>
                <w:rFonts w:cs="Arial"/>
                <w:b/>
                <w:bCs/>
                <w:color w:val="000000"/>
                <w:szCs w:val="20"/>
                <w:lang w:eastAsia="sl-SI"/>
              </w:rPr>
            </w:pPr>
            <w:r w:rsidRPr="00F44FA4">
              <w:rPr>
                <w:rFonts w:cs="Arial"/>
                <w:b/>
                <w:bCs/>
                <w:color w:val="000000"/>
                <w:szCs w:val="20"/>
                <w:lang w:eastAsia="sl-SI"/>
              </w:rPr>
              <w:t>v %</w:t>
            </w:r>
          </w:p>
        </w:tc>
      </w:tr>
      <w:tr w:rsidR="006C63D5" w:rsidRPr="00F44FA4" w14:paraId="44D7F9E5" w14:textId="77777777" w:rsidTr="00C473E5">
        <w:trPr>
          <w:trHeight w:val="288"/>
        </w:trPr>
        <w:tc>
          <w:tcPr>
            <w:tcW w:w="2116" w:type="pct"/>
            <w:shd w:val="clear" w:color="auto" w:fill="auto"/>
            <w:noWrap/>
            <w:vAlign w:val="bottom"/>
            <w:hideMark/>
          </w:tcPr>
          <w:p w14:paraId="7C866A04" w14:textId="77777777" w:rsidR="006C63D5" w:rsidRPr="00F44FA4" w:rsidRDefault="006C63D5" w:rsidP="005B1C38">
            <w:pPr>
              <w:keepNext/>
              <w:keepLines/>
              <w:rPr>
                <w:rFonts w:cs="Arial"/>
                <w:b/>
                <w:bCs/>
                <w:color w:val="000000"/>
                <w:szCs w:val="20"/>
                <w:lang w:eastAsia="sl-SI"/>
              </w:rPr>
            </w:pPr>
            <w:r w:rsidRPr="00F44FA4">
              <w:rPr>
                <w:rFonts w:cs="Arial"/>
                <w:b/>
                <w:bCs/>
                <w:color w:val="000000"/>
                <w:szCs w:val="20"/>
                <w:lang w:eastAsia="sl-SI"/>
              </w:rPr>
              <w:t>Kmetijska izobrazba - SKUPAJ</w:t>
            </w:r>
          </w:p>
        </w:tc>
        <w:tc>
          <w:tcPr>
            <w:tcW w:w="539" w:type="pct"/>
            <w:shd w:val="clear" w:color="auto" w:fill="auto"/>
            <w:noWrap/>
            <w:vAlign w:val="bottom"/>
            <w:hideMark/>
          </w:tcPr>
          <w:p w14:paraId="4B9E17FC"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 xml:space="preserve">                 77.042   </w:t>
            </w:r>
          </w:p>
        </w:tc>
        <w:tc>
          <w:tcPr>
            <w:tcW w:w="461" w:type="pct"/>
            <w:shd w:val="clear" w:color="auto" w:fill="auto"/>
            <w:noWrap/>
            <w:vAlign w:val="bottom"/>
            <w:hideMark/>
          </w:tcPr>
          <w:p w14:paraId="0B0AF432"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 xml:space="preserve">                 100,00   </w:t>
            </w:r>
          </w:p>
        </w:tc>
        <w:tc>
          <w:tcPr>
            <w:tcW w:w="462" w:type="pct"/>
            <w:shd w:val="clear" w:color="auto" w:fill="auto"/>
            <w:noWrap/>
            <w:vAlign w:val="bottom"/>
            <w:hideMark/>
          </w:tcPr>
          <w:p w14:paraId="3E46C6E1"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 xml:space="preserve">               74.425   </w:t>
            </w:r>
          </w:p>
        </w:tc>
        <w:tc>
          <w:tcPr>
            <w:tcW w:w="461" w:type="pct"/>
            <w:shd w:val="clear" w:color="auto" w:fill="auto"/>
            <w:noWrap/>
            <w:vAlign w:val="bottom"/>
            <w:hideMark/>
          </w:tcPr>
          <w:p w14:paraId="3C487FBA"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 xml:space="preserve">               100,00   </w:t>
            </w:r>
          </w:p>
        </w:tc>
        <w:tc>
          <w:tcPr>
            <w:tcW w:w="540" w:type="pct"/>
            <w:shd w:val="clear" w:color="auto" w:fill="auto"/>
            <w:noWrap/>
            <w:vAlign w:val="bottom"/>
            <w:hideMark/>
          </w:tcPr>
          <w:p w14:paraId="4458E22E"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 xml:space="preserve">             69.671   </w:t>
            </w:r>
          </w:p>
        </w:tc>
        <w:tc>
          <w:tcPr>
            <w:tcW w:w="421" w:type="pct"/>
            <w:shd w:val="clear" w:color="auto" w:fill="auto"/>
            <w:noWrap/>
            <w:vAlign w:val="bottom"/>
            <w:hideMark/>
          </w:tcPr>
          <w:p w14:paraId="20E9CFDC"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100,00</w:t>
            </w:r>
          </w:p>
        </w:tc>
      </w:tr>
      <w:tr w:rsidR="006C63D5" w:rsidRPr="00F44FA4" w14:paraId="7617225F" w14:textId="77777777" w:rsidTr="00C473E5">
        <w:trPr>
          <w:trHeight w:val="288"/>
        </w:trPr>
        <w:tc>
          <w:tcPr>
            <w:tcW w:w="2116" w:type="pct"/>
            <w:shd w:val="clear" w:color="auto" w:fill="auto"/>
            <w:noWrap/>
            <w:vAlign w:val="bottom"/>
            <w:hideMark/>
          </w:tcPr>
          <w:p w14:paraId="2C9AB144" w14:textId="77777777" w:rsidR="006C63D5" w:rsidRPr="00F44FA4" w:rsidRDefault="006C63D5" w:rsidP="005B1C38">
            <w:pPr>
              <w:keepNext/>
              <w:keepLines/>
              <w:rPr>
                <w:rFonts w:cs="Arial"/>
                <w:b/>
                <w:bCs/>
                <w:color w:val="000000"/>
                <w:szCs w:val="20"/>
                <w:lang w:eastAsia="sl-SI"/>
              </w:rPr>
            </w:pPr>
            <w:r w:rsidRPr="00F44FA4">
              <w:rPr>
                <w:rFonts w:cs="Arial"/>
                <w:b/>
                <w:bCs/>
                <w:color w:val="000000"/>
                <w:szCs w:val="20"/>
                <w:lang w:eastAsia="sl-SI"/>
              </w:rPr>
              <w:t>Samo praktične izkušnje</w:t>
            </w:r>
          </w:p>
        </w:tc>
        <w:tc>
          <w:tcPr>
            <w:tcW w:w="539" w:type="pct"/>
            <w:shd w:val="clear" w:color="auto" w:fill="auto"/>
            <w:noWrap/>
            <w:vAlign w:val="bottom"/>
            <w:hideMark/>
          </w:tcPr>
          <w:p w14:paraId="458F46D5"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 xml:space="preserve">                 55.562   </w:t>
            </w:r>
          </w:p>
        </w:tc>
        <w:tc>
          <w:tcPr>
            <w:tcW w:w="461" w:type="pct"/>
            <w:shd w:val="clear" w:color="auto" w:fill="auto"/>
            <w:noWrap/>
            <w:vAlign w:val="bottom"/>
            <w:hideMark/>
          </w:tcPr>
          <w:p w14:paraId="249D3E02"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 xml:space="preserve">                   72,12   </w:t>
            </w:r>
          </w:p>
        </w:tc>
        <w:tc>
          <w:tcPr>
            <w:tcW w:w="462" w:type="pct"/>
            <w:shd w:val="clear" w:color="auto" w:fill="auto"/>
            <w:noWrap/>
            <w:vAlign w:val="bottom"/>
            <w:hideMark/>
          </w:tcPr>
          <w:p w14:paraId="3F60AA65"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 xml:space="preserve">               47.970   </w:t>
            </w:r>
          </w:p>
        </w:tc>
        <w:tc>
          <w:tcPr>
            <w:tcW w:w="461" w:type="pct"/>
            <w:shd w:val="clear" w:color="auto" w:fill="auto"/>
            <w:noWrap/>
            <w:vAlign w:val="bottom"/>
            <w:hideMark/>
          </w:tcPr>
          <w:p w14:paraId="7A75AC18"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 xml:space="preserve">                 64,45   </w:t>
            </w:r>
          </w:p>
        </w:tc>
        <w:tc>
          <w:tcPr>
            <w:tcW w:w="540" w:type="pct"/>
            <w:shd w:val="clear" w:color="auto" w:fill="auto"/>
            <w:noWrap/>
            <w:vAlign w:val="bottom"/>
            <w:hideMark/>
          </w:tcPr>
          <w:p w14:paraId="0F5818E5"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 xml:space="preserve">             34.969   </w:t>
            </w:r>
          </w:p>
        </w:tc>
        <w:tc>
          <w:tcPr>
            <w:tcW w:w="421" w:type="pct"/>
            <w:shd w:val="clear" w:color="auto" w:fill="auto"/>
            <w:noWrap/>
            <w:vAlign w:val="bottom"/>
            <w:hideMark/>
          </w:tcPr>
          <w:p w14:paraId="41BFCC8D"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50,19</w:t>
            </w:r>
          </w:p>
        </w:tc>
      </w:tr>
      <w:tr w:rsidR="006C63D5" w:rsidRPr="00F44FA4" w14:paraId="44DC5405" w14:textId="77777777" w:rsidTr="00C473E5">
        <w:trPr>
          <w:trHeight w:val="288"/>
        </w:trPr>
        <w:tc>
          <w:tcPr>
            <w:tcW w:w="2116" w:type="pct"/>
            <w:shd w:val="clear" w:color="auto" w:fill="auto"/>
            <w:noWrap/>
            <w:vAlign w:val="bottom"/>
            <w:hideMark/>
          </w:tcPr>
          <w:p w14:paraId="708E9EF4" w14:textId="77777777" w:rsidR="006C63D5" w:rsidRPr="00F44FA4" w:rsidRDefault="006C63D5" w:rsidP="005B1C38">
            <w:pPr>
              <w:keepNext/>
              <w:keepLines/>
              <w:rPr>
                <w:rFonts w:cs="Arial"/>
                <w:b/>
                <w:bCs/>
                <w:color w:val="000000"/>
                <w:szCs w:val="20"/>
                <w:lang w:eastAsia="sl-SI"/>
              </w:rPr>
            </w:pPr>
            <w:r w:rsidRPr="00F44FA4">
              <w:rPr>
                <w:rFonts w:cs="Arial"/>
                <w:b/>
                <w:bCs/>
                <w:color w:val="000000"/>
                <w:szCs w:val="20"/>
                <w:lang w:eastAsia="sl-SI"/>
              </w:rPr>
              <w:t>Tečaji iz kmetijstva</w:t>
            </w:r>
          </w:p>
        </w:tc>
        <w:tc>
          <w:tcPr>
            <w:tcW w:w="539" w:type="pct"/>
            <w:shd w:val="clear" w:color="auto" w:fill="auto"/>
            <w:noWrap/>
            <w:vAlign w:val="bottom"/>
            <w:hideMark/>
          </w:tcPr>
          <w:p w14:paraId="2A74EE01"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 xml:space="preserve">                 16.368   </w:t>
            </w:r>
          </w:p>
        </w:tc>
        <w:tc>
          <w:tcPr>
            <w:tcW w:w="461" w:type="pct"/>
            <w:shd w:val="clear" w:color="auto" w:fill="auto"/>
            <w:noWrap/>
            <w:vAlign w:val="bottom"/>
            <w:hideMark/>
          </w:tcPr>
          <w:p w14:paraId="62DB5D79"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 xml:space="preserve">                   21,25   </w:t>
            </w:r>
          </w:p>
        </w:tc>
        <w:tc>
          <w:tcPr>
            <w:tcW w:w="462" w:type="pct"/>
            <w:shd w:val="clear" w:color="auto" w:fill="auto"/>
            <w:noWrap/>
            <w:vAlign w:val="bottom"/>
            <w:hideMark/>
          </w:tcPr>
          <w:p w14:paraId="149DE53E"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 xml:space="preserve">               19.896   </w:t>
            </w:r>
          </w:p>
        </w:tc>
        <w:tc>
          <w:tcPr>
            <w:tcW w:w="461" w:type="pct"/>
            <w:shd w:val="clear" w:color="auto" w:fill="auto"/>
            <w:noWrap/>
            <w:vAlign w:val="bottom"/>
            <w:hideMark/>
          </w:tcPr>
          <w:p w14:paraId="08703FC9"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 xml:space="preserve">                 26,73   </w:t>
            </w:r>
          </w:p>
        </w:tc>
        <w:tc>
          <w:tcPr>
            <w:tcW w:w="540" w:type="pct"/>
            <w:shd w:val="clear" w:color="auto" w:fill="auto"/>
            <w:noWrap/>
            <w:vAlign w:val="bottom"/>
            <w:hideMark/>
          </w:tcPr>
          <w:p w14:paraId="554BC7B4"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 xml:space="preserve">             24.720   </w:t>
            </w:r>
          </w:p>
        </w:tc>
        <w:tc>
          <w:tcPr>
            <w:tcW w:w="421" w:type="pct"/>
            <w:shd w:val="clear" w:color="auto" w:fill="auto"/>
            <w:noWrap/>
            <w:vAlign w:val="bottom"/>
            <w:hideMark/>
          </w:tcPr>
          <w:p w14:paraId="57391B62"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35,48</w:t>
            </w:r>
          </w:p>
        </w:tc>
      </w:tr>
      <w:tr w:rsidR="006C63D5" w:rsidRPr="00F44FA4" w14:paraId="781DC56A" w14:textId="77777777" w:rsidTr="00C473E5">
        <w:trPr>
          <w:trHeight w:val="288"/>
        </w:trPr>
        <w:tc>
          <w:tcPr>
            <w:tcW w:w="2116" w:type="pct"/>
            <w:shd w:val="clear" w:color="auto" w:fill="auto"/>
            <w:noWrap/>
            <w:vAlign w:val="bottom"/>
            <w:hideMark/>
          </w:tcPr>
          <w:p w14:paraId="5390205A" w14:textId="77777777" w:rsidR="006C63D5" w:rsidRPr="00F44FA4" w:rsidRDefault="006C63D5" w:rsidP="005B1C38">
            <w:pPr>
              <w:keepNext/>
              <w:keepLines/>
              <w:rPr>
                <w:rFonts w:cs="Arial"/>
                <w:b/>
                <w:bCs/>
                <w:color w:val="000000"/>
                <w:szCs w:val="20"/>
                <w:lang w:eastAsia="sl-SI"/>
              </w:rPr>
            </w:pPr>
            <w:r w:rsidRPr="00F44FA4">
              <w:rPr>
                <w:rFonts w:cs="Arial"/>
                <w:b/>
                <w:bCs/>
                <w:color w:val="000000"/>
                <w:szCs w:val="20"/>
                <w:lang w:eastAsia="sl-SI"/>
              </w:rPr>
              <w:t>Nižja poklicna, srednja poklicna izobrazba</w:t>
            </w:r>
          </w:p>
        </w:tc>
        <w:tc>
          <w:tcPr>
            <w:tcW w:w="539" w:type="pct"/>
            <w:shd w:val="clear" w:color="auto" w:fill="auto"/>
            <w:noWrap/>
            <w:vAlign w:val="bottom"/>
            <w:hideMark/>
          </w:tcPr>
          <w:p w14:paraId="5B36030C"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 xml:space="preserve">                   2.619   </w:t>
            </w:r>
          </w:p>
        </w:tc>
        <w:tc>
          <w:tcPr>
            <w:tcW w:w="461" w:type="pct"/>
            <w:shd w:val="clear" w:color="auto" w:fill="auto"/>
            <w:noWrap/>
            <w:vAlign w:val="bottom"/>
            <w:hideMark/>
          </w:tcPr>
          <w:p w14:paraId="421FC1D8"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 xml:space="preserve">                    3,40   </w:t>
            </w:r>
          </w:p>
        </w:tc>
        <w:tc>
          <w:tcPr>
            <w:tcW w:w="462" w:type="pct"/>
            <w:shd w:val="clear" w:color="auto" w:fill="auto"/>
            <w:noWrap/>
            <w:vAlign w:val="bottom"/>
            <w:hideMark/>
          </w:tcPr>
          <w:p w14:paraId="575C572E"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 xml:space="preserve">                 3.405   </w:t>
            </w:r>
          </w:p>
        </w:tc>
        <w:tc>
          <w:tcPr>
            <w:tcW w:w="461" w:type="pct"/>
            <w:shd w:val="clear" w:color="auto" w:fill="auto"/>
            <w:noWrap/>
            <w:vAlign w:val="bottom"/>
            <w:hideMark/>
          </w:tcPr>
          <w:p w14:paraId="0C896624"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 xml:space="preserve">                   4,58   </w:t>
            </w:r>
          </w:p>
        </w:tc>
        <w:tc>
          <w:tcPr>
            <w:tcW w:w="540" w:type="pct"/>
            <w:shd w:val="clear" w:color="auto" w:fill="auto"/>
            <w:noWrap/>
            <w:vAlign w:val="bottom"/>
            <w:hideMark/>
          </w:tcPr>
          <w:p w14:paraId="0E20322C"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 xml:space="preserve">               4.348   </w:t>
            </w:r>
          </w:p>
        </w:tc>
        <w:tc>
          <w:tcPr>
            <w:tcW w:w="421" w:type="pct"/>
            <w:shd w:val="clear" w:color="auto" w:fill="auto"/>
            <w:noWrap/>
            <w:vAlign w:val="bottom"/>
            <w:hideMark/>
          </w:tcPr>
          <w:p w14:paraId="04317337"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6,24</w:t>
            </w:r>
          </w:p>
        </w:tc>
      </w:tr>
      <w:tr w:rsidR="006C63D5" w:rsidRPr="00F44FA4" w14:paraId="49E7892F" w14:textId="77777777" w:rsidTr="00C473E5">
        <w:trPr>
          <w:trHeight w:val="288"/>
        </w:trPr>
        <w:tc>
          <w:tcPr>
            <w:tcW w:w="2116" w:type="pct"/>
            <w:shd w:val="clear" w:color="auto" w:fill="auto"/>
            <w:noWrap/>
            <w:vAlign w:val="bottom"/>
            <w:hideMark/>
          </w:tcPr>
          <w:p w14:paraId="292B7BCE" w14:textId="77777777" w:rsidR="006C63D5" w:rsidRPr="00F44FA4" w:rsidRDefault="006C63D5" w:rsidP="005B1C38">
            <w:pPr>
              <w:keepNext/>
              <w:keepLines/>
              <w:rPr>
                <w:rFonts w:cs="Arial"/>
                <w:b/>
                <w:bCs/>
                <w:color w:val="000000"/>
                <w:szCs w:val="20"/>
                <w:lang w:eastAsia="sl-SI"/>
              </w:rPr>
            </w:pPr>
            <w:r w:rsidRPr="00F44FA4">
              <w:rPr>
                <w:rFonts w:cs="Arial"/>
                <w:b/>
                <w:bCs/>
                <w:color w:val="000000"/>
                <w:szCs w:val="20"/>
                <w:lang w:eastAsia="sl-SI"/>
              </w:rPr>
              <w:t>Srednja strokovna izobrazba</w:t>
            </w:r>
          </w:p>
        </w:tc>
        <w:tc>
          <w:tcPr>
            <w:tcW w:w="539" w:type="pct"/>
            <w:shd w:val="clear" w:color="auto" w:fill="auto"/>
            <w:noWrap/>
            <w:vAlign w:val="bottom"/>
            <w:hideMark/>
          </w:tcPr>
          <w:p w14:paraId="043950E7"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 xml:space="preserve">                   1.810   </w:t>
            </w:r>
          </w:p>
        </w:tc>
        <w:tc>
          <w:tcPr>
            <w:tcW w:w="461" w:type="pct"/>
            <w:shd w:val="clear" w:color="auto" w:fill="auto"/>
            <w:noWrap/>
            <w:vAlign w:val="bottom"/>
            <w:hideMark/>
          </w:tcPr>
          <w:p w14:paraId="25E150D6"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 xml:space="preserve">                    2,35   </w:t>
            </w:r>
          </w:p>
        </w:tc>
        <w:tc>
          <w:tcPr>
            <w:tcW w:w="462" w:type="pct"/>
            <w:shd w:val="clear" w:color="auto" w:fill="auto"/>
            <w:noWrap/>
            <w:vAlign w:val="bottom"/>
            <w:hideMark/>
          </w:tcPr>
          <w:p w14:paraId="4FE6EDF2"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 xml:space="preserve">                 2.135   </w:t>
            </w:r>
          </w:p>
        </w:tc>
        <w:tc>
          <w:tcPr>
            <w:tcW w:w="461" w:type="pct"/>
            <w:shd w:val="clear" w:color="auto" w:fill="auto"/>
            <w:noWrap/>
            <w:vAlign w:val="bottom"/>
            <w:hideMark/>
          </w:tcPr>
          <w:p w14:paraId="69432C56"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 xml:space="preserve">                   2,87   </w:t>
            </w:r>
          </w:p>
        </w:tc>
        <w:tc>
          <w:tcPr>
            <w:tcW w:w="540" w:type="pct"/>
            <w:shd w:val="clear" w:color="auto" w:fill="auto"/>
            <w:noWrap/>
            <w:vAlign w:val="bottom"/>
            <w:hideMark/>
          </w:tcPr>
          <w:p w14:paraId="5108CDC3"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 xml:space="preserve">               3.559   </w:t>
            </w:r>
          </w:p>
        </w:tc>
        <w:tc>
          <w:tcPr>
            <w:tcW w:w="421" w:type="pct"/>
            <w:shd w:val="clear" w:color="auto" w:fill="auto"/>
            <w:noWrap/>
            <w:vAlign w:val="bottom"/>
            <w:hideMark/>
          </w:tcPr>
          <w:p w14:paraId="59CA889B"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5,11</w:t>
            </w:r>
          </w:p>
        </w:tc>
      </w:tr>
      <w:tr w:rsidR="006C63D5" w:rsidRPr="00F44FA4" w14:paraId="0F06695A" w14:textId="77777777" w:rsidTr="00C473E5">
        <w:trPr>
          <w:trHeight w:val="288"/>
        </w:trPr>
        <w:tc>
          <w:tcPr>
            <w:tcW w:w="2116" w:type="pct"/>
            <w:shd w:val="clear" w:color="auto" w:fill="auto"/>
            <w:noWrap/>
            <w:vAlign w:val="bottom"/>
            <w:hideMark/>
          </w:tcPr>
          <w:p w14:paraId="5286B8F9" w14:textId="77777777" w:rsidR="006C63D5" w:rsidRPr="00F44FA4" w:rsidRDefault="006C63D5" w:rsidP="005B1C38">
            <w:pPr>
              <w:keepNext/>
              <w:keepLines/>
              <w:rPr>
                <w:rFonts w:cs="Arial"/>
                <w:b/>
                <w:bCs/>
                <w:color w:val="000000"/>
                <w:szCs w:val="20"/>
                <w:lang w:eastAsia="sl-SI"/>
              </w:rPr>
            </w:pPr>
            <w:r w:rsidRPr="00F44FA4">
              <w:rPr>
                <w:rFonts w:cs="Arial"/>
                <w:b/>
                <w:bCs/>
                <w:color w:val="000000"/>
                <w:szCs w:val="20"/>
                <w:lang w:eastAsia="sl-SI"/>
              </w:rPr>
              <w:t>Višješolska, visokošolska izobrazba</w:t>
            </w:r>
          </w:p>
        </w:tc>
        <w:tc>
          <w:tcPr>
            <w:tcW w:w="539" w:type="pct"/>
            <w:shd w:val="clear" w:color="auto" w:fill="auto"/>
            <w:noWrap/>
            <w:vAlign w:val="bottom"/>
            <w:hideMark/>
          </w:tcPr>
          <w:p w14:paraId="15730DB0"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 xml:space="preserve">                681   </w:t>
            </w:r>
          </w:p>
        </w:tc>
        <w:tc>
          <w:tcPr>
            <w:tcW w:w="461" w:type="pct"/>
            <w:shd w:val="clear" w:color="auto" w:fill="auto"/>
            <w:noWrap/>
            <w:vAlign w:val="bottom"/>
            <w:hideMark/>
          </w:tcPr>
          <w:p w14:paraId="79E0DB9F"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 xml:space="preserve">                    0,88   </w:t>
            </w:r>
          </w:p>
        </w:tc>
        <w:tc>
          <w:tcPr>
            <w:tcW w:w="462" w:type="pct"/>
            <w:shd w:val="clear" w:color="auto" w:fill="auto"/>
            <w:noWrap/>
            <w:vAlign w:val="bottom"/>
            <w:hideMark/>
          </w:tcPr>
          <w:p w14:paraId="425655ED"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 xml:space="preserve">                 1.019   </w:t>
            </w:r>
          </w:p>
        </w:tc>
        <w:tc>
          <w:tcPr>
            <w:tcW w:w="461" w:type="pct"/>
            <w:shd w:val="clear" w:color="auto" w:fill="auto"/>
            <w:noWrap/>
            <w:vAlign w:val="bottom"/>
            <w:hideMark/>
          </w:tcPr>
          <w:p w14:paraId="052B45FC"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 xml:space="preserve">                   1,37   </w:t>
            </w:r>
          </w:p>
        </w:tc>
        <w:tc>
          <w:tcPr>
            <w:tcW w:w="540" w:type="pct"/>
            <w:shd w:val="clear" w:color="auto" w:fill="auto"/>
            <w:noWrap/>
            <w:vAlign w:val="bottom"/>
            <w:hideMark/>
          </w:tcPr>
          <w:p w14:paraId="682882B3"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 xml:space="preserve">               2.074   </w:t>
            </w:r>
          </w:p>
        </w:tc>
        <w:tc>
          <w:tcPr>
            <w:tcW w:w="421" w:type="pct"/>
            <w:shd w:val="clear" w:color="auto" w:fill="auto"/>
            <w:noWrap/>
            <w:vAlign w:val="bottom"/>
            <w:hideMark/>
          </w:tcPr>
          <w:p w14:paraId="752B0908"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2,98</w:t>
            </w:r>
          </w:p>
        </w:tc>
      </w:tr>
    </w:tbl>
    <w:p w14:paraId="0404557A" w14:textId="108054B8" w:rsidR="006C63D5" w:rsidRDefault="003C7942" w:rsidP="00395E29">
      <w:pPr>
        <w:keepNext/>
        <w:keepLines/>
        <w:rPr>
          <w:rFonts w:cs="Arial"/>
          <w:sz w:val="16"/>
          <w:szCs w:val="16"/>
        </w:rPr>
      </w:pPr>
      <w:r w:rsidRPr="003C7942">
        <w:rPr>
          <w:rFonts w:cs="Arial"/>
          <w:sz w:val="16"/>
          <w:szCs w:val="16"/>
        </w:rPr>
        <w:t>Vir: SURS</w:t>
      </w:r>
    </w:p>
    <w:p w14:paraId="1D428646" w14:textId="04BDD0C9" w:rsidR="006C63D5" w:rsidRDefault="006C63D5" w:rsidP="00AD76B1">
      <w:pPr>
        <w:spacing w:line="360" w:lineRule="auto"/>
        <w:jc w:val="both"/>
        <w:rPr>
          <w:rFonts w:cs="Arial"/>
          <w:szCs w:val="20"/>
        </w:rPr>
      </w:pPr>
      <w:r w:rsidRPr="003344A4">
        <w:rPr>
          <w:rFonts w:cs="Arial"/>
          <w:szCs w:val="20"/>
        </w:rPr>
        <w:t xml:space="preserve">Izobrazbena struktura nosilcev kmetijskih gospodarstev, mlajših do 35 let, kaže, da se od leta 2005 naprej povečuje tako delež tistih z osnovno kmetijsko izobrazbo, kot tistih s popolno kmetijsko izobrazbo. Vzporedno se zmanjšuje delež teh, ki imajo samo praktične izkušnje (z 61 % leta 2005 na 40 % leta 2016). Delež mlajših nosilcev kmetijskih gospodarstev s popolno kmetijsko izobrazbo je znatno višji od deleža vseh nosilcev kmetijskih gospodarstev s popolno kmetijsko izobrazbo. </w:t>
      </w:r>
    </w:p>
    <w:p w14:paraId="1C25E919" w14:textId="43AF308D" w:rsidR="006C63D5" w:rsidRPr="003344A4" w:rsidRDefault="00C9160B" w:rsidP="00DF0D48">
      <w:pPr>
        <w:pStyle w:val="SCPreglednica"/>
        <w:rPr>
          <w:sz w:val="16"/>
          <w:szCs w:val="16"/>
        </w:rPr>
      </w:pPr>
      <w:bookmarkStart w:id="128" w:name="_Toc55913738"/>
      <w:r>
        <w:t>Tabela</w:t>
      </w:r>
      <w:r w:rsidR="006C63D5" w:rsidRPr="003D6FF8">
        <w:t xml:space="preserve"> </w:t>
      </w:r>
      <w:r w:rsidR="0001708D">
        <w:rPr>
          <w:noProof/>
        </w:rPr>
        <w:fldChar w:fldCharType="begin"/>
      </w:r>
      <w:r w:rsidR="0001708D">
        <w:rPr>
          <w:noProof/>
        </w:rPr>
        <w:instrText xml:space="preserve"> SEQ Tabela \* ARABIC </w:instrText>
      </w:r>
      <w:r w:rsidR="0001708D">
        <w:rPr>
          <w:noProof/>
        </w:rPr>
        <w:fldChar w:fldCharType="separate"/>
      </w:r>
      <w:r w:rsidR="00DF0D48">
        <w:rPr>
          <w:noProof/>
        </w:rPr>
        <w:t>27</w:t>
      </w:r>
      <w:r w:rsidR="0001708D">
        <w:rPr>
          <w:noProof/>
        </w:rPr>
        <w:fldChar w:fldCharType="end"/>
      </w:r>
      <w:r w:rsidR="006C63D5" w:rsidRPr="003D6FF8">
        <w:t xml:space="preserve">: </w:t>
      </w:r>
      <w:r w:rsidR="006C63D5" w:rsidRPr="00CB4479">
        <w:t>Kmetijska izobrazba nosilcev kmetijskih gospodarstev</w:t>
      </w:r>
      <w:bookmarkEnd w:id="128"/>
    </w:p>
    <w:tbl>
      <w:tblPr>
        <w:tblW w:w="5000" w:type="pct"/>
        <w:tblCellMar>
          <w:left w:w="70" w:type="dxa"/>
          <w:right w:w="70" w:type="dxa"/>
        </w:tblCellMar>
        <w:tblLook w:val="04A0" w:firstRow="1" w:lastRow="0" w:firstColumn="1" w:lastColumn="0" w:noHBand="0" w:noVBand="1"/>
      </w:tblPr>
      <w:tblGrid>
        <w:gridCol w:w="2348"/>
        <w:gridCol w:w="2307"/>
        <w:gridCol w:w="1053"/>
        <w:gridCol w:w="1118"/>
        <w:gridCol w:w="1119"/>
        <w:gridCol w:w="1117"/>
      </w:tblGrid>
      <w:tr w:rsidR="006C63D5" w:rsidRPr="00F44FA4" w14:paraId="5BCCA338" w14:textId="77777777" w:rsidTr="003C7942">
        <w:trPr>
          <w:trHeight w:val="300"/>
        </w:trPr>
        <w:tc>
          <w:tcPr>
            <w:tcW w:w="1346" w:type="pct"/>
            <w:tcBorders>
              <w:top w:val="single" w:sz="4" w:space="0" w:color="7F7F7F"/>
              <w:left w:val="single" w:sz="4" w:space="0" w:color="7F7F7F"/>
              <w:bottom w:val="single" w:sz="4" w:space="0" w:color="auto"/>
              <w:right w:val="single" w:sz="4" w:space="0" w:color="7F7F7F"/>
            </w:tcBorders>
            <w:shd w:val="clear" w:color="auto" w:fill="92D050"/>
            <w:noWrap/>
            <w:vAlign w:val="bottom"/>
            <w:hideMark/>
          </w:tcPr>
          <w:p w14:paraId="756C2A5D" w14:textId="77777777" w:rsidR="006C63D5" w:rsidRPr="00F44FA4" w:rsidRDefault="006C63D5" w:rsidP="00DF0D48">
            <w:pPr>
              <w:spacing w:before="120" w:line="264" w:lineRule="auto"/>
              <w:rPr>
                <w:rFonts w:cs="Arial"/>
                <w:szCs w:val="20"/>
                <w:lang w:eastAsia="sl-SI"/>
              </w:rPr>
            </w:pPr>
            <w:r w:rsidRPr="00F44FA4">
              <w:rPr>
                <w:rFonts w:cs="Arial"/>
                <w:szCs w:val="20"/>
                <w:lang w:eastAsia="sl-SI"/>
              </w:rPr>
              <w:t> </w:t>
            </w:r>
          </w:p>
        </w:tc>
        <w:tc>
          <w:tcPr>
            <w:tcW w:w="1023" w:type="pct"/>
            <w:tcBorders>
              <w:top w:val="single" w:sz="4" w:space="0" w:color="7F7F7F"/>
              <w:left w:val="nil"/>
              <w:bottom w:val="single" w:sz="4" w:space="0" w:color="auto"/>
              <w:right w:val="nil"/>
            </w:tcBorders>
            <w:shd w:val="clear" w:color="auto" w:fill="92D050"/>
            <w:noWrap/>
            <w:vAlign w:val="bottom"/>
            <w:hideMark/>
          </w:tcPr>
          <w:p w14:paraId="51A21A29" w14:textId="77777777" w:rsidR="006C63D5" w:rsidRPr="00F44FA4" w:rsidRDefault="006C63D5" w:rsidP="00DF0D48">
            <w:pPr>
              <w:spacing w:before="120" w:line="264" w:lineRule="auto"/>
              <w:rPr>
                <w:rFonts w:cs="Arial"/>
                <w:szCs w:val="20"/>
                <w:lang w:eastAsia="sl-SI"/>
              </w:rPr>
            </w:pPr>
            <w:r w:rsidRPr="00F44FA4">
              <w:rPr>
                <w:rFonts w:cs="Arial"/>
                <w:szCs w:val="20"/>
                <w:lang w:eastAsia="sl-SI"/>
              </w:rPr>
              <w:t> </w:t>
            </w:r>
          </w:p>
        </w:tc>
        <w:tc>
          <w:tcPr>
            <w:tcW w:w="631"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52D271C8" w14:textId="77777777" w:rsidR="006C63D5" w:rsidRPr="00F44FA4" w:rsidRDefault="006C63D5" w:rsidP="00DF0D48">
            <w:pPr>
              <w:spacing w:before="120" w:line="264" w:lineRule="auto"/>
              <w:jc w:val="center"/>
              <w:rPr>
                <w:rFonts w:cs="Arial"/>
                <w:b/>
                <w:szCs w:val="20"/>
                <w:lang w:eastAsia="sl-SI"/>
              </w:rPr>
            </w:pPr>
            <w:r w:rsidRPr="00F44FA4">
              <w:rPr>
                <w:rFonts w:cs="Arial"/>
                <w:b/>
                <w:szCs w:val="20"/>
                <w:lang w:eastAsia="sl-SI"/>
              </w:rPr>
              <w:t>2005</w:t>
            </w:r>
          </w:p>
        </w:tc>
        <w:tc>
          <w:tcPr>
            <w:tcW w:w="667" w:type="pct"/>
            <w:tcBorders>
              <w:top w:val="single" w:sz="4" w:space="0" w:color="auto"/>
              <w:left w:val="nil"/>
              <w:bottom w:val="single" w:sz="4" w:space="0" w:color="auto"/>
              <w:right w:val="single" w:sz="4" w:space="0" w:color="auto"/>
            </w:tcBorders>
            <w:shd w:val="clear" w:color="auto" w:fill="92D050"/>
            <w:noWrap/>
            <w:vAlign w:val="bottom"/>
            <w:hideMark/>
          </w:tcPr>
          <w:p w14:paraId="6E63EC28" w14:textId="77777777" w:rsidR="006C63D5" w:rsidRPr="00F44FA4" w:rsidRDefault="006C63D5" w:rsidP="00DF0D48">
            <w:pPr>
              <w:spacing w:before="120" w:line="264" w:lineRule="auto"/>
              <w:jc w:val="center"/>
              <w:rPr>
                <w:rFonts w:cs="Arial"/>
                <w:b/>
                <w:szCs w:val="20"/>
                <w:lang w:eastAsia="sl-SI"/>
              </w:rPr>
            </w:pPr>
            <w:r w:rsidRPr="00F44FA4">
              <w:rPr>
                <w:rFonts w:cs="Arial"/>
                <w:b/>
                <w:szCs w:val="20"/>
                <w:lang w:eastAsia="sl-SI"/>
              </w:rPr>
              <w:t>2010</w:t>
            </w:r>
          </w:p>
        </w:tc>
        <w:tc>
          <w:tcPr>
            <w:tcW w:w="667" w:type="pct"/>
            <w:tcBorders>
              <w:top w:val="single" w:sz="4" w:space="0" w:color="auto"/>
              <w:left w:val="nil"/>
              <w:bottom w:val="single" w:sz="4" w:space="0" w:color="auto"/>
              <w:right w:val="single" w:sz="4" w:space="0" w:color="auto"/>
            </w:tcBorders>
            <w:shd w:val="clear" w:color="auto" w:fill="92D050"/>
            <w:noWrap/>
            <w:vAlign w:val="bottom"/>
            <w:hideMark/>
          </w:tcPr>
          <w:p w14:paraId="0A67A6F5" w14:textId="77777777" w:rsidR="006C63D5" w:rsidRPr="00F44FA4" w:rsidRDefault="006C63D5" w:rsidP="00DF0D48">
            <w:pPr>
              <w:spacing w:before="120" w:line="264" w:lineRule="auto"/>
              <w:jc w:val="center"/>
              <w:rPr>
                <w:rFonts w:cs="Arial"/>
                <w:b/>
                <w:szCs w:val="20"/>
                <w:lang w:eastAsia="sl-SI"/>
              </w:rPr>
            </w:pPr>
            <w:r w:rsidRPr="00F44FA4">
              <w:rPr>
                <w:rFonts w:cs="Arial"/>
                <w:b/>
                <w:szCs w:val="20"/>
                <w:lang w:eastAsia="sl-SI"/>
              </w:rPr>
              <w:t>2013</w:t>
            </w:r>
          </w:p>
        </w:tc>
        <w:tc>
          <w:tcPr>
            <w:tcW w:w="666" w:type="pct"/>
            <w:tcBorders>
              <w:top w:val="single" w:sz="4" w:space="0" w:color="auto"/>
              <w:left w:val="nil"/>
              <w:bottom w:val="single" w:sz="4" w:space="0" w:color="auto"/>
              <w:right w:val="single" w:sz="4" w:space="0" w:color="auto"/>
            </w:tcBorders>
            <w:shd w:val="clear" w:color="auto" w:fill="92D050"/>
            <w:noWrap/>
            <w:vAlign w:val="bottom"/>
            <w:hideMark/>
          </w:tcPr>
          <w:p w14:paraId="457CB230" w14:textId="77777777" w:rsidR="006C63D5" w:rsidRPr="00F44FA4" w:rsidRDefault="006C63D5" w:rsidP="00DF0D48">
            <w:pPr>
              <w:spacing w:before="120" w:line="264" w:lineRule="auto"/>
              <w:jc w:val="center"/>
              <w:rPr>
                <w:rFonts w:cs="Arial"/>
                <w:b/>
                <w:szCs w:val="20"/>
                <w:lang w:eastAsia="sl-SI"/>
              </w:rPr>
            </w:pPr>
            <w:r w:rsidRPr="00F44FA4">
              <w:rPr>
                <w:rFonts w:cs="Arial"/>
                <w:b/>
                <w:szCs w:val="20"/>
                <w:lang w:eastAsia="sl-SI"/>
              </w:rPr>
              <w:t>2016</w:t>
            </w:r>
          </w:p>
        </w:tc>
      </w:tr>
      <w:tr w:rsidR="006C63D5" w:rsidRPr="00F44FA4" w14:paraId="666A2AC3" w14:textId="77777777" w:rsidTr="003C7942">
        <w:trPr>
          <w:trHeight w:val="622"/>
        </w:trPr>
        <w:tc>
          <w:tcPr>
            <w:tcW w:w="134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49E75A2" w14:textId="77777777" w:rsidR="006C63D5" w:rsidRPr="00F44FA4" w:rsidRDefault="006C63D5" w:rsidP="00DF0D48">
            <w:pPr>
              <w:spacing w:before="120" w:line="264" w:lineRule="auto"/>
              <w:rPr>
                <w:rFonts w:cs="Arial"/>
                <w:b/>
                <w:szCs w:val="20"/>
                <w:lang w:eastAsia="sl-SI"/>
              </w:rPr>
            </w:pPr>
            <w:r w:rsidRPr="00F44FA4">
              <w:rPr>
                <w:rFonts w:cs="Arial"/>
                <w:b/>
                <w:szCs w:val="20"/>
                <w:lang w:eastAsia="sl-SI"/>
              </w:rPr>
              <w:t>Nosilci kmetijskih gospodarstev mlajši od 35 let s kmetijsko izobrazbo</w:t>
            </w:r>
          </w:p>
        </w:tc>
        <w:tc>
          <w:tcPr>
            <w:tcW w:w="1023" w:type="pct"/>
            <w:tcBorders>
              <w:top w:val="single" w:sz="4" w:space="0" w:color="auto"/>
              <w:left w:val="nil"/>
              <w:bottom w:val="single" w:sz="4" w:space="0" w:color="auto"/>
              <w:right w:val="single" w:sz="4" w:space="0" w:color="auto"/>
            </w:tcBorders>
            <w:shd w:val="clear" w:color="auto" w:fill="auto"/>
            <w:noWrap/>
            <w:vAlign w:val="bottom"/>
            <w:hideMark/>
          </w:tcPr>
          <w:p w14:paraId="5E139CF8" w14:textId="77777777" w:rsidR="006C63D5" w:rsidRPr="00F44FA4" w:rsidRDefault="006C63D5" w:rsidP="00DF0D48">
            <w:pPr>
              <w:spacing w:before="120" w:line="264" w:lineRule="auto"/>
              <w:rPr>
                <w:rFonts w:cs="Arial"/>
                <w:b/>
                <w:szCs w:val="20"/>
                <w:lang w:eastAsia="sl-SI"/>
              </w:rPr>
            </w:pPr>
            <w:r w:rsidRPr="00F44FA4">
              <w:rPr>
                <w:rFonts w:cs="Arial"/>
                <w:b/>
                <w:szCs w:val="20"/>
                <w:lang w:eastAsia="sl-SI"/>
              </w:rPr>
              <w:t>osnovna izobrazba (%)</w:t>
            </w:r>
          </w:p>
        </w:tc>
        <w:tc>
          <w:tcPr>
            <w:tcW w:w="631" w:type="pct"/>
            <w:tcBorders>
              <w:top w:val="single" w:sz="4" w:space="0" w:color="auto"/>
              <w:left w:val="nil"/>
              <w:bottom w:val="single" w:sz="4" w:space="0" w:color="auto"/>
              <w:right w:val="single" w:sz="4" w:space="0" w:color="auto"/>
            </w:tcBorders>
            <w:shd w:val="clear" w:color="auto" w:fill="auto"/>
            <w:noWrap/>
            <w:vAlign w:val="bottom"/>
            <w:hideMark/>
          </w:tcPr>
          <w:p w14:paraId="3179BD1F" w14:textId="77777777" w:rsidR="006C63D5" w:rsidRPr="00F44FA4" w:rsidRDefault="006C63D5" w:rsidP="00DF0D48">
            <w:pPr>
              <w:spacing w:before="120" w:line="264" w:lineRule="auto"/>
              <w:jc w:val="right"/>
              <w:rPr>
                <w:rFonts w:cs="Arial"/>
                <w:szCs w:val="20"/>
                <w:lang w:eastAsia="sl-SI"/>
              </w:rPr>
            </w:pPr>
            <w:r w:rsidRPr="00F44FA4">
              <w:rPr>
                <w:rFonts w:cs="Arial"/>
                <w:szCs w:val="20"/>
                <w:lang w:eastAsia="sl-SI"/>
              </w:rPr>
              <w:t>19,24</w:t>
            </w:r>
          </w:p>
        </w:tc>
        <w:tc>
          <w:tcPr>
            <w:tcW w:w="667" w:type="pct"/>
            <w:tcBorders>
              <w:top w:val="single" w:sz="4" w:space="0" w:color="auto"/>
              <w:left w:val="nil"/>
              <w:bottom w:val="single" w:sz="4" w:space="0" w:color="auto"/>
              <w:right w:val="single" w:sz="4" w:space="0" w:color="auto"/>
            </w:tcBorders>
            <w:shd w:val="clear" w:color="auto" w:fill="auto"/>
            <w:noWrap/>
            <w:vAlign w:val="bottom"/>
            <w:hideMark/>
          </w:tcPr>
          <w:p w14:paraId="26591EBD" w14:textId="77777777" w:rsidR="006C63D5" w:rsidRPr="00F44FA4" w:rsidRDefault="006C63D5" w:rsidP="00DF0D48">
            <w:pPr>
              <w:spacing w:before="120" w:line="264" w:lineRule="auto"/>
              <w:jc w:val="right"/>
              <w:rPr>
                <w:rFonts w:cs="Arial"/>
                <w:szCs w:val="20"/>
                <w:lang w:eastAsia="sl-SI"/>
              </w:rPr>
            </w:pPr>
            <w:r w:rsidRPr="00F44FA4">
              <w:rPr>
                <w:rFonts w:cs="Arial"/>
                <w:szCs w:val="20"/>
                <w:lang w:eastAsia="sl-SI"/>
              </w:rPr>
              <w:t>24,07</w:t>
            </w:r>
          </w:p>
        </w:tc>
        <w:tc>
          <w:tcPr>
            <w:tcW w:w="667" w:type="pct"/>
            <w:tcBorders>
              <w:top w:val="single" w:sz="4" w:space="0" w:color="auto"/>
              <w:left w:val="nil"/>
              <w:bottom w:val="single" w:sz="4" w:space="0" w:color="auto"/>
              <w:right w:val="single" w:sz="4" w:space="0" w:color="auto"/>
            </w:tcBorders>
            <w:shd w:val="clear" w:color="auto" w:fill="auto"/>
            <w:noWrap/>
            <w:vAlign w:val="bottom"/>
            <w:hideMark/>
          </w:tcPr>
          <w:p w14:paraId="43FCEF48" w14:textId="77777777" w:rsidR="006C63D5" w:rsidRPr="00F44FA4" w:rsidRDefault="006C63D5" w:rsidP="00DF0D48">
            <w:pPr>
              <w:spacing w:before="120" w:line="264" w:lineRule="auto"/>
              <w:jc w:val="right"/>
              <w:rPr>
                <w:rFonts w:cs="Arial"/>
                <w:szCs w:val="20"/>
                <w:lang w:eastAsia="sl-SI"/>
              </w:rPr>
            </w:pPr>
            <w:r w:rsidRPr="00F44FA4">
              <w:rPr>
                <w:rFonts w:cs="Arial"/>
                <w:szCs w:val="20"/>
                <w:lang w:eastAsia="sl-SI"/>
              </w:rPr>
              <w:t>31,41</w:t>
            </w:r>
          </w:p>
        </w:tc>
        <w:tc>
          <w:tcPr>
            <w:tcW w:w="666" w:type="pct"/>
            <w:tcBorders>
              <w:top w:val="single" w:sz="4" w:space="0" w:color="auto"/>
              <w:left w:val="nil"/>
              <w:bottom w:val="single" w:sz="4" w:space="0" w:color="auto"/>
              <w:right w:val="single" w:sz="4" w:space="0" w:color="auto"/>
            </w:tcBorders>
            <w:shd w:val="clear" w:color="auto" w:fill="auto"/>
            <w:noWrap/>
            <w:vAlign w:val="bottom"/>
            <w:hideMark/>
          </w:tcPr>
          <w:p w14:paraId="597486F4" w14:textId="77777777" w:rsidR="006C63D5" w:rsidRPr="00F44FA4" w:rsidRDefault="006C63D5" w:rsidP="00DF0D48">
            <w:pPr>
              <w:spacing w:before="120" w:line="264" w:lineRule="auto"/>
              <w:jc w:val="right"/>
              <w:rPr>
                <w:rFonts w:cs="Arial"/>
                <w:szCs w:val="20"/>
                <w:lang w:eastAsia="sl-SI"/>
              </w:rPr>
            </w:pPr>
            <w:r w:rsidRPr="00F44FA4">
              <w:rPr>
                <w:rFonts w:cs="Arial"/>
                <w:szCs w:val="20"/>
                <w:lang w:eastAsia="sl-SI"/>
              </w:rPr>
              <w:t>29,72</w:t>
            </w:r>
          </w:p>
        </w:tc>
      </w:tr>
      <w:tr w:rsidR="006C63D5" w:rsidRPr="00F44FA4" w14:paraId="79A2F5CE" w14:textId="77777777" w:rsidTr="003C7942">
        <w:trPr>
          <w:trHeight w:val="300"/>
        </w:trPr>
        <w:tc>
          <w:tcPr>
            <w:tcW w:w="13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F758CE" w14:textId="77777777" w:rsidR="006C63D5" w:rsidRPr="00F44FA4" w:rsidRDefault="006C63D5" w:rsidP="00DF0D48">
            <w:pPr>
              <w:spacing w:before="120" w:line="264" w:lineRule="auto"/>
              <w:rPr>
                <w:rFonts w:cs="Arial"/>
                <w:b/>
                <w:szCs w:val="20"/>
                <w:lang w:eastAsia="sl-SI"/>
              </w:rPr>
            </w:pPr>
          </w:p>
        </w:tc>
        <w:tc>
          <w:tcPr>
            <w:tcW w:w="1023" w:type="pct"/>
            <w:tcBorders>
              <w:top w:val="single" w:sz="4" w:space="0" w:color="auto"/>
              <w:left w:val="nil"/>
              <w:bottom w:val="single" w:sz="4" w:space="0" w:color="auto"/>
              <w:right w:val="single" w:sz="4" w:space="0" w:color="auto"/>
            </w:tcBorders>
            <w:shd w:val="clear" w:color="auto" w:fill="auto"/>
            <w:noWrap/>
            <w:vAlign w:val="bottom"/>
            <w:hideMark/>
          </w:tcPr>
          <w:p w14:paraId="591681C5" w14:textId="77777777" w:rsidR="006C63D5" w:rsidRPr="00F44FA4" w:rsidRDefault="006C63D5" w:rsidP="00DF0D48">
            <w:pPr>
              <w:spacing w:before="120" w:line="264" w:lineRule="auto"/>
              <w:rPr>
                <w:rFonts w:cs="Arial"/>
                <w:b/>
                <w:szCs w:val="20"/>
                <w:lang w:eastAsia="sl-SI"/>
              </w:rPr>
            </w:pPr>
            <w:r w:rsidRPr="00F44FA4">
              <w:rPr>
                <w:rFonts w:cs="Arial"/>
                <w:b/>
                <w:szCs w:val="20"/>
                <w:lang w:eastAsia="sl-SI"/>
              </w:rPr>
              <w:t>popolna izobrazba (%)</w:t>
            </w:r>
          </w:p>
        </w:tc>
        <w:tc>
          <w:tcPr>
            <w:tcW w:w="631" w:type="pct"/>
            <w:tcBorders>
              <w:top w:val="single" w:sz="4" w:space="0" w:color="auto"/>
              <w:left w:val="nil"/>
              <w:bottom w:val="single" w:sz="4" w:space="0" w:color="auto"/>
              <w:right w:val="single" w:sz="4" w:space="0" w:color="auto"/>
            </w:tcBorders>
            <w:shd w:val="clear" w:color="auto" w:fill="auto"/>
            <w:noWrap/>
            <w:vAlign w:val="bottom"/>
            <w:hideMark/>
          </w:tcPr>
          <w:p w14:paraId="4F7D3F7A" w14:textId="77777777" w:rsidR="006C63D5" w:rsidRPr="00F44FA4" w:rsidRDefault="006C63D5" w:rsidP="00DF0D48">
            <w:pPr>
              <w:spacing w:before="120" w:line="264" w:lineRule="auto"/>
              <w:jc w:val="right"/>
              <w:rPr>
                <w:rFonts w:cs="Arial"/>
                <w:szCs w:val="20"/>
                <w:lang w:eastAsia="sl-SI"/>
              </w:rPr>
            </w:pPr>
            <w:r w:rsidRPr="00F44FA4">
              <w:rPr>
                <w:rFonts w:cs="Arial"/>
                <w:szCs w:val="20"/>
                <w:lang w:eastAsia="sl-SI"/>
              </w:rPr>
              <w:t>19,53</w:t>
            </w:r>
          </w:p>
        </w:tc>
        <w:tc>
          <w:tcPr>
            <w:tcW w:w="667" w:type="pct"/>
            <w:tcBorders>
              <w:top w:val="single" w:sz="4" w:space="0" w:color="auto"/>
              <w:left w:val="nil"/>
              <w:bottom w:val="single" w:sz="4" w:space="0" w:color="auto"/>
              <w:right w:val="single" w:sz="4" w:space="0" w:color="auto"/>
            </w:tcBorders>
            <w:shd w:val="clear" w:color="auto" w:fill="auto"/>
            <w:noWrap/>
            <w:vAlign w:val="bottom"/>
            <w:hideMark/>
          </w:tcPr>
          <w:p w14:paraId="12F90E27" w14:textId="77777777" w:rsidR="006C63D5" w:rsidRPr="00F44FA4" w:rsidRDefault="006C63D5" w:rsidP="00DF0D48">
            <w:pPr>
              <w:spacing w:before="120" w:line="264" w:lineRule="auto"/>
              <w:jc w:val="right"/>
              <w:rPr>
                <w:rFonts w:cs="Arial"/>
                <w:szCs w:val="20"/>
                <w:lang w:eastAsia="sl-SI"/>
              </w:rPr>
            </w:pPr>
            <w:r w:rsidRPr="00F44FA4">
              <w:rPr>
                <w:rFonts w:cs="Arial"/>
                <w:szCs w:val="20"/>
                <w:lang w:eastAsia="sl-SI"/>
              </w:rPr>
              <w:t>22,84</w:t>
            </w:r>
          </w:p>
        </w:tc>
        <w:tc>
          <w:tcPr>
            <w:tcW w:w="667" w:type="pct"/>
            <w:tcBorders>
              <w:top w:val="single" w:sz="4" w:space="0" w:color="auto"/>
              <w:left w:val="nil"/>
              <w:bottom w:val="single" w:sz="4" w:space="0" w:color="auto"/>
              <w:right w:val="single" w:sz="4" w:space="0" w:color="auto"/>
            </w:tcBorders>
            <w:shd w:val="clear" w:color="auto" w:fill="auto"/>
            <w:noWrap/>
            <w:vAlign w:val="bottom"/>
            <w:hideMark/>
          </w:tcPr>
          <w:p w14:paraId="77A0B80B" w14:textId="77777777" w:rsidR="006C63D5" w:rsidRPr="00F44FA4" w:rsidRDefault="006C63D5" w:rsidP="00DF0D48">
            <w:pPr>
              <w:spacing w:before="120" w:line="264" w:lineRule="auto"/>
              <w:jc w:val="right"/>
              <w:rPr>
                <w:rFonts w:cs="Arial"/>
                <w:szCs w:val="20"/>
                <w:lang w:eastAsia="sl-SI"/>
              </w:rPr>
            </w:pPr>
            <w:r w:rsidRPr="00F44FA4">
              <w:rPr>
                <w:rFonts w:cs="Arial"/>
                <w:szCs w:val="20"/>
                <w:lang w:eastAsia="sl-SI"/>
              </w:rPr>
              <w:t>25,36</w:t>
            </w:r>
          </w:p>
        </w:tc>
        <w:tc>
          <w:tcPr>
            <w:tcW w:w="666" w:type="pct"/>
            <w:tcBorders>
              <w:top w:val="single" w:sz="4" w:space="0" w:color="auto"/>
              <w:left w:val="nil"/>
              <w:bottom w:val="single" w:sz="4" w:space="0" w:color="auto"/>
              <w:right w:val="single" w:sz="4" w:space="0" w:color="auto"/>
            </w:tcBorders>
            <w:shd w:val="clear" w:color="auto" w:fill="auto"/>
            <w:noWrap/>
            <w:vAlign w:val="bottom"/>
            <w:hideMark/>
          </w:tcPr>
          <w:p w14:paraId="6BC181F1" w14:textId="77777777" w:rsidR="006C63D5" w:rsidRPr="00F44FA4" w:rsidRDefault="006C63D5" w:rsidP="00DF0D48">
            <w:pPr>
              <w:spacing w:before="120" w:line="264" w:lineRule="auto"/>
              <w:jc w:val="right"/>
              <w:rPr>
                <w:rFonts w:cs="Arial"/>
                <w:szCs w:val="20"/>
                <w:lang w:eastAsia="sl-SI"/>
              </w:rPr>
            </w:pPr>
            <w:r w:rsidRPr="00F44FA4">
              <w:rPr>
                <w:rFonts w:cs="Arial"/>
                <w:szCs w:val="20"/>
                <w:lang w:eastAsia="sl-SI"/>
              </w:rPr>
              <w:t>29,41</w:t>
            </w:r>
          </w:p>
        </w:tc>
      </w:tr>
      <w:tr w:rsidR="006C63D5" w:rsidRPr="00F44FA4" w14:paraId="594193BE" w14:textId="77777777" w:rsidTr="003C7942">
        <w:trPr>
          <w:trHeight w:val="527"/>
        </w:trPr>
        <w:tc>
          <w:tcPr>
            <w:tcW w:w="1346" w:type="pct"/>
            <w:vMerge w:val="restart"/>
            <w:tcBorders>
              <w:top w:val="nil"/>
              <w:left w:val="single" w:sz="4" w:space="0" w:color="auto"/>
              <w:bottom w:val="single" w:sz="4" w:space="0" w:color="auto"/>
              <w:right w:val="single" w:sz="4" w:space="0" w:color="auto"/>
            </w:tcBorders>
            <w:shd w:val="clear" w:color="auto" w:fill="auto"/>
            <w:vAlign w:val="bottom"/>
            <w:hideMark/>
          </w:tcPr>
          <w:p w14:paraId="7BBCD864" w14:textId="77777777" w:rsidR="006C63D5" w:rsidRPr="00F44FA4" w:rsidRDefault="006C63D5" w:rsidP="00DF0D48">
            <w:pPr>
              <w:spacing w:before="120" w:line="264" w:lineRule="auto"/>
              <w:rPr>
                <w:rFonts w:cs="Arial"/>
                <w:b/>
                <w:szCs w:val="20"/>
                <w:lang w:eastAsia="sl-SI"/>
              </w:rPr>
            </w:pPr>
            <w:r w:rsidRPr="00F44FA4">
              <w:rPr>
                <w:rFonts w:cs="Arial"/>
                <w:b/>
                <w:szCs w:val="20"/>
                <w:lang w:eastAsia="sl-SI"/>
              </w:rPr>
              <w:t>Nosilci kmetijskih gospodarstev s kmetijsko izobrazbo skupaj</w:t>
            </w:r>
          </w:p>
        </w:tc>
        <w:tc>
          <w:tcPr>
            <w:tcW w:w="1023" w:type="pct"/>
            <w:tcBorders>
              <w:top w:val="single" w:sz="4" w:space="0" w:color="auto"/>
              <w:left w:val="nil"/>
              <w:bottom w:val="single" w:sz="4" w:space="0" w:color="auto"/>
              <w:right w:val="single" w:sz="4" w:space="0" w:color="auto"/>
            </w:tcBorders>
            <w:shd w:val="clear" w:color="auto" w:fill="auto"/>
            <w:noWrap/>
            <w:vAlign w:val="bottom"/>
            <w:hideMark/>
          </w:tcPr>
          <w:p w14:paraId="16C67E93" w14:textId="77777777" w:rsidR="006C63D5" w:rsidRPr="00F44FA4" w:rsidRDefault="006C63D5" w:rsidP="00DF0D48">
            <w:pPr>
              <w:spacing w:before="120" w:line="264" w:lineRule="auto"/>
              <w:rPr>
                <w:rFonts w:cs="Arial"/>
                <w:b/>
                <w:szCs w:val="20"/>
                <w:lang w:eastAsia="sl-SI"/>
              </w:rPr>
            </w:pPr>
            <w:r w:rsidRPr="00F44FA4">
              <w:rPr>
                <w:rFonts w:cs="Arial"/>
                <w:b/>
                <w:szCs w:val="20"/>
                <w:lang w:eastAsia="sl-SI"/>
              </w:rPr>
              <w:t>osnovna izobrazba (%)</w:t>
            </w:r>
          </w:p>
        </w:tc>
        <w:tc>
          <w:tcPr>
            <w:tcW w:w="631" w:type="pct"/>
            <w:tcBorders>
              <w:top w:val="single" w:sz="4" w:space="0" w:color="auto"/>
              <w:left w:val="nil"/>
              <w:bottom w:val="single" w:sz="4" w:space="0" w:color="auto"/>
              <w:right w:val="single" w:sz="4" w:space="0" w:color="auto"/>
            </w:tcBorders>
            <w:shd w:val="clear" w:color="auto" w:fill="auto"/>
            <w:noWrap/>
            <w:vAlign w:val="bottom"/>
            <w:hideMark/>
          </w:tcPr>
          <w:p w14:paraId="57F285D2" w14:textId="77777777" w:rsidR="006C63D5" w:rsidRPr="00F44FA4" w:rsidRDefault="006C63D5" w:rsidP="00DF0D48">
            <w:pPr>
              <w:spacing w:before="120" w:line="264" w:lineRule="auto"/>
              <w:jc w:val="right"/>
              <w:rPr>
                <w:rFonts w:cs="Arial"/>
                <w:szCs w:val="20"/>
                <w:lang w:eastAsia="sl-SI"/>
              </w:rPr>
            </w:pPr>
            <w:r w:rsidRPr="00F44FA4">
              <w:rPr>
                <w:rFonts w:cs="Arial"/>
                <w:szCs w:val="20"/>
                <w:lang w:eastAsia="sl-SI"/>
              </w:rPr>
              <w:t>21,21</w:t>
            </w:r>
          </w:p>
        </w:tc>
        <w:tc>
          <w:tcPr>
            <w:tcW w:w="667" w:type="pct"/>
            <w:tcBorders>
              <w:top w:val="single" w:sz="4" w:space="0" w:color="auto"/>
              <w:left w:val="nil"/>
              <w:bottom w:val="single" w:sz="4" w:space="0" w:color="auto"/>
              <w:right w:val="single" w:sz="4" w:space="0" w:color="auto"/>
            </w:tcBorders>
            <w:shd w:val="clear" w:color="auto" w:fill="auto"/>
            <w:noWrap/>
            <w:vAlign w:val="bottom"/>
            <w:hideMark/>
          </w:tcPr>
          <w:p w14:paraId="0E04C0E1" w14:textId="77777777" w:rsidR="006C63D5" w:rsidRPr="00F44FA4" w:rsidRDefault="006C63D5" w:rsidP="00DF0D48">
            <w:pPr>
              <w:spacing w:before="120" w:line="264" w:lineRule="auto"/>
              <w:jc w:val="right"/>
              <w:rPr>
                <w:rFonts w:cs="Arial"/>
                <w:szCs w:val="20"/>
                <w:lang w:eastAsia="sl-SI"/>
              </w:rPr>
            </w:pPr>
            <w:r w:rsidRPr="00F44FA4">
              <w:rPr>
                <w:rFonts w:cs="Arial"/>
                <w:szCs w:val="20"/>
                <w:lang w:eastAsia="sl-SI"/>
              </w:rPr>
              <w:t>26,71</w:t>
            </w:r>
          </w:p>
        </w:tc>
        <w:tc>
          <w:tcPr>
            <w:tcW w:w="667" w:type="pct"/>
            <w:tcBorders>
              <w:top w:val="single" w:sz="4" w:space="0" w:color="auto"/>
              <w:left w:val="nil"/>
              <w:bottom w:val="single" w:sz="4" w:space="0" w:color="auto"/>
              <w:right w:val="single" w:sz="4" w:space="0" w:color="auto"/>
            </w:tcBorders>
            <w:shd w:val="clear" w:color="auto" w:fill="auto"/>
            <w:noWrap/>
            <w:vAlign w:val="bottom"/>
            <w:hideMark/>
          </w:tcPr>
          <w:p w14:paraId="67682751" w14:textId="77777777" w:rsidR="006C63D5" w:rsidRPr="00F44FA4" w:rsidRDefault="006C63D5" w:rsidP="00DF0D48">
            <w:pPr>
              <w:spacing w:before="120" w:line="264" w:lineRule="auto"/>
              <w:jc w:val="right"/>
              <w:rPr>
                <w:rFonts w:cs="Arial"/>
                <w:szCs w:val="20"/>
                <w:lang w:eastAsia="sl-SI"/>
              </w:rPr>
            </w:pPr>
            <w:r w:rsidRPr="00F44FA4">
              <w:rPr>
                <w:rFonts w:cs="Arial"/>
                <w:szCs w:val="20"/>
                <w:lang w:eastAsia="sl-SI"/>
              </w:rPr>
              <w:t>38,19</w:t>
            </w:r>
          </w:p>
        </w:tc>
        <w:tc>
          <w:tcPr>
            <w:tcW w:w="666" w:type="pct"/>
            <w:tcBorders>
              <w:top w:val="single" w:sz="4" w:space="0" w:color="auto"/>
              <w:left w:val="nil"/>
              <w:bottom w:val="single" w:sz="4" w:space="0" w:color="auto"/>
              <w:right w:val="single" w:sz="4" w:space="0" w:color="auto"/>
            </w:tcBorders>
            <w:shd w:val="clear" w:color="auto" w:fill="auto"/>
            <w:noWrap/>
            <w:vAlign w:val="bottom"/>
            <w:hideMark/>
          </w:tcPr>
          <w:p w14:paraId="21B93561" w14:textId="77777777" w:rsidR="006C63D5" w:rsidRPr="00F44FA4" w:rsidRDefault="006C63D5" w:rsidP="00DF0D48">
            <w:pPr>
              <w:spacing w:before="120" w:line="264" w:lineRule="auto"/>
              <w:jc w:val="right"/>
              <w:rPr>
                <w:rFonts w:cs="Arial"/>
                <w:szCs w:val="20"/>
                <w:lang w:eastAsia="sl-SI"/>
              </w:rPr>
            </w:pPr>
            <w:r w:rsidRPr="00F44FA4">
              <w:rPr>
                <w:rFonts w:cs="Arial"/>
                <w:szCs w:val="20"/>
                <w:lang w:eastAsia="sl-SI"/>
              </w:rPr>
              <w:t>35,41</w:t>
            </w:r>
          </w:p>
        </w:tc>
      </w:tr>
      <w:tr w:rsidR="006C63D5" w:rsidRPr="00F44FA4" w14:paraId="409B8DCF" w14:textId="77777777" w:rsidTr="003C7942">
        <w:trPr>
          <w:trHeight w:val="300"/>
        </w:trPr>
        <w:tc>
          <w:tcPr>
            <w:tcW w:w="1346" w:type="pct"/>
            <w:vMerge/>
            <w:tcBorders>
              <w:top w:val="nil"/>
              <w:left w:val="single" w:sz="4" w:space="0" w:color="auto"/>
              <w:bottom w:val="single" w:sz="4" w:space="0" w:color="auto"/>
              <w:right w:val="single" w:sz="4" w:space="0" w:color="auto"/>
            </w:tcBorders>
            <w:shd w:val="clear" w:color="auto" w:fill="auto"/>
            <w:vAlign w:val="center"/>
            <w:hideMark/>
          </w:tcPr>
          <w:p w14:paraId="43CDC121" w14:textId="77777777" w:rsidR="006C63D5" w:rsidRPr="00F44FA4" w:rsidRDefault="006C63D5" w:rsidP="00DF0D48">
            <w:pPr>
              <w:spacing w:before="120" w:line="264" w:lineRule="auto"/>
              <w:rPr>
                <w:rFonts w:cs="Arial"/>
                <w:b/>
                <w:szCs w:val="20"/>
                <w:lang w:eastAsia="sl-SI"/>
              </w:rPr>
            </w:pPr>
          </w:p>
        </w:tc>
        <w:tc>
          <w:tcPr>
            <w:tcW w:w="1023" w:type="pct"/>
            <w:tcBorders>
              <w:top w:val="single" w:sz="4" w:space="0" w:color="auto"/>
              <w:left w:val="nil"/>
              <w:bottom w:val="single" w:sz="4" w:space="0" w:color="auto"/>
              <w:right w:val="single" w:sz="4" w:space="0" w:color="auto"/>
            </w:tcBorders>
            <w:shd w:val="clear" w:color="auto" w:fill="auto"/>
            <w:noWrap/>
            <w:vAlign w:val="bottom"/>
            <w:hideMark/>
          </w:tcPr>
          <w:p w14:paraId="4776F86A" w14:textId="77777777" w:rsidR="006C63D5" w:rsidRPr="00F44FA4" w:rsidRDefault="006C63D5" w:rsidP="00DF0D48">
            <w:pPr>
              <w:spacing w:before="120" w:line="264" w:lineRule="auto"/>
              <w:rPr>
                <w:rFonts w:cs="Arial"/>
                <w:b/>
                <w:szCs w:val="20"/>
                <w:lang w:eastAsia="sl-SI"/>
              </w:rPr>
            </w:pPr>
            <w:r w:rsidRPr="00F44FA4">
              <w:rPr>
                <w:rFonts w:cs="Arial"/>
                <w:b/>
                <w:szCs w:val="20"/>
                <w:lang w:eastAsia="sl-SI"/>
              </w:rPr>
              <w:t>popolna izobrazba (%)</w:t>
            </w:r>
          </w:p>
        </w:tc>
        <w:tc>
          <w:tcPr>
            <w:tcW w:w="631" w:type="pct"/>
            <w:tcBorders>
              <w:top w:val="single" w:sz="4" w:space="0" w:color="auto"/>
              <w:left w:val="nil"/>
              <w:bottom w:val="single" w:sz="4" w:space="0" w:color="auto"/>
              <w:right w:val="single" w:sz="4" w:space="0" w:color="auto"/>
            </w:tcBorders>
            <w:shd w:val="clear" w:color="auto" w:fill="auto"/>
            <w:noWrap/>
            <w:vAlign w:val="bottom"/>
            <w:hideMark/>
          </w:tcPr>
          <w:p w14:paraId="3A24C3CA" w14:textId="77777777" w:rsidR="006C63D5" w:rsidRPr="00F44FA4" w:rsidRDefault="006C63D5" w:rsidP="00DF0D48">
            <w:pPr>
              <w:spacing w:before="120" w:line="264" w:lineRule="auto"/>
              <w:jc w:val="right"/>
              <w:rPr>
                <w:rFonts w:cs="Arial"/>
                <w:szCs w:val="20"/>
                <w:lang w:eastAsia="sl-SI"/>
              </w:rPr>
            </w:pPr>
            <w:r w:rsidRPr="00F44FA4">
              <w:rPr>
                <w:rFonts w:cs="Arial"/>
                <w:szCs w:val="20"/>
                <w:lang w:eastAsia="sl-SI"/>
              </w:rPr>
              <w:t>6,76</w:t>
            </w:r>
          </w:p>
        </w:tc>
        <w:tc>
          <w:tcPr>
            <w:tcW w:w="667" w:type="pct"/>
            <w:tcBorders>
              <w:top w:val="single" w:sz="4" w:space="0" w:color="auto"/>
              <w:left w:val="nil"/>
              <w:bottom w:val="single" w:sz="4" w:space="0" w:color="auto"/>
              <w:right w:val="single" w:sz="4" w:space="0" w:color="auto"/>
            </w:tcBorders>
            <w:shd w:val="clear" w:color="auto" w:fill="auto"/>
            <w:noWrap/>
            <w:vAlign w:val="bottom"/>
            <w:hideMark/>
          </w:tcPr>
          <w:p w14:paraId="2F77E896" w14:textId="77777777" w:rsidR="006C63D5" w:rsidRPr="00F44FA4" w:rsidRDefault="006C63D5" w:rsidP="00DF0D48">
            <w:pPr>
              <w:spacing w:before="120" w:line="264" w:lineRule="auto"/>
              <w:jc w:val="right"/>
              <w:rPr>
                <w:rFonts w:cs="Arial"/>
                <w:szCs w:val="20"/>
                <w:lang w:eastAsia="sl-SI"/>
              </w:rPr>
            </w:pPr>
            <w:r w:rsidRPr="00F44FA4">
              <w:rPr>
                <w:rFonts w:cs="Arial"/>
                <w:szCs w:val="20"/>
                <w:lang w:eastAsia="sl-SI"/>
              </w:rPr>
              <w:t>8,94</w:t>
            </w:r>
          </w:p>
        </w:tc>
        <w:tc>
          <w:tcPr>
            <w:tcW w:w="667" w:type="pct"/>
            <w:tcBorders>
              <w:top w:val="single" w:sz="4" w:space="0" w:color="auto"/>
              <w:left w:val="nil"/>
              <w:bottom w:val="single" w:sz="4" w:space="0" w:color="auto"/>
              <w:right w:val="single" w:sz="4" w:space="0" w:color="auto"/>
            </w:tcBorders>
            <w:shd w:val="clear" w:color="auto" w:fill="auto"/>
            <w:noWrap/>
            <w:vAlign w:val="bottom"/>
            <w:hideMark/>
          </w:tcPr>
          <w:p w14:paraId="262291EB" w14:textId="77777777" w:rsidR="006C63D5" w:rsidRPr="00F44FA4" w:rsidRDefault="006C63D5" w:rsidP="00DF0D48">
            <w:pPr>
              <w:spacing w:before="120" w:line="264" w:lineRule="auto"/>
              <w:jc w:val="right"/>
              <w:rPr>
                <w:rFonts w:cs="Arial"/>
                <w:szCs w:val="20"/>
                <w:lang w:eastAsia="sl-SI"/>
              </w:rPr>
            </w:pPr>
            <w:r w:rsidRPr="00F44FA4">
              <w:rPr>
                <w:rFonts w:cs="Arial"/>
                <w:szCs w:val="20"/>
                <w:lang w:eastAsia="sl-SI"/>
              </w:rPr>
              <w:t>11,77</w:t>
            </w:r>
          </w:p>
        </w:tc>
        <w:tc>
          <w:tcPr>
            <w:tcW w:w="666" w:type="pct"/>
            <w:tcBorders>
              <w:top w:val="single" w:sz="4" w:space="0" w:color="auto"/>
              <w:left w:val="nil"/>
              <w:bottom w:val="single" w:sz="4" w:space="0" w:color="auto"/>
              <w:right w:val="single" w:sz="4" w:space="0" w:color="auto"/>
            </w:tcBorders>
            <w:shd w:val="clear" w:color="auto" w:fill="auto"/>
            <w:noWrap/>
            <w:vAlign w:val="bottom"/>
            <w:hideMark/>
          </w:tcPr>
          <w:p w14:paraId="1744AC88" w14:textId="77777777" w:rsidR="006C63D5" w:rsidRPr="00F44FA4" w:rsidRDefault="006C63D5" w:rsidP="00DF0D48">
            <w:pPr>
              <w:spacing w:before="120" w:line="264" w:lineRule="auto"/>
              <w:jc w:val="right"/>
              <w:rPr>
                <w:rFonts w:cs="Arial"/>
                <w:szCs w:val="20"/>
                <w:lang w:eastAsia="sl-SI"/>
              </w:rPr>
            </w:pPr>
            <w:r w:rsidRPr="00F44FA4">
              <w:rPr>
                <w:rFonts w:cs="Arial"/>
                <w:szCs w:val="20"/>
                <w:lang w:eastAsia="sl-SI"/>
              </w:rPr>
              <w:t>14,48</w:t>
            </w:r>
          </w:p>
        </w:tc>
      </w:tr>
    </w:tbl>
    <w:p w14:paraId="1D74C7B4" w14:textId="2A375A72" w:rsidR="006C63D5" w:rsidRPr="003C7942" w:rsidRDefault="003C7942" w:rsidP="00DF0D48">
      <w:pPr>
        <w:rPr>
          <w:rFonts w:cs="Arial"/>
          <w:sz w:val="16"/>
          <w:szCs w:val="16"/>
        </w:rPr>
      </w:pPr>
      <w:r>
        <w:rPr>
          <w:rFonts w:cs="Arial"/>
          <w:sz w:val="16"/>
          <w:szCs w:val="16"/>
        </w:rPr>
        <w:t xml:space="preserve">Vir: C.15- </w:t>
      </w:r>
      <w:proofErr w:type="spellStart"/>
      <w:r>
        <w:rPr>
          <w:rFonts w:cs="Arial"/>
          <w:sz w:val="16"/>
          <w:szCs w:val="16"/>
        </w:rPr>
        <w:t>Dashboard</w:t>
      </w:r>
      <w:proofErr w:type="spellEnd"/>
      <w:r w:rsidR="0084556E">
        <w:rPr>
          <w:rFonts w:cs="Arial"/>
          <w:sz w:val="16"/>
          <w:szCs w:val="16"/>
        </w:rPr>
        <w:t xml:space="preserve"> </w:t>
      </w:r>
      <w:proofErr w:type="spellStart"/>
      <w:r>
        <w:rPr>
          <w:rFonts w:cs="Arial"/>
          <w:sz w:val="16"/>
          <w:szCs w:val="16"/>
        </w:rPr>
        <w:t>Indicators</w:t>
      </w:r>
      <w:proofErr w:type="spellEnd"/>
    </w:p>
    <w:p w14:paraId="2F025712" w14:textId="193B878D" w:rsidR="006C63D5" w:rsidRPr="003344A4" w:rsidRDefault="006C63D5" w:rsidP="00DF0D48">
      <w:pPr>
        <w:spacing w:line="360" w:lineRule="auto"/>
        <w:jc w:val="both"/>
        <w:rPr>
          <w:rFonts w:cs="Arial"/>
          <w:szCs w:val="20"/>
        </w:rPr>
      </w:pPr>
      <w:r w:rsidRPr="003344A4">
        <w:rPr>
          <w:rFonts w:cs="Arial"/>
          <w:szCs w:val="20"/>
        </w:rPr>
        <w:lastRenderedPageBreak/>
        <w:t xml:space="preserve">Primerjava z EU-28 pokaže, da so nosilci kmetijskih gospodarstev v obeh kategorijah (do 35 let in skupaj), bolj izobraženi, saj je bilo nosilcev s samo praktičnimi izkušnjami </w:t>
      </w:r>
      <w:r w:rsidR="0084556E" w:rsidRPr="003344A4">
        <w:rPr>
          <w:rFonts w:cs="Arial"/>
          <w:szCs w:val="20"/>
        </w:rPr>
        <w:t xml:space="preserve">leta 2016 v EU-28 </w:t>
      </w:r>
      <w:r w:rsidRPr="003344A4">
        <w:rPr>
          <w:rFonts w:cs="Arial"/>
          <w:szCs w:val="20"/>
        </w:rPr>
        <w:t>68 % (v Sloveniji 50 %) in nosilcev do 35 let s samo praktični izkušnjami 57 % (v Sloveniji 40%)</w:t>
      </w:r>
      <w:r w:rsidRPr="003344A4">
        <w:rPr>
          <w:rFonts w:cs="Arial"/>
          <w:szCs w:val="20"/>
          <w:vertAlign w:val="superscript"/>
        </w:rPr>
        <w:footnoteReference w:id="22"/>
      </w:r>
      <w:r w:rsidR="003C7942">
        <w:rPr>
          <w:rFonts w:cs="Arial"/>
          <w:szCs w:val="20"/>
        </w:rPr>
        <w:t xml:space="preserve">. </w:t>
      </w:r>
    </w:p>
    <w:p w14:paraId="45E61C19" w14:textId="520EE928" w:rsidR="006C63D5" w:rsidRDefault="006C63D5" w:rsidP="00DF0D48">
      <w:pPr>
        <w:spacing w:line="360" w:lineRule="auto"/>
        <w:jc w:val="both"/>
        <w:rPr>
          <w:rFonts w:cs="Arial"/>
          <w:szCs w:val="20"/>
        </w:rPr>
      </w:pPr>
      <w:r w:rsidRPr="003344A4">
        <w:rPr>
          <w:rFonts w:cs="Arial"/>
          <w:szCs w:val="20"/>
        </w:rPr>
        <w:t>Podobni trendi kot pri kmetijski izobrazbi se kažejo tudi na področju dosežene splošne izobrazbe nosilcev kmetijskih gospodarstev, saj je v obdobju 2005–2016 razvidna rast deleža tistih, ki imajo srednjo stopnjo izobrazbe ali višjo stopnjo izobrazbe, ob hkratnem upadanju tistih, ki so brez izobrazbe oziroma imajo zgolj osnovnošolsko izobrazbo.</w:t>
      </w:r>
    </w:p>
    <w:p w14:paraId="27D0C4D9" w14:textId="458F42A7" w:rsidR="006C63D5" w:rsidRPr="003344A4" w:rsidRDefault="00C9160B" w:rsidP="005B1C38">
      <w:pPr>
        <w:pStyle w:val="SCPreglednica"/>
        <w:keepNext/>
        <w:keepLines/>
        <w:rPr>
          <w:sz w:val="12"/>
          <w:szCs w:val="20"/>
        </w:rPr>
      </w:pPr>
      <w:bookmarkStart w:id="129" w:name="_Toc55913739"/>
      <w:r>
        <w:t>Tabela</w:t>
      </w:r>
      <w:r w:rsidR="006C63D5" w:rsidRPr="003D6FF8">
        <w:t xml:space="preserve"> </w:t>
      </w:r>
      <w:r w:rsidR="0001708D">
        <w:rPr>
          <w:noProof/>
        </w:rPr>
        <w:fldChar w:fldCharType="begin"/>
      </w:r>
      <w:r w:rsidR="0001708D">
        <w:rPr>
          <w:noProof/>
        </w:rPr>
        <w:instrText xml:space="preserve"> SEQ Tabela \* ARABIC </w:instrText>
      </w:r>
      <w:r w:rsidR="0001708D">
        <w:rPr>
          <w:noProof/>
        </w:rPr>
        <w:fldChar w:fldCharType="separate"/>
      </w:r>
      <w:r w:rsidR="00DF0D48">
        <w:rPr>
          <w:noProof/>
        </w:rPr>
        <w:t>28</w:t>
      </w:r>
      <w:r w:rsidR="0001708D">
        <w:rPr>
          <w:noProof/>
        </w:rPr>
        <w:fldChar w:fldCharType="end"/>
      </w:r>
      <w:r w:rsidR="006C63D5" w:rsidRPr="003D6FF8">
        <w:t xml:space="preserve">: </w:t>
      </w:r>
      <w:r w:rsidR="006C63D5" w:rsidRPr="00CB4479">
        <w:t>Splošna izobrazba nosilcev KMG, v št. oseb, za leta 2005, 2010 in 2016</w:t>
      </w:r>
      <w:bookmarkEnd w:id="129"/>
      <w:r w:rsidR="006C63D5" w:rsidRPr="00CB4479">
        <w:t xml:space="preserve"> </w:t>
      </w:r>
    </w:p>
    <w:tbl>
      <w:tblPr>
        <w:tblW w:w="5000" w:type="pct"/>
        <w:tblBorders>
          <w:top w:val="single" w:sz="4" w:space="0" w:color="BFBFBF"/>
          <w:left w:val="single" w:sz="4" w:space="0" w:color="BFBFBF"/>
          <w:bottom w:val="single" w:sz="4" w:space="0" w:color="BFBFBF"/>
          <w:right w:val="single" w:sz="4" w:space="0" w:color="BFBFBF"/>
          <w:insideH w:val="single" w:sz="6" w:space="0" w:color="BFBFBF"/>
          <w:insideV w:val="single" w:sz="6" w:space="0" w:color="BFBFBF"/>
        </w:tblBorders>
        <w:tblCellMar>
          <w:left w:w="70" w:type="dxa"/>
          <w:right w:w="70" w:type="dxa"/>
        </w:tblCellMar>
        <w:tblLook w:val="04A0" w:firstRow="1" w:lastRow="0" w:firstColumn="1" w:lastColumn="0" w:noHBand="0" w:noVBand="1"/>
      </w:tblPr>
      <w:tblGrid>
        <w:gridCol w:w="4144"/>
        <w:gridCol w:w="1026"/>
        <w:gridCol w:w="805"/>
        <w:gridCol w:w="849"/>
        <w:gridCol w:w="805"/>
        <w:gridCol w:w="805"/>
        <w:gridCol w:w="628"/>
      </w:tblGrid>
      <w:tr w:rsidR="006C63D5" w:rsidRPr="00F44FA4" w14:paraId="12512403" w14:textId="77777777" w:rsidTr="0084556E">
        <w:trPr>
          <w:trHeight w:val="288"/>
        </w:trPr>
        <w:tc>
          <w:tcPr>
            <w:tcW w:w="2286" w:type="pct"/>
            <w:tcBorders>
              <w:top w:val="single" w:sz="4" w:space="0" w:color="BFBFBF"/>
              <w:bottom w:val="single" w:sz="6" w:space="0" w:color="BFBFBF"/>
            </w:tcBorders>
            <w:shd w:val="clear" w:color="auto" w:fill="92D050"/>
            <w:noWrap/>
            <w:vAlign w:val="bottom"/>
            <w:hideMark/>
          </w:tcPr>
          <w:p w14:paraId="0F1C838A" w14:textId="77777777" w:rsidR="006C63D5" w:rsidRPr="00F44FA4" w:rsidRDefault="006C63D5" w:rsidP="005B1C38">
            <w:pPr>
              <w:keepNext/>
              <w:keepLines/>
              <w:rPr>
                <w:rFonts w:cs="Arial"/>
                <w:color w:val="000000"/>
                <w:szCs w:val="20"/>
                <w:lang w:eastAsia="sl-SI"/>
              </w:rPr>
            </w:pPr>
          </w:p>
        </w:tc>
        <w:tc>
          <w:tcPr>
            <w:tcW w:w="2714" w:type="pct"/>
            <w:gridSpan w:val="6"/>
            <w:tcBorders>
              <w:top w:val="single" w:sz="4" w:space="0" w:color="BFBFBF"/>
              <w:bottom w:val="single" w:sz="6" w:space="0" w:color="BFBFBF"/>
            </w:tcBorders>
            <w:shd w:val="clear" w:color="auto" w:fill="92D050"/>
            <w:noWrap/>
            <w:vAlign w:val="bottom"/>
            <w:hideMark/>
          </w:tcPr>
          <w:p w14:paraId="53EEFC47" w14:textId="77777777" w:rsidR="006C63D5" w:rsidRPr="00F44FA4" w:rsidRDefault="006C63D5" w:rsidP="005B1C38">
            <w:pPr>
              <w:keepNext/>
              <w:keepLines/>
              <w:jc w:val="center"/>
              <w:rPr>
                <w:rFonts w:cs="Arial"/>
                <w:b/>
                <w:bCs/>
                <w:color w:val="000000"/>
                <w:szCs w:val="20"/>
                <w:lang w:eastAsia="sl-SI"/>
              </w:rPr>
            </w:pPr>
            <w:r w:rsidRPr="00F44FA4">
              <w:rPr>
                <w:rFonts w:cs="Arial"/>
                <w:b/>
                <w:bCs/>
                <w:color w:val="000000"/>
                <w:szCs w:val="20"/>
                <w:lang w:eastAsia="sl-SI"/>
              </w:rPr>
              <w:t>število oseb</w:t>
            </w:r>
          </w:p>
        </w:tc>
      </w:tr>
      <w:tr w:rsidR="006C63D5" w:rsidRPr="00F44FA4" w14:paraId="4DA2F470" w14:textId="77777777" w:rsidTr="0084556E">
        <w:trPr>
          <w:trHeight w:val="288"/>
        </w:trPr>
        <w:tc>
          <w:tcPr>
            <w:tcW w:w="2286" w:type="pct"/>
            <w:tcBorders>
              <w:top w:val="single" w:sz="6" w:space="0" w:color="BFBFBF"/>
              <w:bottom w:val="single" w:sz="6" w:space="0" w:color="BFBFBF"/>
            </w:tcBorders>
            <w:shd w:val="clear" w:color="auto" w:fill="92D050"/>
            <w:noWrap/>
            <w:vAlign w:val="bottom"/>
            <w:hideMark/>
          </w:tcPr>
          <w:p w14:paraId="4DDF3000" w14:textId="77777777" w:rsidR="006C63D5" w:rsidRPr="00F44FA4" w:rsidRDefault="006C63D5" w:rsidP="005B1C38">
            <w:pPr>
              <w:keepNext/>
              <w:keepLines/>
              <w:rPr>
                <w:rFonts w:cs="Arial"/>
                <w:color w:val="000000"/>
                <w:szCs w:val="20"/>
                <w:lang w:eastAsia="sl-SI"/>
              </w:rPr>
            </w:pPr>
          </w:p>
        </w:tc>
        <w:tc>
          <w:tcPr>
            <w:tcW w:w="566" w:type="pct"/>
            <w:tcBorders>
              <w:top w:val="single" w:sz="6" w:space="0" w:color="BFBFBF"/>
              <w:bottom w:val="single" w:sz="6" w:space="0" w:color="BFBFBF"/>
            </w:tcBorders>
            <w:shd w:val="clear" w:color="auto" w:fill="92D050"/>
            <w:noWrap/>
            <w:vAlign w:val="bottom"/>
            <w:hideMark/>
          </w:tcPr>
          <w:p w14:paraId="06415096" w14:textId="77777777" w:rsidR="006C63D5" w:rsidRPr="00F44FA4" w:rsidRDefault="006C63D5" w:rsidP="005B1C38">
            <w:pPr>
              <w:keepNext/>
              <w:keepLines/>
              <w:rPr>
                <w:rFonts w:cs="Arial"/>
                <w:b/>
                <w:bCs/>
                <w:color w:val="000000"/>
                <w:szCs w:val="20"/>
                <w:lang w:eastAsia="sl-SI"/>
              </w:rPr>
            </w:pPr>
            <w:r w:rsidRPr="00F44FA4">
              <w:rPr>
                <w:rFonts w:cs="Arial"/>
                <w:b/>
                <w:bCs/>
                <w:color w:val="000000"/>
                <w:szCs w:val="20"/>
                <w:lang w:eastAsia="sl-SI"/>
              </w:rPr>
              <w:t>2005</w:t>
            </w:r>
          </w:p>
        </w:tc>
        <w:tc>
          <w:tcPr>
            <w:tcW w:w="444" w:type="pct"/>
            <w:tcBorders>
              <w:top w:val="single" w:sz="6" w:space="0" w:color="BFBFBF"/>
              <w:bottom w:val="single" w:sz="6" w:space="0" w:color="BFBFBF"/>
            </w:tcBorders>
            <w:shd w:val="clear" w:color="auto" w:fill="92D050"/>
            <w:noWrap/>
            <w:vAlign w:val="bottom"/>
            <w:hideMark/>
          </w:tcPr>
          <w:p w14:paraId="12BD4324" w14:textId="77777777" w:rsidR="006C63D5" w:rsidRPr="00F44FA4" w:rsidRDefault="006C63D5" w:rsidP="005B1C38">
            <w:pPr>
              <w:keepNext/>
              <w:keepLines/>
              <w:rPr>
                <w:rFonts w:cs="Arial"/>
                <w:color w:val="000000"/>
                <w:szCs w:val="20"/>
                <w:lang w:eastAsia="sl-SI"/>
              </w:rPr>
            </w:pPr>
            <w:r w:rsidRPr="00F44FA4">
              <w:rPr>
                <w:rFonts w:cs="Arial"/>
                <w:color w:val="000000"/>
                <w:szCs w:val="20"/>
                <w:lang w:eastAsia="sl-SI"/>
              </w:rPr>
              <w:t>v %</w:t>
            </w:r>
          </w:p>
        </w:tc>
        <w:tc>
          <w:tcPr>
            <w:tcW w:w="468" w:type="pct"/>
            <w:tcBorders>
              <w:top w:val="single" w:sz="6" w:space="0" w:color="BFBFBF"/>
              <w:bottom w:val="single" w:sz="6" w:space="0" w:color="BFBFBF"/>
            </w:tcBorders>
            <w:shd w:val="clear" w:color="auto" w:fill="92D050"/>
            <w:noWrap/>
            <w:vAlign w:val="bottom"/>
            <w:hideMark/>
          </w:tcPr>
          <w:p w14:paraId="01C57BD9" w14:textId="77777777" w:rsidR="006C63D5" w:rsidRPr="00F44FA4" w:rsidRDefault="006C63D5" w:rsidP="005B1C38">
            <w:pPr>
              <w:keepNext/>
              <w:keepLines/>
              <w:rPr>
                <w:rFonts w:cs="Arial"/>
                <w:b/>
                <w:bCs/>
                <w:color w:val="000000"/>
                <w:szCs w:val="20"/>
                <w:lang w:eastAsia="sl-SI"/>
              </w:rPr>
            </w:pPr>
            <w:r w:rsidRPr="00F44FA4">
              <w:rPr>
                <w:rFonts w:cs="Arial"/>
                <w:b/>
                <w:bCs/>
                <w:color w:val="000000"/>
                <w:szCs w:val="20"/>
                <w:lang w:eastAsia="sl-SI"/>
              </w:rPr>
              <w:t>2010</w:t>
            </w:r>
          </w:p>
        </w:tc>
        <w:tc>
          <w:tcPr>
            <w:tcW w:w="444" w:type="pct"/>
            <w:tcBorders>
              <w:top w:val="single" w:sz="6" w:space="0" w:color="BFBFBF"/>
              <w:bottom w:val="single" w:sz="6" w:space="0" w:color="BFBFBF"/>
            </w:tcBorders>
            <w:shd w:val="clear" w:color="auto" w:fill="92D050"/>
            <w:noWrap/>
            <w:vAlign w:val="bottom"/>
            <w:hideMark/>
          </w:tcPr>
          <w:p w14:paraId="102CD70D" w14:textId="77777777" w:rsidR="006C63D5" w:rsidRPr="00F44FA4" w:rsidRDefault="006C63D5" w:rsidP="005B1C38">
            <w:pPr>
              <w:keepNext/>
              <w:keepLines/>
              <w:rPr>
                <w:rFonts w:cs="Arial"/>
                <w:color w:val="000000"/>
                <w:szCs w:val="20"/>
                <w:lang w:eastAsia="sl-SI"/>
              </w:rPr>
            </w:pPr>
            <w:r w:rsidRPr="00F44FA4">
              <w:rPr>
                <w:rFonts w:cs="Arial"/>
                <w:color w:val="000000"/>
                <w:szCs w:val="20"/>
                <w:lang w:eastAsia="sl-SI"/>
              </w:rPr>
              <w:t>v %</w:t>
            </w:r>
          </w:p>
        </w:tc>
        <w:tc>
          <w:tcPr>
            <w:tcW w:w="444" w:type="pct"/>
            <w:tcBorders>
              <w:top w:val="single" w:sz="6" w:space="0" w:color="BFBFBF"/>
              <w:bottom w:val="single" w:sz="6" w:space="0" w:color="BFBFBF"/>
            </w:tcBorders>
            <w:shd w:val="clear" w:color="auto" w:fill="92D050"/>
            <w:noWrap/>
            <w:vAlign w:val="bottom"/>
            <w:hideMark/>
          </w:tcPr>
          <w:p w14:paraId="2342CF70" w14:textId="77777777" w:rsidR="006C63D5" w:rsidRPr="00F44FA4" w:rsidRDefault="006C63D5" w:rsidP="005B1C38">
            <w:pPr>
              <w:keepNext/>
              <w:keepLines/>
              <w:rPr>
                <w:rFonts w:cs="Arial"/>
                <w:b/>
                <w:bCs/>
                <w:color w:val="000000"/>
                <w:szCs w:val="20"/>
                <w:lang w:eastAsia="sl-SI"/>
              </w:rPr>
            </w:pPr>
            <w:r w:rsidRPr="00F44FA4">
              <w:rPr>
                <w:rFonts w:cs="Arial"/>
                <w:b/>
                <w:bCs/>
                <w:color w:val="000000"/>
                <w:szCs w:val="20"/>
                <w:lang w:eastAsia="sl-SI"/>
              </w:rPr>
              <w:t>2016</w:t>
            </w:r>
          </w:p>
        </w:tc>
        <w:tc>
          <w:tcPr>
            <w:tcW w:w="347" w:type="pct"/>
            <w:tcBorders>
              <w:top w:val="single" w:sz="6" w:space="0" w:color="BFBFBF"/>
              <w:bottom w:val="single" w:sz="6" w:space="0" w:color="BFBFBF"/>
            </w:tcBorders>
            <w:shd w:val="clear" w:color="auto" w:fill="92D050"/>
            <w:noWrap/>
            <w:vAlign w:val="bottom"/>
            <w:hideMark/>
          </w:tcPr>
          <w:p w14:paraId="551CD1A1" w14:textId="77777777" w:rsidR="006C63D5" w:rsidRPr="00F44FA4" w:rsidRDefault="006C63D5" w:rsidP="005B1C38">
            <w:pPr>
              <w:keepNext/>
              <w:keepLines/>
              <w:rPr>
                <w:rFonts w:cs="Arial"/>
                <w:color w:val="000000"/>
                <w:szCs w:val="20"/>
                <w:lang w:eastAsia="sl-SI"/>
              </w:rPr>
            </w:pPr>
            <w:r w:rsidRPr="00F44FA4">
              <w:rPr>
                <w:rFonts w:cs="Arial"/>
                <w:color w:val="000000"/>
                <w:szCs w:val="20"/>
                <w:lang w:eastAsia="sl-SI"/>
              </w:rPr>
              <w:t>v %</w:t>
            </w:r>
          </w:p>
        </w:tc>
      </w:tr>
      <w:tr w:rsidR="006C63D5" w:rsidRPr="00F44FA4" w14:paraId="7B009704" w14:textId="77777777" w:rsidTr="0084556E">
        <w:trPr>
          <w:trHeight w:val="288"/>
        </w:trPr>
        <w:tc>
          <w:tcPr>
            <w:tcW w:w="2286" w:type="pct"/>
            <w:tcBorders>
              <w:top w:val="single" w:sz="6" w:space="0" w:color="BFBFBF"/>
            </w:tcBorders>
            <w:shd w:val="clear" w:color="auto" w:fill="auto"/>
            <w:noWrap/>
            <w:vAlign w:val="bottom"/>
            <w:hideMark/>
          </w:tcPr>
          <w:p w14:paraId="7F885C8D" w14:textId="77777777" w:rsidR="006C63D5" w:rsidRPr="00F44FA4" w:rsidRDefault="006C63D5" w:rsidP="005B1C38">
            <w:pPr>
              <w:keepNext/>
              <w:keepLines/>
              <w:rPr>
                <w:rFonts w:cs="Arial"/>
                <w:b/>
                <w:bCs/>
                <w:color w:val="000000"/>
                <w:szCs w:val="20"/>
                <w:lang w:eastAsia="sl-SI"/>
              </w:rPr>
            </w:pPr>
            <w:r w:rsidRPr="00F44FA4">
              <w:rPr>
                <w:rFonts w:cs="Arial"/>
                <w:b/>
                <w:bCs/>
                <w:color w:val="000000"/>
                <w:szCs w:val="20"/>
                <w:lang w:eastAsia="sl-SI"/>
              </w:rPr>
              <w:t>Splošna izobrazba - SKUPAJ</w:t>
            </w:r>
          </w:p>
        </w:tc>
        <w:tc>
          <w:tcPr>
            <w:tcW w:w="566" w:type="pct"/>
            <w:tcBorders>
              <w:top w:val="single" w:sz="6" w:space="0" w:color="BFBFBF"/>
            </w:tcBorders>
            <w:shd w:val="clear" w:color="auto" w:fill="auto"/>
            <w:noWrap/>
            <w:vAlign w:val="bottom"/>
            <w:hideMark/>
          </w:tcPr>
          <w:p w14:paraId="2D5394B2" w14:textId="77777777" w:rsidR="006C63D5" w:rsidRPr="00F44FA4" w:rsidRDefault="006C63D5" w:rsidP="005B1C38">
            <w:pPr>
              <w:keepNext/>
              <w:keepLines/>
              <w:rPr>
                <w:rFonts w:cs="Arial"/>
                <w:b/>
                <w:color w:val="000000"/>
                <w:szCs w:val="20"/>
                <w:lang w:eastAsia="sl-SI"/>
              </w:rPr>
            </w:pPr>
            <w:r w:rsidRPr="00F44FA4">
              <w:rPr>
                <w:rFonts w:cs="Arial"/>
                <w:b/>
                <w:color w:val="000000"/>
                <w:szCs w:val="20"/>
                <w:lang w:eastAsia="sl-SI"/>
              </w:rPr>
              <w:t xml:space="preserve">         77.042   </w:t>
            </w:r>
          </w:p>
        </w:tc>
        <w:tc>
          <w:tcPr>
            <w:tcW w:w="444" w:type="pct"/>
            <w:tcBorders>
              <w:top w:val="single" w:sz="6" w:space="0" w:color="BFBFBF"/>
            </w:tcBorders>
            <w:shd w:val="clear" w:color="auto" w:fill="auto"/>
            <w:noWrap/>
            <w:vAlign w:val="bottom"/>
            <w:hideMark/>
          </w:tcPr>
          <w:p w14:paraId="7A7C33B9" w14:textId="77777777" w:rsidR="006C63D5" w:rsidRPr="00F44FA4" w:rsidRDefault="006C63D5" w:rsidP="005B1C38">
            <w:pPr>
              <w:keepNext/>
              <w:keepLines/>
              <w:rPr>
                <w:rFonts w:cs="Arial"/>
                <w:b/>
                <w:color w:val="000000"/>
                <w:szCs w:val="20"/>
                <w:lang w:eastAsia="sl-SI"/>
              </w:rPr>
            </w:pPr>
            <w:r w:rsidRPr="00F44FA4">
              <w:rPr>
                <w:rFonts w:cs="Arial"/>
                <w:b/>
                <w:color w:val="000000"/>
                <w:szCs w:val="20"/>
                <w:lang w:eastAsia="sl-SI"/>
              </w:rPr>
              <w:t xml:space="preserve">         100   </w:t>
            </w:r>
          </w:p>
        </w:tc>
        <w:tc>
          <w:tcPr>
            <w:tcW w:w="468" w:type="pct"/>
            <w:tcBorders>
              <w:top w:val="single" w:sz="6" w:space="0" w:color="BFBFBF"/>
            </w:tcBorders>
            <w:shd w:val="clear" w:color="auto" w:fill="auto"/>
            <w:noWrap/>
            <w:vAlign w:val="bottom"/>
            <w:hideMark/>
          </w:tcPr>
          <w:p w14:paraId="09D92FDB" w14:textId="77777777" w:rsidR="006C63D5" w:rsidRPr="00F44FA4" w:rsidRDefault="006C63D5" w:rsidP="005B1C38">
            <w:pPr>
              <w:keepNext/>
              <w:keepLines/>
              <w:rPr>
                <w:rFonts w:cs="Arial"/>
                <w:b/>
                <w:color w:val="000000"/>
                <w:szCs w:val="20"/>
                <w:lang w:eastAsia="sl-SI"/>
              </w:rPr>
            </w:pPr>
            <w:r w:rsidRPr="00F44FA4">
              <w:rPr>
                <w:rFonts w:cs="Arial"/>
                <w:b/>
                <w:color w:val="000000"/>
                <w:szCs w:val="20"/>
                <w:lang w:eastAsia="sl-SI"/>
              </w:rPr>
              <w:t xml:space="preserve">     74.425   </w:t>
            </w:r>
          </w:p>
        </w:tc>
        <w:tc>
          <w:tcPr>
            <w:tcW w:w="444" w:type="pct"/>
            <w:tcBorders>
              <w:top w:val="single" w:sz="6" w:space="0" w:color="BFBFBF"/>
            </w:tcBorders>
            <w:shd w:val="clear" w:color="auto" w:fill="auto"/>
            <w:noWrap/>
            <w:vAlign w:val="bottom"/>
            <w:hideMark/>
          </w:tcPr>
          <w:p w14:paraId="6C0D8A8B" w14:textId="77777777" w:rsidR="006C63D5" w:rsidRPr="00F44FA4" w:rsidRDefault="006C63D5" w:rsidP="005B1C38">
            <w:pPr>
              <w:keepNext/>
              <w:keepLines/>
              <w:rPr>
                <w:rFonts w:cs="Arial"/>
                <w:b/>
                <w:color w:val="000000"/>
                <w:szCs w:val="20"/>
                <w:lang w:eastAsia="sl-SI"/>
              </w:rPr>
            </w:pPr>
            <w:r w:rsidRPr="00F44FA4">
              <w:rPr>
                <w:rFonts w:cs="Arial"/>
                <w:b/>
                <w:color w:val="000000"/>
                <w:szCs w:val="20"/>
                <w:lang w:eastAsia="sl-SI"/>
              </w:rPr>
              <w:t xml:space="preserve">    100,00   </w:t>
            </w:r>
          </w:p>
        </w:tc>
        <w:tc>
          <w:tcPr>
            <w:tcW w:w="444" w:type="pct"/>
            <w:tcBorders>
              <w:top w:val="single" w:sz="6" w:space="0" w:color="BFBFBF"/>
            </w:tcBorders>
            <w:shd w:val="clear" w:color="auto" w:fill="auto"/>
            <w:noWrap/>
            <w:vAlign w:val="bottom"/>
            <w:hideMark/>
          </w:tcPr>
          <w:p w14:paraId="5E88FA38" w14:textId="77777777" w:rsidR="006C63D5" w:rsidRPr="00F44FA4" w:rsidRDefault="006C63D5" w:rsidP="005B1C38">
            <w:pPr>
              <w:keepNext/>
              <w:keepLines/>
              <w:rPr>
                <w:rFonts w:cs="Arial"/>
                <w:b/>
                <w:color w:val="000000"/>
                <w:szCs w:val="20"/>
                <w:lang w:eastAsia="sl-SI"/>
              </w:rPr>
            </w:pPr>
            <w:r w:rsidRPr="00F44FA4">
              <w:rPr>
                <w:rFonts w:cs="Arial"/>
                <w:b/>
                <w:color w:val="000000"/>
                <w:szCs w:val="20"/>
                <w:lang w:eastAsia="sl-SI"/>
              </w:rPr>
              <w:t xml:space="preserve">    69.671   </w:t>
            </w:r>
          </w:p>
        </w:tc>
        <w:tc>
          <w:tcPr>
            <w:tcW w:w="347" w:type="pct"/>
            <w:tcBorders>
              <w:top w:val="single" w:sz="6" w:space="0" w:color="BFBFBF"/>
            </w:tcBorders>
            <w:shd w:val="clear" w:color="auto" w:fill="auto"/>
            <w:noWrap/>
            <w:vAlign w:val="bottom"/>
            <w:hideMark/>
          </w:tcPr>
          <w:p w14:paraId="47F41CC5" w14:textId="77777777" w:rsidR="006C63D5" w:rsidRPr="00F44FA4" w:rsidRDefault="006C63D5" w:rsidP="005B1C38">
            <w:pPr>
              <w:keepNext/>
              <w:keepLines/>
              <w:jc w:val="right"/>
              <w:rPr>
                <w:rFonts w:cs="Arial"/>
                <w:b/>
                <w:color w:val="000000"/>
                <w:szCs w:val="20"/>
                <w:lang w:eastAsia="sl-SI"/>
              </w:rPr>
            </w:pPr>
            <w:r w:rsidRPr="00F44FA4">
              <w:rPr>
                <w:rFonts w:cs="Arial"/>
                <w:b/>
                <w:color w:val="000000"/>
                <w:szCs w:val="20"/>
                <w:lang w:eastAsia="sl-SI"/>
              </w:rPr>
              <w:t>100,00</w:t>
            </w:r>
          </w:p>
        </w:tc>
      </w:tr>
      <w:tr w:rsidR="006C63D5" w:rsidRPr="00F44FA4" w14:paraId="0CCA63EE" w14:textId="77777777" w:rsidTr="0084556E">
        <w:trPr>
          <w:trHeight w:val="288"/>
        </w:trPr>
        <w:tc>
          <w:tcPr>
            <w:tcW w:w="2286" w:type="pct"/>
            <w:shd w:val="clear" w:color="auto" w:fill="auto"/>
            <w:noWrap/>
            <w:vAlign w:val="bottom"/>
            <w:hideMark/>
          </w:tcPr>
          <w:p w14:paraId="60AE7268" w14:textId="77777777" w:rsidR="006C63D5" w:rsidRPr="00F44FA4" w:rsidRDefault="006C63D5" w:rsidP="005B1C38">
            <w:pPr>
              <w:keepNext/>
              <w:keepLines/>
              <w:rPr>
                <w:rFonts w:cs="Arial"/>
                <w:b/>
                <w:bCs/>
                <w:color w:val="000000"/>
                <w:szCs w:val="20"/>
                <w:lang w:eastAsia="sl-SI"/>
              </w:rPr>
            </w:pPr>
            <w:r w:rsidRPr="00F44FA4">
              <w:rPr>
                <w:rFonts w:cs="Arial"/>
                <w:b/>
                <w:bCs/>
                <w:color w:val="000000"/>
                <w:szCs w:val="20"/>
                <w:lang w:eastAsia="sl-SI"/>
              </w:rPr>
              <w:t>Brez izobrazbe, nepopolna osnovnošolska izobrazba</w:t>
            </w:r>
          </w:p>
        </w:tc>
        <w:tc>
          <w:tcPr>
            <w:tcW w:w="566" w:type="pct"/>
            <w:shd w:val="clear" w:color="auto" w:fill="auto"/>
            <w:noWrap/>
            <w:vAlign w:val="bottom"/>
            <w:hideMark/>
          </w:tcPr>
          <w:p w14:paraId="1F67E6A9" w14:textId="77777777" w:rsidR="006C63D5" w:rsidRPr="00F44FA4" w:rsidRDefault="006C63D5" w:rsidP="005B1C38">
            <w:pPr>
              <w:keepNext/>
              <w:keepLines/>
              <w:rPr>
                <w:rFonts w:cs="Arial"/>
                <w:color w:val="000000"/>
                <w:szCs w:val="20"/>
                <w:lang w:eastAsia="sl-SI"/>
              </w:rPr>
            </w:pPr>
            <w:r w:rsidRPr="00F44FA4">
              <w:rPr>
                <w:rFonts w:cs="Arial"/>
                <w:color w:val="000000"/>
                <w:szCs w:val="20"/>
                <w:lang w:eastAsia="sl-SI"/>
              </w:rPr>
              <w:t xml:space="preserve">           7.672   </w:t>
            </w:r>
          </w:p>
        </w:tc>
        <w:tc>
          <w:tcPr>
            <w:tcW w:w="444" w:type="pct"/>
            <w:shd w:val="clear" w:color="auto" w:fill="auto"/>
            <w:noWrap/>
            <w:vAlign w:val="bottom"/>
            <w:hideMark/>
          </w:tcPr>
          <w:p w14:paraId="7008A3EE" w14:textId="77777777" w:rsidR="006C63D5" w:rsidRPr="00F44FA4" w:rsidRDefault="006C63D5" w:rsidP="005B1C38">
            <w:pPr>
              <w:keepNext/>
              <w:keepLines/>
              <w:rPr>
                <w:rFonts w:cs="Arial"/>
                <w:color w:val="000000"/>
                <w:szCs w:val="20"/>
                <w:lang w:eastAsia="sl-SI"/>
              </w:rPr>
            </w:pPr>
            <w:r w:rsidRPr="00F44FA4">
              <w:rPr>
                <w:rFonts w:cs="Arial"/>
                <w:color w:val="000000"/>
                <w:szCs w:val="20"/>
                <w:lang w:eastAsia="sl-SI"/>
              </w:rPr>
              <w:t xml:space="preserve">        9,96   </w:t>
            </w:r>
          </w:p>
        </w:tc>
        <w:tc>
          <w:tcPr>
            <w:tcW w:w="468" w:type="pct"/>
            <w:shd w:val="clear" w:color="auto" w:fill="auto"/>
            <w:noWrap/>
            <w:vAlign w:val="bottom"/>
            <w:hideMark/>
          </w:tcPr>
          <w:p w14:paraId="1685C6B1" w14:textId="77777777" w:rsidR="006C63D5" w:rsidRPr="00F44FA4" w:rsidRDefault="006C63D5" w:rsidP="005B1C38">
            <w:pPr>
              <w:keepNext/>
              <w:keepLines/>
              <w:rPr>
                <w:rFonts w:cs="Arial"/>
                <w:color w:val="000000"/>
                <w:szCs w:val="20"/>
                <w:lang w:eastAsia="sl-SI"/>
              </w:rPr>
            </w:pPr>
            <w:r w:rsidRPr="00F44FA4">
              <w:rPr>
                <w:rFonts w:cs="Arial"/>
                <w:color w:val="000000"/>
                <w:szCs w:val="20"/>
                <w:lang w:eastAsia="sl-SI"/>
              </w:rPr>
              <w:t xml:space="preserve">       4.496   </w:t>
            </w:r>
          </w:p>
        </w:tc>
        <w:tc>
          <w:tcPr>
            <w:tcW w:w="444" w:type="pct"/>
            <w:shd w:val="clear" w:color="auto" w:fill="auto"/>
            <w:noWrap/>
            <w:vAlign w:val="bottom"/>
            <w:hideMark/>
          </w:tcPr>
          <w:p w14:paraId="25243710" w14:textId="77777777" w:rsidR="006C63D5" w:rsidRPr="00F44FA4" w:rsidRDefault="006C63D5" w:rsidP="005B1C38">
            <w:pPr>
              <w:keepNext/>
              <w:keepLines/>
              <w:rPr>
                <w:rFonts w:cs="Arial"/>
                <w:color w:val="000000"/>
                <w:szCs w:val="20"/>
                <w:lang w:eastAsia="sl-SI"/>
              </w:rPr>
            </w:pPr>
            <w:r w:rsidRPr="00F44FA4">
              <w:rPr>
                <w:rFonts w:cs="Arial"/>
                <w:color w:val="000000"/>
                <w:szCs w:val="20"/>
                <w:lang w:eastAsia="sl-SI"/>
              </w:rPr>
              <w:t xml:space="preserve">        6,04   </w:t>
            </w:r>
          </w:p>
        </w:tc>
        <w:tc>
          <w:tcPr>
            <w:tcW w:w="444" w:type="pct"/>
            <w:shd w:val="clear" w:color="auto" w:fill="auto"/>
            <w:noWrap/>
            <w:vAlign w:val="bottom"/>
            <w:hideMark/>
          </w:tcPr>
          <w:p w14:paraId="79613494" w14:textId="77777777" w:rsidR="006C63D5" w:rsidRPr="00F44FA4" w:rsidRDefault="006C63D5" w:rsidP="005B1C38">
            <w:pPr>
              <w:keepNext/>
              <w:keepLines/>
              <w:rPr>
                <w:rFonts w:cs="Arial"/>
                <w:color w:val="000000"/>
                <w:szCs w:val="20"/>
                <w:lang w:eastAsia="sl-SI"/>
              </w:rPr>
            </w:pPr>
            <w:r w:rsidRPr="00F44FA4">
              <w:rPr>
                <w:rFonts w:cs="Arial"/>
                <w:color w:val="000000"/>
                <w:szCs w:val="20"/>
                <w:lang w:eastAsia="sl-SI"/>
              </w:rPr>
              <w:t xml:space="preserve">      1.832   </w:t>
            </w:r>
          </w:p>
        </w:tc>
        <w:tc>
          <w:tcPr>
            <w:tcW w:w="347" w:type="pct"/>
            <w:shd w:val="clear" w:color="auto" w:fill="auto"/>
            <w:noWrap/>
            <w:vAlign w:val="bottom"/>
            <w:hideMark/>
          </w:tcPr>
          <w:p w14:paraId="212B14D1"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2,63</w:t>
            </w:r>
          </w:p>
        </w:tc>
      </w:tr>
      <w:tr w:rsidR="006C63D5" w:rsidRPr="00F44FA4" w14:paraId="212945CF" w14:textId="77777777" w:rsidTr="0084556E">
        <w:trPr>
          <w:trHeight w:val="288"/>
        </w:trPr>
        <w:tc>
          <w:tcPr>
            <w:tcW w:w="2286" w:type="pct"/>
            <w:shd w:val="clear" w:color="auto" w:fill="auto"/>
            <w:noWrap/>
            <w:vAlign w:val="bottom"/>
            <w:hideMark/>
          </w:tcPr>
          <w:p w14:paraId="4B68584F" w14:textId="77777777" w:rsidR="006C63D5" w:rsidRPr="00F44FA4" w:rsidRDefault="006C63D5" w:rsidP="005B1C38">
            <w:pPr>
              <w:keepNext/>
              <w:keepLines/>
              <w:rPr>
                <w:rFonts w:cs="Arial"/>
                <w:b/>
                <w:bCs/>
                <w:color w:val="000000"/>
                <w:szCs w:val="20"/>
                <w:lang w:eastAsia="sl-SI"/>
              </w:rPr>
            </w:pPr>
            <w:r w:rsidRPr="00F44FA4">
              <w:rPr>
                <w:rFonts w:cs="Arial"/>
                <w:b/>
                <w:bCs/>
                <w:color w:val="000000"/>
                <w:szCs w:val="20"/>
                <w:lang w:eastAsia="sl-SI"/>
              </w:rPr>
              <w:t>Osnovnošolska izobrazba</w:t>
            </w:r>
          </w:p>
        </w:tc>
        <w:tc>
          <w:tcPr>
            <w:tcW w:w="566" w:type="pct"/>
            <w:shd w:val="clear" w:color="auto" w:fill="auto"/>
            <w:noWrap/>
            <w:vAlign w:val="bottom"/>
            <w:hideMark/>
          </w:tcPr>
          <w:p w14:paraId="7D10A709" w14:textId="77777777" w:rsidR="006C63D5" w:rsidRPr="00F44FA4" w:rsidRDefault="006C63D5" w:rsidP="005B1C38">
            <w:pPr>
              <w:keepNext/>
              <w:keepLines/>
              <w:rPr>
                <w:rFonts w:cs="Arial"/>
                <w:color w:val="000000"/>
                <w:szCs w:val="20"/>
                <w:lang w:eastAsia="sl-SI"/>
              </w:rPr>
            </w:pPr>
            <w:r w:rsidRPr="00F44FA4">
              <w:rPr>
                <w:rFonts w:cs="Arial"/>
                <w:color w:val="000000"/>
                <w:szCs w:val="20"/>
                <w:lang w:eastAsia="sl-SI"/>
              </w:rPr>
              <w:t xml:space="preserve">         32.813   </w:t>
            </w:r>
          </w:p>
        </w:tc>
        <w:tc>
          <w:tcPr>
            <w:tcW w:w="444" w:type="pct"/>
            <w:shd w:val="clear" w:color="auto" w:fill="auto"/>
            <w:noWrap/>
            <w:vAlign w:val="bottom"/>
            <w:hideMark/>
          </w:tcPr>
          <w:p w14:paraId="02E50A65" w14:textId="77777777" w:rsidR="006C63D5" w:rsidRPr="00F44FA4" w:rsidRDefault="006C63D5" w:rsidP="005B1C38">
            <w:pPr>
              <w:keepNext/>
              <w:keepLines/>
              <w:rPr>
                <w:rFonts w:cs="Arial"/>
                <w:color w:val="000000"/>
                <w:szCs w:val="20"/>
                <w:lang w:eastAsia="sl-SI"/>
              </w:rPr>
            </w:pPr>
            <w:r w:rsidRPr="00F44FA4">
              <w:rPr>
                <w:rFonts w:cs="Arial"/>
                <w:color w:val="000000"/>
                <w:szCs w:val="20"/>
                <w:lang w:eastAsia="sl-SI"/>
              </w:rPr>
              <w:t xml:space="preserve">     42,59   </w:t>
            </w:r>
          </w:p>
        </w:tc>
        <w:tc>
          <w:tcPr>
            <w:tcW w:w="468" w:type="pct"/>
            <w:shd w:val="clear" w:color="auto" w:fill="auto"/>
            <w:noWrap/>
            <w:vAlign w:val="bottom"/>
            <w:hideMark/>
          </w:tcPr>
          <w:p w14:paraId="27CC7D90" w14:textId="77777777" w:rsidR="006C63D5" w:rsidRPr="00F44FA4" w:rsidRDefault="006C63D5" w:rsidP="005B1C38">
            <w:pPr>
              <w:keepNext/>
              <w:keepLines/>
              <w:rPr>
                <w:rFonts w:cs="Arial"/>
                <w:color w:val="000000"/>
                <w:szCs w:val="20"/>
                <w:lang w:eastAsia="sl-SI"/>
              </w:rPr>
            </w:pPr>
            <w:r w:rsidRPr="00F44FA4">
              <w:rPr>
                <w:rFonts w:cs="Arial"/>
                <w:color w:val="000000"/>
                <w:szCs w:val="20"/>
                <w:lang w:eastAsia="sl-SI"/>
              </w:rPr>
              <w:t xml:space="preserve">     27.704   </w:t>
            </w:r>
          </w:p>
        </w:tc>
        <w:tc>
          <w:tcPr>
            <w:tcW w:w="444" w:type="pct"/>
            <w:shd w:val="clear" w:color="auto" w:fill="auto"/>
            <w:noWrap/>
            <w:vAlign w:val="bottom"/>
            <w:hideMark/>
          </w:tcPr>
          <w:p w14:paraId="6AF9D1FB" w14:textId="77777777" w:rsidR="006C63D5" w:rsidRPr="00F44FA4" w:rsidRDefault="006C63D5" w:rsidP="005B1C38">
            <w:pPr>
              <w:keepNext/>
              <w:keepLines/>
              <w:rPr>
                <w:rFonts w:cs="Arial"/>
                <w:color w:val="000000"/>
                <w:szCs w:val="20"/>
                <w:lang w:eastAsia="sl-SI"/>
              </w:rPr>
            </w:pPr>
            <w:r w:rsidRPr="00F44FA4">
              <w:rPr>
                <w:rFonts w:cs="Arial"/>
                <w:color w:val="000000"/>
                <w:szCs w:val="20"/>
                <w:lang w:eastAsia="sl-SI"/>
              </w:rPr>
              <w:t xml:space="preserve">      37,22   </w:t>
            </w:r>
          </w:p>
        </w:tc>
        <w:tc>
          <w:tcPr>
            <w:tcW w:w="444" w:type="pct"/>
            <w:shd w:val="clear" w:color="auto" w:fill="auto"/>
            <w:noWrap/>
            <w:vAlign w:val="bottom"/>
            <w:hideMark/>
          </w:tcPr>
          <w:p w14:paraId="0CF984C5" w14:textId="77777777" w:rsidR="006C63D5" w:rsidRPr="00F44FA4" w:rsidRDefault="006C63D5" w:rsidP="005B1C38">
            <w:pPr>
              <w:keepNext/>
              <w:keepLines/>
              <w:rPr>
                <w:rFonts w:cs="Arial"/>
                <w:color w:val="000000"/>
                <w:szCs w:val="20"/>
                <w:lang w:eastAsia="sl-SI"/>
              </w:rPr>
            </w:pPr>
            <w:r w:rsidRPr="00F44FA4">
              <w:rPr>
                <w:rFonts w:cs="Arial"/>
                <w:color w:val="000000"/>
                <w:szCs w:val="20"/>
                <w:lang w:eastAsia="sl-SI"/>
              </w:rPr>
              <w:t xml:space="preserve">    17.567   </w:t>
            </w:r>
          </w:p>
        </w:tc>
        <w:tc>
          <w:tcPr>
            <w:tcW w:w="347" w:type="pct"/>
            <w:shd w:val="clear" w:color="auto" w:fill="auto"/>
            <w:noWrap/>
            <w:vAlign w:val="bottom"/>
            <w:hideMark/>
          </w:tcPr>
          <w:p w14:paraId="5B673356"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25,21</w:t>
            </w:r>
          </w:p>
        </w:tc>
      </w:tr>
      <w:tr w:rsidR="006C63D5" w:rsidRPr="00F44FA4" w14:paraId="64467E00" w14:textId="77777777" w:rsidTr="0084556E">
        <w:trPr>
          <w:trHeight w:val="288"/>
        </w:trPr>
        <w:tc>
          <w:tcPr>
            <w:tcW w:w="2286" w:type="pct"/>
            <w:shd w:val="clear" w:color="auto" w:fill="auto"/>
            <w:noWrap/>
            <w:vAlign w:val="bottom"/>
            <w:hideMark/>
          </w:tcPr>
          <w:p w14:paraId="4767C853" w14:textId="77777777" w:rsidR="006C63D5" w:rsidRPr="00F44FA4" w:rsidRDefault="006C63D5" w:rsidP="005B1C38">
            <w:pPr>
              <w:keepNext/>
              <w:keepLines/>
              <w:rPr>
                <w:rFonts w:cs="Arial"/>
                <w:b/>
                <w:bCs/>
                <w:color w:val="000000"/>
                <w:szCs w:val="20"/>
                <w:lang w:eastAsia="sl-SI"/>
              </w:rPr>
            </w:pPr>
            <w:r w:rsidRPr="00F44FA4">
              <w:rPr>
                <w:rFonts w:cs="Arial"/>
                <w:b/>
                <w:bCs/>
                <w:color w:val="000000"/>
                <w:szCs w:val="20"/>
                <w:lang w:eastAsia="sl-SI"/>
              </w:rPr>
              <w:t>Nižja poklicna, srednja poklicna izobrazba</w:t>
            </w:r>
          </w:p>
        </w:tc>
        <w:tc>
          <w:tcPr>
            <w:tcW w:w="566" w:type="pct"/>
            <w:shd w:val="clear" w:color="auto" w:fill="auto"/>
            <w:noWrap/>
            <w:vAlign w:val="bottom"/>
            <w:hideMark/>
          </w:tcPr>
          <w:p w14:paraId="737D05D8" w14:textId="77777777" w:rsidR="006C63D5" w:rsidRPr="00F44FA4" w:rsidRDefault="006C63D5" w:rsidP="005B1C38">
            <w:pPr>
              <w:keepNext/>
              <w:keepLines/>
              <w:rPr>
                <w:rFonts w:cs="Arial"/>
                <w:color w:val="000000"/>
                <w:szCs w:val="20"/>
                <w:lang w:eastAsia="sl-SI"/>
              </w:rPr>
            </w:pPr>
            <w:r w:rsidRPr="00F44FA4">
              <w:rPr>
                <w:rFonts w:cs="Arial"/>
                <w:color w:val="000000"/>
                <w:szCs w:val="20"/>
                <w:lang w:eastAsia="sl-SI"/>
              </w:rPr>
              <w:t xml:space="preserve">         20.959   </w:t>
            </w:r>
          </w:p>
        </w:tc>
        <w:tc>
          <w:tcPr>
            <w:tcW w:w="444" w:type="pct"/>
            <w:shd w:val="clear" w:color="auto" w:fill="auto"/>
            <w:noWrap/>
            <w:vAlign w:val="bottom"/>
            <w:hideMark/>
          </w:tcPr>
          <w:p w14:paraId="1E562CAD" w14:textId="77777777" w:rsidR="006C63D5" w:rsidRPr="00F44FA4" w:rsidRDefault="006C63D5" w:rsidP="005B1C38">
            <w:pPr>
              <w:keepNext/>
              <w:keepLines/>
              <w:rPr>
                <w:rFonts w:cs="Arial"/>
                <w:color w:val="000000"/>
                <w:szCs w:val="20"/>
                <w:lang w:eastAsia="sl-SI"/>
              </w:rPr>
            </w:pPr>
            <w:r w:rsidRPr="00F44FA4">
              <w:rPr>
                <w:rFonts w:cs="Arial"/>
                <w:color w:val="000000"/>
                <w:szCs w:val="20"/>
                <w:lang w:eastAsia="sl-SI"/>
              </w:rPr>
              <w:t xml:space="preserve">     27,20   </w:t>
            </w:r>
          </w:p>
        </w:tc>
        <w:tc>
          <w:tcPr>
            <w:tcW w:w="468" w:type="pct"/>
            <w:shd w:val="clear" w:color="auto" w:fill="auto"/>
            <w:noWrap/>
            <w:vAlign w:val="bottom"/>
            <w:hideMark/>
          </w:tcPr>
          <w:p w14:paraId="6AFCB067" w14:textId="77777777" w:rsidR="006C63D5" w:rsidRPr="00F44FA4" w:rsidRDefault="006C63D5" w:rsidP="005B1C38">
            <w:pPr>
              <w:keepNext/>
              <w:keepLines/>
              <w:rPr>
                <w:rFonts w:cs="Arial"/>
                <w:color w:val="000000"/>
                <w:szCs w:val="20"/>
                <w:lang w:eastAsia="sl-SI"/>
              </w:rPr>
            </w:pPr>
            <w:r w:rsidRPr="00F44FA4">
              <w:rPr>
                <w:rFonts w:cs="Arial"/>
                <w:color w:val="000000"/>
                <w:szCs w:val="20"/>
                <w:lang w:eastAsia="sl-SI"/>
              </w:rPr>
              <w:t xml:space="preserve">     24.663   </w:t>
            </w:r>
          </w:p>
        </w:tc>
        <w:tc>
          <w:tcPr>
            <w:tcW w:w="444" w:type="pct"/>
            <w:shd w:val="clear" w:color="auto" w:fill="auto"/>
            <w:noWrap/>
            <w:vAlign w:val="bottom"/>
            <w:hideMark/>
          </w:tcPr>
          <w:p w14:paraId="7B084B29" w14:textId="77777777" w:rsidR="006C63D5" w:rsidRPr="00F44FA4" w:rsidRDefault="006C63D5" w:rsidP="005B1C38">
            <w:pPr>
              <w:keepNext/>
              <w:keepLines/>
              <w:rPr>
                <w:rFonts w:cs="Arial"/>
                <w:color w:val="000000"/>
                <w:szCs w:val="20"/>
                <w:lang w:eastAsia="sl-SI"/>
              </w:rPr>
            </w:pPr>
            <w:r w:rsidRPr="00F44FA4">
              <w:rPr>
                <w:rFonts w:cs="Arial"/>
                <w:color w:val="000000"/>
                <w:szCs w:val="20"/>
                <w:lang w:eastAsia="sl-SI"/>
              </w:rPr>
              <w:t xml:space="preserve">      33,14   </w:t>
            </w:r>
          </w:p>
        </w:tc>
        <w:tc>
          <w:tcPr>
            <w:tcW w:w="444" w:type="pct"/>
            <w:shd w:val="clear" w:color="auto" w:fill="auto"/>
            <w:noWrap/>
            <w:vAlign w:val="bottom"/>
            <w:hideMark/>
          </w:tcPr>
          <w:p w14:paraId="08386BE5" w14:textId="77777777" w:rsidR="006C63D5" w:rsidRPr="00F44FA4" w:rsidRDefault="006C63D5" w:rsidP="005B1C38">
            <w:pPr>
              <w:keepNext/>
              <w:keepLines/>
              <w:rPr>
                <w:rFonts w:cs="Arial"/>
                <w:color w:val="000000"/>
                <w:szCs w:val="20"/>
                <w:lang w:eastAsia="sl-SI"/>
              </w:rPr>
            </w:pPr>
            <w:r w:rsidRPr="00F44FA4">
              <w:rPr>
                <w:rFonts w:cs="Arial"/>
                <w:color w:val="000000"/>
                <w:szCs w:val="20"/>
                <w:lang w:eastAsia="sl-SI"/>
              </w:rPr>
              <w:t xml:space="preserve">    26.480   </w:t>
            </w:r>
          </w:p>
        </w:tc>
        <w:tc>
          <w:tcPr>
            <w:tcW w:w="347" w:type="pct"/>
            <w:shd w:val="clear" w:color="auto" w:fill="auto"/>
            <w:noWrap/>
            <w:vAlign w:val="bottom"/>
            <w:hideMark/>
          </w:tcPr>
          <w:p w14:paraId="778FD760"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38,01</w:t>
            </w:r>
          </w:p>
        </w:tc>
      </w:tr>
      <w:tr w:rsidR="006C63D5" w:rsidRPr="00F44FA4" w14:paraId="4843E8DD" w14:textId="77777777" w:rsidTr="0084556E">
        <w:trPr>
          <w:trHeight w:val="288"/>
        </w:trPr>
        <w:tc>
          <w:tcPr>
            <w:tcW w:w="2286" w:type="pct"/>
            <w:shd w:val="clear" w:color="auto" w:fill="auto"/>
            <w:noWrap/>
            <w:vAlign w:val="bottom"/>
            <w:hideMark/>
          </w:tcPr>
          <w:p w14:paraId="7F5CB737" w14:textId="77777777" w:rsidR="006C63D5" w:rsidRPr="00F44FA4" w:rsidRDefault="006C63D5" w:rsidP="005B1C38">
            <w:pPr>
              <w:keepNext/>
              <w:keepLines/>
              <w:rPr>
                <w:rFonts w:cs="Arial"/>
                <w:b/>
                <w:bCs/>
                <w:color w:val="000000"/>
                <w:szCs w:val="20"/>
                <w:lang w:eastAsia="sl-SI"/>
              </w:rPr>
            </w:pPr>
            <w:r w:rsidRPr="00F44FA4">
              <w:rPr>
                <w:rFonts w:cs="Arial"/>
                <w:b/>
                <w:bCs/>
                <w:color w:val="000000"/>
                <w:szCs w:val="20"/>
                <w:lang w:eastAsia="sl-SI"/>
              </w:rPr>
              <w:t>Srednja strokovna, srednja splošna izobrazba</w:t>
            </w:r>
          </w:p>
        </w:tc>
        <w:tc>
          <w:tcPr>
            <w:tcW w:w="566" w:type="pct"/>
            <w:shd w:val="clear" w:color="auto" w:fill="auto"/>
            <w:noWrap/>
            <w:vAlign w:val="bottom"/>
            <w:hideMark/>
          </w:tcPr>
          <w:p w14:paraId="22EDA46E" w14:textId="77777777" w:rsidR="006C63D5" w:rsidRPr="00F44FA4" w:rsidRDefault="006C63D5" w:rsidP="005B1C38">
            <w:pPr>
              <w:keepNext/>
              <w:keepLines/>
              <w:rPr>
                <w:rFonts w:cs="Arial"/>
                <w:color w:val="000000"/>
                <w:szCs w:val="20"/>
                <w:lang w:eastAsia="sl-SI"/>
              </w:rPr>
            </w:pPr>
            <w:r w:rsidRPr="00F44FA4">
              <w:rPr>
                <w:rFonts w:cs="Arial"/>
                <w:color w:val="000000"/>
                <w:szCs w:val="20"/>
                <w:lang w:eastAsia="sl-SI"/>
              </w:rPr>
              <w:t xml:space="preserve">         12.262   </w:t>
            </w:r>
          </w:p>
        </w:tc>
        <w:tc>
          <w:tcPr>
            <w:tcW w:w="444" w:type="pct"/>
            <w:shd w:val="clear" w:color="auto" w:fill="auto"/>
            <w:noWrap/>
            <w:vAlign w:val="bottom"/>
            <w:hideMark/>
          </w:tcPr>
          <w:p w14:paraId="11C9D5B9" w14:textId="77777777" w:rsidR="006C63D5" w:rsidRPr="00F44FA4" w:rsidRDefault="006C63D5" w:rsidP="005B1C38">
            <w:pPr>
              <w:keepNext/>
              <w:keepLines/>
              <w:rPr>
                <w:rFonts w:cs="Arial"/>
                <w:color w:val="000000"/>
                <w:szCs w:val="20"/>
                <w:lang w:eastAsia="sl-SI"/>
              </w:rPr>
            </w:pPr>
            <w:r w:rsidRPr="00F44FA4">
              <w:rPr>
                <w:rFonts w:cs="Arial"/>
                <w:color w:val="000000"/>
                <w:szCs w:val="20"/>
                <w:lang w:eastAsia="sl-SI"/>
              </w:rPr>
              <w:t xml:space="preserve">     15,92   </w:t>
            </w:r>
          </w:p>
        </w:tc>
        <w:tc>
          <w:tcPr>
            <w:tcW w:w="468" w:type="pct"/>
            <w:shd w:val="clear" w:color="auto" w:fill="auto"/>
            <w:noWrap/>
            <w:vAlign w:val="bottom"/>
            <w:hideMark/>
          </w:tcPr>
          <w:p w14:paraId="0718D1CF" w14:textId="77777777" w:rsidR="006C63D5" w:rsidRPr="00F44FA4" w:rsidRDefault="006C63D5" w:rsidP="005B1C38">
            <w:pPr>
              <w:keepNext/>
              <w:keepLines/>
              <w:rPr>
                <w:rFonts w:cs="Arial"/>
                <w:color w:val="000000"/>
                <w:szCs w:val="20"/>
                <w:lang w:eastAsia="sl-SI"/>
              </w:rPr>
            </w:pPr>
            <w:r w:rsidRPr="00F44FA4">
              <w:rPr>
                <w:rFonts w:cs="Arial"/>
                <w:color w:val="000000"/>
                <w:szCs w:val="20"/>
                <w:lang w:eastAsia="sl-SI"/>
              </w:rPr>
              <w:t xml:space="preserve">     12.964   </w:t>
            </w:r>
          </w:p>
        </w:tc>
        <w:tc>
          <w:tcPr>
            <w:tcW w:w="444" w:type="pct"/>
            <w:shd w:val="clear" w:color="auto" w:fill="auto"/>
            <w:noWrap/>
            <w:vAlign w:val="bottom"/>
            <w:hideMark/>
          </w:tcPr>
          <w:p w14:paraId="5E359D22" w14:textId="77777777" w:rsidR="006C63D5" w:rsidRPr="00F44FA4" w:rsidRDefault="006C63D5" w:rsidP="005B1C38">
            <w:pPr>
              <w:keepNext/>
              <w:keepLines/>
              <w:rPr>
                <w:rFonts w:cs="Arial"/>
                <w:color w:val="000000"/>
                <w:szCs w:val="20"/>
                <w:lang w:eastAsia="sl-SI"/>
              </w:rPr>
            </w:pPr>
            <w:r w:rsidRPr="00F44FA4">
              <w:rPr>
                <w:rFonts w:cs="Arial"/>
                <w:color w:val="000000"/>
                <w:szCs w:val="20"/>
                <w:lang w:eastAsia="sl-SI"/>
              </w:rPr>
              <w:t xml:space="preserve">      17,42   </w:t>
            </w:r>
          </w:p>
        </w:tc>
        <w:tc>
          <w:tcPr>
            <w:tcW w:w="444" w:type="pct"/>
            <w:shd w:val="clear" w:color="auto" w:fill="auto"/>
            <w:noWrap/>
            <w:vAlign w:val="bottom"/>
            <w:hideMark/>
          </w:tcPr>
          <w:p w14:paraId="49D9FE43" w14:textId="77777777" w:rsidR="006C63D5" w:rsidRPr="00F44FA4" w:rsidRDefault="006C63D5" w:rsidP="005B1C38">
            <w:pPr>
              <w:keepNext/>
              <w:keepLines/>
              <w:rPr>
                <w:rFonts w:cs="Arial"/>
                <w:color w:val="000000"/>
                <w:szCs w:val="20"/>
                <w:lang w:eastAsia="sl-SI"/>
              </w:rPr>
            </w:pPr>
            <w:r w:rsidRPr="00F44FA4">
              <w:rPr>
                <w:rFonts w:cs="Arial"/>
                <w:color w:val="000000"/>
                <w:szCs w:val="20"/>
                <w:lang w:eastAsia="sl-SI"/>
              </w:rPr>
              <w:t xml:space="preserve">    15.776   </w:t>
            </w:r>
          </w:p>
        </w:tc>
        <w:tc>
          <w:tcPr>
            <w:tcW w:w="347" w:type="pct"/>
            <w:shd w:val="clear" w:color="auto" w:fill="auto"/>
            <w:noWrap/>
            <w:vAlign w:val="bottom"/>
            <w:hideMark/>
          </w:tcPr>
          <w:p w14:paraId="4AFC332B"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22,64</w:t>
            </w:r>
          </w:p>
        </w:tc>
      </w:tr>
      <w:tr w:rsidR="006C63D5" w:rsidRPr="00F44FA4" w14:paraId="03CC1644" w14:textId="77777777" w:rsidTr="0084556E">
        <w:trPr>
          <w:trHeight w:val="288"/>
        </w:trPr>
        <w:tc>
          <w:tcPr>
            <w:tcW w:w="2286" w:type="pct"/>
            <w:shd w:val="clear" w:color="auto" w:fill="auto"/>
            <w:noWrap/>
            <w:vAlign w:val="bottom"/>
            <w:hideMark/>
          </w:tcPr>
          <w:p w14:paraId="704943DE" w14:textId="77777777" w:rsidR="006C63D5" w:rsidRPr="00F44FA4" w:rsidRDefault="006C63D5" w:rsidP="005B1C38">
            <w:pPr>
              <w:keepNext/>
              <w:keepLines/>
              <w:rPr>
                <w:rFonts w:cs="Arial"/>
                <w:b/>
                <w:bCs/>
                <w:color w:val="000000"/>
                <w:szCs w:val="20"/>
                <w:lang w:eastAsia="sl-SI"/>
              </w:rPr>
            </w:pPr>
            <w:r w:rsidRPr="00F44FA4">
              <w:rPr>
                <w:rFonts w:cs="Arial"/>
                <w:b/>
                <w:bCs/>
                <w:color w:val="000000"/>
                <w:szCs w:val="20"/>
                <w:lang w:eastAsia="sl-SI"/>
              </w:rPr>
              <w:t>Višješolska, visokošolska izobrazba</w:t>
            </w:r>
          </w:p>
        </w:tc>
        <w:tc>
          <w:tcPr>
            <w:tcW w:w="566" w:type="pct"/>
            <w:shd w:val="clear" w:color="auto" w:fill="auto"/>
            <w:noWrap/>
            <w:vAlign w:val="bottom"/>
            <w:hideMark/>
          </w:tcPr>
          <w:p w14:paraId="45BD96D5" w14:textId="77777777" w:rsidR="006C63D5" w:rsidRPr="00F44FA4" w:rsidRDefault="006C63D5" w:rsidP="005B1C38">
            <w:pPr>
              <w:keepNext/>
              <w:keepLines/>
              <w:rPr>
                <w:rFonts w:cs="Arial"/>
                <w:color w:val="000000"/>
                <w:szCs w:val="20"/>
                <w:lang w:eastAsia="sl-SI"/>
              </w:rPr>
            </w:pPr>
            <w:r w:rsidRPr="00F44FA4">
              <w:rPr>
                <w:rFonts w:cs="Arial"/>
                <w:color w:val="000000"/>
                <w:szCs w:val="20"/>
                <w:lang w:eastAsia="sl-SI"/>
              </w:rPr>
              <w:t xml:space="preserve">           2.874   </w:t>
            </w:r>
          </w:p>
        </w:tc>
        <w:tc>
          <w:tcPr>
            <w:tcW w:w="444" w:type="pct"/>
            <w:shd w:val="clear" w:color="auto" w:fill="auto"/>
            <w:noWrap/>
            <w:vAlign w:val="bottom"/>
            <w:hideMark/>
          </w:tcPr>
          <w:p w14:paraId="15503489" w14:textId="77777777" w:rsidR="006C63D5" w:rsidRPr="00F44FA4" w:rsidRDefault="006C63D5" w:rsidP="005B1C38">
            <w:pPr>
              <w:keepNext/>
              <w:keepLines/>
              <w:rPr>
                <w:rFonts w:cs="Arial"/>
                <w:color w:val="000000"/>
                <w:szCs w:val="20"/>
                <w:lang w:eastAsia="sl-SI"/>
              </w:rPr>
            </w:pPr>
            <w:r w:rsidRPr="00F44FA4">
              <w:rPr>
                <w:rFonts w:cs="Arial"/>
                <w:color w:val="000000"/>
                <w:szCs w:val="20"/>
                <w:lang w:eastAsia="sl-SI"/>
              </w:rPr>
              <w:t xml:space="preserve">        3,73   </w:t>
            </w:r>
          </w:p>
        </w:tc>
        <w:tc>
          <w:tcPr>
            <w:tcW w:w="468" w:type="pct"/>
            <w:shd w:val="clear" w:color="auto" w:fill="auto"/>
            <w:noWrap/>
            <w:vAlign w:val="bottom"/>
            <w:hideMark/>
          </w:tcPr>
          <w:p w14:paraId="40FC265D" w14:textId="77777777" w:rsidR="006C63D5" w:rsidRPr="00F44FA4" w:rsidRDefault="006C63D5" w:rsidP="005B1C38">
            <w:pPr>
              <w:keepNext/>
              <w:keepLines/>
              <w:rPr>
                <w:rFonts w:cs="Arial"/>
                <w:color w:val="000000"/>
                <w:szCs w:val="20"/>
                <w:lang w:eastAsia="sl-SI"/>
              </w:rPr>
            </w:pPr>
            <w:r w:rsidRPr="00F44FA4">
              <w:rPr>
                <w:rFonts w:cs="Arial"/>
                <w:color w:val="000000"/>
                <w:szCs w:val="20"/>
                <w:lang w:eastAsia="sl-SI"/>
              </w:rPr>
              <w:t xml:space="preserve">       4.598   </w:t>
            </w:r>
          </w:p>
        </w:tc>
        <w:tc>
          <w:tcPr>
            <w:tcW w:w="444" w:type="pct"/>
            <w:shd w:val="clear" w:color="auto" w:fill="auto"/>
            <w:noWrap/>
            <w:vAlign w:val="bottom"/>
            <w:hideMark/>
          </w:tcPr>
          <w:p w14:paraId="24589946" w14:textId="77777777" w:rsidR="006C63D5" w:rsidRPr="00F44FA4" w:rsidRDefault="006C63D5" w:rsidP="005B1C38">
            <w:pPr>
              <w:keepNext/>
              <w:keepLines/>
              <w:rPr>
                <w:rFonts w:cs="Arial"/>
                <w:color w:val="000000"/>
                <w:szCs w:val="20"/>
                <w:lang w:eastAsia="sl-SI"/>
              </w:rPr>
            </w:pPr>
            <w:r w:rsidRPr="00F44FA4">
              <w:rPr>
                <w:rFonts w:cs="Arial"/>
                <w:color w:val="000000"/>
                <w:szCs w:val="20"/>
                <w:lang w:eastAsia="sl-SI"/>
              </w:rPr>
              <w:t xml:space="preserve">        6,18   </w:t>
            </w:r>
          </w:p>
        </w:tc>
        <w:tc>
          <w:tcPr>
            <w:tcW w:w="444" w:type="pct"/>
            <w:shd w:val="clear" w:color="auto" w:fill="auto"/>
            <w:noWrap/>
            <w:vAlign w:val="bottom"/>
            <w:hideMark/>
          </w:tcPr>
          <w:p w14:paraId="75FCE3F3" w14:textId="77777777" w:rsidR="006C63D5" w:rsidRPr="00F44FA4" w:rsidRDefault="006C63D5" w:rsidP="005B1C38">
            <w:pPr>
              <w:keepNext/>
              <w:keepLines/>
              <w:rPr>
                <w:rFonts w:cs="Arial"/>
                <w:color w:val="000000"/>
                <w:szCs w:val="20"/>
                <w:lang w:eastAsia="sl-SI"/>
              </w:rPr>
            </w:pPr>
            <w:r w:rsidRPr="00F44FA4">
              <w:rPr>
                <w:rFonts w:cs="Arial"/>
                <w:color w:val="000000"/>
                <w:szCs w:val="20"/>
                <w:lang w:eastAsia="sl-SI"/>
              </w:rPr>
              <w:t xml:space="preserve">      8.016   </w:t>
            </w:r>
          </w:p>
        </w:tc>
        <w:tc>
          <w:tcPr>
            <w:tcW w:w="347" w:type="pct"/>
            <w:shd w:val="clear" w:color="auto" w:fill="auto"/>
            <w:noWrap/>
            <w:vAlign w:val="bottom"/>
            <w:hideMark/>
          </w:tcPr>
          <w:p w14:paraId="01C1D319" w14:textId="77777777" w:rsidR="006C63D5" w:rsidRPr="00F44FA4" w:rsidRDefault="006C63D5" w:rsidP="005B1C38">
            <w:pPr>
              <w:keepNext/>
              <w:keepLines/>
              <w:jc w:val="right"/>
              <w:rPr>
                <w:rFonts w:cs="Arial"/>
                <w:color w:val="000000"/>
                <w:szCs w:val="20"/>
                <w:lang w:eastAsia="sl-SI"/>
              </w:rPr>
            </w:pPr>
            <w:r w:rsidRPr="00F44FA4">
              <w:rPr>
                <w:rFonts w:cs="Arial"/>
                <w:color w:val="000000"/>
                <w:szCs w:val="20"/>
                <w:lang w:eastAsia="sl-SI"/>
              </w:rPr>
              <w:t>11,51</w:t>
            </w:r>
          </w:p>
        </w:tc>
      </w:tr>
    </w:tbl>
    <w:p w14:paraId="1452C6C2" w14:textId="130C8183" w:rsidR="006C63D5" w:rsidRDefault="0084556E" w:rsidP="005B1C38">
      <w:pPr>
        <w:keepNext/>
        <w:keepLines/>
        <w:rPr>
          <w:sz w:val="16"/>
          <w:szCs w:val="16"/>
        </w:rPr>
      </w:pPr>
      <w:r w:rsidRPr="005B1C38">
        <w:rPr>
          <w:sz w:val="16"/>
          <w:szCs w:val="16"/>
        </w:rPr>
        <w:t>Vir: SURS</w:t>
      </w:r>
    </w:p>
    <w:p w14:paraId="61D12C98" w14:textId="77777777" w:rsidR="00DF0D48" w:rsidRPr="005B1C38" w:rsidRDefault="00DF0D48" w:rsidP="005B1C38">
      <w:pPr>
        <w:keepNext/>
        <w:keepLines/>
        <w:rPr>
          <w:rFonts w:cs="Arial"/>
          <w:i/>
          <w:sz w:val="16"/>
          <w:szCs w:val="16"/>
          <w:u w:val="single"/>
        </w:rPr>
      </w:pPr>
    </w:p>
    <w:p w14:paraId="7B735F05" w14:textId="4C237A6C" w:rsidR="006C63D5" w:rsidRPr="003C7942" w:rsidRDefault="006C63D5" w:rsidP="00DF0D48">
      <w:pPr>
        <w:pStyle w:val="Naslov2"/>
        <w:ind w:left="578" w:hanging="578"/>
      </w:pPr>
      <w:bookmarkStart w:id="130" w:name="_Toc42067312"/>
      <w:bookmarkStart w:id="131" w:name="_Toc55912196"/>
      <w:r w:rsidRPr="003C7942">
        <w:t>Starostna struktura nosilcev kmetijskih gospodarstev</w:t>
      </w:r>
      <w:bookmarkEnd w:id="130"/>
      <w:bookmarkEnd w:id="131"/>
    </w:p>
    <w:p w14:paraId="7478D1AB" w14:textId="35BC2546" w:rsidR="006C63D5" w:rsidRPr="003344A4" w:rsidRDefault="006C63D5" w:rsidP="000C577C">
      <w:pPr>
        <w:spacing w:line="360" w:lineRule="auto"/>
        <w:jc w:val="both"/>
        <w:rPr>
          <w:rFonts w:cs="Arial"/>
          <w:szCs w:val="20"/>
        </w:rPr>
      </w:pPr>
      <w:r w:rsidRPr="003344A4">
        <w:rPr>
          <w:rFonts w:cs="Arial"/>
          <w:szCs w:val="20"/>
        </w:rPr>
        <w:t>Povprečna starost gospodarja upravitelja kmetijskega gospodarstva je v Sloveniji v letu 2016 znašala 57 let, kar kaže na izrazito neugodno starostno strukturo v kmetijstvu in zaskrbljujoče dejstvo glede p</w:t>
      </w:r>
      <w:r w:rsidR="003C7942">
        <w:rPr>
          <w:rFonts w:cs="Arial"/>
          <w:szCs w:val="20"/>
        </w:rPr>
        <w:t xml:space="preserve">rihodnjega razvoja te panoge.  </w:t>
      </w:r>
    </w:p>
    <w:p w14:paraId="5A107E90" w14:textId="26B4C813" w:rsidR="006C63D5" w:rsidRPr="003344A4" w:rsidRDefault="006C63D5" w:rsidP="000C577C">
      <w:pPr>
        <w:spacing w:line="360" w:lineRule="auto"/>
        <w:jc w:val="both"/>
        <w:rPr>
          <w:rFonts w:cs="Arial"/>
          <w:szCs w:val="20"/>
        </w:rPr>
      </w:pPr>
      <w:r w:rsidRPr="003344A4">
        <w:rPr>
          <w:rFonts w:cs="Arial"/>
          <w:szCs w:val="20"/>
        </w:rPr>
        <w:t xml:space="preserve">V letu 2016 je bil v EU–28 delež gospodarjev, mlajših od 55 let, 42-odsoten, pri čemer ni večjih razlik med starimi in novimi državami članicami EU. V Sloveniji je mlajših od 55 let 43 % gospodarjev, kar je nekoliko nad povprečjem EU–28. Med posameznimi državami je imela v letu 2016 najugodnejšo  starostno strukturo Avstrija, kjer je bilo več kot 70 % gospodarjev mlajših od 55 let, najslabšo pa sta </w:t>
      </w:r>
      <w:r w:rsidRPr="003344A4">
        <w:rPr>
          <w:rFonts w:cs="Arial"/>
          <w:szCs w:val="20"/>
        </w:rPr>
        <w:lastRenderedPageBreak/>
        <w:t>imel</w:t>
      </w:r>
      <w:r w:rsidR="0084556E">
        <w:rPr>
          <w:rFonts w:cs="Arial"/>
          <w:szCs w:val="20"/>
        </w:rPr>
        <w:t>i</w:t>
      </w:r>
      <w:r w:rsidRPr="003344A4">
        <w:rPr>
          <w:rFonts w:cs="Arial"/>
          <w:szCs w:val="20"/>
        </w:rPr>
        <w:t xml:space="preserve"> Portugalska in Ciper, kjer je mlajših od 55 manj kot četrtina gospodarjev (24 %). Največji delež gospodarjev, mlajših od 35 let, je v Avstriji (12 %) in na Slovaškem (11 %), Ciper in Portugalska pa imata manj kot 2 % gospodarjev, mlajših od 35 let. Delež mladih gospodarjev v Sloveniji je manj kot 5 %, kar nas uvršča pod povprečje EU–28 (6 %).</w:t>
      </w:r>
    </w:p>
    <w:p w14:paraId="78ED0D52" w14:textId="153BBD68" w:rsidR="006C63D5" w:rsidRPr="003344A4" w:rsidRDefault="003C7942" w:rsidP="0035086C">
      <w:bookmarkStart w:id="132" w:name="_Toc40959364"/>
      <w:bookmarkStart w:id="133" w:name="_Toc55913778"/>
      <w:r w:rsidRPr="00226CFA">
        <w:t xml:space="preserve">Slika </w:t>
      </w:r>
      <w:r w:rsidR="007A077E">
        <w:fldChar w:fldCharType="begin"/>
      </w:r>
      <w:r w:rsidR="007A077E">
        <w:instrText xml:space="preserve"> SEQ Slika \* ARABIC </w:instrText>
      </w:r>
      <w:r w:rsidR="007A077E">
        <w:fldChar w:fldCharType="separate"/>
      </w:r>
      <w:r w:rsidR="0040635C">
        <w:rPr>
          <w:noProof/>
        </w:rPr>
        <w:t>27</w:t>
      </w:r>
      <w:r w:rsidR="007A077E">
        <w:fldChar w:fldCharType="end"/>
      </w:r>
      <w:r w:rsidRPr="00226CFA">
        <w:t>: Starostna struktura v kmetijstvu EU-28</w:t>
      </w:r>
      <w:bookmarkEnd w:id="132"/>
      <w:r w:rsidR="006C63D5" w:rsidRPr="003344A4">
        <w:rPr>
          <w:noProof/>
          <w:lang w:eastAsia="sl-SI"/>
        </w:rPr>
        <w:drawing>
          <wp:inline distT="0" distB="0" distL="0" distR="0" wp14:anchorId="07AEA383" wp14:editId="51C3864C">
            <wp:extent cx="5697416" cy="2751993"/>
            <wp:effectExtent l="19050" t="0" r="0" b="0"/>
            <wp:docPr id="5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l="1044"/>
                    <a:stretch>
                      <a:fillRect/>
                    </a:stretch>
                  </pic:blipFill>
                  <pic:spPr bwMode="auto">
                    <a:xfrm>
                      <a:off x="0" y="0"/>
                      <a:ext cx="5697416" cy="2751993"/>
                    </a:xfrm>
                    <a:prstGeom prst="rect">
                      <a:avLst/>
                    </a:prstGeom>
                    <a:noFill/>
                    <a:ln w="9525">
                      <a:noFill/>
                      <a:miter lim="800000"/>
                      <a:headEnd/>
                      <a:tailEnd/>
                    </a:ln>
                  </pic:spPr>
                </pic:pic>
              </a:graphicData>
            </a:graphic>
          </wp:inline>
        </w:drawing>
      </w:r>
      <w:bookmarkEnd w:id="133"/>
    </w:p>
    <w:p w14:paraId="5966F93F" w14:textId="77777777" w:rsidR="006C63D5" w:rsidRPr="003C7942" w:rsidRDefault="006C63D5" w:rsidP="005B1C38">
      <w:pPr>
        <w:keepNext/>
        <w:keepLines/>
        <w:jc w:val="both"/>
        <w:rPr>
          <w:rFonts w:cs="Arial"/>
          <w:sz w:val="16"/>
          <w:szCs w:val="16"/>
        </w:rPr>
      </w:pPr>
      <w:r w:rsidRPr="003C7942">
        <w:rPr>
          <w:rFonts w:cs="Arial"/>
          <w:sz w:val="16"/>
          <w:szCs w:val="16"/>
        </w:rPr>
        <w:t>Vir: SURS/Kmetijski inštitut Slovenije, 2019, Poročilo o stanju….2018</w:t>
      </w:r>
    </w:p>
    <w:p w14:paraId="5E74D0E2" w14:textId="77777777" w:rsidR="006C63D5" w:rsidRPr="003344A4" w:rsidRDefault="006C63D5" w:rsidP="006C63D5">
      <w:pPr>
        <w:rPr>
          <w:rFonts w:cs="Arial"/>
          <w:szCs w:val="20"/>
        </w:rPr>
      </w:pPr>
    </w:p>
    <w:p w14:paraId="427E56A0" w14:textId="6FAB408C" w:rsidR="006C63D5" w:rsidRPr="003344A4" w:rsidRDefault="006C63D5" w:rsidP="000C577C">
      <w:pPr>
        <w:spacing w:line="360" w:lineRule="auto"/>
        <w:jc w:val="both"/>
        <w:rPr>
          <w:rFonts w:cs="Arial"/>
          <w:szCs w:val="20"/>
        </w:rPr>
      </w:pPr>
      <w:r w:rsidRPr="003344A4">
        <w:rPr>
          <w:rFonts w:cs="Arial"/>
          <w:szCs w:val="20"/>
        </w:rPr>
        <w:t>Starostna struktura gospodarjev v EU–28 se je v primerjavi z letom 2010 precej poslabšala, saj se je delež gospodarjev, starih do 55 let, zmanjšal za skoraj 5 odstotnih točk. Med posameznimi državami se je starostna struktura v razredih do 55 let najbolj poslabšala na Češkem (za 18 odstotnih točk), delež mlajših od 55 pa se je na Finskem povečal za 6 odstotnih točk. V Sloveniji se je v tem obdobju delež gospodarjev, starih do 55 let, zmanjšal, in sicer za nekaj manj kot eno odstotno točko.</w:t>
      </w:r>
      <w:r w:rsidRPr="003344A4">
        <w:rPr>
          <w:rFonts w:cs="Arial"/>
          <w:szCs w:val="20"/>
          <w:vertAlign w:val="superscript"/>
        </w:rPr>
        <w:footnoteReference w:id="23"/>
      </w:r>
    </w:p>
    <w:p w14:paraId="03CE20E1" w14:textId="714E2204" w:rsidR="006C63D5" w:rsidRPr="003344A4" w:rsidRDefault="00C9160B" w:rsidP="003C7942">
      <w:pPr>
        <w:pStyle w:val="SCPreglednica"/>
        <w:rPr>
          <w:sz w:val="16"/>
          <w:szCs w:val="20"/>
        </w:rPr>
      </w:pPr>
      <w:bookmarkStart w:id="134" w:name="_Toc55913740"/>
      <w:r>
        <w:t>Tabela</w:t>
      </w:r>
      <w:r w:rsidR="006C63D5" w:rsidRPr="003D6FF8">
        <w:t xml:space="preserve"> </w:t>
      </w:r>
      <w:r w:rsidR="0001708D">
        <w:rPr>
          <w:noProof/>
        </w:rPr>
        <w:fldChar w:fldCharType="begin"/>
      </w:r>
      <w:r w:rsidR="0001708D">
        <w:rPr>
          <w:noProof/>
        </w:rPr>
        <w:instrText xml:space="preserve"> SEQ Tabela \* ARABIC </w:instrText>
      </w:r>
      <w:r w:rsidR="0001708D">
        <w:rPr>
          <w:noProof/>
        </w:rPr>
        <w:fldChar w:fldCharType="separate"/>
      </w:r>
      <w:r w:rsidR="00DF0D48">
        <w:rPr>
          <w:noProof/>
        </w:rPr>
        <w:t>29</w:t>
      </w:r>
      <w:r w:rsidR="0001708D">
        <w:rPr>
          <w:noProof/>
        </w:rPr>
        <w:fldChar w:fldCharType="end"/>
      </w:r>
      <w:r w:rsidR="006C63D5" w:rsidRPr="003D6FF8">
        <w:t xml:space="preserve">: </w:t>
      </w:r>
      <w:r w:rsidR="006C63D5" w:rsidRPr="00CB4479">
        <w:t>Starostna struktura nosilcev kmetijskih gospodarstev</w:t>
      </w:r>
      <w:bookmarkEnd w:id="134"/>
      <w:r w:rsidR="006C63D5" w:rsidRPr="00CB4479" w:rsidDel="00CB4479">
        <w:t xml:space="preserve"> </w:t>
      </w:r>
    </w:p>
    <w:tbl>
      <w:tblPr>
        <w:tblW w:w="5000" w:type="pct"/>
        <w:tblCellMar>
          <w:left w:w="0" w:type="dxa"/>
          <w:right w:w="0" w:type="dxa"/>
        </w:tblCellMar>
        <w:tblLook w:val="04A0" w:firstRow="1" w:lastRow="0" w:firstColumn="1" w:lastColumn="0" w:noHBand="0" w:noVBand="1"/>
      </w:tblPr>
      <w:tblGrid>
        <w:gridCol w:w="453"/>
        <w:gridCol w:w="5132"/>
        <w:gridCol w:w="703"/>
        <w:gridCol w:w="756"/>
        <w:gridCol w:w="680"/>
        <w:gridCol w:w="662"/>
        <w:gridCol w:w="676"/>
      </w:tblGrid>
      <w:tr w:rsidR="006C63D5" w:rsidRPr="00F44FA4" w14:paraId="49E21A88" w14:textId="77777777" w:rsidTr="00F42F8F">
        <w:trPr>
          <w:trHeight w:val="375"/>
        </w:trPr>
        <w:tc>
          <w:tcPr>
            <w:tcW w:w="250" w:type="pct"/>
            <w:tcBorders>
              <w:top w:val="single" w:sz="4" w:space="0" w:color="auto"/>
              <w:left w:val="single" w:sz="4" w:space="0" w:color="auto"/>
              <w:bottom w:val="single" w:sz="4" w:space="0" w:color="auto"/>
              <w:right w:val="single" w:sz="4" w:space="0" w:color="auto"/>
            </w:tcBorders>
            <w:shd w:val="clear" w:color="000000" w:fill="92D050"/>
            <w:noWrap/>
            <w:tcMar>
              <w:top w:w="15" w:type="dxa"/>
              <w:left w:w="15" w:type="dxa"/>
              <w:bottom w:w="0" w:type="dxa"/>
              <w:right w:w="15" w:type="dxa"/>
            </w:tcMar>
            <w:vAlign w:val="bottom"/>
            <w:hideMark/>
          </w:tcPr>
          <w:p w14:paraId="15D008AB" w14:textId="77777777" w:rsidR="006C63D5" w:rsidRPr="00F44FA4" w:rsidRDefault="006C63D5" w:rsidP="004167E8">
            <w:pPr>
              <w:rPr>
                <w:rFonts w:cs="Arial"/>
                <w:b/>
                <w:bCs/>
                <w:color w:val="000000"/>
                <w:szCs w:val="20"/>
              </w:rPr>
            </w:pPr>
            <w:r w:rsidRPr="00F44FA4">
              <w:rPr>
                <w:rFonts w:cs="Arial"/>
                <w:b/>
                <w:bCs/>
                <w:color w:val="000000"/>
                <w:szCs w:val="20"/>
              </w:rPr>
              <w:t>C.14</w:t>
            </w:r>
          </w:p>
        </w:tc>
        <w:tc>
          <w:tcPr>
            <w:tcW w:w="2832" w:type="pct"/>
            <w:tcBorders>
              <w:top w:val="single" w:sz="4" w:space="0" w:color="auto"/>
              <w:left w:val="single" w:sz="4" w:space="0" w:color="auto"/>
              <w:bottom w:val="single" w:sz="4" w:space="0" w:color="auto"/>
              <w:right w:val="single" w:sz="4" w:space="0" w:color="auto"/>
            </w:tcBorders>
            <w:shd w:val="clear" w:color="000000" w:fill="92D050"/>
            <w:noWrap/>
            <w:tcMar>
              <w:top w:w="15" w:type="dxa"/>
              <w:left w:w="15" w:type="dxa"/>
              <w:bottom w:w="0" w:type="dxa"/>
              <w:right w:w="15" w:type="dxa"/>
            </w:tcMar>
            <w:vAlign w:val="bottom"/>
            <w:hideMark/>
          </w:tcPr>
          <w:p w14:paraId="68E9530C" w14:textId="77777777" w:rsidR="006C63D5" w:rsidRPr="00F44FA4" w:rsidRDefault="006C63D5" w:rsidP="004167E8">
            <w:pPr>
              <w:rPr>
                <w:rFonts w:cs="Arial"/>
                <w:b/>
                <w:bCs/>
                <w:color w:val="000000"/>
                <w:szCs w:val="20"/>
              </w:rPr>
            </w:pPr>
            <w:r w:rsidRPr="00F44FA4">
              <w:rPr>
                <w:rFonts w:cs="Arial"/>
                <w:b/>
                <w:bCs/>
                <w:color w:val="000000"/>
                <w:szCs w:val="20"/>
              </w:rPr>
              <w:t>Starostna struktura nosilcev kmetijskih gospodarstev</w:t>
            </w:r>
          </w:p>
        </w:tc>
        <w:tc>
          <w:tcPr>
            <w:tcW w:w="388" w:type="pct"/>
            <w:tcBorders>
              <w:top w:val="single" w:sz="4" w:space="0" w:color="auto"/>
              <w:left w:val="single" w:sz="4"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5A23E5C6" w14:textId="77777777" w:rsidR="006C63D5" w:rsidRPr="00F44FA4" w:rsidRDefault="006C63D5" w:rsidP="004167E8">
            <w:pPr>
              <w:jc w:val="center"/>
              <w:rPr>
                <w:rFonts w:cs="Arial"/>
                <w:b/>
                <w:bCs/>
                <w:color w:val="000000"/>
                <w:szCs w:val="20"/>
              </w:rPr>
            </w:pPr>
            <w:r w:rsidRPr="00F44FA4">
              <w:rPr>
                <w:rFonts w:cs="Arial"/>
                <w:b/>
                <w:bCs/>
                <w:color w:val="000000"/>
                <w:szCs w:val="20"/>
              </w:rPr>
              <w:t>2005</w:t>
            </w:r>
          </w:p>
        </w:tc>
        <w:tc>
          <w:tcPr>
            <w:tcW w:w="417" w:type="pct"/>
            <w:tcBorders>
              <w:top w:val="single" w:sz="4" w:space="0" w:color="auto"/>
              <w:left w:val="single" w:sz="4"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2E32C4C8" w14:textId="77777777" w:rsidR="006C63D5" w:rsidRPr="00F44FA4" w:rsidRDefault="006C63D5" w:rsidP="004167E8">
            <w:pPr>
              <w:jc w:val="center"/>
              <w:rPr>
                <w:rFonts w:cs="Arial"/>
                <w:b/>
                <w:bCs/>
                <w:color w:val="000000"/>
                <w:szCs w:val="20"/>
              </w:rPr>
            </w:pPr>
            <w:r w:rsidRPr="00F44FA4">
              <w:rPr>
                <w:rFonts w:cs="Arial"/>
                <w:b/>
                <w:bCs/>
                <w:color w:val="000000"/>
                <w:szCs w:val="20"/>
              </w:rPr>
              <w:t>2007</w:t>
            </w:r>
          </w:p>
        </w:tc>
        <w:tc>
          <w:tcPr>
            <w:tcW w:w="375" w:type="pct"/>
            <w:tcBorders>
              <w:top w:val="single" w:sz="4" w:space="0" w:color="auto"/>
              <w:left w:val="single" w:sz="4"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6CB3FD0D" w14:textId="77777777" w:rsidR="006C63D5" w:rsidRPr="00F44FA4" w:rsidRDefault="006C63D5" w:rsidP="004167E8">
            <w:pPr>
              <w:jc w:val="center"/>
              <w:rPr>
                <w:rFonts w:cs="Arial"/>
                <w:b/>
                <w:bCs/>
                <w:color w:val="000000"/>
                <w:szCs w:val="20"/>
              </w:rPr>
            </w:pPr>
            <w:r w:rsidRPr="00F44FA4">
              <w:rPr>
                <w:rFonts w:cs="Arial"/>
                <w:b/>
                <w:bCs/>
                <w:color w:val="000000"/>
                <w:szCs w:val="20"/>
              </w:rPr>
              <w:t>2010</w:t>
            </w:r>
          </w:p>
        </w:tc>
        <w:tc>
          <w:tcPr>
            <w:tcW w:w="365" w:type="pct"/>
            <w:tcBorders>
              <w:top w:val="single" w:sz="4" w:space="0" w:color="auto"/>
              <w:left w:val="single" w:sz="4"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4FFFD81A" w14:textId="77777777" w:rsidR="006C63D5" w:rsidRPr="00F44FA4" w:rsidRDefault="006C63D5" w:rsidP="004167E8">
            <w:pPr>
              <w:jc w:val="center"/>
              <w:rPr>
                <w:rFonts w:cs="Arial"/>
                <w:b/>
                <w:bCs/>
                <w:color w:val="000000"/>
                <w:szCs w:val="20"/>
              </w:rPr>
            </w:pPr>
            <w:r w:rsidRPr="00F44FA4">
              <w:rPr>
                <w:rFonts w:cs="Arial"/>
                <w:b/>
                <w:bCs/>
                <w:color w:val="000000"/>
                <w:szCs w:val="20"/>
              </w:rPr>
              <w:t>2013</w:t>
            </w:r>
          </w:p>
        </w:tc>
        <w:tc>
          <w:tcPr>
            <w:tcW w:w="374" w:type="pct"/>
            <w:tcBorders>
              <w:top w:val="single" w:sz="4" w:space="0" w:color="auto"/>
              <w:left w:val="single" w:sz="4" w:space="0" w:color="auto"/>
              <w:bottom w:val="single" w:sz="4" w:space="0" w:color="auto"/>
              <w:right w:val="single" w:sz="4" w:space="0" w:color="auto"/>
            </w:tcBorders>
            <w:shd w:val="clear" w:color="000000" w:fill="92D050"/>
            <w:noWrap/>
            <w:tcMar>
              <w:top w:w="15" w:type="dxa"/>
              <w:left w:w="15" w:type="dxa"/>
              <w:bottom w:w="0" w:type="dxa"/>
              <w:right w:w="15" w:type="dxa"/>
            </w:tcMar>
            <w:vAlign w:val="center"/>
            <w:hideMark/>
          </w:tcPr>
          <w:p w14:paraId="25124B5E" w14:textId="77777777" w:rsidR="006C63D5" w:rsidRPr="00F44FA4" w:rsidRDefault="006C63D5" w:rsidP="004167E8">
            <w:pPr>
              <w:jc w:val="center"/>
              <w:rPr>
                <w:rFonts w:cs="Arial"/>
                <w:b/>
                <w:bCs/>
                <w:color w:val="000000"/>
                <w:szCs w:val="20"/>
              </w:rPr>
            </w:pPr>
            <w:r w:rsidRPr="00F44FA4">
              <w:rPr>
                <w:rFonts w:cs="Arial"/>
                <w:b/>
                <w:bCs/>
                <w:color w:val="000000"/>
                <w:szCs w:val="20"/>
              </w:rPr>
              <w:t>2016</w:t>
            </w:r>
          </w:p>
        </w:tc>
      </w:tr>
      <w:tr w:rsidR="006C63D5" w:rsidRPr="00F44FA4" w14:paraId="2DB60103" w14:textId="77777777" w:rsidTr="00F34DE6">
        <w:trPr>
          <w:trHeight w:val="315"/>
        </w:trPr>
        <w:tc>
          <w:tcPr>
            <w:tcW w:w="25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220B4E4" w14:textId="77777777" w:rsidR="006C63D5" w:rsidRPr="00F44FA4" w:rsidRDefault="006C63D5" w:rsidP="004167E8">
            <w:pPr>
              <w:rPr>
                <w:rFonts w:cs="Arial"/>
                <w:color w:val="000000"/>
                <w:szCs w:val="20"/>
              </w:rPr>
            </w:pPr>
            <w:r w:rsidRPr="00F44FA4">
              <w:rPr>
                <w:rFonts w:cs="Arial"/>
                <w:color w:val="000000"/>
                <w:szCs w:val="20"/>
              </w:rPr>
              <w:t> </w:t>
            </w:r>
          </w:p>
        </w:tc>
        <w:tc>
          <w:tcPr>
            <w:tcW w:w="28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BC84E5E" w14:textId="77777777" w:rsidR="006C63D5" w:rsidRPr="00F44FA4" w:rsidRDefault="006C63D5" w:rsidP="004167E8">
            <w:pPr>
              <w:rPr>
                <w:rFonts w:cs="Arial"/>
                <w:color w:val="000000"/>
                <w:szCs w:val="20"/>
              </w:rPr>
            </w:pPr>
            <w:r w:rsidRPr="00F44FA4">
              <w:rPr>
                <w:rFonts w:cs="Arial"/>
                <w:color w:val="000000"/>
                <w:szCs w:val="20"/>
              </w:rPr>
              <w:t>Nosilci kmetijskih gospodarstev po starostnih skupinah - pod 35 let</w:t>
            </w:r>
          </w:p>
        </w:tc>
        <w:tc>
          <w:tcPr>
            <w:tcW w:w="38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E734731" w14:textId="77777777" w:rsidR="006C63D5" w:rsidRPr="00F44FA4" w:rsidRDefault="006C63D5" w:rsidP="004167E8">
            <w:pPr>
              <w:jc w:val="right"/>
              <w:rPr>
                <w:rFonts w:cs="Arial"/>
                <w:color w:val="000000"/>
                <w:szCs w:val="20"/>
              </w:rPr>
            </w:pPr>
            <w:r w:rsidRPr="00F44FA4">
              <w:rPr>
                <w:rFonts w:cs="Arial"/>
                <w:color w:val="000000"/>
                <w:szCs w:val="20"/>
              </w:rPr>
              <w:t>4,46</w:t>
            </w:r>
          </w:p>
        </w:tc>
        <w:tc>
          <w:tcPr>
            <w:tcW w:w="41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77EE183" w14:textId="77777777" w:rsidR="006C63D5" w:rsidRPr="00F44FA4" w:rsidRDefault="006C63D5" w:rsidP="004167E8">
            <w:pPr>
              <w:jc w:val="right"/>
              <w:rPr>
                <w:rFonts w:cs="Arial"/>
                <w:color w:val="000000"/>
                <w:szCs w:val="20"/>
              </w:rPr>
            </w:pPr>
            <w:r w:rsidRPr="00F44FA4">
              <w:rPr>
                <w:rFonts w:cs="Arial"/>
                <w:color w:val="000000"/>
                <w:szCs w:val="20"/>
              </w:rPr>
              <w:t>3,98</w:t>
            </w:r>
          </w:p>
        </w:tc>
        <w:tc>
          <w:tcPr>
            <w:tcW w:w="37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9E6011" w14:textId="77777777" w:rsidR="006C63D5" w:rsidRPr="00F44FA4" w:rsidRDefault="006C63D5" w:rsidP="004167E8">
            <w:pPr>
              <w:jc w:val="right"/>
              <w:rPr>
                <w:rFonts w:cs="Arial"/>
                <w:color w:val="000000"/>
                <w:szCs w:val="20"/>
              </w:rPr>
            </w:pPr>
            <w:r w:rsidRPr="00F44FA4">
              <w:rPr>
                <w:rFonts w:cs="Arial"/>
                <w:color w:val="000000"/>
                <w:szCs w:val="20"/>
              </w:rPr>
              <w:t>4,33</w:t>
            </w:r>
          </w:p>
        </w:tc>
        <w:tc>
          <w:tcPr>
            <w:tcW w:w="3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D84139" w14:textId="77777777" w:rsidR="006C63D5" w:rsidRPr="00F44FA4" w:rsidRDefault="006C63D5" w:rsidP="004167E8">
            <w:pPr>
              <w:jc w:val="right"/>
              <w:rPr>
                <w:rFonts w:cs="Arial"/>
                <w:color w:val="000000"/>
                <w:szCs w:val="20"/>
              </w:rPr>
            </w:pPr>
            <w:r w:rsidRPr="00F44FA4">
              <w:rPr>
                <w:rFonts w:cs="Arial"/>
                <w:color w:val="000000"/>
                <w:szCs w:val="20"/>
              </w:rPr>
              <w:t>4,79</w:t>
            </w:r>
          </w:p>
        </w:tc>
        <w:tc>
          <w:tcPr>
            <w:tcW w:w="3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4AE167" w14:textId="77777777" w:rsidR="006C63D5" w:rsidRPr="00F44FA4" w:rsidRDefault="006C63D5" w:rsidP="004167E8">
            <w:pPr>
              <w:jc w:val="right"/>
              <w:rPr>
                <w:rFonts w:cs="Arial"/>
                <w:color w:val="000000"/>
                <w:szCs w:val="20"/>
              </w:rPr>
            </w:pPr>
            <w:r w:rsidRPr="00F44FA4">
              <w:rPr>
                <w:rFonts w:cs="Arial"/>
                <w:color w:val="000000"/>
                <w:szCs w:val="20"/>
              </w:rPr>
              <w:t>4,62</w:t>
            </w:r>
          </w:p>
        </w:tc>
      </w:tr>
      <w:tr w:rsidR="006C63D5" w:rsidRPr="00F44FA4" w14:paraId="44578E16" w14:textId="77777777" w:rsidTr="00F34DE6">
        <w:trPr>
          <w:trHeight w:val="585"/>
        </w:trPr>
        <w:tc>
          <w:tcPr>
            <w:tcW w:w="250" w:type="pct"/>
            <w:vMerge/>
            <w:tcBorders>
              <w:top w:val="nil"/>
              <w:left w:val="single" w:sz="4" w:space="0" w:color="auto"/>
              <w:bottom w:val="single" w:sz="4" w:space="0" w:color="auto"/>
              <w:right w:val="single" w:sz="4" w:space="0" w:color="auto"/>
            </w:tcBorders>
            <w:vAlign w:val="center"/>
            <w:hideMark/>
          </w:tcPr>
          <w:p w14:paraId="3A51ACB4" w14:textId="77777777" w:rsidR="006C63D5" w:rsidRPr="00F44FA4" w:rsidRDefault="006C63D5" w:rsidP="004167E8">
            <w:pPr>
              <w:rPr>
                <w:rFonts w:cs="Arial"/>
                <w:color w:val="000000"/>
                <w:szCs w:val="20"/>
              </w:rPr>
            </w:pPr>
          </w:p>
        </w:tc>
        <w:tc>
          <w:tcPr>
            <w:tcW w:w="28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5B3C58" w14:textId="77777777" w:rsidR="006C63D5" w:rsidRPr="00F44FA4" w:rsidRDefault="006C63D5" w:rsidP="004167E8">
            <w:pPr>
              <w:rPr>
                <w:rFonts w:cs="Arial"/>
                <w:color w:val="000000"/>
                <w:szCs w:val="20"/>
              </w:rPr>
            </w:pPr>
            <w:r w:rsidRPr="00F44FA4">
              <w:rPr>
                <w:rFonts w:cs="Arial"/>
                <w:color w:val="000000"/>
                <w:szCs w:val="20"/>
              </w:rPr>
              <w:t>Število vseh gospodarjev</w:t>
            </w:r>
          </w:p>
        </w:tc>
        <w:tc>
          <w:tcPr>
            <w:tcW w:w="38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926FCB2" w14:textId="77777777" w:rsidR="006C63D5" w:rsidRPr="00F44FA4" w:rsidRDefault="006C63D5" w:rsidP="004167E8">
            <w:pPr>
              <w:jc w:val="right"/>
              <w:rPr>
                <w:rFonts w:cs="Arial"/>
                <w:color w:val="000000"/>
                <w:szCs w:val="20"/>
              </w:rPr>
            </w:pPr>
            <w:r w:rsidRPr="00F44FA4">
              <w:rPr>
                <w:rFonts w:cs="Arial"/>
                <w:color w:val="000000"/>
                <w:szCs w:val="20"/>
              </w:rPr>
              <w:t>77.170</w:t>
            </w:r>
          </w:p>
        </w:tc>
        <w:tc>
          <w:tcPr>
            <w:tcW w:w="41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7B914BF" w14:textId="77777777" w:rsidR="006C63D5" w:rsidRPr="00F44FA4" w:rsidRDefault="006C63D5" w:rsidP="004167E8">
            <w:pPr>
              <w:jc w:val="right"/>
              <w:rPr>
                <w:rFonts w:cs="Arial"/>
                <w:color w:val="000000"/>
                <w:szCs w:val="20"/>
              </w:rPr>
            </w:pPr>
            <w:r w:rsidRPr="00F44FA4">
              <w:rPr>
                <w:rFonts w:cs="Arial"/>
                <w:color w:val="000000"/>
                <w:szCs w:val="20"/>
              </w:rPr>
              <w:t>75.340</w:t>
            </w:r>
          </w:p>
        </w:tc>
        <w:tc>
          <w:tcPr>
            <w:tcW w:w="37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5DECA9" w14:textId="77777777" w:rsidR="006C63D5" w:rsidRPr="00F44FA4" w:rsidRDefault="006C63D5" w:rsidP="004167E8">
            <w:pPr>
              <w:jc w:val="right"/>
              <w:rPr>
                <w:rFonts w:cs="Arial"/>
                <w:color w:val="000000"/>
                <w:szCs w:val="20"/>
              </w:rPr>
            </w:pPr>
            <w:r w:rsidRPr="00F44FA4">
              <w:rPr>
                <w:rFonts w:cs="Arial"/>
                <w:color w:val="000000"/>
                <w:szCs w:val="20"/>
              </w:rPr>
              <w:t>74.650</w:t>
            </w:r>
          </w:p>
        </w:tc>
        <w:tc>
          <w:tcPr>
            <w:tcW w:w="3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4CB9E1" w14:textId="77777777" w:rsidR="006C63D5" w:rsidRPr="00F44FA4" w:rsidRDefault="006C63D5" w:rsidP="004167E8">
            <w:pPr>
              <w:jc w:val="right"/>
              <w:rPr>
                <w:rFonts w:cs="Arial"/>
                <w:color w:val="000000"/>
                <w:szCs w:val="20"/>
              </w:rPr>
            </w:pPr>
            <w:r w:rsidRPr="00F44FA4">
              <w:rPr>
                <w:rFonts w:cs="Arial"/>
                <w:color w:val="000000"/>
                <w:szCs w:val="20"/>
              </w:rPr>
              <w:t>72.380</w:t>
            </w:r>
          </w:p>
        </w:tc>
        <w:tc>
          <w:tcPr>
            <w:tcW w:w="3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83C633" w14:textId="77777777" w:rsidR="006C63D5" w:rsidRPr="00F44FA4" w:rsidRDefault="006C63D5" w:rsidP="004167E8">
            <w:pPr>
              <w:jc w:val="right"/>
              <w:rPr>
                <w:rFonts w:cs="Arial"/>
                <w:color w:val="000000"/>
                <w:szCs w:val="20"/>
              </w:rPr>
            </w:pPr>
            <w:r w:rsidRPr="00F44FA4">
              <w:rPr>
                <w:rFonts w:cs="Arial"/>
                <w:color w:val="000000"/>
                <w:szCs w:val="20"/>
              </w:rPr>
              <w:t>69.900</w:t>
            </w:r>
          </w:p>
        </w:tc>
      </w:tr>
      <w:tr w:rsidR="006C63D5" w:rsidRPr="00F44FA4" w14:paraId="601779E4" w14:textId="77777777" w:rsidTr="00F34DE6">
        <w:trPr>
          <w:trHeight w:val="375"/>
        </w:trPr>
        <w:tc>
          <w:tcPr>
            <w:tcW w:w="250" w:type="pct"/>
            <w:vMerge/>
            <w:tcBorders>
              <w:top w:val="nil"/>
              <w:left w:val="single" w:sz="4" w:space="0" w:color="auto"/>
              <w:bottom w:val="single" w:sz="4" w:space="0" w:color="auto"/>
              <w:right w:val="single" w:sz="4" w:space="0" w:color="auto"/>
            </w:tcBorders>
            <w:vAlign w:val="center"/>
            <w:hideMark/>
          </w:tcPr>
          <w:p w14:paraId="6DF2A9B2" w14:textId="77777777" w:rsidR="006C63D5" w:rsidRPr="00F44FA4" w:rsidRDefault="006C63D5" w:rsidP="004167E8">
            <w:pPr>
              <w:rPr>
                <w:rFonts w:cs="Arial"/>
                <w:color w:val="000000"/>
                <w:szCs w:val="20"/>
              </w:rPr>
            </w:pPr>
          </w:p>
        </w:tc>
        <w:tc>
          <w:tcPr>
            <w:tcW w:w="283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650B5A" w14:textId="77777777" w:rsidR="006C63D5" w:rsidRPr="00F44FA4" w:rsidRDefault="006C63D5" w:rsidP="004167E8">
            <w:pPr>
              <w:rPr>
                <w:rFonts w:cs="Arial"/>
                <w:szCs w:val="20"/>
              </w:rPr>
            </w:pPr>
            <w:r w:rsidRPr="00F44FA4">
              <w:rPr>
                <w:rFonts w:cs="Arial"/>
                <w:szCs w:val="20"/>
              </w:rPr>
              <w:t>Razmerje mladi/starejši nosilci - razmerje &lt; 35/&gt;= 55 let</w:t>
            </w:r>
          </w:p>
        </w:tc>
        <w:tc>
          <w:tcPr>
            <w:tcW w:w="388"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C712E92" w14:textId="77777777" w:rsidR="006C63D5" w:rsidRPr="00F44FA4" w:rsidRDefault="006C63D5" w:rsidP="004167E8">
            <w:pPr>
              <w:jc w:val="right"/>
              <w:rPr>
                <w:rFonts w:cs="Arial"/>
                <w:color w:val="000000"/>
                <w:szCs w:val="20"/>
              </w:rPr>
            </w:pPr>
            <w:r w:rsidRPr="00F44FA4">
              <w:rPr>
                <w:rFonts w:cs="Arial"/>
                <w:color w:val="000000"/>
                <w:szCs w:val="20"/>
              </w:rPr>
              <w:t>7,84</w:t>
            </w:r>
          </w:p>
        </w:tc>
        <w:tc>
          <w:tcPr>
            <w:tcW w:w="417" w:type="pct"/>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D147DB1" w14:textId="77777777" w:rsidR="006C63D5" w:rsidRPr="00F44FA4" w:rsidRDefault="006C63D5" w:rsidP="004167E8">
            <w:pPr>
              <w:jc w:val="right"/>
              <w:rPr>
                <w:rFonts w:cs="Arial"/>
                <w:color w:val="000000"/>
                <w:szCs w:val="20"/>
              </w:rPr>
            </w:pPr>
            <w:r w:rsidRPr="00F44FA4">
              <w:rPr>
                <w:rFonts w:cs="Arial"/>
                <w:color w:val="000000"/>
                <w:szCs w:val="20"/>
              </w:rPr>
              <w:t>6,82</w:t>
            </w:r>
          </w:p>
        </w:tc>
        <w:tc>
          <w:tcPr>
            <w:tcW w:w="37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26C372" w14:textId="77777777" w:rsidR="006C63D5" w:rsidRPr="00F44FA4" w:rsidRDefault="006C63D5" w:rsidP="004167E8">
            <w:pPr>
              <w:jc w:val="right"/>
              <w:rPr>
                <w:rFonts w:cs="Arial"/>
                <w:color w:val="000000"/>
                <w:szCs w:val="20"/>
              </w:rPr>
            </w:pPr>
            <w:r w:rsidRPr="00F44FA4">
              <w:rPr>
                <w:rFonts w:cs="Arial"/>
                <w:color w:val="000000"/>
                <w:szCs w:val="20"/>
              </w:rPr>
              <w:t>7,64</w:t>
            </w:r>
          </w:p>
        </w:tc>
        <w:tc>
          <w:tcPr>
            <w:tcW w:w="36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24C594" w14:textId="77777777" w:rsidR="006C63D5" w:rsidRPr="00F44FA4" w:rsidRDefault="006C63D5" w:rsidP="004167E8">
            <w:pPr>
              <w:jc w:val="right"/>
              <w:rPr>
                <w:rFonts w:cs="Arial"/>
                <w:color w:val="000000"/>
                <w:szCs w:val="20"/>
              </w:rPr>
            </w:pPr>
            <w:r w:rsidRPr="00F44FA4">
              <w:rPr>
                <w:rFonts w:cs="Arial"/>
                <w:color w:val="000000"/>
                <w:szCs w:val="20"/>
              </w:rPr>
              <w:t>8,81</w:t>
            </w:r>
          </w:p>
        </w:tc>
        <w:tc>
          <w:tcPr>
            <w:tcW w:w="37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BC9E72" w14:textId="77777777" w:rsidR="006C63D5" w:rsidRPr="00F44FA4" w:rsidRDefault="006C63D5" w:rsidP="004167E8">
            <w:pPr>
              <w:jc w:val="right"/>
              <w:rPr>
                <w:rFonts w:cs="Arial"/>
                <w:color w:val="000000"/>
                <w:szCs w:val="20"/>
              </w:rPr>
            </w:pPr>
            <w:r w:rsidRPr="00F44FA4">
              <w:rPr>
                <w:rFonts w:cs="Arial"/>
                <w:color w:val="000000"/>
                <w:szCs w:val="20"/>
              </w:rPr>
              <w:t>8,06</w:t>
            </w:r>
          </w:p>
        </w:tc>
      </w:tr>
    </w:tbl>
    <w:p w14:paraId="18AEC27B" w14:textId="77777777" w:rsidR="00F34DE6" w:rsidRPr="003C7942" w:rsidRDefault="00F34DE6" w:rsidP="00F34DE6">
      <w:pPr>
        <w:keepNext/>
        <w:keepLines/>
        <w:rPr>
          <w:rFonts w:cs="Arial"/>
          <w:sz w:val="16"/>
          <w:szCs w:val="16"/>
        </w:rPr>
      </w:pPr>
      <w:r>
        <w:rPr>
          <w:rFonts w:cs="Arial"/>
          <w:sz w:val="16"/>
          <w:szCs w:val="16"/>
        </w:rPr>
        <w:lastRenderedPageBreak/>
        <w:t xml:space="preserve">Vir: C.15- </w:t>
      </w:r>
      <w:proofErr w:type="spellStart"/>
      <w:r>
        <w:rPr>
          <w:rFonts w:cs="Arial"/>
          <w:sz w:val="16"/>
          <w:szCs w:val="16"/>
        </w:rPr>
        <w:t>Dashboard</w:t>
      </w:r>
      <w:proofErr w:type="spellEnd"/>
      <w:r>
        <w:rPr>
          <w:rFonts w:cs="Arial"/>
          <w:sz w:val="16"/>
          <w:szCs w:val="16"/>
        </w:rPr>
        <w:t xml:space="preserve"> </w:t>
      </w:r>
      <w:proofErr w:type="spellStart"/>
      <w:r>
        <w:rPr>
          <w:rFonts w:cs="Arial"/>
          <w:sz w:val="16"/>
          <w:szCs w:val="16"/>
        </w:rPr>
        <w:t>Indicators</w:t>
      </w:r>
      <w:proofErr w:type="spellEnd"/>
    </w:p>
    <w:p w14:paraId="008F32F3" w14:textId="30FABC12" w:rsidR="006C63D5" w:rsidRPr="003344A4" w:rsidRDefault="006C63D5" w:rsidP="003F4427">
      <w:pPr>
        <w:spacing w:line="360" w:lineRule="auto"/>
        <w:jc w:val="both"/>
        <w:rPr>
          <w:rFonts w:cs="Arial"/>
        </w:rPr>
      </w:pPr>
      <w:r w:rsidRPr="003344A4">
        <w:rPr>
          <w:rFonts w:cs="Arial"/>
        </w:rPr>
        <w:t>Tudi podatki o starosti družinske delovne sile (</w:t>
      </w:r>
      <w:proofErr w:type="spellStart"/>
      <w:r w:rsidRPr="003344A4">
        <w:rPr>
          <w:rFonts w:cs="Arial"/>
        </w:rPr>
        <w:t>t.j</w:t>
      </w:r>
      <w:proofErr w:type="spellEnd"/>
      <w:r w:rsidRPr="003344A4">
        <w:rPr>
          <w:rFonts w:cs="Arial"/>
        </w:rPr>
        <w:t xml:space="preserve">. gospodarja in ostalih članov gospodinjstva) niso spodbudni, saj se pretežni del delovne sile nahaja v </w:t>
      </w:r>
      <w:r w:rsidR="0084556E">
        <w:rPr>
          <w:rFonts w:cs="Arial"/>
        </w:rPr>
        <w:t>starejših</w:t>
      </w:r>
      <w:r w:rsidRPr="003344A4">
        <w:rPr>
          <w:rFonts w:cs="Arial"/>
        </w:rPr>
        <w:t xml:space="preserve"> starostnih skupinah, kar neizbežno kaže na staranje prebivalstva na družinskih kmetijah. Navedeno vzbuja skrb z vidika ohranjanja kmetij, njihovega razvoja, sposobnosti hitrega prilagan</w:t>
      </w:r>
      <w:r w:rsidR="003C7942">
        <w:rPr>
          <w:rFonts w:cs="Arial"/>
        </w:rPr>
        <w:t xml:space="preserve">ja in vlaganj v modernizacijo. </w:t>
      </w:r>
    </w:p>
    <w:p w14:paraId="10A23F37" w14:textId="7772CD0A" w:rsidR="006C63D5" w:rsidRPr="003344A4" w:rsidRDefault="00C9160B" w:rsidP="003C7942">
      <w:pPr>
        <w:pStyle w:val="SCPreglednica"/>
      </w:pPr>
      <w:bookmarkStart w:id="135" w:name="_Toc55913741"/>
      <w:r>
        <w:t>Tabela</w:t>
      </w:r>
      <w:r w:rsidR="006C63D5" w:rsidRPr="003D6FF8">
        <w:t xml:space="preserve"> </w:t>
      </w:r>
      <w:r w:rsidR="0001708D">
        <w:rPr>
          <w:noProof/>
        </w:rPr>
        <w:fldChar w:fldCharType="begin"/>
      </w:r>
      <w:r w:rsidR="0001708D">
        <w:rPr>
          <w:noProof/>
        </w:rPr>
        <w:instrText xml:space="preserve"> SEQ Tabela \* ARABIC </w:instrText>
      </w:r>
      <w:r w:rsidR="0001708D">
        <w:rPr>
          <w:noProof/>
        </w:rPr>
        <w:fldChar w:fldCharType="separate"/>
      </w:r>
      <w:r w:rsidR="00DF0D48">
        <w:rPr>
          <w:noProof/>
        </w:rPr>
        <w:t>30</w:t>
      </w:r>
      <w:r w:rsidR="0001708D">
        <w:rPr>
          <w:noProof/>
        </w:rPr>
        <w:fldChar w:fldCharType="end"/>
      </w:r>
      <w:r w:rsidR="006C63D5" w:rsidRPr="003D6FF8">
        <w:t xml:space="preserve">: </w:t>
      </w:r>
      <w:r w:rsidR="006C63D5" w:rsidRPr="00CB4479">
        <w:t>Družinska delovna sila (</w:t>
      </w:r>
      <w:proofErr w:type="spellStart"/>
      <w:r w:rsidR="006C63D5" w:rsidRPr="00CB4479">
        <w:t>t.j</w:t>
      </w:r>
      <w:proofErr w:type="spellEnd"/>
      <w:r w:rsidR="006C63D5" w:rsidRPr="00CB4479">
        <w:t>. gospodar in ostali člani gospodinjstva) po starostnih skupinah</w:t>
      </w:r>
      <w:r w:rsidR="003C7942">
        <w:t xml:space="preserve"> in letih 2010, 2013 in 2016</w:t>
      </w:r>
      <w:bookmarkEnd w:id="135"/>
      <w:r w:rsidR="003C7942">
        <w:t xml:space="preserve"> </w:t>
      </w:r>
      <w:r w:rsidR="006C63D5" w:rsidRPr="00CB4479">
        <w:tab/>
      </w:r>
      <w:r w:rsidR="006C63D5" w:rsidRPr="003344A4">
        <w:tab/>
      </w:r>
      <w:r w:rsidR="006C63D5" w:rsidRPr="003344A4">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44"/>
        <w:gridCol w:w="2128"/>
        <w:gridCol w:w="1459"/>
        <w:gridCol w:w="1531"/>
      </w:tblGrid>
      <w:tr w:rsidR="006C63D5" w:rsidRPr="00F44FA4" w14:paraId="2B37EF71" w14:textId="77777777" w:rsidTr="00F42F8F">
        <w:trPr>
          <w:trHeight w:val="288"/>
        </w:trPr>
        <w:tc>
          <w:tcPr>
            <w:tcW w:w="2176" w:type="pct"/>
            <w:shd w:val="clear" w:color="auto" w:fill="92D050"/>
            <w:noWrap/>
            <w:vAlign w:val="bottom"/>
            <w:hideMark/>
          </w:tcPr>
          <w:p w14:paraId="3B5FD788" w14:textId="77777777" w:rsidR="006C63D5" w:rsidRPr="00F44FA4" w:rsidRDefault="006C63D5" w:rsidP="004167E8">
            <w:pPr>
              <w:rPr>
                <w:rFonts w:cs="Arial"/>
                <w:color w:val="000000"/>
                <w:szCs w:val="20"/>
                <w:lang w:eastAsia="sl-SI"/>
              </w:rPr>
            </w:pPr>
          </w:p>
        </w:tc>
        <w:tc>
          <w:tcPr>
            <w:tcW w:w="2824" w:type="pct"/>
            <w:gridSpan w:val="3"/>
            <w:shd w:val="clear" w:color="auto" w:fill="92D050"/>
            <w:noWrap/>
            <w:vAlign w:val="bottom"/>
            <w:hideMark/>
          </w:tcPr>
          <w:p w14:paraId="66DC445F" w14:textId="77777777" w:rsidR="006C63D5" w:rsidRPr="00F44FA4" w:rsidRDefault="006C63D5" w:rsidP="004167E8">
            <w:pPr>
              <w:jc w:val="center"/>
              <w:rPr>
                <w:rFonts w:cs="Arial"/>
                <w:b/>
                <w:bCs/>
                <w:color w:val="000000"/>
                <w:szCs w:val="20"/>
                <w:lang w:eastAsia="sl-SI"/>
              </w:rPr>
            </w:pPr>
            <w:r w:rsidRPr="00F44FA4">
              <w:rPr>
                <w:rFonts w:cs="Arial"/>
                <w:b/>
                <w:bCs/>
                <w:color w:val="000000"/>
                <w:szCs w:val="20"/>
                <w:lang w:eastAsia="sl-SI"/>
              </w:rPr>
              <w:t>število oseb</w:t>
            </w:r>
          </w:p>
        </w:tc>
      </w:tr>
      <w:tr w:rsidR="006C63D5" w:rsidRPr="00F44FA4" w14:paraId="3983C104" w14:textId="77777777" w:rsidTr="00F42F8F">
        <w:trPr>
          <w:trHeight w:val="288"/>
        </w:trPr>
        <w:tc>
          <w:tcPr>
            <w:tcW w:w="2176" w:type="pct"/>
            <w:shd w:val="clear" w:color="auto" w:fill="92D050"/>
            <w:noWrap/>
            <w:vAlign w:val="bottom"/>
            <w:hideMark/>
          </w:tcPr>
          <w:p w14:paraId="1BE9905A" w14:textId="77777777" w:rsidR="006C63D5" w:rsidRPr="00F44FA4" w:rsidRDefault="006C63D5" w:rsidP="004167E8">
            <w:pPr>
              <w:rPr>
                <w:rFonts w:cs="Arial"/>
                <w:color w:val="000000"/>
                <w:szCs w:val="20"/>
                <w:lang w:eastAsia="sl-SI"/>
              </w:rPr>
            </w:pPr>
          </w:p>
        </w:tc>
        <w:tc>
          <w:tcPr>
            <w:tcW w:w="1174" w:type="pct"/>
            <w:shd w:val="clear" w:color="auto" w:fill="92D050"/>
            <w:noWrap/>
            <w:vAlign w:val="bottom"/>
            <w:hideMark/>
          </w:tcPr>
          <w:p w14:paraId="6A539F6A" w14:textId="77777777" w:rsidR="006C63D5" w:rsidRPr="00F44FA4" w:rsidRDefault="006C63D5" w:rsidP="004167E8">
            <w:pPr>
              <w:jc w:val="center"/>
              <w:rPr>
                <w:rFonts w:cs="Arial"/>
                <w:b/>
                <w:bCs/>
                <w:color w:val="000000"/>
                <w:szCs w:val="20"/>
                <w:lang w:eastAsia="sl-SI"/>
              </w:rPr>
            </w:pPr>
            <w:r w:rsidRPr="00F44FA4">
              <w:rPr>
                <w:rFonts w:cs="Arial"/>
                <w:b/>
                <w:bCs/>
                <w:color w:val="000000"/>
                <w:szCs w:val="20"/>
                <w:lang w:eastAsia="sl-SI"/>
              </w:rPr>
              <w:t>2010</w:t>
            </w:r>
          </w:p>
        </w:tc>
        <w:tc>
          <w:tcPr>
            <w:tcW w:w="805" w:type="pct"/>
            <w:shd w:val="clear" w:color="auto" w:fill="92D050"/>
            <w:noWrap/>
            <w:vAlign w:val="bottom"/>
            <w:hideMark/>
          </w:tcPr>
          <w:p w14:paraId="251793BB" w14:textId="77777777" w:rsidR="006C63D5" w:rsidRPr="00F44FA4" w:rsidRDefault="006C63D5" w:rsidP="004167E8">
            <w:pPr>
              <w:jc w:val="center"/>
              <w:rPr>
                <w:rFonts w:cs="Arial"/>
                <w:b/>
                <w:bCs/>
                <w:color w:val="000000"/>
                <w:szCs w:val="20"/>
                <w:lang w:eastAsia="sl-SI"/>
              </w:rPr>
            </w:pPr>
            <w:r w:rsidRPr="00F44FA4">
              <w:rPr>
                <w:rFonts w:cs="Arial"/>
                <w:b/>
                <w:bCs/>
                <w:color w:val="000000"/>
                <w:szCs w:val="20"/>
                <w:lang w:eastAsia="sl-SI"/>
              </w:rPr>
              <w:t>2013</w:t>
            </w:r>
          </w:p>
        </w:tc>
        <w:tc>
          <w:tcPr>
            <w:tcW w:w="846" w:type="pct"/>
            <w:shd w:val="clear" w:color="auto" w:fill="92D050"/>
            <w:noWrap/>
            <w:vAlign w:val="bottom"/>
            <w:hideMark/>
          </w:tcPr>
          <w:p w14:paraId="148B27D5" w14:textId="77777777" w:rsidR="006C63D5" w:rsidRPr="00F44FA4" w:rsidRDefault="006C63D5" w:rsidP="004167E8">
            <w:pPr>
              <w:jc w:val="center"/>
              <w:rPr>
                <w:rFonts w:cs="Arial"/>
                <w:b/>
                <w:bCs/>
                <w:color w:val="000000"/>
                <w:szCs w:val="20"/>
                <w:lang w:eastAsia="sl-SI"/>
              </w:rPr>
            </w:pPr>
            <w:r w:rsidRPr="00F44FA4">
              <w:rPr>
                <w:rFonts w:cs="Arial"/>
                <w:b/>
                <w:bCs/>
                <w:color w:val="000000"/>
                <w:szCs w:val="20"/>
                <w:lang w:eastAsia="sl-SI"/>
              </w:rPr>
              <w:t>2016</w:t>
            </w:r>
          </w:p>
        </w:tc>
      </w:tr>
      <w:tr w:rsidR="006C63D5" w:rsidRPr="00F44FA4" w14:paraId="5351D1CA" w14:textId="77777777" w:rsidTr="00F42F8F">
        <w:trPr>
          <w:trHeight w:val="288"/>
        </w:trPr>
        <w:tc>
          <w:tcPr>
            <w:tcW w:w="2176" w:type="pct"/>
            <w:shd w:val="clear" w:color="auto" w:fill="auto"/>
            <w:noWrap/>
            <w:vAlign w:val="bottom"/>
            <w:hideMark/>
          </w:tcPr>
          <w:p w14:paraId="0E90777F" w14:textId="77777777" w:rsidR="006C63D5" w:rsidRPr="00F44FA4" w:rsidRDefault="006C63D5" w:rsidP="004167E8">
            <w:pPr>
              <w:rPr>
                <w:rFonts w:cs="Arial"/>
                <w:b/>
                <w:bCs/>
                <w:color w:val="000000"/>
                <w:szCs w:val="20"/>
                <w:lang w:eastAsia="sl-SI"/>
              </w:rPr>
            </w:pPr>
            <w:r w:rsidRPr="00F44FA4">
              <w:rPr>
                <w:rFonts w:cs="Arial"/>
                <w:b/>
                <w:bCs/>
                <w:color w:val="000000"/>
                <w:szCs w:val="20"/>
                <w:lang w:eastAsia="sl-SI"/>
              </w:rPr>
              <w:t>Starost pod 25 let</w:t>
            </w:r>
          </w:p>
        </w:tc>
        <w:tc>
          <w:tcPr>
            <w:tcW w:w="1174" w:type="pct"/>
            <w:shd w:val="clear" w:color="auto" w:fill="auto"/>
            <w:noWrap/>
            <w:vAlign w:val="bottom"/>
            <w:hideMark/>
          </w:tcPr>
          <w:p w14:paraId="5744E9B9"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 xml:space="preserve">                 25.456   </w:t>
            </w:r>
          </w:p>
        </w:tc>
        <w:tc>
          <w:tcPr>
            <w:tcW w:w="805" w:type="pct"/>
            <w:shd w:val="clear" w:color="auto" w:fill="auto"/>
            <w:noWrap/>
            <w:vAlign w:val="bottom"/>
            <w:hideMark/>
          </w:tcPr>
          <w:p w14:paraId="09C74CF4"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 xml:space="preserve">        23.001   </w:t>
            </w:r>
          </w:p>
        </w:tc>
        <w:tc>
          <w:tcPr>
            <w:tcW w:w="846" w:type="pct"/>
            <w:shd w:val="clear" w:color="auto" w:fill="auto"/>
            <w:noWrap/>
            <w:vAlign w:val="bottom"/>
            <w:hideMark/>
          </w:tcPr>
          <w:p w14:paraId="3DDFF1F3"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 xml:space="preserve">         16.494   </w:t>
            </w:r>
          </w:p>
        </w:tc>
      </w:tr>
      <w:tr w:rsidR="006C63D5" w:rsidRPr="00F44FA4" w14:paraId="61A8EFEF" w14:textId="77777777" w:rsidTr="00F42F8F">
        <w:trPr>
          <w:trHeight w:val="288"/>
        </w:trPr>
        <w:tc>
          <w:tcPr>
            <w:tcW w:w="2176" w:type="pct"/>
            <w:shd w:val="clear" w:color="auto" w:fill="auto"/>
            <w:noWrap/>
            <w:vAlign w:val="bottom"/>
            <w:hideMark/>
          </w:tcPr>
          <w:p w14:paraId="04EA1C69" w14:textId="77777777" w:rsidR="006C63D5" w:rsidRPr="00F44FA4" w:rsidRDefault="006C63D5" w:rsidP="004167E8">
            <w:pPr>
              <w:rPr>
                <w:rFonts w:cs="Arial"/>
                <w:b/>
                <w:bCs/>
                <w:color w:val="000000"/>
                <w:szCs w:val="20"/>
                <w:lang w:eastAsia="sl-SI"/>
              </w:rPr>
            </w:pPr>
            <w:r w:rsidRPr="00F44FA4">
              <w:rPr>
                <w:rFonts w:cs="Arial"/>
                <w:b/>
                <w:bCs/>
                <w:color w:val="000000"/>
                <w:szCs w:val="20"/>
                <w:lang w:eastAsia="sl-SI"/>
              </w:rPr>
              <w:t>Starost od 25 do pod 35 let</w:t>
            </w:r>
          </w:p>
        </w:tc>
        <w:tc>
          <w:tcPr>
            <w:tcW w:w="1174" w:type="pct"/>
            <w:shd w:val="clear" w:color="auto" w:fill="auto"/>
            <w:noWrap/>
            <w:vAlign w:val="bottom"/>
            <w:hideMark/>
          </w:tcPr>
          <w:p w14:paraId="24509C72"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 xml:space="preserve">                 28.008   </w:t>
            </w:r>
          </w:p>
        </w:tc>
        <w:tc>
          <w:tcPr>
            <w:tcW w:w="805" w:type="pct"/>
            <w:shd w:val="clear" w:color="auto" w:fill="auto"/>
            <w:noWrap/>
            <w:vAlign w:val="bottom"/>
            <w:hideMark/>
          </w:tcPr>
          <w:p w14:paraId="438E9303"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 xml:space="preserve">        27.055   </w:t>
            </w:r>
          </w:p>
        </w:tc>
        <w:tc>
          <w:tcPr>
            <w:tcW w:w="846" w:type="pct"/>
            <w:shd w:val="clear" w:color="auto" w:fill="auto"/>
            <w:noWrap/>
            <w:vAlign w:val="bottom"/>
            <w:hideMark/>
          </w:tcPr>
          <w:p w14:paraId="4FAAAC83"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 xml:space="preserve">         24.201   </w:t>
            </w:r>
          </w:p>
        </w:tc>
      </w:tr>
      <w:tr w:rsidR="006C63D5" w:rsidRPr="00F44FA4" w14:paraId="2F4FAB33" w14:textId="77777777" w:rsidTr="00F42F8F">
        <w:trPr>
          <w:trHeight w:val="288"/>
        </w:trPr>
        <w:tc>
          <w:tcPr>
            <w:tcW w:w="2176" w:type="pct"/>
            <w:shd w:val="clear" w:color="auto" w:fill="auto"/>
            <w:noWrap/>
            <w:vAlign w:val="bottom"/>
            <w:hideMark/>
          </w:tcPr>
          <w:p w14:paraId="29099591" w14:textId="77777777" w:rsidR="006C63D5" w:rsidRPr="00F44FA4" w:rsidRDefault="006C63D5" w:rsidP="004167E8">
            <w:pPr>
              <w:rPr>
                <w:rFonts w:cs="Arial"/>
                <w:b/>
                <w:bCs/>
                <w:color w:val="000000"/>
                <w:szCs w:val="20"/>
                <w:lang w:eastAsia="sl-SI"/>
              </w:rPr>
            </w:pPr>
            <w:r w:rsidRPr="00F44FA4">
              <w:rPr>
                <w:rFonts w:cs="Arial"/>
                <w:b/>
                <w:bCs/>
                <w:color w:val="000000"/>
                <w:szCs w:val="20"/>
                <w:lang w:eastAsia="sl-SI"/>
              </w:rPr>
              <w:t>Starost od 35 do pod 45 let</w:t>
            </w:r>
          </w:p>
        </w:tc>
        <w:tc>
          <w:tcPr>
            <w:tcW w:w="1174" w:type="pct"/>
            <w:shd w:val="clear" w:color="auto" w:fill="auto"/>
            <w:noWrap/>
            <w:vAlign w:val="bottom"/>
            <w:hideMark/>
          </w:tcPr>
          <w:p w14:paraId="6FBBAB2C"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 xml:space="preserve">                 34.387   </w:t>
            </w:r>
          </w:p>
        </w:tc>
        <w:tc>
          <w:tcPr>
            <w:tcW w:w="805" w:type="pct"/>
            <w:shd w:val="clear" w:color="auto" w:fill="auto"/>
            <w:noWrap/>
            <w:vAlign w:val="bottom"/>
            <w:hideMark/>
          </w:tcPr>
          <w:p w14:paraId="0DA2AC7A"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 xml:space="preserve">        32.321   </w:t>
            </w:r>
          </w:p>
        </w:tc>
        <w:tc>
          <w:tcPr>
            <w:tcW w:w="846" w:type="pct"/>
            <w:shd w:val="clear" w:color="auto" w:fill="auto"/>
            <w:noWrap/>
            <w:vAlign w:val="bottom"/>
            <w:hideMark/>
          </w:tcPr>
          <w:p w14:paraId="34BF709B"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 xml:space="preserve">         31.137   </w:t>
            </w:r>
          </w:p>
        </w:tc>
      </w:tr>
      <w:tr w:rsidR="006C63D5" w:rsidRPr="00F44FA4" w14:paraId="090F6C58" w14:textId="77777777" w:rsidTr="00F42F8F">
        <w:trPr>
          <w:trHeight w:val="288"/>
        </w:trPr>
        <w:tc>
          <w:tcPr>
            <w:tcW w:w="2176" w:type="pct"/>
            <w:shd w:val="clear" w:color="auto" w:fill="auto"/>
            <w:noWrap/>
            <w:vAlign w:val="bottom"/>
            <w:hideMark/>
          </w:tcPr>
          <w:p w14:paraId="1E67828B" w14:textId="77777777" w:rsidR="006C63D5" w:rsidRPr="00F44FA4" w:rsidRDefault="006C63D5" w:rsidP="004167E8">
            <w:pPr>
              <w:rPr>
                <w:rFonts w:cs="Arial"/>
                <w:b/>
                <w:bCs/>
                <w:color w:val="000000"/>
                <w:szCs w:val="20"/>
                <w:lang w:eastAsia="sl-SI"/>
              </w:rPr>
            </w:pPr>
            <w:r w:rsidRPr="00F44FA4">
              <w:rPr>
                <w:rFonts w:cs="Arial"/>
                <w:b/>
                <w:bCs/>
                <w:color w:val="000000"/>
                <w:szCs w:val="20"/>
                <w:lang w:eastAsia="sl-SI"/>
              </w:rPr>
              <w:t>Starost od 45 do pod 55 let</w:t>
            </w:r>
          </w:p>
        </w:tc>
        <w:tc>
          <w:tcPr>
            <w:tcW w:w="1174" w:type="pct"/>
            <w:shd w:val="clear" w:color="auto" w:fill="auto"/>
            <w:noWrap/>
            <w:vAlign w:val="bottom"/>
            <w:hideMark/>
          </w:tcPr>
          <w:p w14:paraId="0407DF1F"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 xml:space="preserve">                 39.963   </w:t>
            </w:r>
          </w:p>
        </w:tc>
        <w:tc>
          <w:tcPr>
            <w:tcW w:w="805" w:type="pct"/>
            <w:shd w:val="clear" w:color="auto" w:fill="auto"/>
            <w:noWrap/>
            <w:vAlign w:val="bottom"/>
            <w:hideMark/>
          </w:tcPr>
          <w:p w14:paraId="3D076CD2"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 xml:space="preserve">        40.452   </w:t>
            </w:r>
          </w:p>
        </w:tc>
        <w:tc>
          <w:tcPr>
            <w:tcW w:w="846" w:type="pct"/>
            <w:shd w:val="clear" w:color="auto" w:fill="auto"/>
            <w:noWrap/>
            <w:vAlign w:val="bottom"/>
            <w:hideMark/>
          </w:tcPr>
          <w:p w14:paraId="60E695D8"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 xml:space="preserve">         39.997   </w:t>
            </w:r>
          </w:p>
        </w:tc>
      </w:tr>
      <w:tr w:rsidR="006C63D5" w:rsidRPr="00F44FA4" w14:paraId="1E500961" w14:textId="77777777" w:rsidTr="00F42F8F">
        <w:trPr>
          <w:trHeight w:val="288"/>
        </w:trPr>
        <w:tc>
          <w:tcPr>
            <w:tcW w:w="2176" w:type="pct"/>
            <w:shd w:val="clear" w:color="auto" w:fill="F2F2F2"/>
            <w:noWrap/>
            <w:vAlign w:val="bottom"/>
            <w:hideMark/>
          </w:tcPr>
          <w:p w14:paraId="2FBC1C86" w14:textId="77777777" w:rsidR="006C63D5" w:rsidRPr="00F44FA4" w:rsidRDefault="006C63D5" w:rsidP="004167E8">
            <w:pPr>
              <w:rPr>
                <w:rFonts w:cs="Arial"/>
                <w:b/>
                <w:bCs/>
                <w:color w:val="000000"/>
                <w:szCs w:val="20"/>
                <w:lang w:eastAsia="sl-SI"/>
              </w:rPr>
            </w:pPr>
            <w:r w:rsidRPr="00F44FA4">
              <w:rPr>
                <w:rFonts w:cs="Arial"/>
                <w:b/>
                <w:bCs/>
                <w:color w:val="000000"/>
                <w:szCs w:val="20"/>
                <w:lang w:eastAsia="sl-SI"/>
              </w:rPr>
              <w:t>Starost od 55 do pod 65 let</w:t>
            </w:r>
          </w:p>
        </w:tc>
        <w:tc>
          <w:tcPr>
            <w:tcW w:w="1174" w:type="pct"/>
            <w:shd w:val="clear" w:color="auto" w:fill="F2F2F2"/>
            <w:noWrap/>
            <w:vAlign w:val="bottom"/>
            <w:hideMark/>
          </w:tcPr>
          <w:p w14:paraId="5E9F0F21"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 xml:space="preserve">                 36.157   </w:t>
            </w:r>
          </w:p>
        </w:tc>
        <w:tc>
          <w:tcPr>
            <w:tcW w:w="805" w:type="pct"/>
            <w:shd w:val="clear" w:color="auto" w:fill="F2F2F2"/>
            <w:noWrap/>
            <w:vAlign w:val="bottom"/>
            <w:hideMark/>
          </w:tcPr>
          <w:p w14:paraId="171445A6"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 xml:space="preserve">        38.807   </w:t>
            </w:r>
          </w:p>
        </w:tc>
        <w:tc>
          <w:tcPr>
            <w:tcW w:w="846" w:type="pct"/>
            <w:shd w:val="clear" w:color="auto" w:fill="F2F2F2"/>
            <w:noWrap/>
            <w:vAlign w:val="bottom"/>
            <w:hideMark/>
          </w:tcPr>
          <w:p w14:paraId="7FC0B0EA"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 xml:space="preserve">         40.087   </w:t>
            </w:r>
          </w:p>
        </w:tc>
      </w:tr>
      <w:tr w:rsidR="006C63D5" w:rsidRPr="00F44FA4" w14:paraId="671C0C94" w14:textId="77777777" w:rsidTr="00F42F8F">
        <w:trPr>
          <w:trHeight w:val="288"/>
        </w:trPr>
        <w:tc>
          <w:tcPr>
            <w:tcW w:w="2176" w:type="pct"/>
            <w:shd w:val="clear" w:color="auto" w:fill="F2F2F2"/>
            <w:noWrap/>
            <w:vAlign w:val="bottom"/>
            <w:hideMark/>
          </w:tcPr>
          <w:p w14:paraId="7F849830" w14:textId="77777777" w:rsidR="006C63D5" w:rsidRPr="00F44FA4" w:rsidRDefault="006C63D5" w:rsidP="004167E8">
            <w:pPr>
              <w:rPr>
                <w:rFonts w:cs="Arial"/>
                <w:b/>
                <w:bCs/>
                <w:color w:val="000000"/>
                <w:szCs w:val="20"/>
                <w:lang w:eastAsia="sl-SI"/>
              </w:rPr>
            </w:pPr>
            <w:r w:rsidRPr="00F44FA4">
              <w:rPr>
                <w:rFonts w:cs="Arial"/>
                <w:b/>
                <w:bCs/>
                <w:color w:val="000000"/>
                <w:szCs w:val="20"/>
                <w:lang w:eastAsia="sl-SI"/>
              </w:rPr>
              <w:t>Starost 65 let in več</w:t>
            </w:r>
          </w:p>
        </w:tc>
        <w:tc>
          <w:tcPr>
            <w:tcW w:w="1174" w:type="pct"/>
            <w:shd w:val="clear" w:color="auto" w:fill="F2F2F2"/>
            <w:noWrap/>
            <w:vAlign w:val="bottom"/>
            <w:hideMark/>
          </w:tcPr>
          <w:p w14:paraId="1CCF745B"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 xml:space="preserve">                 41.274   </w:t>
            </w:r>
          </w:p>
        </w:tc>
        <w:tc>
          <w:tcPr>
            <w:tcW w:w="805" w:type="pct"/>
            <w:shd w:val="clear" w:color="auto" w:fill="F2F2F2"/>
            <w:noWrap/>
            <w:vAlign w:val="bottom"/>
            <w:hideMark/>
          </w:tcPr>
          <w:p w14:paraId="5DAF97E8"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 xml:space="preserve">        36.362   </w:t>
            </w:r>
          </w:p>
        </w:tc>
        <w:tc>
          <w:tcPr>
            <w:tcW w:w="846" w:type="pct"/>
            <w:shd w:val="clear" w:color="auto" w:fill="F2F2F2"/>
            <w:noWrap/>
            <w:vAlign w:val="bottom"/>
            <w:hideMark/>
          </w:tcPr>
          <w:p w14:paraId="346378BF" w14:textId="77777777" w:rsidR="006C63D5" w:rsidRPr="00F44FA4" w:rsidRDefault="006C63D5" w:rsidP="004167E8">
            <w:pPr>
              <w:jc w:val="right"/>
              <w:rPr>
                <w:rFonts w:cs="Arial"/>
                <w:color w:val="000000"/>
                <w:szCs w:val="20"/>
                <w:lang w:eastAsia="sl-SI"/>
              </w:rPr>
            </w:pPr>
            <w:r w:rsidRPr="00F44FA4">
              <w:rPr>
                <w:rFonts w:cs="Arial"/>
                <w:color w:val="000000"/>
                <w:szCs w:val="20"/>
                <w:lang w:eastAsia="sl-SI"/>
              </w:rPr>
              <w:t xml:space="preserve">         41.254   </w:t>
            </w:r>
          </w:p>
        </w:tc>
      </w:tr>
    </w:tbl>
    <w:p w14:paraId="3A1B77C3" w14:textId="66E5DA99" w:rsidR="006C63D5" w:rsidRPr="003C7942" w:rsidRDefault="003C7942" w:rsidP="006C63D5">
      <w:pPr>
        <w:rPr>
          <w:rFonts w:cs="Arial"/>
          <w:sz w:val="16"/>
          <w:szCs w:val="16"/>
        </w:rPr>
      </w:pPr>
      <w:r>
        <w:rPr>
          <w:rFonts w:cs="Arial"/>
          <w:sz w:val="16"/>
          <w:szCs w:val="16"/>
        </w:rPr>
        <w:t>V</w:t>
      </w:r>
      <w:r w:rsidRPr="003C7942">
        <w:rPr>
          <w:rFonts w:cs="Arial"/>
          <w:sz w:val="16"/>
          <w:szCs w:val="16"/>
        </w:rPr>
        <w:t>ir: SURS</w:t>
      </w:r>
    </w:p>
    <w:p w14:paraId="65817529" w14:textId="5611FC52" w:rsidR="006C63D5" w:rsidRPr="003344A4" w:rsidRDefault="006C63D5" w:rsidP="006C63D5">
      <w:pPr>
        <w:keepNext/>
        <w:tabs>
          <w:tab w:val="left" w:pos="0"/>
        </w:tabs>
        <w:outlineLvl w:val="0"/>
        <w:rPr>
          <w:rFonts w:eastAsia="Calibri" w:cs="Arial"/>
          <w:b/>
          <w:szCs w:val="20"/>
        </w:rPr>
      </w:pPr>
      <w:r w:rsidRPr="003344A4">
        <w:rPr>
          <w:rFonts w:eastAsia="Calibri" w:cs="Arial"/>
          <w:b/>
          <w:szCs w:val="20"/>
        </w:rPr>
        <w:t xml:space="preserve"> </w:t>
      </w:r>
    </w:p>
    <w:p w14:paraId="32788C2C" w14:textId="42B5FF96" w:rsidR="006C63D5" w:rsidRPr="003C7942" w:rsidRDefault="006412DC" w:rsidP="00DF0D48">
      <w:pPr>
        <w:pStyle w:val="Naslov2"/>
        <w:ind w:left="578" w:hanging="578"/>
      </w:pPr>
      <w:bookmarkStart w:id="136" w:name="_Toc42067313"/>
      <w:bookmarkStart w:id="137" w:name="_Toc55912197"/>
      <w:r w:rsidRPr="003C7942">
        <w:t>Ključne ugotovitve</w:t>
      </w:r>
      <w:bookmarkEnd w:id="136"/>
      <w:bookmarkEnd w:id="137"/>
    </w:p>
    <w:p w14:paraId="55A64B80" w14:textId="7A464F6E" w:rsidR="006C63D5" w:rsidRPr="00DF0D48" w:rsidRDefault="003C7942" w:rsidP="000A650F">
      <w:pPr>
        <w:numPr>
          <w:ilvl w:val="0"/>
          <w:numId w:val="32"/>
        </w:numPr>
        <w:spacing w:before="120" w:after="120" w:line="360" w:lineRule="auto"/>
        <w:ind w:left="0"/>
        <w:jc w:val="both"/>
        <w:rPr>
          <w:rFonts w:cs="Arial"/>
          <w:bCs/>
          <w:szCs w:val="20"/>
        </w:rPr>
      </w:pPr>
      <w:r w:rsidRPr="00DF0D48">
        <w:rPr>
          <w:rFonts w:cs="Arial"/>
          <w:bCs/>
          <w:szCs w:val="20"/>
        </w:rPr>
        <w:t xml:space="preserve">Bruto dodana vrednost v kmetijstvu je v letu 2018 dosegla 1,4 % bruto domačega proizvoda. Kmetijstvo je skupaj z lovstvom, gozdarstvom in ribištvom leta 2019 k skupni ustvarjeni dodani vrednosti prispevalo 2,3 % (leta 2018: 2,4 %), k skupni zaposlenosti pa 6,9 % (leta 2018: 7,2 %). </w:t>
      </w:r>
      <w:r w:rsidR="006C63D5" w:rsidRPr="00DF0D48">
        <w:rPr>
          <w:rFonts w:cs="Arial"/>
          <w:bCs/>
          <w:szCs w:val="20"/>
        </w:rPr>
        <w:t xml:space="preserve">To kaže na dejstvo, da kmetijstvo v ekonomskem smislu sicer predstavlja majhen segment celotnega gospodarstva, še vedno pa je kmetijstvo pomembno v strukturi skupne zaposlenosti, čeprav tudi ta delež v zadnjih letih upada. </w:t>
      </w:r>
    </w:p>
    <w:p w14:paraId="67AB4D55" w14:textId="26A34A86" w:rsidR="006C63D5" w:rsidRPr="00DF0D48" w:rsidRDefault="006C63D5" w:rsidP="000A650F">
      <w:pPr>
        <w:numPr>
          <w:ilvl w:val="0"/>
          <w:numId w:val="32"/>
        </w:numPr>
        <w:spacing w:before="120" w:after="120" w:line="360" w:lineRule="auto"/>
        <w:ind w:left="0" w:hanging="357"/>
        <w:jc w:val="both"/>
        <w:rPr>
          <w:rFonts w:cs="Arial"/>
          <w:bCs/>
          <w:szCs w:val="20"/>
        </w:rPr>
      </w:pPr>
      <w:r w:rsidRPr="00DF0D48">
        <w:rPr>
          <w:rFonts w:cs="Arial"/>
          <w:bCs/>
          <w:szCs w:val="20"/>
        </w:rPr>
        <w:t>Kljub izrazito majhnemu ekonomskemu deležu kmetijstva v celotni BDV slovenskega gospodarstva pa je ta gospodarski sektor strateško pomemben, in sicer z vidika varnosti preskrbe s kakovostno, zdravo hrano ter upravljanja z naravnimi viri in zagotavljanja družben</w:t>
      </w:r>
      <w:r w:rsidR="00F84480" w:rsidRPr="00DF0D48">
        <w:rPr>
          <w:rFonts w:cs="Arial"/>
          <w:bCs/>
          <w:szCs w:val="20"/>
        </w:rPr>
        <w:t>o</w:t>
      </w:r>
      <w:r w:rsidRPr="00DF0D48">
        <w:rPr>
          <w:rFonts w:cs="Arial"/>
          <w:bCs/>
          <w:szCs w:val="20"/>
        </w:rPr>
        <w:t xml:space="preserve">-ekonomskih funkcij, kot je obdelanost in poseljenost podeželja. </w:t>
      </w:r>
    </w:p>
    <w:p w14:paraId="31C29BEF" w14:textId="77777777" w:rsidR="006C63D5" w:rsidRPr="00DF0D48" w:rsidRDefault="006C63D5" w:rsidP="000A650F">
      <w:pPr>
        <w:numPr>
          <w:ilvl w:val="0"/>
          <w:numId w:val="32"/>
        </w:numPr>
        <w:spacing w:before="120" w:after="120" w:line="360" w:lineRule="auto"/>
        <w:ind w:left="0" w:hanging="357"/>
        <w:jc w:val="both"/>
        <w:rPr>
          <w:rFonts w:eastAsia="Arial" w:cs="Arial"/>
          <w:bCs/>
          <w:szCs w:val="20"/>
        </w:rPr>
      </w:pPr>
      <w:r w:rsidRPr="00DF0D48">
        <w:rPr>
          <w:rFonts w:cs="Arial"/>
          <w:bCs/>
          <w:szCs w:val="20"/>
        </w:rPr>
        <w:t>Le t</w:t>
      </w:r>
      <w:r w:rsidRPr="00DF0D48">
        <w:rPr>
          <w:rFonts w:eastAsia="Calibri" w:cs="Arial"/>
          <w:bCs/>
          <w:szCs w:val="20"/>
        </w:rPr>
        <w:t>retjina površja države (34 %) je namenjenega pretežno kmetijskim površinam.</w:t>
      </w:r>
      <w:r w:rsidRPr="00DF0D48">
        <w:rPr>
          <w:rFonts w:cs="Arial"/>
          <w:bCs/>
          <w:szCs w:val="20"/>
        </w:rPr>
        <w:t xml:space="preserve"> Velika večina kmetijskih površin v Sloveniji se uporablja kot trajni travnik ali pašnik. To dejstvo je posledica velike reliefne razgibanosti slovenskega prostora, kjer ravninska </w:t>
      </w:r>
      <w:r w:rsidRPr="00DF0D48">
        <w:rPr>
          <w:rFonts w:eastAsia="Arial" w:cs="Arial"/>
          <w:bCs/>
          <w:szCs w:val="20"/>
        </w:rPr>
        <w:t>območja v obliki sklenjenih dolin in kotlin predstavljajo le slabih 20 % vsega ozemlja.</w:t>
      </w:r>
    </w:p>
    <w:p w14:paraId="11E4E270" w14:textId="77777777" w:rsidR="006C63D5" w:rsidRPr="00DF0D48" w:rsidRDefault="006C63D5" w:rsidP="000A650F">
      <w:pPr>
        <w:numPr>
          <w:ilvl w:val="0"/>
          <w:numId w:val="32"/>
        </w:numPr>
        <w:spacing w:before="120" w:after="120" w:line="360" w:lineRule="auto"/>
        <w:ind w:left="0" w:hanging="357"/>
        <w:jc w:val="both"/>
        <w:rPr>
          <w:rFonts w:cs="Arial"/>
          <w:bCs/>
          <w:szCs w:val="20"/>
        </w:rPr>
      </w:pPr>
      <w:r w:rsidRPr="00DF0D48">
        <w:rPr>
          <w:rFonts w:cs="Arial"/>
          <w:bCs/>
          <w:szCs w:val="20"/>
        </w:rPr>
        <w:t xml:space="preserve">Na OMD je skoraj 80 % vseh KMG v Sloveniji. Gorsko območje v Sloveniji zavzema kar 72,6 % površine države, v njem pa se nahaja kar 54 % vseh kmetijskih zemljišč v državi. To izrazito zmanjšuje </w:t>
      </w:r>
      <w:r w:rsidRPr="00DF0D48">
        <w:rPr>
          <w:rFonts w:cs="Arial"/>
          <w:bCs/>
          <w:szCs w:val="20"/>
        </w:rPr>
        <w:lastRenderedPageBreak/>
        <w:t xml:space="preserve">konkurenčnost slovenskega kmetijstva, omejuje izbor možnih proizvodnih usmeritev in povišuje stroške proizvodnje. </w:t>
      </w:r>
    </w:p>
    <w:p w14:paraId="14CFA886" w14:textId="77777777" w:rsidR="006C63D5" w:rsidRPr="00DF0D48" w:rsidRDefault="006C63D5" w:rsidP="000A650F">
      <w:pPr>
        <w:numPr>
          <w:ilvl w:val="0"/>
          <w:numId w:val="32"/>
        </w:numPr>
        <w:spacing w:before="120" w:after="120" w:line="360" w:lineRule="auto"/>
        <w:ind w:left="0" w:hanging="357"/>
        <w:jc w:val="both"/>
        <w:rPr>
          <w:rFonts w:eastAsia="Calibri" w:cs="Arial"/>
          <w:bCs/>
          <w:szCs w:val="20"/>
        </w:rPr>
      </w:pPr>
      <w:r w:rsidRPr="00DF0D48">
        <w:rPr>
          <w:rFonts w:eastAsia="Arial" w:cs="Arial"/>
          <w:bCs/>
          <w:szCs w:val="20"/>
        </w:rPr>
        <w:t>D</w:t>
      </w:r>
      <w:r w:rsidRPr="00DF0D48">
        <w:rPr>
          <w:rFonts w:cs="Arial"/>
          <w:bCs/>
          <w:szCs w:val="20"/>
        </w:rPr>
        <w:t xml:space="preserve">elež trajnega travinja v Sloveniji je bistveno večji, delež ornih površin pa bistveno manjši ter delež nasadov primerljiv glede na EU-28. </w:t>
      </w:r>
      <w:r w:rsidRPr="00DF0D48">
        <w:rPr>
          <w:rFonts w:eastAsia="Calibri" w:cs="Arial"/>
          <w:bCs/>
          <w:szCs w:val="20"/>
        </w:rPr>
        <w:t xml:space="preserve">V povprečju je v obdobju med letoma 2005 in 2017 delež ornih površin predstavljal 36 %, delež trajnega travinja 58 % in delež trajnih nasadov 6 % od skupnih kmetijskih zemljišč v uporabi. </w:t>
      </w:r>
    </w:p>
    <w:p w14:paraId="7D80DB3E" w14:textId="77777777" w:rsidR="006C63D5" w:rsidRPr="00DF0D48" w:rsidRDefault="006C63D5" w:rsidP="000A650F">
      <w:pPr>
        <w:numPr>
          <w:ilvl w:val="0"/>
          <w:numId w:val="32"/>
        </w:numPr>
        <w:spacing w:before="120" w:after="120" w:line="360" w:lineRule="auto"/>
        <w:ind w:left="0" w:hanging="357"/>
        <w:jc w:val="both"/>
        <w:rPr>
          <w:rFonts w:cs="Arial"/>
          <w:bCs/>
          <w:szCs w:val="20"/>
        </w:rPr>
      </w:pPr>
      <w:r w:rsidRPr="00DF0D48">
        <w:rPr>
          <w:rFonts w:cs="Arial"/>
          <w:bCs/>
          <w:szCs w:val="20"/>
        </w:rPr>
        <w:t>Povprečno kmetijsko gospodarstvo v EU-28 obdeluje 14,8 ha njiv in 13,5 ha travinja. To je skoraj petkrat oziroma trikrat več kot povprečno slovensko kmetijsko gospodarstvo (3,2 ha njiv in 4,7 ha travinja).</w:t>
      </w:r>
    </w:p>
    <w:p w14:paraId="5367CD10" w14:textId="77777777" w:rsidR="006C63D5" w:rsidRPr="00DF0D48" w:rsidRDefault="006C63D5" w:rsidP="000A650F">
      <w:pPr>
        <w:numPr>
          <w:ilvl w:val="0"/>
          <w:numId w:val="32"/>
        </w:numPr>
        <w:spacing w:before="120" w:after="120" w:line="360" w:lineRule="auto"/>
        <w:ind w:left="0" w:hanging="357"/>
        <w:jc w:val="both"/>
        <w:rPr>
          <w:rFonts w:cs="Arial"/>
          <w:bCs/>
          <w:szCs w:val="20"/>
        </w:rPr>
      </w:pPr>
      <w:r w:rsidRPr="00DF0D48">
        <w:rPr>
          <w:rFonts w:cs="Arial"/>
          <w:bCs/>
          <w:szCs w:val="20"/>
        </w:rPr>
        <w:t>Povprečno kmetijsko gospodarstvo v EU–28 obdeluje nekaj manj kot 17 ha KZU. Slovenija s slabimi 7 ha KZU na kmetijsko gospodarstvo spada v krog držav z najmanjšo povprečno velikostjo kmetijskih gospodarstev.</w:t>
      </w:r>
    </w:p>
    <w:p w14:paraId="5032BC3F" w14:textId="77777777" w:rsidR="006C63D5" w:rsidRPr="00DF0D48" w:rsidRDefault="006C63D5" w:rsidP="000A650F">
      <w:pPr>
        <w:numPr>
          <w:ilvl w:val="0"/>
          <w:numId w:val="32"/>
        </w:numPr>
        <w:spacing w:before="120" w:after="120" w:line="360" w:lineRule="auto"/>
        <w:ind w:left="0" w:hanging="357"/>
        <w:jc w:val="both"/>
        <w:rPr>
          <w:rFonts w:cs="Arial"/>
          <w:bCs/>
          <w:szCs w:val="20"/>
        </w:rPr>
      </w:pPr>
      <w:r w:rsidRPr="00DF0D48">
        <w:rPr>
          <w:rFonts w:cs="Arial"/>
          <w:bCs/>
          <w:szCs w:val="20"/>
        </w:rPr>
        <w:t xml:space="preserve">Na povprečno velikem kmetijskem gospodarstvu v Sloveniji so v letu 2016 obdelovali 6,9 ha kmetijskih zemljišč in redili 6,0 GVŽ ter gospodarili s povprečno 5,6 ha gozda. </w:t>
      </w:r>
    </w:p>
    <w:p w14:paraId="456CAA22" w14:textId="77777777" w:rsidR="006C63D5" w:rsidRPr="00DF0D48" w:rsidRDefault="006C63D5" w:rsidP="000A650F">
      <w:pPr>
        <w:numPr>
          <w:ilvl w:val="0"/>
          <w:numId w:val="32"/>
        </w:numPr>
        <w:spacing w:before="120" w:after="120" w:line="360" w:lineRule="auto"/>
        <w:ind w:left="0" w:hanging="357"/>
        <w:jc w:val="both"/>
        <w:rPr>
          <w:rFonts w:cs="Arial"/>
          <w:bCs/>
          <w:szCs w:val="20"/>
        </w:rPr>
      </w:pPr>
      <w:r w:rsidRPr="00DF0D48">
        <w:rPr>
          <w:rFonts w:cs="Arial"/>
          <w:bCs/>
          <w:szCs w:val="20"/>
        </w:rPr>
        <w:t xml:space="preserve">Nadaljuje se trend zmanjševanja števila kmetijskih gospodarstev tako na ravni celotne EU kot tudi v Sloveniji.  Leta 2016 sta bili po podatkih SURS v Sloveniji 69.902 kmetijskih gospodarstev. Od tega je bilo 231 kmetijskih podjetij, drugo pa so bile družinske kmetije (69.671). </w:t>
      </w:r>
    </w:p>
    <w:p w14:paraId="74C7ADBE" w14:textId="77777777" w:rsidR="006C63D5" w:rsidRPr="00DF0D48" w:rsidRDefault="006C63D5" w:rsidP="000A650F">
      <w:pPr>
        <w:numPr>
          <w:ilvl w:val="0"/>
          <w:numId w:val="32"/>
        </w:numPr>
        <w:spacing w:before="120" w:after="120" w:line="360" w:lineRule="auto"/>
        <w:ind w:left="0" w:hanging="357"/>
        <w:jc w:val="both"/>
        <w:rPr>
          <w:rFonts w:cs="Arial"/>
          <w:bCs/>
          <w:szCs w:val="20"/>
        </w:rPr>
      </w:pPr>
      <w:r w:rsidRPr="00DF0D48">
        <w:rPr>
          <w:rFonts w:cs="Arial"/>
          <w:bCs/>
          <w:szCs w:val="20"/>
        </w:rPr>
        <w:t>Pretežni del kmetijske pridelave na družinskih kmetijah je namenjen za lastno porabo.</w:t>
      </w:r>
    </w:p>
    <w:p w14:paraId="2B615899" w14:textId="77777777" w:rsidR="006C63D5" w:rsidRPr="00DF0D48" w:rsidRDefault="006C63D5" w:rsidP="000A650F">
      <w:pPr>
        <w:numPr>
          <w:ilvl w:val="0"/>
          <w:numId w:val="32"/>
        </w:numPr>
        <w:spacing w:before="120" w:after="120" w:line="360" w:lineRule="auto"/>
        <w:ind w:left="0" w:hanging="357"/>
        <w:jc w:val="both"/>
        <w:rPr>
          <w:rFonts w:cs="Arial"/>
          <w:bCs/>
          <w:szCs w:val="20"/>
        </w:rPr>
      </w:pPr>
      <w:r w:rsidRPr="00DF0D48">
        <w:rPr>
          <w:rFonts w:cs="Arial"/>
          <w:bCs/>
          <w:szCs w:val="20"/>
        </w:rPr>
        <w:t>Povprečna ekonomska velikost, merjena s standardnim prihodkom na gospodarstvo, je leta 2016 v državah EU–28 znašala 34.784 EUR in je bila za 39 % višja kot leta 2010. Slovenija z nekaj več kot 16.500 EUR na gospodarstvo spada v krog držav, ki močno zaostajajo za povprečjem EU–28.</w:t>
      </w:r>
    </w:p>
    <w:p w14:paraId="5090A1C0" w14:textId="77777777" w:rsidR="006C63D5" w:rsidRPr="00DF0D48" w:rsidRDefault="006C63D5" w:rsidP="000A650F">
      <w:pPr>
        <w:numPr>
          <w:ilvl w:val="0"/>
          <w:numId w:val="32"/>
        </w:numPr>
        <w:spacing w:before="120" w:after="120" w:line="360" w:lineRule="auto"/>
        <w:ind w:left="0" w:hanging="357"/>
        <w:jc w:val="both"/>
        <w:rPr>
          <w:rFonts w:cs="Arial"/>
          <w:bCs/>
          <w:szCs w:val="20"/>
        </w:rPr>
      </w:pPr>
      <w:r w:rsidRPr="00DF0D48">
        <w:rPr>
          <w:rFonts w:cs="Arial"/>
          <w:bCs/>
          <w:szCs w:val="20"/>
        </w:rPr>
        <w:t>Tipi kmetovanja, ki so povezani z živinorejo (specializirani rejec pašne živine, mešana živinoreja, specializirani prašičerejci in perutninarji), predstavljajo 58,9 % kmetij.</w:t>
      </w:r>
    </w:p>
    <w:p w14:paraId="579A171E" w14:textId="77777777" w:rsidR="006C63D5" w:rsidRPr="00DF0D48" w:rsidRDefault="006C63D5" w:rsidP="000A650F">
      <w:pPr>
        <w:numPr>
          <w:ilvl w:val="0"/>
          <w:numId w:val="32"/>
        </w:numPr>
        <w:spacing w:before="120" w:after="120" w:line="360" w:lineRule="auto"/>
        <w:ind w:left="0" w:hanging="357"/>
        <w:jc w:val="both"/>
        <w:rPr>
          <w:rFonts w:cs="Arial"/>
          <w:bCs/>
          <w:szCs w:val="20"/>
        </w:rPr>
      </w:pPr>
      <w:r w:rsidRPr="00DF0D48">
        <w:rPr>
          <w:rFonts w:cs="Arial"/>
          <w:bCs/>
          <w:szCs w:val="20"/>
        </w:rPr>
        <w:t>V Sloveniji se nakazuje postopek proces povečevanja števila kmetijskih gospodarstev, ki redijo večji obseg GVŽ.  Kljub vsemu je razvidno zaostajanje za povprečjem EU-28. V letu 2016 so živinorejska kmetijska gospodarstva v EU–28 v povprečju redila 22,9 GVŽ, v Sloveniji pa 9,1 GVŽ.</w:t>
      </w:r>
    </w:p>
    <w:p w14:paraId="4D75C7F8" w14:textId="77777777" w:rsidR="006C63D5" w:rsidRPr="00DF0D48" w:rsidRDefault="006C63D5" w:rsidP="000A650F">
      <w:pPr>
        <w:numPr>
          <w:ilvl w:val="0"/>
          <w:numId w:val="32"/>
        </w:numPr>
        <w:spacing w:before="120" w:after="120" w:line="360" w:lineRule="auto"/>
        <w:ind w:left="0" w:hanging="357"/>
        <w:jc w:val="both"/>
        <w:rPr>
          <w:rFonts w:cs="Arial"/>
          <w:bCs/>
          <w:szCs w:val="20"/>
        </w:rPr>
      </w:pPr>
      <w:r w:rsidRPr="00DF0D48">
        <w:rPr>
          <w:rFonts w:cs="Arial"/>
          <w:bCs/>
          <w:szCs w:val="20"/>
          <w:lang w:eastAsia="sl-SI"/>
        </w:rPr>
        <w:t>Obtežba živali (izračunana kot skupno število GVŽ / skupno število KZU) je med letoma 2005 in 2016 stabilna pri le malo nad 1 GVŽ na hektar.</w:t>
      </w:r>
    </w:p>
    <w:p w14:paraId="3A85486A" w14:textId="77777777" w:rsidR="006C63D5" w:rsidRPr="00DF0D48" w:rsidRDefault="006C63D5" w:rsidP="000A650F">
      <w:pPr>
        <w:numPr>
          <w:ilvl w:val="0"/>
          <w:numId w:val="32"/>
        </w:numPr>
        <w:spacing w:before="120" w:after="120" w:line="360" w:lineRule="auto"/>
        <w:ind w:left="0" w:hanging="357"/>
        <w:jc w:val="both"/>
        <w:rPr>
          <w:rFonts w:cs="Arial"/>
          <w:bCs/>
          <w:szCs w:val="20"/>
        </w:rPr>
      </w:pPr>
      <w:r w:rsidRPr="00DF0D48">
        <w:rPr>
          <w:rFonts w:cs="Arial"/>
          <w:bCs/>
          <w:szCs w:val="20"/>
        </w:rPr>
        <w:t xml:space="preserve">Pri rastlinski pridelavi so najpomembnejše krmne rastline, vino, sveže vrtnine in žita. </w:t>
      </w:r>
      <w:r w:rsidRPr="00DF0D48">
        <w:rPr>
          <w:rFonts w:eastAsia="Calibri" w:cs="Arial"/>
          <w:bCs/>
          <w:color w:val="000000"/>
          <w:szCs w:val="20"/>
        </w:rPr>
        <w:t xml:space="preserve">Več kot polovica njiv je namenjena pridelavi žita, kjer prevladujeta koruza za zrnje in pšenica, skoraj tretjina pa pridelavi zelene krme, pri čemer prevladujejo silažna koruza in krmne </w:t>
      </w:r>
      <w:proofErr w:type="spellStart"/>
      <w:r w:rsidRPr="00DF0D48">
        <w:rPr>
          <w:rFonts w:eastAsia="Calibri" w:cs="Arial"/>
          <w:bCs/>
          <w:color w:val="000000"/>
          <w:szCs w:val="20"/>
        </w:rPr>
        <w:t>koševine</w:t>
      </w:r>
      <w:proofErr w:type="spellEnd"/>
      <w:r w:rsidRPr="00DF0D48">
        <w:rPr>
          <w:rFonts w:eastAsia="Calibri" w:cs="Arial"/>
          <w:bCs/>
          <w:color w:val="000000"/>
          <w:szCs w:val="20"/>
        </w:rPr>
        <w:t>.</w:t>
      </w:r>
    </w:p>
    <w:p w14:paraId="2637E3C0" w14:textId="77777777" w:rsidR="006C63D5" w:rsidRPr="00DF0D48" w:rsidRDefault="006C63D5" w:rsidP="000A650F">
      <w:pPr>
        <w:numPr>
          <w:ilvl w:val="0"/>
          <w:numId w:val="32"/>
        </w:numPr>
        <w:spacing w:before="120" w:after="120" w:line="360" w:lineRule="auto"/>
        <w:ind w:left="0" w:hanging="357"/>
        <w:jc w:val="both"/>
        <w:rPr>
          <w:rFonts w:cs="Arial"/>
          <w:bCs/>
          <w:szCs w:val="20"/>
        </w:rPr>
      </w:pPr>
      <w:r w:rsidRPr="00DF0D48">
        <w:rPr>
          <w:rFonts w:cs="Arial"/>
          <w:bCs/>
          <w:szCs w:val="20"/>
        </w:rPr>
        <w:t>Slovenija ima v primerjavi z EU–28 nadpovprečno zaposlenost na kmetijskih gospodarstvih (1,1 PDM). Ena PDM v Sloveniji obdela 5,9 ha KZU, povprečje v EU-28 pa znaša 19 ha KZU na 1 PDM.</w:t>
      </w:r>
    </w:p>
    <w:p w14:paraId="4928FD0A" w14:textId="77777777" w:rsidR="006C63D5" w:rsidRPr="00DF0D48" w:rsidRDefault="006C63D5" w:rsidP="000A650F">
      <w:pPr>
        <w:numPr>
          <w:ilvl w:val="0"/>
          <w:numId w:val="32"/>
        </w:numPr>
        <w:spacing w:before="120" w:after="120" w:line="360" w:lineRule="auto"/>
        <w:ind w:left="0" w:hanging="357"/>
        <w:jc w:val="both"/>
        <w:rPr>
          <w:rFonts w:cs="Arial"/>
          <w:bCs/>
          <w:szCs w:val="20"/>
        </w:rPr>
      </w:pPr>
      <w:r w:rsidRPr="00DF0D48">
        <w:rPr>
          <w:rFonts w:cs="Arial"/>
          <w:bCs/>
          <w:szCs w:val="20"/>
        </w:rPr>
        <w:t xml:space="preserve">Sloveniji kar 92 % dela v kmetijstvu opravi družinska delovna sila (leta 2016). Preostali delež v glavnem predstavlja sezonska delovna sila na družinskih kmetijah (4,3 %). </w:t>
      </w:r>
    </w:p>
    <w:p w14:paraId="44803CA1" w14:textId="77777777" w:rsidR="006C63D5" w:rsidRPr="00DF0D48" w:rsidRDefault="006C63D5" w:rsidP="000A650F">
      <w:pPr>
        <w:numPr>
          <w:ilvl w:val="0"/>
          <w:numId w:val="32"/>
        </w:numPr>
        <w:spacing w:before="120" w:after="120" w:line="360" w:lineRule="auto"/>
        <w:ind w:left="0" w:hanging="357"/>
        <w:jc w:val="both"/>
        <w:rPr>
          <w:rFonts w:cs="Arial"/>
          <w:bCs/>
          <w:szCs w:val="20"/>
        </w:rPr>
      </w:pPr>
      <w:r w:rsidRPr="00DF0D48">
        <w:rPr>
          <w:rFonts w:cs="Arial"/>
          <w:bCs/>
          <w:szCs w:val="20"/>
        </w:rPr>
        <w:lastRenderedPageBreak/>
        <w:t>Izobrazbena struktura nosilcev kmetijskih gospodarstev v Sloveniji se na splošno izboljšuje.</w:t>
      </w:r>
    </w:p>
    <w:p w14:paraId="06A2B7B8" w14:textId="77777777" w:rsidR="006C63D5" w:rsidRPr="00DF0D48" w:rsidRDefault="006C63D5" w:rsidP="000A650F">
      <w:pPr>
        <w:numPr>
          <w:ilvl w:val="0"/>
          <w:numId w:val="32"/>
        </w:numPr>
        <w:spacing w:before="120" w:after="120" w:line="360" w:lineRule="auto"/>
        <w:ind w:left="0" w:hanging="357"/>
        <w:jc w:val="both"/>
        <w:rPr>
          <w:rFonts w:cs="Arial"/>
          <w:bCs/>
          <w:szCs w:val="20"/>
        </w:rPr>
      </w:pPr>
      <w:r w:rsidRPr="00DF0D48">
        <w:rPr>
          <w:rFonts w:cs="Arial"/>
          <w:bCs/>
          <w:szCs w:val="20"/>
        </w:rPr>
        <w:t xml:space="preserve">Povprečna starost gospodarja upravitelja kmetijskega gospodarstva je v Sloveniji v letu 2016 znašala 57 let, kar kaže na izrazito neugodno starostno strukturo v kmetijstvu in zaskrbljujoče dejstvo glede prihodnjega razvoja te panoge.  </w:t>
      </w:r>
    </w:p>
    <w:p w14:paraId="5BAE56F3" w14:textId="6328BEC0" w:rsidR="00DC15D7" w:rsidRDefault="00DC15D7">
      <w:pPr>
        <w:rPr>
          <w:rFonts w:eastAsia="Calibri" w:cs="Arial"/>
          <w:b/>
          <w:szCs w:val="20"/>
        </w:rPr>
      </w:pPr>
      <w:r>
        <w:rPr>
          <w:rFonts w:eastAsia="Calibri" w:cs="Arial"/>
          <w:b/>
          <w:szCs w:val="20"/>
        </w:rPr>
        <w:br w:type="page"/>
      </w:r>
    </w:p>
    <w:p w14:paraId="0F23B5C4" w14:textId="24CB0340" w:rsidR="00CF3CC6" w:rsidRPr="00F84480" w:rsidRDefault="00CF3CC6" w:rsidP="008A25A9">
      <w:pPr>
        <w:pStyle w:val="Naslov1"/>
        <w:rPr>
          <w:rFonts w:eastAsia="Calibri" w:cs="Arial"/>
          <w:szCs w:val="20"/>
        </w:rPr>
      </w:pPr>
      <w:bookmarkStart w:id="138" w:name="_Toc42094798"/>
      <w:bookmarkStart w:id="139" w:name="_Toc55912198"/>
      <w:r w:rsidRPr="00DC15D7">
        <w:lastRenderedPageBreak/>
        <w:t>ANALIZA KMETIJSKIH SEKTORJEV</w:t>
      </w:r>
      <w:bookmarkEnd w:id="139"/>
    </w:p>
    <w:p w14:paraId="032FE71A" w14:textId="50A67AC1" w:rsidR="00CF3CC6" w:rsidRPr="00DC15D7" w:rsidRDefault="00CF3CC6" w:rsidP="00DF0D48">
      <w:pPr>
        <w:pStyle w:val="Naslov2"/>
        <w:ind w:left="578" w:hanging="578"/>
        <w:rPr>
          <w:rFonts w:eastAsia="Calibri"/>
        </w:rPr>
      </w:pPr>
      <w:bookmarkStart w:id="140" w:name="_Toc42094800"/>
      <w:bookmarkStart w:id="141" w:name="_Toc55912199"/>
      <w:r w:rsidRPr="00DC15D7">
        <w:rPr>
          <w:rFonts w:eastAsia="Calibri"/>
        </w:rPr>
        <w:t>Govedoreja</w:t>
      </w:r>
      <w:bookmarkEnd w:id="140"/>
      <w:bookmarkEnd w:id="141"/>
    </w:p>
    <w:p w14:paraId="7EB1C347" w14:textId="77777777" w:rsidR="007A077E" w:rsidRPr="003F4427" w:rsidRDefault="007A077E" w:rsidP="003F4427">
      <w:pPr>
        <w:spacing w:before="120" w:after="120" w:line="360" w:lineRule="auto"/>
        <w:jc w:val="both"/>
        <w:rPr>
          <w:rFonts w:cs="Arial"/>
          <w:szCs w:val="20"/>
        </w:rPr>
      </w:pPr>
      <w:bookmarkStart w:id="142" w:name="_Hlk55768695"/>
      <w:r w:rsidRPr="003F4427">
        <w:rPr>
          <w:rFonts w:cs="Arial"/>
          <w:szCs w:val="20"/>
        </w:rPr>
        <w:t>Govedoreja, s prirejo mleka in mesa, je najpomembnejša živinorejska panoga v Sloveniji, s katero se ukvarja 35 % kmetijskih gospodarstev. Prisotna je na celotnem območju države, v največjem obsegu v Savinjski statistični regiji. Panoga je tradicionalno prisotna na območjih, kjer prevladuje absolutno travinje, ker omogoča izrabo naravnih danosti in razvoj dopolnilnih dejavnosti, turizma in ohranjanje krajinskih značilnosti. Intenzivna govedoreja je značilna za nižinska območja države.</w:t>
      </w:r>
    </w:p>
    <w:p w14:paraId="4A11D8ED" w14:textId="37849042" w:rsidR="00CF3CC6" w:rsidRPr="00DC15D7" w:rsidRDefault="00CF3CC6" w:rsidP="00CF3CC6">
      <w:pPr>
        <w:pStyle w:val="Naslov3"/>
        <w:rPr>
          <w:rFonts w:eastAsia="Calibri"/>
        </w:rPr>
      </w:pPr>
      <w:bookmarkStart w:id="143" w:name="_Toc55912200"/>
      <w:bookmarkEnd w:id="142"/>
      <w:r w:rsidRPr="00CF3CC6">
        <w:rPr>
          <w:rFonts w:eastAsia="Calibri"/>
        </w:rPr>
        <w:t>Stanje in osnovni ekonomski kazalniki</w:t>
      </w:r>
      <w:bookmarkEnd w:id="143"/>
    </w:p>
    <w:p w14:paraId="6EF519A9" w14:textId="77777777" w:rsidR="007A077E" w:rsidRPr="007A077E" w:rsidRDefault="007A077E" w:rsidP="007A077E">
      <w:pPr>
        <w:spacing w:before="200" w:line="360" w:lineRule="auto"/>
        <w:jc w:val="both"/>
        <w:rPr>
          <w:rFonts w:eastAsia="Times New Roman"/>
        </w:rPr>
      </w:pPr>
      <w:r w:rsidRPr="007A077E">
        <w:rPr>
          <w:rFonts w:eastAsia="Calibri" w:cs="Arial"/>
          <w:szCs w:val="20"/>
        </w:rPr>
        <w:t xml:space="preserve">V Sloveniji se v zadnjem desetletju </w:t>
      </w:r>
      <w:proofErr w:type="spellStart"/>
      <w:r w:rsidRPr="007A077E">
        <w:rPr>
          <w:rFonts w:eastAsia="Calibri" w:cs="Arial"/>
          <w:szCs w:val="20"/>
        </w:rPr>
        <w:t>zmanšuje</w:t>
      </w:r>
      <w:proofErr w:type="spellEnd"/>
      <w:r w:rsidRPr="007A077E">
        <w:rPr>
          <w:rFonts w:eastAsia="Calibri" w:cs="Arial"/>
          <w:szCs w:val="20"/>
        </w:rPr>
        <w:t xml:space="preserve"> število kmetijskih gospodarstev na katerih redijo govedo, istočasno pa sta število živali in obseg proizvodnje mleka in mesa večinoma stabilna. Še leta 2003 je govedo redilo 46.736 kmetijskih gospodarstev, leta 2016 pa samo še 32.805.</w:t>
      </w:r>
      <w:r w:rsidRPr="007A077E">
        <w:rPr>
          <w:rFonts w:eastAsia="TimesNewRoman" w:cs="Arial"/>
          <w:szCs w:val="20"/>
        </w:rPr>
        <w:t xml:space="preserve"> 77 % kmetijskih gospodarstev, ki redijo govedo, je v hribovsko gorskem območju, 59 % jih oddaja mleko. Predvsem pri mesnih pasmah je prireja odvisna od krme pridelane na kmetijskih gospodarstvih. Zadnja leta se je zelo okrepila populacija medvedov in volkov v hribovitih območij, kar povzroča izrazit konflikt z rejo živali na prostem.</w:t>
      </w:r>
    </w:p>
    <w:p w14:paraId="4BE66A78" w14:textId="77777777" w:rsidR="007A077E" w:rsidRPr="007A077E" w:rsidRDefault="007A077E" w:rsidP="007A077E">
      <w:pPr>
        <w:spacing w:before="200" w:line="360" w:lineRule="auto"/>
        <w:jc w:val="both"/>
        <w:rPr>
          <w:rFonts w:eastAsia="Calibri" w:cs="Arial"/>
          <w:szCs w:val="20"/>
        </w:rPr>
      </w:pPr>
      <w:r w:rsidRPr="007A077E">
        <w:rPr>
          <w:rFonts w:eastAsia="Calibri" w:cs="Arial"/>
          <w:szCs w:val="20"/>
        </w:rPr>
        <w:t xml:space="preserve">V Sloveniji je od leta 2013 do danes v reji okoli 480 tisoč živali. Po podatkih centralne podatkovne zbirke Govedo na Kmetijskem inštitutu Slovenije, so v letu 2019 na 21.839 kmetijskih gospodarstvih redili 165.935 krav, od tega  100.839 molznic in 60.913 krav dojilj. S tržno prirejo mleka so se ukvarjali na 5.584, z rejo krav dojilj pa na 16.255 kmetijskih gospodarstev. Kmetijska gospodarstva, ki opuščajo prirejo mleka, se preusmerjajo v rejo krav dojilj, katerih število se je gibalo med 59.985 </w:t>
      </w:r>
      <w:proofErr w:type="spellStart"/>
      <w:r w:rsidRPr="007A077E">
        <w:rPr>
          <w:rFonts w:eastAsia="Calibri" w:cs="Arial"/>
          <w:szCs w:val="20"/>
        </w:rPr>
        <w:t>inin</w:t>
      </w:r>
      <w:proofErr w:type="spellEnd"/>
      <w:r w:rsidRPr="007A077E">
        <w:rPr>
          <w:rFonts w:eastAsia="Calibri" w:cs="Arial"/>
          <w:szCs w:val="20"/>
        </w:rPr>
        <w:t xml:space="preserve"> 63.202. V obdobju od leta 2010 do 2019 se je delež kmetijskih gospodarstev z več kot 20 kravami dojiljami povečal in le-ta v povprečju redijo 29,3 dojilj na kmetijsko gospodarstvo.</w:t>
      </w:r>
    </w:p>
    <w:p w14:paraId="618F6405" w14:textId="77777777" w:rsidR="007A077E" w:rsidRPr="007A077E" w:rsidRDefault="007A077E" w:rsidP="007A077E">
      <w:pPr>
        <w:spacing w:before="200" w:line="360" w:lineRule="auto"/>
        <w:jc w:val="both"/>
        <w:rPr>
          <w:rFonts w:eastAsia="Calibri" w:cs="Arial"/>
          <w:szCs w:val="20"/>
        </w:rPr>
      </w:pPr>
      <w:r w:rsidRPr="007A077E">
        <w:t>Slovenija ima za prirejo ekološkega mesa in mleka  zelo ugodne razmere, ker imamo veliko travinja. Kljub temu se pa večina mlečnih in mesnih proizvodov ne proda kot ekoloških, ker se veliko ekoloških živali iz ekoloških kmetij zakolje kot konvencionalnih.</w:t>
      </w:r>
    </w:p>
    <w:p w14:paraId="54FCF945" w14:textId="77777777" w:rsidR="007A077E" w:rsidRPr="007A077E" w:rsidRDefault="007A077E" w:rsidP="007A077E">
      <w:pPr>
        <w:spacing w:before="200" w:line="360" w:lineRule="auto"/>
        <w:jc w:val="both"/>
        <w:rPr>
          <w:rFonts w:eastAsia="Calibri" w:cs="Arial"/>
          <w:szCs w:val="20"/>
        </w:rPr>
      </w:pPr>
      <w:r w:rsidRPr="007A077E">
        <w:rPr>
          <w:rFonts w:eastAsia="Calibri" w:cs="Arial"/>
          <w:szCs w:val="20"/>
        </w:rPr>
        <w:t xml:space="preserve">Osnova slovenske govedoreje sta dve kombinirani pasmi (lisasta in rjava) ter mlečna črno-bela pasma. V čredah se povečuje število in delež krav črno bele pasme in tudi število krav križank z lisasto pasmo. </w:t>
      </w:r>
    </w:p>
    <w:p w14:paraId="07F3A3A9" w14:textId="77777777" w:rsidR="007A077E" w:rsidRPr="007A077E" w:rsidRDefault="007A077E" w:rsidP="007A077E">
      <w:pPr>
        <w:spacing w:before="200" w:line="360" w:lineRule="auto"/>
        <w:jc w:val="both"/>
        <w:rPr>
          <w:rFonts w:eastAsia="Times New Roman" w:cs="Arial"/>
          <w:szCs w:val="20"/>
          <w:lang w:eastAsia="en-GB"/>
        </w:rPr>
      </w:pPr>
      <w:r w:rsidRPr="007A077E">
        <w:rPr>
          <w:rFonts w:eastAsia="Times New Roman" w:cs="Arial"/>
          <w:szCs w:val="20"/>
          <w:lang w:eastAsia="en-GB"/>
        </w:rPr>
        <w:t xml:space="preserve">Proizvodnja kravjega mleka je najpomembnejša usmeritev slovenskega kmetijstva. K skupni vrednosti kmetijske proizvodnje v zadnjih letih prispeva okoli 14 %, k vrednosti živinoreje pa približno 33 %. Mlečni sektor je od vseh kmetijskih sektorjev najbolje organiziran in do določene mere prestrukturiran. </w:t>
      </w:r>
    </w:p>
    <w:p w14:paraId="28DA4AD6" w14:textId="77777777" w:rsidR="007A077E" w:rsidRPr="007A077E" w:rsidRDefault="007A077E" w:rsidP="007A077E">
      <w:pPr>
        <w:spacing w:before="200" w:line="360" w:lineRule="auto"/>
        <w:jc w:val="both"/>
        <w:rPr>
          <w:rFonts w:eastAsia="Times New Roman" w:cs="Arial"/>
          <w:szCs w:val="20"/>
        </w:rPr>
      </w:pPr>
      <w:r w:rsidRPr="007A077E">
        <w:rPr>
          <w:rFonts w:eastAsia="Times New Roman" w:cs="Arial"/>
          <w:szCs w:val="20"/>
          <w:lang w:eastAsia="en-GB"/>
        </w:rPr>
        <w:t xml:space="preserve">V zadnjem popisu kmetijskih gospodarstev (2013–2016) </w:t>
      </w:r>
      <w:r w:rsidRPr="007A077E">
        <w:rPr>
          <w:rFonts w:eastAsia="Times New Roman" w:cs="Arial"/>
          <w:szCs w:val="20"/>
        </w:rPr>
        <w:t xml:space="preserve"> je imelo krave molznice nekaj manj kot 10 tisoč kmetijskih gospodarstev. Med letoma 2010 in 2016 se je njihovo število zmanjšalo za 13 %. Velikost črede vseh krav molznic se je v tem obdobju povečala za dobre 3 %, tako da so kmetijska </w:t>
      </w:r>
      <w:r w:rsidRPr="007A077E">
        <w:rPr>
          <w:rFonts w:eastAsia="Times New Roman" w:cs="Arial"/>
          <w:szCs w:val="20"/>
        </w:rPr>
        <w:lastRenderedPageBreak/>
        <w:t>gospodarstva skupaj redila nekaj več kot 111 tisoč krav molznic. V povprečju so ta KMG v letu 2016 redila 11,6 molznice, kar je skoraj 18 % več kot leta 2010, kar kaže na to, da se nadaljujejo procesi koncentracije in specializacije reje.</w:t>
      </w:r>
    </w:p>
    <w:p w14:paraId="5975AF4F" w14:textId="77777777" w:rsidR="007A077E" w:rsidRPr="007A077E" w:rsidRDefault="007A077E" w:rsidP="007A077E">
      <w:pPr>
        <w:spacing w:before="200" w:line="360" w:lineRule="auto"/>
        <w:jc w:val="both"/>
        <w:rPr>
          <w:rFonts w:eastAsia="Times New Roman" w:cs="Arial"/>
          <w:szCs w:val="20"/>
          <w:lang w:eastAsia="en-GB"/>
        </w:rPr>
      </w:pPr>
      <w:r w:rsidRPr="007A077E">
        <w:rPr>
          <w:rFonts w:eastAsia="Times New Roman" w:cs="Arial"/>
          <w:szCs w:val="20"/>
          <w:lang w:eastAsia="en-GB"/>
        </w:rPr>
        <w:t>Število proizvajalcev mleka, ki mleko oddaja v mlekarne, se je v zadnjih 15 letih zmanjšalo iz 13.900 na okoli 5.000 kmetijskih gospodarstev. C</w:t>
      </w:r>
      <w:r w:rsidRPr="007A077E">
        <w:rPr>
          <w:rFonts w:eastAsia="Times New Roman" w:cs="Arial"/>
          <w:lang w:eastAsia="en-GB"/>
        </w:rPr>
        <w:t>elotna proizvodnja mleka je ostala relativno stabilna, oddaja mleka v mlekarne pa se je povečala za cca 20 %.</w:t>
      </w:r>
      <w:r w:rsidRPr="007A077E">
        <w:rPr>
          <w:rFonts w:eastAsia="Times New Roman" w:cs="Arial"/>
          <w:szCs w:val="20"/>
          <w:lang w:eastAsia="en-GB"/>
        </w:rPr>
        <w:t xml:space="preserve"> Število molznih krav v Sloveniji je relativno stabilno in se v obdobju zadnjih 10 let giblje med 101.000 do 116.000, </w:t>
      </w:r>
      <w:r w:rsidRPr="007A077E">
        <w:rPr>
          <w:rFonts w:eastAsia="Times New Roman" w:cs="Arial"/>
          <w:lang w:eastAsia="en-GB"/>
        </w:rPr>
        <w:t>po podatkih Kmetijskega inštituta Slovenije pa se je v tem obdobju mlečnost v standardni laktaciji dvignila iz cca. 6.000 kg/žival na cca. 7.000 kg/žival.</w:t>
      </w:r>
    </w:p>
    <w:p w14:paraId="0E51887C" w14:textId="22B11A65" w:rsidR="00EA2397" w:rsidRDefault="00EA2397" w:rsidP="00B34E39">
      <w:pPr>
        <w:pStyle w:val="SCPreglednica"/>
        <w:keepNext/>
        <w:keepLines/>
      </w:pPr>
      <w:bookmarkStart w:id="144" w:name="_Toc55913779"/>
      <w:r w:rsidRPr="00B34E39">
        <w:t xml:space="preserve">Slika </w:t>
      </w:r>
      <w:r w:rsidR="007A077E">
        <w:fldChar w:fldCharType="begin"/>
      </w:r>
      <w:r w:rsidR="007A077E">
        <w:instrText xml:space="preserve"> SEQ Slika \* ARABIC </w:instrText>
      </w:r>
      <w:r w:rsidR="007A077E">
        <w:fldChar w:fldCharType="separate"/>
      </w:r>
      <w:r w:rsidR="0040635C">
        <w:rPr>
          <w:noProof/>
        </w:rPr>
        <w:t>28</w:t>
      </w:r>
      <w:r w:rsidR="007A077E">
        <w:fldChar w:fldCharType="end"/>
      </w:r>
      <w:r w:rsidRPr="00B34E39">
        <w:t>: Število molznih krav in povprečna mlečnost</w:t>
      </w:r>
      <w:bookmarkEnd w:id="144"/>
      <w:r w:rsidRPr="00B34E39">
        <w:t xml:space="preserve"> </w:t>
      </w:r>
    </w:p>
    <w:p w14:paraId="0CC33404" w14:textId="37AF23BE" w:rsidR="007A077E" w:rsidRPr="007A077E" w:rsidRDefault="007A077E" w:rsidP="007A077E">
      <w:pPr>
        <w:spacing w:after="0"/>
      </w:pPr>
      <w:r w:rsidRPr="00520EAE">
        <w:rPr>
          <w:noProof/>
        </w:rPr>
        <w:drawing>
          <wp:inline distT="0" distB="0" distL="0" distR="0" wp14:anchorId="54FB02E5" wp14:editId="3CAAE0FC">
            <wp:extent cx="5704840" cy="2218055"/>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4840" cy="2218055"/>
                    </a:xfrm>
                    <a:prstGeom prst="rect">
                      <a:avLst/>
                    </a:prstGeom>
                    <a:noFill/>
                    <a:ln>
                      <a:noFill/>
                    </a:ln>
                  </pic:spPr>
                </pic:pic>
              </a:graphicData>
            </a:graphic>
          </wp:inline>
        </w:drawing>
      </w:r>
    </w:p>
    <w:p w14:paraId="03C791B8" w14:textId="761A1775" w:rsidR="007A077E" w:rsidRDefault="007A077E" w:rsidP="007A077E">
      <w:pPr>
        <w:spacing w:after="0" w:line="360" w:lineRule="auto"/>
        <w:rPr>
          <w:rFonts w:eastAsia="Times New Roman" w:cs="Arial"/>
          <w:iCs/>
          <w:sz w:val="16"/>
          <w:szCs w:val="16"/>
          <w:lang w:eastAsia="en-GB"/>
        </w:rPr>
      </w:pPr>
      <w:r>
        <w:rPr>
          <w:rFonts w:eastAsia="Times New Roman" w:cs="Arial"/>
          <w:iCs/>
          <w:sz w:val="16"/>
          <w:szCs w:val="16"/>
          <w:lang w:eastAsia="en-GB"/>
        </w:rPr>
        <w:t>Vir: SURS, KIS (CPZ Govedo) – ZP-2019</w:t>
      </w:r>
    </w:p>
    <w:p w14:paraId="6202E32E" w14:textId="77777777" w:rsidR="007A077E" w:rsidRDefault="007A077E" w:rsidP="007A077E">
      <w:pPr>
        <w:spacing w:after="0" w:line="360" w:lineRule="auto"/>
        <w:rPr>
          <w:rFonts w:eastAsia="Times New Roman" w:cs="Arial"/>
          <w:bCs/>
          <w:szCs w:val="20"/>
          <w:lang w:eastAsia="en-GB"/>
        </w:rPr>
      </w:pPr>
    </w:p>
    <w:p w14:paraId="073DA288" w14:textId="2F9F0D22" w:rsidR="007A077E" w:rsidRPr="007A077E" w:rsidRDefault="007A077E" w:rsidP="007A077E">
      <w:pPr>
        <w:spacing w:after="0" w:line="360" w:lineRule="auto"/>
        <w:jc w:val="both"/>
        <w:rPr>
          <w:rFonts w:eastAsia="Times New Roman" w:cs="Arial"/>
          <w:bCs/>
          <w:szCs w:val="20"/>
          <w:lang w:eastAsia="en-GB"/>
        </w:rPr>
      </w:pPr>
      <w:r w:rsidRPr="007A077E">
        <w:rPr>
          <w:rFonts w:eastAsia="Times New Roman" w:cs="Arial"/>
          <w:bCs/>
          <w:szCs w:val="20"/>
          <w:lang w:eastAsia="en-GB"/>
        </w:rPr>
        <w:t xml:space="preserve">Prireja mleka je relativno stabilna in je v letu 2019 znašala 615 tisoč ton, pri čemer so mlekarne odkupile 564 tisoč ton. Odkup mleka je dobro organiziran. Delež odkupa tujih mlekarn se po letu 2015, ko je ta znašal 39 %, zmanjšuje, saj so v letu 2019 tuje mlekarne odkupile le še 28 % mleka. Večino mleka se izvozi v italijanske, v zadnjih letih pa tudi hrvaške in Avstrijske  mlekarne. Del odkupljenega mleka je tudi ekološke pridelave. V letu 2019 ga je bilo </w:t>
      </w:r>
      <w:proofErr w:type="spellStart"/>
      <w:r w:rsidRPr="007A077E">
        <w:rPr>
          <w:rFonts w:eastAsia="Times New Roman" w:cs="Arial"/>
          <w:bCs/>
          <w:szCs w:val="20"/>
          <w:lang w:eastAsia="en-GB"/>
        </w:rPr>
        <w:t>odkupjenega</w:t>
      </w:r>
      <w:proofErr w:type="spellEnd"/>
      <w:r w:rsidRPr="007A077E">
        <w:rPr>
          <w:rFonts w:eastAsia="Times New Roman" w:cs="Arial"/>
          <w:bCs/>
          <w:szCs w:val="20"/>
          <w:lang w:eastAsia="en-GB"/>
        </w:rPr>
        <w:t xml:space="preserve"> 7.347,7 ton v zadnjih petih letih je nakup narastel za 25 %.</w:t>
      </w:r>
    </w:p>
    <w:p w14:paraId="6290FB2B" w14:textId="77777777" w:rsidR="007A077E" w:rsidRPr="007A077E" w:rsidRDefault="007A077E" w:rsidP="007A077E">
      <w:pPr>
        <w:spacing w:before="200" w:line="360" w:lineRule="auto"/>
        <w:jc w:val="both"/>
        <w:rPr>
          <w:rFonts w:eastAsia="Times New Roman" w:cs="Arial"/>
          <w:bCs/>
          <w:szCs w:val="20"/>
          <w:lang w:eastAsia="en-GB"/>
        </w:rPr>
      </w:pPr>
      <w:r w:rsidRPr="007A077E">
        <w:rPr>
          <w:rFonts w:eastAsia="Times New Roman" w:cs="Arial"/>
          <w:bCs/>
          <w:szCs w:val="20"/>
          <w:lang w:eastAsia="en-GB"/>
        </w:rPr>
        <w:t>Proizvodnja mleka v Sloveniji stalno presega domačo porabo. Samooskrba z mlekom je visoka in znaša med 120 % in 130 %, v letu 2019 je bila 128 %.</w:t>
      </w:r>
    </w:p>
    <w:p w14:paraId="6F009090" w14:textId="77777777" w:rsidR="007A077E" w:rsidRPr="007A077E" w:rsidRDefault="007A077E" w:rsidP="007A077E">
      <w:pPr>
        <w:spacing w:before="200" w:line="360" w:lineRule="auto"/>
        <w:jc w:val="both"/>
        <w:rPr>
          <w:rFonts w:eastAsia="Times New Roman" w:cs="Arial"/>
          <w:bCs/>
          <w:szCs w:val="20"/>
          <w:lang w:eastAsia="en-GB"/>
        </w:rPr>
      </w:pPr>
      <w:r w:rsidRPr="007A077E">
        <w:rPr>
          <w:rFonts w:eastAsia="Times New Roman" w:cs="Arial"/>
          <w:bCs/>
          <w:szCs w:val="20"/>
          <w:lang w:eastAsia="en-GB"/>
        </w:rPr>
        <w:t xml:space="preserve">V obdobju od leta 2009 do 2019 odkupne cene mleka v Sloveniji in EU nihajo, pri čemer so v Sloveniji ves čas nekoliko nižje kot v EU. Najnižja povprečna odkupna cena je bila v letu 2009 in 2016 (od 0,25 do 0,26 eur/kg)  najvišja pa v letu 2014 (0,344 eur/kg). </w:t>
      </w:r>
    </w:p>
    <w:p w14:paraId="03B6CC64" w14:textId="77777777" w:rsidR="007A077E" w:rsidRPr="007A077E" w:rsidRDefault="007A077E" w:rsidP="007A077E">
      <w:pPr>
        <w:spacing w:before="200" w:line="360" w:lineRule="auto"/>
        <w:jc w:val="both"/>
        <w:rPr>
          <w:rFonts w:eastAsia="Times New Roman" w:cs="Arial"/>
          <w:bCs/>
          <w:szCs w:val="20"/>
          <w:lang w:eastAsia="en-GB"/>
        </w:rPr>
      </w:pPr>
      <w:r w:rsidRPr="007A077E">
        <w:rPr>
          <w:rFonts w:eastAsia="Times New Roman" w:cs="Arial"/>
          <w:bCs/>
          <w:szCs w:val="20"/>
          <w:lang w:eastAsia="en-GB"/>
        </w:rPr>
        <w:lastRenderedPageBreak/>
        <w:t xml:space="preserve">V zadnjih nekaj letih je obseg zunanje trgovine z mlekom rahlo nihal, a naraščal. Po rekordnih 649 tisoč ton (v ekvivalentu surovega mleka) v letu 2018, se je zunanja trgovina ( uvoz  in izvoz)v letu 2019 ponovno nekoliko zmanjšala  (na 619 tisoč ton). </w:t>
      </w:r>
    </w:p>
    <w:p w14:paraId="16CBD758" w14:textId="77777777" w:rsidR="007A077E" w:rsidRPr="007A077E" w:rsidRDefault="007A077E" w:rsidP="007A077E">
      <w:pPr>
        <w:pStyle w:val="ZPtekst"/>
        <w:spacing w:before="200" w:after="200" w:line="360" w:lineRule="auto"/>
        <w:rPr>
          <w:bCs/>
          <w:szCs w:val="20"/>
        </w:rPr>
      </w:pPr>
      <w:r w:rsidRPr="007A077E">
        <w:rPr>
          <w:bCs/>
          <w:szCs w:val="20"/>
        </w:rPr>
        <w:t>Prireja mesa govedi je poleg prireje mleka najpomembnejša proizvodna usmeritev slovenskega kmetijstva. Prirast govedi v zadnjih letih prispeva k vrednosti kmetijske proizvodnje 11–13 % (leta 2019: 11,7 %), k vrednosti živinoreje pa 26–28 % (leta 2019: 27,1 %).</w:t>
      </w:r>
    </w:p>
    <w:p w14:paraId="25111B98" w14:textId="77777777" w:rsidR="007A077E" w:rsidRPr="007A077E" w:rsidRDefault="007A077E" w:rsidP="007A077E">
      <w:pPr>
        <w:spacing w:before="200" w:line="360" w:lineRule="auto"/>
        <w:jc w:val="both"/>
        <w:rPr>
          <w:rFonts w:cs="Arial"/>
          <w:bCs/>
          <w:szCs w:val="20"/>
        </w:rPr>
      </w:pPr>
      <w:r w:rsidRPr="007A077E">
        <w:rPr>
          <w:rFonts w:eastAsia="Times New Roman" w:cs="Arial"/>
          <w:bCs/>
          <w:szCs w:val="20"/>
        </w:rPr>
        <w:t>V Sloveniji je bilo v letu 2019 prirejenega 43,1 tisoč ton govejega mesa, največ od bikov in telic za pitanje mlajših od dveh let, v masi trupov pa je celoten zakol znašal 35,6 tisoč ton. Ekološko proizvedenega govejega  mesa v letu 2019 je bilo 278,4 tone kar pomeni 115 % porast od leta 2015.</w:t>
      </w:r>
      <w:r w:rsidRPr="007A077E">
        <w:rPr>
          <w:rFonts w:cs="Arial"/>
          <w:bCs/>
          <w:szCs w:val="20"/>
        </w:rPr>
        <w:t xml:space="preserve"> Število ekološko rejenih goved se povečuje (od 20.623 v letu 2010 na 37.126 v letu 2019), najhitreje v letih 2010 – 2015.</w:t>
      </w:r>
    </w:p>
    <w:p w14:paraId="1C5C5AC8" w14:textId="77777777" w:rsidR="007A077E" w:rsidRPr="007A077E" w:rsidRDefault="007A077E" w:rsidP="007A077E">
      <w:pPr>
        <w:spacing w:before="200" w:line="360" w:lineRule="auto"/>
        <w:jc w:val="both"/>
        <w:rPr>
          <w:rFonts w:eastAsia="Times New Roman" w:cs="Arial"/>
          <w:bCs/>
          <w:szCs w:val="20"/>
        </w:rPr>
      </w:pPr>
      <w:r w:rsidRPr="007A077E">
        <w:rPr>
          <w:rFonts w:eastAsia="Times New Roman" w:cs="Arial"/>
          <w:bCs/>
          <w:szCs w:val="20"/>
        </w:rPr>
        <w:t>Samooskrba z govejim mesom v Sloveniji se je v zadnjih desetih letih gibala med 98,1 % in 109,5 %, poraba na prebivalca pa je okoli 20 kg govejega mesa, kar je okoli 9 kg več kot v EU.</w:t>
      </w:r>
    </w:p>
    <w:p w14:paraId="1E1365DA" w14:textId="77777777" w:rsidR="007A077E" w:rsidRPr="007A077E" w:rsidRDefault="007A077E" w:rsidP="007A077E">
      <w:pPr>
        <w:spacing w:before="200" w:line="360" w:lineRule="auto"/>
        <w:jc w:val="both"/>
        <w:rPr>
          <w:rFonts w:eastAsia="Times New Roman" w:cs="Arial"/>
          <w:bCs/>
          <w:szCs w:val="20"/>
        </w:rPr>
      </w:pPr>
      <w:r w:rsidRPr="007A077E">
        <w:rPr>
          <w:rFonts w:eastAsia="Times New Roman" w:cs="Arial"/>
          <w:bCs/>
          <w:szCs w:val="20"/>
          <w:lang w:eastAsia="fr-FR"/>
        </w:rPr>
        <w:t>Odkupne cene govedi za zakol v Sloveniji sledijo gibanju cen na trgih EU. C</w:t>
      </w:r>
      <w:r w:rsidRPr="007A077E">
        <w:rPr>
          <w:rFonts w:eastAsia="Times New Roman" w:cs="Arial"/>
          <w:bCs/>
          <w:szCs w:val="20"/>
        </w:rPr>
        <w:t xml:space="preserve">ene pitane govedi (v živi masi) so bile v letu 2019 za 2 % nad ravnijo povprečja cen petletnega obdobja 2014–2018, pri čemer so se glede na leto 2018, odkupne cene za govedo znižale pri vseh kategorijah. V obdobju epidemije Covid-19, spomladi leta 2020, je ta sektor občutil precejšen padec cen, ki se do oktobra 2020 še ni stabiliziral. </w:t>
      </w:r>
    </w:p>
    <w:p w14:paraId="693722B3" w14:textId="77777777" w:rsidR="007A077E" w:rsidRPr="007A077E" w:rsidRDefault="007A077E" w:rsidP="007A077E">
      <w:pPr>
        <w:spacing w:before="200" w:line="360" w:lineRule="auto"/>
        <w:jc w:val="both"/>
        <w:rPr>
          <w:rFonts w:cs="Arial"/>
          <w:bCs/>
          <w:color w:val="000000"/>
          <w:szCs w:val="20"/>
          <w:lang w:bidi="ne-NP"/>
        </w:rPr>
      </w:pPr>
      <w:r w:rsidRPr="007A077E">
        <w:rPr>
          <w:rFonts w:eastAsia="Times New Roman" w:cs="Arial"/>
          <w:bCs/>
          <w:szCs w:val="20"/>
        </w:rPr>
        <w:t xml:space="preserve">Po vstopu Slovenije v EU se je obseg zunanje trgovine z govedom močno povečal, ob tem so bile opazne tudi precejšnje spremembe in preusmeritev v izvoz živih živali. Po drugi strani je Slovenija močno odvisna od uvoza mesnih pasem telet za nadaljnjo rejo. V letu 2019 je bilo uvoženih </w:t>
      </w:r>
      <w:r w:rsidRPr="007A077E">
        <w:rPr>
          <w:rFonts w:cs="Arial"/>
          <w:bCs/>
          <w:color w:val="000000"/>
          <w:szCs w:val="20"/>
          <w:lang w:bidi="ne-NP"/>
        </w:rPr>
        <w:t>21.818 telet.</w:t>
      </w:r>
    </w:p>
    <w:p w14:paraId="033B2A50" w14:textId="77777777" w:rsidR="007A077E" w:rsidRPr="007A077E" w:rsidRDefault="007A077E" w:rsidP="007A077E">
      <w:pPr>
        <w:spacing w:before="200" w:line="360" w:lineRule="auto"/>
        <w:jc w:val="both"/>
        <w:rPr>
          <w:rFonts w:eastAsia="Times New Roman" w:cs="Arial"/>
          <w:bCs/>
          <w:szCs w:val="20"/>
          <w:lang w:eastAsia="en-GB"/>
        </w:rPr>
      </w:pPr>
      <w:r w:rsidRPr="007A077E">
        <w:rPr>
          <w:rFonts w:eastAsia="Times New Roman" w:cs="Arial"/>
          <w:bCs/>
          <w:szCs w:val="20"/>
        </w:rPr>
        <w:t xml:space="preserve">V letu 2019 je bil koeficient ekonomičnosti prireje mesa 79,9 % pri pitanju do 29 živali in 88,4% pri pitanju do 150 živali. Opazen je trend padanja ekonomičnosti, ki je ves čas znatno pod ekonomičnostjo v EU. </w:t>
      </w:r>
      <w:r w:rsidRPr="007A077E">
        <w:rPr>
          <w:rFonts w:cs="Arial"/>
          <w:bCs/>
          <w:szCs w:val="20"/>
        </w:rPr>
        <w:t>Slovenska govedoreja v razvoju zaostaja za povprečjem EU predvsem zaradi strukturnih (majhne, razdrobljene kmetije) in naravnih danosti (OMD, VVO, Kras).</w:t>
      </w:r>
    </w:p>
    <w:p w14:paraId="0FD2E727" w14:textId="77777777" w:rsidR="007A077E" w:rsidRPr="007A077E" w:rsidRDefault="007A077E" w:rsidP="007A077E">
      <w:pPr>
        <w:spacing w:before="200" w:line="360" w:lineRule="auto"/>
        <w:jc w:val="both"/>
        <w:rPr>
          <w:rFonts w:cs="Arial"/>
          <w:bCs/>
          <w:color w:val="000000" w:themeColor="text1"/>
          <w:kern w:val="24"/>
          <w:szCs w:val="20"/>
        </w:rPr>
      </w:pPr>
      <w:r w:rsidRPr="007A077E">
        <w:rPr>
          <w:rFonts w:cs="Arial"/>
          <w:bCs/>
          <w:color w:val="000000" w:themeColor="text1"/>
          <w:kern w:val="24"/>
          <w:szCs w:val="20"/>
        </w:rPr>
        <w:t xml:space="preserve">Govedoreja ob zmerni rabi absolutnega travinja omogoča ohranjanje narave in daje možnost za diverzifikacijo dejavnosti na podeželju (dopolnilne dejavnosti, turizem), hkrati pa je skupaj z rejo drobnice edina tradicionalna panoga v slovenskih hribovitih območjih. S tem ohranja travniške habitate in biotsko raznovrstnost. Pridelava krme na lastnem kmetijskem gospodarstvu in zmerna  intenzivnost pridelave omogočata zaprt krogotok hranil na teh gospodarstvih. </w:t>
      </w:r>
    </w:p>
    <w:p w14:paraId="28FA7D77" w14:textId="77777777" w:rsidR="007A077E" w:rsidRPr="007A077E" w:rsidRDefault="007A077E" w:rsidP="007A077E">
      <w:pPr>
        <w:spacing w:before="200" w:line="360" w:lineRule="auto"/>
        <w:jc w:val="both"/>
        <w:rPr>
          <w:rFonts w:eastAsia="TimesNewRoman" w:cs="Arial"/>
          <w:bCs/>
          <w:color w:val="000000" w:themeColor="text1"/>
          <w:szCs w:val="20"/>
          <w:lang w:eastAsia="en-GB"/>
        </w:rPr>
      </w:pPr>
      <w:r w:rsidRPr="007A077E">
        <w:rPr>
          <w:rFonts w:eastAsia="TimesNewRoman" w:cs="Arial"/>
          <w:bCs/>
          <w:color w:val="000000" w:themeColor="text1"/>
          <w:szCs w:val="20"/>
          <w:lang w:eastAsia="en-GB"/>
        </w:rPr>
        <w:t>Opuščanje proizvodnje mleka in mesa na manjših in srednje velikih rej v hribovitih območjih ima lahko za posledico opuščanje in degradacijo podeželskih območij, medtem ko se v naseljenih območjih zaostrujejo konflikti med rejci in okoliškimi prebivalci.</w:t>
      </w:r>
    </w:p>
    <w:p w14:paraId="2CAC14D9" w14:textId="77777777" w:rsidR="007A077E" w:rsidRPr="007A077E" w:rsidRDefault="007A077E" w:rsidP="007A077E">
      <w:pPr>
        <w:spacing w:before="200" w:line="360" w:lineRule="auto"/>
        <w:jc w:val="both"/>
        <w:rPr>
          <w:rFonts w:eastAsia="TimesNewRoman" w:cs="Arial"/>
          <w:bCs/>
          <w:color w:val="000000" w:themeColor="text1"/>
          <w:szCs w:val="20"/>
          <w:lang w:eastAsia="en-GB"/>
        </w:rPr>
      </w:pPr>
      <w:r w:rsidRPr="007A077E">
        <w:rPr>
          <w:rFonts w:eastAsia="TimesNewRoman" w:cs="Arial"/>
          <w:bCs/>
          <w:color w:val="000000" w:themeColor="text1"/>
          <w:szCs w:val="20"/>
          <w:lang w:eastAsia="en-GB"/>
        </w:rPr>
        <w:lastRenderedPageBreak/>
        <w:t xml:space="preserve">Tradicionalno prisotne </w:t>
      </w:r>
      <w:r w:rsidRPr="007A077E">
        <w:rPr>
          <w:rFonts w:cs="Arial"/>
          <w:bCs/>
          <w:color w:val="000000" w:themeColor="text1"/>
          <w:kern w:val="24"/>
          <w:szCs w:val="20"/>
        </w:rPr>
        <w:t>avtohtone in kombinirane pasme domačih živali so prilagojene na lokalne pogoje, žal pa rejcu prinesejo m</w:t>
      </w:r>
      <w:r w:rsidRPr="007A077E">
        <w:rPr>
          <w:rFonts w:eastAsia="TimesNewRoman" w:cs="Arial"/>
          <w:bCs/>
          <w:color w:val="000000" w:themeColor="text1"/>
          <w:szCs w:val="20"/>
          <w:lang w:eastAsia="en-GB"/>
        </w:rPr>
        <w:t xml:space="preserve">anjši dohodek kot konvencionalne pasme. Vendar je nujno tudi v teh rejah uvajati tehnološke novosti in inovativnost ter se usmerjati v predelavo in proizvodnjo </w:t>
      </w:r>
      <w:proofErr w:type="spellStart"/>
      <w:r w:rsidRPr="007A077E">
        <w:rPr>
          <w:rFonts w:eastAsia="TimesNewRoman" w:cs="Arial"/>
          <w:bCs/>
          <w:color w:val="000000" w:themeColor="text1"/>
          <w:szCs w:val="20"/>
          <w:lang w:eastAsia="en-GB"/>
        </w:rPr>
        <w:t>nišnih</w:t>
      </w:r>
      <w:proofErr w:type="spellEnd"/>
      <w:r w:rsidRPr="007A077E">
        <w:rPr>
          <w:rFonts w:eastAsia="TimesNewRoman" w:cs="Arial"/>
          <w:bCs/>
          <w:color w:val="000000" w:themeColor="text1"/>
          <w:szCs w:val="20"/>
          <w:lang w:eastAsia="en-GB"/>
        </w:rPr>
        <w:t xml:space="preserve"> proizvodov, običajno višjega cenovnega razreda. </w:t>
      </w:r>
    </w:p>
    <w:p w14:paraId="60A8A1C5" w14:textId="77777777" w:rsidR="007A077E" w:rsidRPr="007A077E" w:rsidRDefault="007A077E" w:rsidP="007A077E">
      <w:pPr>
        <w:spacing w:before="200" w:line="360" w:lineRule="auto"/>
        <w:jc w:val="both"/>
        <w:rPr>
          <w:rFonts w:eastAsia="TimesNewRoman" w:cs="Arial"/>
          <w:bCs/>
          <w:color w:val="000000" w:themeColor="text1"/>
          <w:szCs w:val="20"/>
          <w:lang w:eastAsia="en-GB"/>
        </w:rPr>
      </w:pPr>
      <w:r w:rsidRPr="007A077E">
        <w:rPr>
          <w:rFonts w:eastAsia="TimesNewRoman" w:cs="Arial"/>
          <w:bCs/>
          <w:color w:val="000000" w:themeColor="text1"/>
          <w:szCs w:val="20"/>
          <w:lang w:eastAsia="en-GB"/>
        </w:rPr>
        <w:t>Slabosti panoge sicer izhajajo iz razdrobljenost kmetijskih površin, posodobiti pa je potrebno tudi skladiščenje in izrabo živalskih gnojil in krme. Mnogi objekti in naprave, ki jih uporabljajo rejci, so dotrajani in zastareli.</w:t>
      </w:r>
    </w:p>
    <w:p w14:paraId="4052F3B5" w14:textId="77777777" w:rsidR="007A077E" w:rsidRPr="007A077E" w:rsidRDefault="007A077E" w:rsidP="007A077E">
      <w:pPr>
        <w:spacing w:before="200" w:line="360" w:lineRule="auto"/>
        <w:jc w:val="both"/>
        <w:rPr>
          <w:rFonts w:eastAsia="TimesNewRoman" w:cs="Arial"/>
          <w:bCs/>
          <w:color w:val="000000" w:themeColor="text1"/>
          <w:szCs w:val="20"/>
          <w:lang w:eastAsia="en-GB"/>
        </w:rPr>
      </w:pPr>
      <w:r w:rsidRPr="007A077E">
        <w:rPr>
          <w:rFonts w:eastAsia="TimesNewRoman" w:cs="Arial"/>
          <w:bCs/>
          <w:color w:val="000000" w:themeColor="text1"/>
          <w:szCs w:val="20"/>
          <w:lang w:eastAsia="en-GB"/>
        </w:rPr>
        <w:t xml:space="preserve">Zaradi obravnave izpustov toplogrednih plinov (TPG) in amonijaka, </w:t>
      </w:r>
      <w:proofErr w:type="spellStart"/>
      <w:r w:rsidRPr="007A077E">
        <w:rPr>
          <w:rFonts w:eastAsia="TimesNewRoman" w:cs="Arial"/>
          <w:bCs/>
          <w:color w:val="000000" w:themeColor="text1"/>
          <w:szCs w:val="20"/>
          <w:lang w:eastAsia="en-GB"/>
        </w:rPr>
        <w:t>okoljskih</w:t>
      </w:r>
      <w:proofErr w:type="spellEnd"/>
      <w:r w:rsidRPr="007A077E">
        <w:rPr>
          <w:rFonts w:eastAsia="TimesNewRoman" w:cs="Arial"/>
          <w:bCs/>
          <w:color w:val="000000" w:themeColor="text1"/>
          <w:szCs w:val="20"/>
          <w:lang w:eastAsia="en-GB"/>
        </w:rPr>
        <w:t xml:space="preserve"> zahtev in uvajanja strožjih </w:t>
      </w:r>
      <w:proofErr w:type="spellStart"/>
      <w:r w:rsidRPr="007A077E">
        <w:rPr>
          <w:rFonts w:eastAsia="TimesNewRoman" w:cs="Arial"/>
          <w:bCs/>
          <w:color w:val="000000" w:themeColor="text1"/>
          <w:szCs w:val="20"/>
          <w:lang w:eastAsia="en-GB"/>
        </w:rPr>
        <w:t>biovarnostnih</w:t>
      </w:r>
      <w:proofErr w:type="spellEnd"/>
      <w:r w:rsidRPr="007A077E">
        <w:rPr>
          <w:rFonts w:eastAsia="TimesNewRoman" w:cs="Arial"/>
          <w:bCs/>
          <w:color w:val="000000" w:themeColor="text1"/>
          <w:szCs w:val="20"/>
          <w:lang w:eastAsia="en-GB"/>
        </w:rPr>
        <w:t xml:space="preserve"> ukrepov so potrebne spremembe v panogi, ki višajo stroške proizvodnje. Govedoreja je sicer najpomembnejši vir izpustov TGP v kmetijstvu. V letu 2017 je prispevala 66,9 % vseh izpustov iz kmetijstva in 6,6 % vseh izpustov TGP v Sloveniji. Največ izpustov TGP prispevajo krave molznice (38 %), goveji pitanci (20 %), plemenske telice (17 %) in krave dojilje (14 %). S prirejo mleka je povezanih približno 55 % (molznice in plemenske telice), s prirejo mesa pa 45 % izpustov TPG. Najpomembnejši vir izpustov v govedoreji je metan, ki se sprosti iz prebavil (79 %), sledi metan, ki nastaja pri skladiščenju živinskih gnojil (18 %). Manjši delež emisij predstavlja še </w:t>
      </w:r>
      <w:proofErr w:type="spellStart"/>
      <w:r w:rsidRPr="007A077E">
        <w:rPr>
          <w:rFonts w:eastAsia="TimesNewRoman" w:cs="Arial"/>
          <w:bCs/>
          <w:color w:val="000000" w:themeColor="text1"/>
          <w:szCs w:val="20"/>
          <w:lang w:eastAsia="en-GB"/>
        </w:rPr>
        <w:t>didušikov</w:t>
      </w:r>
      <w:proofErr w:type="spellEnd"/>
      <w:r w:rsidRPr="007A077E">
        <w:rPr>
          <w:rFonts w:eastAsia="TimesNewRoman" w:cs="Arial"/>
          <w:bCs/>
          <w:color w:val="000000" w:themeColor="text1"/>
          <w:szCs w:val="20"/>
          <w:lang w:eastAsia="en-GB"/>
        </w:rPr>
        <w:t xml:space="preserve"> oksid, ki nastaja pri skladiščenju živinskih gnojil. V zadnjih 30 letih so se izpusti TGP pri prireji mleka zmanjšali. Zaradi povečanja mlečnosti krav molznic (z 2.438 kg v letu 1986 na 5.954 kg na kravo na leto v letu 2017), je z manjšim številom molznic prirejena podobna količina mleka kot nekoč. Širjenje reje krav dojilj po letu 1990, je deloma izničilo zmanjšanje izpustov TGP pri kravah molznicah. Skupni izpusti (za vse krave) so bili leta 2017 12,6 % pod izpusti v letu 1986 in 1,5 % pod izpusti v letu 2005.</w:t>
      </w:r>
    </w:p>
    <w:p w14:paraId="495C4B3C" w14:textId="77777777" w:rsidR="007A077E" w:rsidRPr="007A077E" w:rsidRDefault="007A077E" w:rsidP="007A077E">
      <w:pPr>
        <w:spacing w:before="200" w:line="360" w:lineRule="auto"/>
        <w:jc w:val="both"/>
        <w:rPr>
          <w:rFonts w:eastAsia="Times New Roman" w:cs="Arial"/>
          <w:bCs/>
          <w:szCs w:val="20"/>
        </w:rPr>
      </w:pPr>
      <w:r w:rsidRPr="007A077E">
        <w:rPr>
          <w:rFonts w:eastAsia="Times New Roman" w:cs="Arial"/>
          <w:bCs/>
          <w:szCs w:val="20"/>
        </w:rPr>
        <w:t xml:space="preserve">Rejci goveda so v programskem obdobju SKP 2014-2020 upravičeni do podpor v sklopu neposrednih in proizvodno vezanih plačil ter ukrepov v okviru Programa razvoja podeželja (PRP). Povprečne vrednosti plačilnih pravic za leto 2019 za govedorejske kmetije so po podatkih AKRSKTRP in MKGP različne glede na tip proizvodnje in sicer so bile: za specializirane proizvajalce mleka 184 EUR, za pitanje 166 EUR, za rejo mešane pašne živine 162 EUR, za pitanje in dojilje 147 EUR ter za mešano pašno živino 131 EUR. V letu 2019 je proizvodno vezano plačilo prejelo 2.550 rejcev za mleko v gorskem območju za 36.426 živali in 15.621 rejcev </w:t>
      </w:r>
      <w:proofErr w:type="spellStart"/>
      <w:r w:rsidRPr="007A077E">
        <w:rPr>
          <w:rFonts w:eastAsia="Times New Roman" w:cs="Arial"/>
          <w:bCs/>
          <w:szCs w:val="20"/>
        </w:rPr>
        <w:t>pitalcev</w:t>
      </w:r>
      <w:proofErr w:type="spellEnd"/>
      <w:r w:rsidRPr="007A077E">
        <w:rPr>
          <w:rFonts w:eastAsia="Times New Roman" w:cs="Arial"/>
          <w:bCs/>
          <w:szCs w:val="20"/>
        </w:rPr>
        <w:t xml:space="preserve"> za 78.134 živali. V obdobju 2015-2018 je proizvodno vezano podpora za mleko znašala med 127-131,7 EUR. </w:t>
      </w:r>
    </w:p>
    <w:p w14:paraId="74BF0686" w14:textId="77777777" w:rsidR="007A077E" w:rsidRPr="007A077E" w:rsidRDefault="007A077E" w:rsidP="007A077E">
      <w:pPr>
        <w:spacing w:before="200" w:line="360" w:lineRule="auto"/>
        <w:contextualSpacing/>
        <w:jc w:val="both"/>
        <w:rPr>
          <w:rFonts w:eastAsia="Times New Roman" w:cs="Arial"/>
          <w:bCs/>
          <w:color w:val="000000"/>
          <w:kern w:val="24"/>
          <w:szCs w:val="20"/>
        </w:rPr>
      </w:pPr>
      <w:r w:rsidRPr="007A077E">
        <w:rPr>
          <w:rFonts w:cs="Arial"/>
          <w:bCs/>
          <w:color w:val="000000" w:themeColor="text1"/>
          <w:kern w:val="24"/>
          <w:szCs w:val="20"/>
        </w:rPr>
        <w:t>Zaradi velikih investicijskih vlaganj so posodobitve v minulih letih večinoma izvedla večja kmetijska gospodarstva, ki so tehnološko naprednejša, mnoga imajo deloma avtomatizirano oziroma digitalizirano rejo.</w:t>
      </w:r>
      <w:r w:rsidRPr="007A077E">
        <w:rPr>
          <w:rFonts w:eastAsia="TimesNewRoman" w:cs="Arial"/>
          <w:bCs/>
          <w:color w:val="000000" w:themeColor="text1"/>
          <w:szCs w:val="20"/>
          <w:lang w:eastAsia="en-GB"/>
        </w:rPr>
        <w:t xml:space="preserve"> </w:t>
      </w:r>
      <w:r w:rsidRPr="007A077E">
        <w:rPr>
          <w:rFonts w:eastAsia="Times New Roman" w:cs="Arial"/>
          <w:bCs/>
          <w:szCs w:val="20"/>
        </w:rPr>
        <w:t xml:space="preserve">Iz sredstev PRP 2014-2020: podpora sektorju - meso in mesni izdelki ter mleko je bilo do 30. 4. 2020 v </w:t>
      </w:r>
      <w:proofErr w:type="spellStart"/>
      <w:r w:rsidRPr="007A077E">
        <w:rPr>
          <w:rFonts w:eastAsia="Times New Roman" w:cs="Arial"/>
          <w:bCs/>
          <w:szCs w:val="20"/>
        </w:rPr>
        <w:t>podukrepih</w:t>
      </w:r>
      <w:proofErr w:type="spellEnd"/>
      <w:r w:rsidRPr="007A077E">
        <w:rPr>
          <w:rFonts w:eastAsia="Times New Roman" w:cs="Arial"/>
          <w:bCs/>
          <w:szCs w:val="20"/>
        </w:rPr>
        <w:t xml:space="preserve"> M04.1 Podpora za naložbe v kmetijska gospodarstva, M04.2 Podpora za naložbe v predelavo/trženje in/ali razvoj kmetijskih proizvodov , M06.1 Pomoč za zagon dejavnosti za mlade kmete in M06.3 Pomoč za zagon dejavnosti, namenjene razvoju majhnih kmetij odobrenih 4.462 vlog v skupni vrednosti 61,8 mio </w:t>
      </w:r>
      <w:r w:rsidRPr="007A077E">
        <w:rPr>
          <w:rFonts w:eastAsia="Times New Roman" w:cs="Arial"/>
          <w:bCs/>
          <w:color w:val="000000"/>
          <w:kern w:val="24"/>
          <w:szCs w:val="20"/>
        </w:rPr>
        <w:t xml:space="preserve"> EUR. V okviru ukrepa M14 Dobrobit živali je bilo do 30. 4. 2020 izplačanih 16,7 mio EUR.  </w:t>
      </w:r>
    </w:p>
    <w:p w14:paraId="5F6A38B1" w14:textId="77777777" w:rsidR="007A077E" w:rsidRPr="007A077E" w:rsidRDefault="007A077E" w:rsidP="007A077E">
      <w:pPr>
        <w:autoSpaceDE w:val="0"/>
        <w:autoSpaceDN w:val="0"/>
        <w:adjustRightInd w:val="0"/>
        <w:spacing w:before="200" w:line="360" w:lineRule="auto"/>
        <w:jc w:val="both"/>
        <w:rPr>
          <w:rFonts w:cs="Arial"/>
          <w:bCs/>
          <w:color w:val="000000"/>
          <w:szCs w:val="20"/>
        </w:rPr>
      </w:pPr>
      <w:r w:rsidRPr="007A077E">
        <w:rPr>
          <w:rFonts w:eastAsia="Times New Roman" w:cs="Arial"/>
          <w:bCs/>
          <w:szCs w:val="20"/>
        </w:rPr>
        <w:lastRenderedPageBreak/>
        <w:t>Shemo dobrobit živali</w:t>
      </w:r>
      <w:r w:rsidRPr="007A077E">
        <w:rPr>
          <w:rFonts w:cs="Arial"/>
          <w:bCs/>
          <w:color w:val="000000"/>
          <w:szCs w:val="20"/>
        </w:rPr>
        <w:t>, se za govedo izvaja od leta 2016.  V okviru sheme se spodbuja paša goved,  vključenost v ukrep celo nekoliko presegla načrtovane cilje. V ukrep je vključena dobra četrtina staleža goveda v GVŽ.</w:t>
      </w:r>
    </w:p>
    <w:p w14:paraId="0398E925" w14:textId="436C6551" w:rsidR="00DF0D48" w:rsidRDefault="00DF0D48" w:rsidP="00DF0D48">
      <w:pPr>
        <w:pStyle w:val="SCPreglednica"/>
      </w:pPr>
      <w:bookmarkStart w:id="145" w:name="_Toc55913742"/>
      <w:r>
        <w:t xml:space="preserve">Tabela </w:t>
      </w:r>
      <w:r>
        <w:fldChar w:fldCharType="begin"/>
      </w:r>
      <w:r>
        <w:instrText xml:space="preserve"> SEQ Tabela \* ARABIC </w:instrText>
      </w:r>
      <w:r>
        <w:fldChar w:fldCharType="separate"/>
      </w:r>
      <w:r>
        <w:t>31</w:t>
      </w:r>
      <w:r>
        <w:fldChar w:fldCharType="end"/>
      </w:r>
      <w:r>
        <w:t xml:space="preserve">: </w:t>
      </w:r>
      <w:r w:rsidRPr="007A077E">
        <w:t>Stalež goveda v GVŽ</w:t>
      </w:r>
      <w:bookmarkEnd w:id="145"/>
    </w:p>
    <w:p w14:paraId="6EDC890F" w14:textId="77777777" w:rsidR="007A077E" w:rsidRPr="007A077E" w:rsidRDefault="007A077E" w:rsidP="007A077E">
      <w:pPr>
        <w:autoSpaceDE w:val="0"/>
        <w:autoSpaceDN w:val="0"/>
        <w:adjustRightInd w:val="0"/>
        <w:spacing w:after="0" w:line="360" w:lineRule="auto"/>
        <w:jc w:val="both"/>
        <w:rPr>
          <w:rFonts w:cs="Arial"/>
          <w:color w:val="000000"/>
          <w:szCs w:val="20"/>
        </w:rPr>
      </w:pPr>
      <w:r w:rsidRPr="007A077E">
        <w:rPr>
          <w:rFonts w:cs="Arial"/>
          <w:noProof/>
          <w:color w:val="000000"/>
          <w:szCs w:val="20"/>
        </w:rPr>
        <w:drawing>
          <wp:inline distT="0" distB="0" distL="0" distR="0" wp14:anchorId="054EAFA0" wp14:editId="36B44C4A">
            <wp:extent cx="5954233" cy="770879"/>
            <wp:effectExtent l="0" t="0" r="0" b="0"/>
            <wp:docPr id="24169608" name="Slika 24169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34016" cy="781208"/>
                    </a:xfrm>
                    <a:prstGeom prst="rect">
                      <a:avLst/>
                    </a:prstGeom>
                    <a:noFill/>
                    <a:ln>
                      <a:noFill/>
                    </a:ln>
                  </pic:spPr>
                </pic:pic>
              </a:graphicData>
            </a:graphic>
          </wp:inline>
        </w:drawing>
      </w:r>
    </w:p>
    <w:p w14:paraId="1D82E855" w14:textId="77777777" w:rsidR="007A077E" w:rsidRPr="007A077E" w:rsidRDefault="007A077E" w:rsidP="007A077E">
      <w:pPr>
        <w:autoSpaceDE w:val="0"/>
        <w:autoSpaceDN w:val="0"/>
        <w:adjustRightInd w:val="0"/>
        <w:spacing w:after="0" w:line="360" w:lineRule="auto"/>
        <w:jc w:val="both"/>
        <w:rPr>
          <w:rFonts w:cs="Arial"/>
          <w:color w:val="000000"/>
          <w:sz w:val="16"/>
          <w:szCs w:val="16"/>
        </w:rPr>
      </w:pPr>
      <w:r w:rsidRPr="007A077E">
        <w:rPr>
          <w:rFonts w:cs="Arial"/>
          <w:color w:val="000000"/>
          <w:sz w:val="16"/>
          <w:szCs w:val="16"/>
        </w:rPr>
        <w:t>Vir: MKGP-2020</w:t>
      </w:r>
    </w:p>
    <w:p w14:paraId="323118AE" w14:textId="5CED9E32" w:rsidR="00DF0D48" w:rsidRDefault="00DF0D48" w:rsidP="00DF0D48">
      <w:pPr>
        <w:pStyle w:val="SCPreglednica"/>
      </w:pPr>
      <w:bookmarkStart w:id="146" w:name="_Toc55913743"/>
      <w:r>
        <w:t xml:space="preserve">Tabela </w:t>
      </w:r>
      <w:r>
        <w:fldChar w:fldCharType="begin"/>
      </w:r>
      <w:r>
        <w:instrText xml:space="preserve"> SEQ Tabela \* ARABIC </w:instrText>
      </w:r>
      <w:r>
        <w:fldChar w:fldCharType="separate"/>
      </w:r>
      <w:r>
        <w:t>32</w:t>
      </w:r>
      <w:r>
        <w:fldChar w:fldCharType="end"/>
      </w:r>
      <w:r>
        <w:t xml:space="preserve">: </w:t>
      </w:r>
      <w:r w:rsidRPr="007A077E">
        <w:t>DŽ govedo</w:t>
      </w:r>
      <w:bookmarkEnd w:id="146"/>
    </w:p>
    <w:tbl>
      <w:tblPr>
        <w:tblW w:w="9298" w:type="dxa"/>
        <w:tblLayout w:type="fixed"/>
        <w:tblCellMar>
          <w:left w:w="30" w:type="dxa"/>
          <w:right w:w="30" w:type="dxa"/>
        </w:tblCellMar>
        <w:tblLook w:val="00A0" w:firstRow="1" w:lastRow="0" w:firstColumn="1" w:lastColumn="0" w:noHBand="0" w:noVBand="0"/>
      </w:tblPr>
      <w:tblGrid>
        <w:gridCol w:w="3835"/>
        <w:gridCol w:w="1627"/>
        <w:gridCol w:w="1949"/>
        <w:gridCol w:w="1887"/>
      </w:tblGrid>
      <w:tr w:rsidR="007A077E" w:rsidRPr="007A077E" w14:paraId="0BF174D2" w14:textId="77777777" w:rsidTr="007A077E">
        <w:trPr>
          <w:trHeight w:val="305"/>
        </w:trPr>
        <w:tc>
          <w:tcPr>
            <w:tcW w:w="3835" w:type="dxa"/>
            <w:tcBorders>
              <w:top w:val="single" w:sz="6" w:space="0" w:color="000000"/>
              <w:left w:val="single" w:sz="6" w:space="0" w:color="000000"/>
              <w:bottom w:val="single" w:sz="6" w:space="0" w:color="000000"/>
              <w:right w:val="single" w:sz="6" w:space="0" w:color="000000"/>
            </w:tcBorders>
          </w:tcPr>
          <w:p w14:paraId="23C60432" w14:textId="77777777" w:rsidR="007A077E" w:rsidRPr="007A077E" w:rsidRDefault="007A077E" w:rsidP="007A077E">
            <w:pPr>
              <w:autoSpaceDE w:val="0"/>
              <w:autoSpaceDN w:val="0"/>
              <w:adjustRightInd w:val="0"/>
              <w:spacing w:after="0" w:line="360" w:lineRule="auto"/>
              <w:jc w:val="both"/>
              <w:rPr>
                <w:rFonts w:cs="Arial"/>
                <w:b/>
                <w:bCs/>
                <w:color w:val="000000"/>
                <w:szCs w:val="20"/>
              </w:rPr>
            </w:pPr>
            <w:r w:rsidRPr="007A077E">
              <w:rPr>
                <w:rFonts w:cs="Arial"/>
                <w:b/>
                <w:bCs/>
                <w:color w:val="000000"/>
                <w:szCs w:val="20"/>
              </w:rPr>
              <w:t>DŽ govedo - 30.4.2020</w:t>
            </w:r>
          </w:p>
        </w:tc>
        <w:tc>
          <w:tcPr>
            <w:tcW w:w="1627" w:type="dxa"/>
            <w:tcBorders>
              <w:top w:val="single" w:sz="6" w:space="0" w:color="000000"/>
              <w:left w:val="single" w:sz="6" w:space="0" w:color="000000"/>
              <w:bottom w:val="single" w:sz="6" w:space="0" w:color="000000"/>
              <w:right w:val="single" w:sz="6" w:space="0" w:color="000000"/>
            </w:tcBorders>
          </w:tcPr>
          <w:p w14:paraId="7E9BC81A" w14:textId="77777777" w:rsidR="007A077E" w:rsidRPr="007A077E" w:rsidRDefault="007A077E" w:rsidP="007A077E">
            <w:pPr>
              <w:autoSpaceDE w:val="0"/>
              <w:autoSpaceDN w:val="0"/>
              <w:adjustRightInd w:val="0"/>
              <w:spacing w:after="0" w:line="360" w:lineRule="auto"/>
              <w:jc w:val="both"/>
              <w:rPr>
                <w:rFonts w:cs="Arial"/>
                <w:b/>
                <w:bCs/>
                <w:color w:val="000000"/>
                <w:szCs w:val="20"/>
              </w:rPr>
            </w:pPr>
          </w:p>
        </w:tc>
        <w:tc>
          <w:tcPr>
            <w:tcW w:w="1949" w:type="dxa"/>
            <w:tcBorders>
              <w:top w:val="single" w:sz="6" w:space="0" w:color="000000"/>
              <w:left w:val="single" w:sz="6" w:space="0" w:color="000000"/>
              <w:bottom w:val="single" w:sz="6" w:space="0" w:color="000000"/>
              <w:right w:val="single" w:sz="6" w:space="0" w:color="000000"/>
            </w:tcBorders>
          </w:tcPr>
          <w:p w14:paraId="39589AC3" w14:textId="77777777" w:rsidR="007A077E" w:rsidRPr="007A077E" w:rsidRDefault="007A077E" w:rsidP="007A077E">
            <w:pPr>
              <w:autoSpaceDE w:val="0"/>
              <w:autoSpaceDN w:val="0"/>
              <w:adjustRightInd w:val="0"/>
              <w:spacing w:after="0" w:line="360" w:lineRule="auto"/>
              <w:jc w:val="both"/>
              <w:rPr>
                <w:rFonts w:cs="Arial"/>
                <w:b/>
                <w:bCs/>
                <w:color w:val="000000"/>
                <w:szCs w:val="20"/>
              </w:rPr>
            </w:pPr>
          </w:p>
        </w:tc>
        <w:tc>
          <w:tcPr>
            <w:tcW w:w="1887" w:type="dxa"/>
            <w:tcBorders>
              <w:top w:val="single" w:sz="6" w:space="0" w:color="000000"/>
              <w:left w:val="single" w:sz="6" w:space="0" w:color="000000"/>
              <w:bottom w:val="single" w:sz="6" w:space="0" w:color="000000"/>
              <w:right w:val="single" w:sz="6" w:space="0" w:color="000000"/>
            </w:tcBorders>
          </w:tcPr>
          <w:p w14:paraId="1735F47F" w14:textId="77777777" w:rsidR="007A077E" w:rsidRPr="007A077E" w:rsidRDefault="007A077E" w:rsidP="007A077E">
            <w:pPr>
              <w:autoSpaceDE w:val="0"/>
              <w:autoSpaceDN w:val="0"/>
              <w:adjustRightInd w:val="0"/>
              <w:spacing w:after="0" w:line="360" w:lineRule="auto"/>
              <w:jc w:val="both"/>
              <w:rPr>
                <w:rFonts w:cs="Arial"/>
                <w:b/>
                <w:bCs/>
                <w:color w:val="000000"/>
                <w:szCs w:val="20"/>
              </w:rPr>
            </w:pPr>
          </w:p>
        </w:tc>
      </w:tr>
      <w:tr w:rsidR="007A077E" w:rsidRPr="007A077E" w14:paraId="10CABC07" w14:textId="77777777" w:rsidTr="007A077E">
        <w:trPr>
          <w:trHeight w:val="305"/>
        </w:trPr>
        <w:tc>
          <w:tcPr>
            <w:tcW w:w="3835" w:type="dxa"/>
            <w:tcBorders>
              <w:top w:val="single" w:sz="12" w:space="0" w:color="000000"/>
              <w:left w:val="single" w:sz="12" w:space="0" w:color="000000"/>
              <w:bottom w:val="single" w:sz="12" w:space="0" w:color="000000"/>
              <w:right w:val="single" w:sz="12" w:space="0" w:color="000000"/>
            </w:tcBorders>
            <w:shd w:val="clear" w:color="auto" w:fill="BFBF00"/>
          </w:tcPr>
          <w:p w14:paraId="491B571C" w14:textId="77777777" w:rsidR="007A077E" w:rsidRPr="007A077E" w:rsidRDefault="007A077E" w:rsidP="007A077E">
            <w:pPr>
              <w:autoSpaceDE w:val="0"/>
              <w:autoSpaceDN w:val="0"/>
              <w:adjustRightInd w:val="0"/>
              <w:spacing w:after="0" w:line="360" w:lineRule="auto"/>
              <w:jc w:val="both"/>
              <w:rPr>
                <w:rFonts w:cs="Arial"/>
                <w:b/>
                <w:bCs/>
                <w:color w:val="000000"/>
                <w:szCs w:val="20"/>
              </w:rPr>
            </w:pPr>
            <w:r w:rsidRPr="007A077E">
              <w:rPr>
                <w:rFonts w:cs="Arial"/>
                <w:b/>
                <w:bCs/>
                <w:color w:val="000000"/>
                <w:szCs w:val="20"/>
              </w:rPr>
              <w:t> Leto</w:t>
            </w:r>
          </w:p>
        </w:tc>
        <w:tc>
          <w:tcPr>
            <w:tcW w:w="1627" w:type="dxa"/>
            <w:tcBorders>
              <w:top w:val="single" w:sz="12" w:space="0" w:color="000000"/>
              <w:left w:val="single" w:sz="12" w:space="0" w:color="000000"/>
              <w:bottom w:val="single" w:sz="12" w:space="0" w:color="000000"/>
              <w:right w:val="single" w:sz="12" w:space="0" w:color="000000"/>
            </w:tcBorders>
            <w:shd w:val="clear" w:color="auto" w:fill="BFBF00"/>
          </w:tcPr>
          <w:p w14:paraId="38E99734" w14:textId="77777777" w:rsidR="007A077E" w:rsidRPr="007A077E" w:rsidRDefault="007A077E" w:rsidP="007A077E">
            <w:pPr>
              <w:autoSpaceDE w:val="0"/>
              <w:autoSpaceDN w:val="0"/>
              <w:adjustRightInd w:val="0"/>
              <w:spacing w:after="0" w:line="360" w:lineRule="auto"/>
              <w:jc w:val="both"/>
              <w:rPr>
                <w:rFonts w:cs="Arial"/>
                <w:b/>
                <w:bCs/>
                <w:color w:val="000000"/>
                <w:szCs w:val="20"/>
              </w:rPr>
            </w:pPr>
            <w:r w:rsidRPr="007A077E">
              <w:rPr>
                <w:rFonts w:cs="Arial"/>
                <w:b/>
                <w:bCs/>
                <w:color w:val="000000"/>
                <w:szCs w:val="20"/>
              </w:rPr>
              <w:t>Število izplačanih vlog</w:t>
            </w:r>
          </w:p>
        </w:tc>
        <w:tc>
          <w:tcPr>
            <w:tcW w:w="1949" w:type="dxa"/>
            <w:tcBorders>
              <w:top w:val="single" w:sz="12" w:space="0" w:color="000000"/>
              <w:left w:val="single" w:sz="12" w:space="0" w:color="000000"/>
              <w:bottom w:val="single" w:sz="12" w:space="0" w:color="000000"/>
              <w:right w:val="single" w:sz="12" w:space="0" w:color="000000"/>
            </w:tcBorders>
            <w:shd w:val="clear" w:color="auto" w:fill="BFBF00"/>
          </w:tcPr>
          <w:p w14:paraId="745A6B0C" w14:textId="77777777" w:rsidR="007A077E" w:rsidRPr="007A077E" w:rsidRDefault="007A077E" w:rsidP="007A077E">
            <w:pPr>
              <w:autoSpaceDE w:val="0"/>
              <w:autoSpaceDN w:val="0"/>
              <w:adjustRightInd w:val="0"/>
              <w:spacing w:after="0" w:line="360" w:lineRule="auto"/>
              <w:jc w:val="both"/>
              <w:rPr>
                <w:rFonts w:cs="Arial"/>
                <w:b/>
                <w:bCs/>
                <w:color w:val="000000"/>
                <w:szCs w:val="20"/>
              </w:rPr>
            </w:pPr>
            <w:r w:rsidRPr="007A077E">
              <w:rPr>
                <w:rFonts w:cs="Arial"/>
                <w:b/>
                <w:bCs/>
                <w:color w:val="000000"/>
                <w:szCs w:val="20"/>
              </w:rPr>
              <w:t>Število podprtih GVŽ</w:t>
            </w:r>
          </w:p>
        </w:tc>
        <w:tc>
          <w:tcPr>
            <w:tcW w:w="1887" w:type="dxa"/>
            <w:tcBorders>
              <w:top w:val="single" w:sz="12" w:space="0" w:color="000000"/>
              <w:left w:val="single" w:sz="12" w:space="0" w:color="000000"/>
              <w:bottom w:val="single" w:sz="12" w:space="0" w:color="000000"/>
              <w:right w:val="single" w:sz="12" w:space="0" w:color="000000"/>
            </w:tcBorders>
            <w:shd w:val="clear" w:color="auto" w:fill="BFBF00"/>
          </w:tcPr>
          <w:p w14:paraId="4BC99E4D" w14:textId="77777777" w:rsidR="007A077E" w:rsidRPr="007A077E" w:rsidRDefault="007A077E" w:rsidP="007A077E">
            <w:pPr>
              <w:autoSpaceDE w:val="0"/>
              <w:autoSpaceDN w:val="0"/>
              <w:adjustRightInd w:val="0"/>
              <w:spacing w:after="0" w:line="360" w:lineRule="auto"/>
              <w:jc w:val="both"/>
              <w:rPr>
                <w:rFonts w:cs="Arial"/>
                <w:b/>
                <w:bCs/>
                <w:color w:val="000000"/>
                <w:szCs w:val="20"/>
              </w:rPr>
            </w:pPr>
            <w:r w:rsidRPr="007A077E">
              <w:rPr>
                <w:rFonts w:cs="Arial"/>
                <w:b/>
                <w:bCs/>
                <w:color w:val="000000"/>
                <w:szCs w:val="20"/>
              </w:rPr>
              <w:t>Znesek izplačanih sredstev, €</w:t>
            </w:r>
          </w:p>
        </w:tc>
      </w:tr>
      <w:tr w:rsidR="007A077E" w:rsidRPr="007A077E" w14:paraId="472D73C8" w14:textId="77777777" w:rsidTr="007A077E">
        <w:trPr>
          <w:trHeight w:val="305"/>
        </w:trPr>
        <w:tc>
          <w:tcPr>
            <w:tcW w:w="3835" w:type="dxa"/>
            <w:tcBorders>
              <w:top w:val="single" w:sz="12" w:space="0" w:color="000000"/>
              <w:left w:val="single" w:sz="12" w:space="0" w:color="000000"/>
              <w:bottom w:val="single" w:sz="12" w:space="0" w:color="000000"/>
              <w:right w:val="single" w:sz="12" w:space="0" w:color="000000"/>
            </w:tcBorders>
          </w:tcPr>
          <w:p w14:paraId="4C9C1A08" w14:textId="77777777" w:rsidR="007A077E" w:rsidRPr="007A077E" w:rsidRDefault="007A077E" w:rsidP="007A077E">
            <w:pPr>
              <w:autoSpaceDE w:val="0"/>
              <w:autoSpaceDN w:val="0"/>
              <w:adjustRightInd w:val="0"/>
              <w:spacing w:after="0" w:line="360" w:lineRule="auto"/>
              <w:jc w:val="both"/>
              <w:rPr>
                <w:rFonts w:cs="Arial"/>
                <w:color w:val="000000"/>
                <w:szCs w:val="20"/>
              </w:rPr>
            </w:pPr>
            <w:r w:rsidRPr="007A077E">
              <w:rPr>
                <w:rFonts w:cs="Arial"/>
                <w:color w:val="000000"/>
                <w:szCs w:val="20"/>
              </w:rPr>
              <w:t>SK 2016</w:t>
            </w:r>
          </w:p>
        </w:tc>
        <w:tc>
          <w:tcPr>
            <w:tcW w:w="1627" w:type="dxa"/>
            <w:tcBorders>
              <w:top w:val="single" w:sz="12" w:space="0" w:color="000000"/>
              <w:left w:val="single" w:sz="12" w:space="0" w:color="000000"/>
              <w:bottom w:val="single" w:sz="12" w:space="0" w:color="000000"/>
              <w:right w:val="single" w:sz="12" w:space="0" w:color="000000"/>
            </w:tcBorders>
          </w:tcPr>
          <w:p w14:paraId="1B9F754F" w14:textId="77777777" w:rsidR="007A077E" w:rsidRPr="007A077E" w:rsidRDefault="007A077E" w:rsidP="007A077E">
            <w:pPr>
              <w:autoSpaceDE w:val="0"/>
              <w:autoSpaceDN w:val="0"/>
              <w:adjustRightInd w:val="0"/>
              <w:spacing w:after="0" w:line="360" w:lineRule="auto"/>
              <w:jc w:val="both"/>
              <w:rPr>
                <w:rFonts w:cs="Arial"/>
                <w:color w:val="000000"/>
                <w:szCs w:val="20"/>
              </w:rPr>
            </w:pPr>
            <w:r w:rsidRPr="007A077E">
              <w:rPr>
                <w:rFonts w:cs="Arial"/>
                <w:color w:val="000000"/>
                <w:szCs w:val="20"/>
              </w:rPr>
              <w:t>6.761</w:t>
            </w:r>
          </w:p>
        </w:tc>
        <w:tc>
          <w:tcPr>
            <w:tcW w:w="1949" w:type="dxa"/>
            <w:tcBorders>
              <w:top w:val="single" w:sz="12" w:space="0" w:color="000000"/>
              <w:left w:val="single" w:sz="12" w:space="0" w:color="000000"/>
              <w:bottom w:val="single" w:sz="12" w:space="0" w:color="000000"/>
              <w:right w:val="single" w:sz="12" w:space="0" w:color="000000"/>
            </w:tcBorders>
          </w:tcPr>
          <w:p w14:paraId="4F64075A" w14:textId="77777777" w:rsidR="007A077E" w:rsidRPr="007A077E" w:rsidRDefault="007A077E" w:rsidP="007A077E">
            <w:pPr>
              <w:autoSpaceDE w:val="0"/>
              <w:autoSpaceDN w:val="0"/>
              <w:adjustRightInd w:val="0"/>
              <w:spacing w:after="0" w:line="360" w:lineRule="auto"/>
              <w:jc w:val="both"/>
              <w:rPr>
                <w:rFonts w:cs="Arial"/>
                <w:color w:val="000000"/>
                <w:szCs w:val="20"/>
              </w:rPr>
            </w:pPr>
            <w:r w:rsidRPr="007A077E">
              <w:rPr>
                <w:rFonts w:cs="Arial"/>
                <w:color w:val="000000"/>
                <w:szCs w:val="20"/>
              </w:rPr>
              <w:t>71.036</w:t>
            </w:r>
          </w:p>
        </w:tc>
        <w:tc>
          <w:tcPr>
            <w:tcW w:w="1887" w:type="dxa"/>
            <w:tcBorders>
              <w:top w:val="single" w:sz="12" w:space="0" w:color="000000"/>
              <w:left w:val="single" w:sz="12" w:space="0" w:color="000000"/>
              <w:bottom w:val="single" w:sz="12" w:space="0" w:color="000000"/>
              <w:right w:val="single" w:sz="12" w:space="0" w:color="000000"/>
            </w:tcBorders>
          </w:tcPr>
          <w:p w14:paraId="4B7AF59D" w14:textId="77777777" w:rsidR="007A077E" w:rsidRPr="007A077E" w:rsidRDefault="007A077E" w:rsidP="007A077E">
            <w:pPr>
              <w:autoSpaceDE w:val="0"/>
              <w:autoSpaceDN w:val="0"/>
              <w:adjustRightInd w:val="0"/>
              <w:spacing w:after="0" w:line="360" w:lineRule="auto"/>
              <w:jc w:val="both"/>
              <w:rPr>
                <w:rFonts w:cs="Arial"/>
                <w:color w:val="000000"/>
                <w:szCs w:val="20"/>
              </w:rPr>
            </w:pPr>
            <w:r w:rsidRPr="007A077E">
              <w:rPr>
                <w:rFonts w:cs="Arial"/>
                <w:color w:val="000000"/>
                <w:szCs w:val="20"/>
              </w:rPr>
              <w:t>3.736.801,54</w:t>
            </w:r>
          </w:p>
        </w:tc>
      </w:tr>
      <w:tr w:rsidR="007A077E" w:rsidRPr="007A077E" w14:paraId="13F8882C" w14:textId="77777777" w:rsidTr="007A077E">
        <w:trPr>
          <w:trHeight w:val="305"/>
        </w:trPr>
        <w:tc>
          <w:tcPr>
            <w:tcW w:w="3835" w:type="dxa"/>
            <w:tcBorders>
              <w:top w:val="single" w:sz="12" w:space="0" w:color="000000"/>
              <w:left w:val="single" w:sz="12" w:space="0" w:color="000000"/>
              <w:bottom w:val="single" w:sz="12" w:space="0" w:color="000000"/>
              <w:right w:val="single" w:sz="12" w:space="0" w:color="000000"/>
            </w:tcBorders>
          </w:tcPr>
          <w:p w14:paraId="35BFA124" w14:textId="77777777" w:rsidR="007A077E" w:rsidRPr="007A077E" w:rsidRDefault="007A077E" w:rsidP="007A077E">
            <w:pPr>
              <w:autoSpaceDE w:val="0"/>
              <w:autoSpaceDN w:val="0"/>
              <w:adjustRightInd w:val="0"/>
              <w:spacing w:after="0" w:line="360" w:lineRule="auto"/>
              <w:jc w:val="both"/>
              <w:rPr>
                <w:rFonts w:cs="Arial"/>
                <w:color w:val="000000"/>
                <w:szCs w:val="20"/>
              </w:rPr>
            </w:pPr>
            <w:r w:rsidRPr="007A077E">
              <w:rPr>
                <w:rFonts w:cs="Arial"/>
                <w:color w:val="000000"/>
                <w:szCs w:val="20"/>
              </w:rPr>
              <w:t>SK 2017</w:t>
            </w:r>
          </w:p>
        </w:tc>
        <w:tc>
          <w:tcPr>
            <w:tcW w:w="1627" w:type="dxa"/>
            <w:tcBorders>
              <w:top w:val="single" w:sz="12" w:space="0" w:color="000000"/>
              <w:left w:val="single" w:sz="12" w:space="0" w:color="000000"/>
              <w:bottom w:val="single" w:sz="12" w:space="0" w:color="000000"/>
              <w:right w:val="single" w:sz="12" w:space="0" w:color="000000"/>
            </w:tcBorders>
          </w:tcPr>
          <w:p w14:paraId="1395A19F" w14:textId="77777777" w:rsidR="007A077E" w:rsidRPr="007A077E" w:rsidRDefault="007A077E" w:rsidP="007A077E">
            <w:pPr>
              <w:autoSpaceDE w:val="0"/>
              <w:autoSpaceDN w:val="0"/>
              <w:adjustRightInd w:val="0"/>
              <w:spacing w:after="0" w:line="360" w:lineRule="auto"/>
              <w:jc w:val="both"/>
              <w:rPr>
                <w:rFonts w:cs="Arial"/>
                <w:color w:val="000000"/>
                <w:szCs w:val="20"/>
              </w:rPr>
            </w:pPr>
            <w:r w:rsidRPr="007A077E">
              <w:rPr>
                <w:rFonts w:cs="Arial"/>
                <w:color w:val="000000"/>
                <w:szCs w:val="20"/>
              </w:rPr>
              <w:t>7.466</w:t>
            </w:r>
          </w:p>
        </w:tc>
        <w:tc>
          <w:tcPr>
            <w:tcW w:w="1949" w:type="dxa"/>
            <w:tcBorders>
              <w:top w:val="single" w:sz="12" w:space="0" w:color="000000"/>
              <w:left w:val="single" w:sz="12" w:space="0" w:color="000000"/>
              <w:bottom w:val="single" w:sz="12" w:space="0" w:color="000000"/>
              <w:right w:val="single" w:sz="12" w:space="0" w:color="000000"/>
            </w:tcBorders>
          </w:tcPr>
          <w:p w14:paraId="6E66056F" w14:textId="77777777" w:rsidR="007A077E" w:rsidRPr="007A077E" w:rsidRDefault="007A077E" w:rsidP="007A077E">
            <w:pPr>
              <w:autoSpaceDE w:val="0"/>
              <w:autoSpaceDN w:val="0"/>
              <w:adjustRightInd w:val="0"/>
              <w:spacing w:after="0" w:line="360" w:lineRule="auto"/>
              <w:jc w:val="both"/>
              <w:rPr>
                <w:rFonts w:cs="Arial"/>
                <w:color w:val="000000"/>
                <w:szCs w:val="20"/>
              </w:rPr>
            </w:pPr>
            <w:r w:rsidRPr="007A077E">
              <w:rPr>
                <w:rFonts w:cs="Arial"/>
                <w:color w:val="000000"/>
                <w:szCs w:val="20"/>
              </w:rPr>
              <w:t>83.745</w:t>
            </w:r>
          </w:p>
        </w:tc>
        <w:tc>
          <w:tcPr>
            <w:tcW w:w="1887" w:type="dxa"/>
            <w:tcBorders>
              <w:top w:val="single" w:sz="12" w:space="0" w:color="000000"/>
              <w:left w:val="single" w:sz="12" w:space="0" w:color="000000"/>
              <w:bottom w:val="single" w:sz="12" w:space="0" w:color="000000"/>
              <w:right w:val="single" w:sz="12" w:space="0" w:color="000000"/>
            </w:tcBorders>
          </w:tcPr>
          <w:p w14:paraId="5AEB67C3" w14:textId="77777777" w:rsidR="007A077E" w:rsidRPr="007A077E" w:rsidRDefault="007A077E" w:rsidP="007A077E">
            <w:pPr>
              <w:autoSpaceDE w:val="0"/>
              <w:autoSpaceDN w:val="0"/>
              <w:adjustRightInd w:val="0"/>
              <w:spacing w:after="0" w:line="360" w:lineRule="auto"/>
              <w:jc w:val="both"/>
              <w:rPr>
                <w:rFonts w:cs="Arial"/>
                <w:color w:val="000000"/>
                <w:szCs w:val="20"/>
              </w:rPr>
            </w:pPr>
            <w:r w:rsidRPr="007A077E">
              <w:rPr>
                <w:rFonts w:cs="Arial"/>
                <w:color w:val="000000"/>
                <w:szCs w:val="20"/>
              </w:rPr>
              <w:t>4.397.583,41</w:t>
            </w:r>
          </w:p>
        </w:tc>
      </w:tr>
      <w:tr w:rsidR="007A077E" w:rsidRPr="007A077E" w14:paraId="08E4ADFF" w14:textId="77777777" w:rsidTr="007A077E">
        <w:trPr>
          <w:trHeight w:val="305"/>
        </w:trPr>
        <w:tc>
          <w:tcPr>
            <w:tcW w:w="3835" w:type="dxa"/>
            <w:tcBorders>
              <w:top w:val="single" w:sz="12" w:space="0" w:color="000000"/>
              <w:left w:val="single" w:sz="12" w:space="0" w:color="000000"/>
              <w:bottom w:val="single" w:sz="12" w:space="0" w:color="000000"/>
              <w:right w:val="single" w:sz="12" w:space="0" w:color="000000"/>
            </w:tcBorders>
          </w:tcPr>
          <w:p w14:paraId="408CBBC7" w14:textId="77777777" w:rsidR="007A077E" w:rsidRPr="007A077E" w:rsidRDefault="007A077E" w:rsidP="007A077E">
            <w:pPr>
              <w:autoSpaceDE w:val="0"/>
              <w:autoSpaceDN w:val="0"/>
              <w:adjustRightInd w:val="0"/>
              <w:spacing w:after="0" w:line="360" w:lineRule="auto"/>
              <w:jc w:val="both"/>
              <w:rPr>
                <w:rFonts w:cs="Arial"/>
                <w:color w:val="000000"/>
                <w:szCs w:val="20"/>
              </w:rPr>
            </w:pPr>
            <w:r w:rsidRPr="007A077E">
              <w:rPr>
                <w:rFonts w:cs="Arial"/>
                <w:color w:val="000000"/>
                <w:szCs w:val="20"/>
              </w:rPr>
              <w:t>SK 2018</w:t>
            </w:r>
          </w:p>
        </w:tc>
        <w:tc>
          <w:tcPr>
            <w:tcW w:w="1627" w:type="dxa"/>
            <w:tcBorders>
              <w:top w:val="single" w:sz="12" w:space="0" w:color="000000"/>
              <w:left w:val="single" w:sz="12" w:space="0" w:color="000000"/>
              <w:bottom w:val="single" w:sz="12" w:space="0" w:color="000000"/>
              <w:right w:val="single" w:sz="12" w:space="0" w:color="000000"/>
            </w:tcBorders>
          </w:tcPr>
          <w:p w14:paraId="720C992E" w14:textId="77777777" w:rsidR="007A077E" w:rsidRPr="007A077E" w:rsidRDefault="007A077E" w:rsidP="007A077E">
            <w:pPr>
              <w:autoSpaceDE w:val="0"/>
              <w:autoSpaceDN w:val="0"/>
              <w:adjustRightInd w:val="0"/>
              <w:spacing w:after="0" w:line="360" w:lineRule="auto"/>
              <w:jc w:val="both"/>
              <w:rPr>
                <w:rFonts w:cs="Arial"/>
                <w:color w:val="000000"/>
                <w:szCs w:val="20"/>
              </w:rPr>
            </w:pPr>
            <w:r w:rsidRPr="007A077E">
              <w:rPr>
                <w:rFonts w:cs="Arial"/>
                <w:color w:val="000000"/>
                <w:szCs w:val="20"/>
              </w:rPr>
              <w:t>7.580</w:t>
            </w:r>
          </w:p>
        </w:tc>
        <w:tc>
          <w:tcPr>
            <w:tcW w:w="1949" w:type="dxa"/>
            <w:tcBorders>
              <w:top w:val="single" w:sz="12" w:space="0" w:color="000000"/>
              <w:left w:val="single" w:sz="12" w:space="0" w:color="000000"/>
              <w:bottom w:val="single" w:sz="12" w:space="0" w:color="000000"/>
              <w:right w:val="single" w:sz="12" w:space="0" w:color="000000"/>
            </w:tcBorders>
          </w:tcPr>
          <w:p w14:paraId="685D7C62" w14:textId="77777777" w:rsidR="007A077E" w:rsidRPr="007A077E" w:rsidRDefault="007A077E" w:rsidP="007A077E">
            <w:pPr>
              <w:autoSpaceDE w:val="0"/>
              <w:autoSpaceDN w:val="0"/>
              <w:adjustRightInd w:val="0"/>
              <w:spacing w:after="0" w:line="360" w:lineRule="auto"/>
              <w:jc w:val="both"/>
              <w:rPr>
                <w:rFonts w:cs="Arial"/>
                <w:color w:val="000000"/>
                <w:szCs w:val="20"/>
              </w:rPr>
            </w:pPr>
            <w:r w:rsidRPr="007A077E">
              <w:rPr>
                <w:rFonts w:cs="Arial"/>
                <w:color w:val="000000"/>
                <w:szCs w:val="20"/>
              </w:rPr>
              <w:t>86.118</w:t>
            </w:r>
          </w:p>
        </w:tc>
        <w:tc>
          <w:tcPr>
            <w:tcW w:w="1887" w:type="dxa"/>
            <w:tcBorders>
              <w:top w:val="single" w:sz="12" w:space="0" w:color="000000"/>
              <w:left w:val="single" w:sz="12" w:space="0" w:color="000000"/>
              <w:bottom w:val="single" w:sz="12" w:space="0" w:color="000000"/>
              <w:right w:val="single" w:sz="12" w:space="0" w:color="000000"/>
            </w:tcBorders>
          </w:tcPr>
          <w:p w14:paraId="6579B369" w14:textId="77777777" w:rsidR="007A077E" w:rsidRPr="007A077E" w:rsidRDefault="007A077E" w:rsidP="007A077E">
            <w:pPr>
              <w:autoSpaceDE w:val="0"/>
              <w:autoSpaceDN w:val="0"/>
              <w:adjustRightInd w:val="0"/>
              <w:spacing w:after="0" w:line="360" w:lineRule="auto"/>
              <w:jc w:val="both"/>
              <w:rPr>
                <w:rFonts w:cs="Arial"/>
                <w:color w:val="000000"/>
                <w:szCs w:val="20"/>
              </w:rPr>
            </w:pPr>
            <w:r w:rsidRPr="007A077E">
              <w:rPr>
                <w:rFonts w:cs="Arial"/>
                <w:color w:val="000000"/>
                <w:szCs w:val="20"/>
              </w:rPr>
              <w:t>4.536.082,32</w:t>
            </w:r>
          </w:p>
        </w:tc>
      </w:tr>
      <w:tr w:rsidR="007A077E" w:rsidRPr="007A077E" w14:paraId="5E428DEF" w14:textId="77777777" w:rsidTr="007A077E">
        <w:trPr>
          <w:trHeight w:val="305"/>
        </w:trPr>
        <w:tc>
          <w:tcPr>
            <w:tcW w:w="3835" w:type="dxa"/>
            <w:tcBorders>
              <w:top w:val="single" w:sz="12" w:space="0" w:color="000000"/>
              <w:left w:val="single" w:sz="12" w:space="0" w:color="000000"/>
              <w:bottom w:val="single" w:sz="12" w:space="0" w:color="000000"/>
              <w:right w:val="single" w:sz="12" w:space="0" w:color="000000"/>
            </w:tcBorders>
          </w:tcPr>
          <w:p w14:paraId="47F3C3DD" w14:textId="77777777" w:rsidR="007A077E" w:rsidRPr="007A077E" w:rsidRDefault="007A077E" w:rsidP="007A077E">
            <w:pPr>
              <w:autoSpaceDE w:val="0"/>
              <w:autoSpaceDN w:val="0"/>
              <w:adjustRightInd w:val="0"/>
              <w:spacing w:after="0" w:line="360" w:lineRule="auto"/>
              <w:jc w:val="both"/>
              <w:rPr>
                <w:rFonts w:cs="Arial"/>
                <w:color w:val="000000"/>
                <w:szCs w:val="20"/>
              </w:rPr>
            </w:pPr>
            <w:r w:rsidRPr="007A077E">
              <w:rPr>
                <w:rFonts w:cs="Arial"/>
                <w:color w:val="000000"/>
                <w:szCs w:val="20"/>
              </w:rPr>
              <w:t>SK 2019</w:t>
            </w:r>
          </w:p>
        </w:tc>
        <w:tc>
          <w:tcPr>
            <w:tcW w:w="1627" w:type="dxa"/>
            <w:tcBorders>
              <w:top w:val="single" w:sz="12" w:space="0" w:color="000000"/>
              <w:left w:val="single" w:sz="12" w:space="0" w:color="000000"/>
              <w:bottom w:val="single" w:sz="12" w:space="0" w:color="000000"/>
              <w:right w:val="single" w:sz="12" w:space="0" w:color="000000"/>
            </w:tcBorders>
          </w:tcPr>
          <w:p w14:paraId="6DADBFE9" w14:textId="77777777" w:rsidR="007A077E" w:rsidRPr="007A077E" w:rsidRDefault="007A077E" w:rsidP="007A077E">
            <w:pPr>
              <w:autoSpaceDE w:val="0"/>
              <w:autoSpaceDN w:val="0"/>
              <w:adjustRightInd w:val="0"/>
              <w:spacing w:after="0" w:line="360" w:lineRule="auto"/>
              <w:jc w:val="both"/>
              <w:rPr>
                <w:rFonts w:cs="Arial"/>
                <w:color w:val="000000"/>
                <w:szCs w:val="20"/>
              </w:rPr>
            </w:pPr>
            <w:r w:rsidRPr="007A077E">
              <w:rPr>
                <w:rFonts w:cs="Arial"/>
                <w:color w:val="000000"/>
                <w:szCs w:val="20"/>
              </w:rPr>
              <w:t>6.561</w:t>
            </w:r>
          </w:p>
        </w:tc>
        <w:tc>
          <w:tcPr>
            <w:tcW w:w="1949" w:type="dxa"/>
            <w:tcBorders>
              <w:top w:val="single" w:sz="12" w:space="0" w:color="000000"/>
              <w:left w:val="single" w:sz="12" w:space="0" w:color="000000"/>
              <w:bottom w:val="single" w:sz="12" w:space="0" w:color="000000"/>
              <w:right w:val="single" w:sz="12" w:space="0" w:color="000000"/>
            </w:tcBorders>
          </w:tcPr>
          <w:p w14:paraId="3DA84A8D" w14:textId="77777777" w:rsidR="007A077E" w:rsidRPr="007A077E" w:rsidRDefault="007A077E" w:rsidP="007A077E">
            <w:pPr>
              <w:autoSpaceDE w:val="0"/>
              <w:autoSpaceDN w:val="0"/>
              <w:adjustRightInd w:val="0"/>
              <w:spacing w:after="0" w:line="360" w:lineRule="auto"/>
              <w:jc w:val="both"/>
              <w:rPr>
                <w:rFonts w:cs="Arial"/>
                <w:color w:val="000000"/>
                <w:szCs w:val="20"/>
              </w:rPr>
            </w:pPr>
            <w:r w:rsidRPr="007A077E">
              <w:rPr>
                <w:rFonts w:cs="Arial"/>
                <w:color w:val="000000"/>
                <w:szCs w:val="20"/>
              </w:rPr>
              <w:t>95.743 (zajem)</w:t>
            </w:r>
          </w:p>
        </w:tc>
        <w:tc>
          <w:tcPr>
            <w:tcW w:w="1887" w:type="dxa"/>
            <w:tcBorders>
              <w:top w:val="single" w:sz="12" w:space="0" w:color="000000"/>
              <w:left w:val="single" w:sz="12" w:space="0" w:color="000000"/>
              <w:bottom w:val="single" w:sz="12" w:space="0" w:color="000000"/>
              <w:right w:val="single" w:sz="12" w:space="0" w:color="000000"/>
            </w:tcBorders>
          </w:tcPr>
          <w:p w14:paraId="7C40D544" w14:textId="77777777" w:rsidR="007A077E" w:rsidRPr="007A077E" w:rsidRDefault="007A077E" w:rsidP="007A077E">
            <w:pPr>
              <w:autoSpaceDE w:val="0"/>
              <w:autoSpaceDN w:val="0"/>
              <w:adjustRightInd w:val="0"/>
              <w:spacing w:after="0" w:line="360" w:lineRule="auto"/>
              <w:jc w:val="both"/>
              <w:rPr>
                <w:rFonts w:cs="Arial"/>
                <w:color w:val="000000"/>
                <w:szCs w:val="20"/>
              </w:rPr>
            </w:pPr>
            <w:r w:rsidRPr="007A077E">
              <w:rPr>
                <w:rFonts w:cs="Arial"/>
                <w:color w:val="000000"/>
                <w:szCs w:val="20"/>
              </w:rPr>
              <w:t>4.076.181,53</w:t>
            </w:r>
          </w:p>
        </w:tc>
      </w:tr>
      <w:tr w:rsidR="007A077E" w:rsidRPr="007A077E" w14:paraId="27E93D7C" w14:textId="77777777" w:rsidTr="007A077E">
        <w:trPr>
          <w:trHeight w:val="305"/>
        </w:trPr>
        <w:tc>
          <w:tcPr>
            <w:tcW w:w="3835" w:type="dxa"/>
            <w:tcBorders>
              <w:top w:val="single" w:sz="12" w:space="0" w:color="000000"/>
              <w:left w:val="single" w:sz="12" w:space="0" w:color="000000"/>
              <w:bottom w:val="single" w:sz="12" w:space="0" w:color="000000"/>
              <w:right w:val="single" w:sz="12" w:space="0" w:color="000000"/>
            </w:tcBorders>
            <w:shd w:val="clear" w:color="auto" w:fill="BFBF00"/>
          </w:tcPr>
          <w:p w14:paraId="3A4BE9F5" w14:textId="77777777" w:rsidR="007A077E" w:rsidRPr="007A077E" w:rsidRDefault="007A077E" w:rsidP="007A077E">
            <w:pPr>
              <w:autoSpaceDE w:val="0"/>
              <w:autoSpaceDN w:val="0"/>
              <w:adjustRightInd w:val="0"/>
              <w:spacing w:after="0" w:line="360" w:lineRule="auto"/>
              <w:jc w:val="both"/>
              <w:rPr>
                <w:rFonts w:cs="Arial"/>
                <w:b/>
                <w:bCs/>
                <w:color w:val="000000"/>
                <w:szCs w:val="20"/>
              </w:rPr>
            </w:pPr>
            <w:r w:rsidRPr="007A077E">
              <w:rPr>
                <w:rFonts w:cs="Arial"/>
                <w:b/>
                <w:bCs/>
                <w:color w:val="000000"/>
                <w:szCs w:val="20"/>
              </w:rPr>
              <w:t>Kumulativno 30.4.20209</w:t>
            </w:r>
          </w:p>
        </w:tc>
        <w:tc>
          <w:tcPr>
            <w:tcW w:w="1627" w:type="dxa"/>
            <w:tcBorders>
              <w:top w:val="single" w:sz="12" w:space="0" w:color="000000"/>
              <w:left w:val="single" w:sz="12" w:space="0" w:color="000000"/>
              <w:bottom w:val="single" w:sz="12" w:space="0" w:color="000000"/>
              <w:right w:val="single" w:sz="6" w:space="0" w:color="000000"/>
            </w:tcBorders>
            <w:shd w:val="clear" w:color="auto" w:fill="BFBF00"/>
          </w:tcPr>
          <w:p w14:paraId="0D5B3792" w14:textId="77777777" w:rsidR="007A077E" w:rsidRPr="007A077E" w:rsidRDefault="007A077E" w:rsidP="007A077E">
            <w:pPr>
              <w:autoSpaceDE w:val="0"/>
              <w:autoSpaceDN w:val="0"/>
              <w:adjustRightInd w:val="0"/>
              <w:spacing w:after="0" w:line="360" w:lineRule="auto"/>
              <w:jc w:val="both"/>
              <w:rPr>
                <w:rFonts w:cs="Arial"/>
                <w:b/>
                <w:bCs/>
                <w:color w:val="000000"/>
                <w:szCs w:val="20"/>
              </w:rPr>
            </w:pPr>
          </w:p>
        </w:tc>
        <w:tc>
          <w:tcPr>
            <w:tcW w:w="1949" w:type="dxa"/>
            <w:tcBorders>
              <w:top w:val="single" w:sz="12" w:space="0" w:color="000000"/>
              <w:left w:val="single" w:sz="6" w:space="0" w:color="000000"/>
              <w:bottom w:val="single" w:sz="12" w:space="0" w:color="000000"/>
              <w:right w:val="single" w:sz="12" w:space="0" w:color="000000"/>
            </w:tcBorders>
            <w:shd w:val="clear" w:color="auto" w:fill="BFBF00"/>
          </w:tcPr>
          <w:p w14:paraId="7F6F8E2A" w14:textId="77777777" w:rsidR="007A077E" w:rsidRPr="007A077E" w:rsidRDefault="007A077E" w:rsidP="007A077E">
            <w:pPr>
              <w:autoSpaceDE w:val="0"/>
              <w:autoSpaceDN w:val="0"/>
              <w:adjustRightInd w:val="0"/>
              <w:spacing w:after="0" w:line="360" w:lineRule="auto"/>
              <w:jc w:val="both"/>
              <w:rPr>
                <w:rFonts w:cs="Arial"/>
                <w:b/>
                <w:bCs/>
                <w:color w:val="000000"/>
                <w:szCs w:val="20"/>
              </w:rPr>
            </w:pPr>
          </w:p>
        </w:tc>
        <w:tc>
          <w:tcPr>
            <w:tcW w:w="1887" w:type="dxa"/>
            <w:tcBorders>
              <w:top w:val="single" w:sz="12" w:space="0" w:color="000000"/>
              <w:left w:val="single" w:sz="12" w:space="0" w:color="000000"/>
              <w:bottom w:val="single" w:sz="12" w:space="0" w:color="000000"/>
              <w:right w:val="single" w:sz="12" w:space="0" w:color="000000"/>
            </w:tcBorders>
            <w:shd w:val="clear" w:color="auto" w:fill="BFBF00"/>
          </w:tcPr>
          <w:p w14:paraId="75ADCEF3" w14:textId="77777777" w:rsidR="007A077E" w:rsidRPr="007A077E" w:rsidRDefault="007A077E" w:rsidP="007A077E">
            <w:pPr>
              <w:autoSpaceDE w:val="0"/>
              <w:autoSpaceDN w:val="0"/>
              <w:adjustRightInd w:val="0"/>
              <w:spacing w:after="0" w:line="360" w:lineRule="auto"/>
              <w:jc w:val="both"/>
              <w:rPr>
                <w:rFonts w:cs="Arial"/>
                <w:b/>
                <w:bCs/>
                <w:color w:val="000000"/>
                <w:szCs w:val="20"/>
              </w:rPr>
            </w:pPr>
            <w:r w:rsidRPr="007A077E">
              <w:rPr>
                <w:rFonts w:cs="Arial"/>
                <w:b/>
                <w:bCs/>
                <w:color w:val="000000"/>
                <w:szCs w:val="20"/>
              </w:rPr>
              <w:t>16.746.648,80</w:t>
            </w:r>
          </w:p>
        </w:tc>
      </w:tr>
    </w:tbl>
    <w:p w14:paraId="39E8859B" w14:textId="77777777" w:rsidR="007A077E" w:rsidRPr="007A077E" w:rsidRDefault="007A077E" w:rsidP="007A077E">
      <w:pPr>
        <w:autoSpaceDE w:val="0"/>
        <w:autoSpaceDN w:val="0"/>
        <w:adjustRightInd w:val="0"/>
        <w:spacing w:before="120" w:after="0" w:line="360" w:lineRule="auto"/>
        <w:jc w:val="both"/>
        <w:rPr>
          <w:rFonts w:cs="Arial"/>
          <w:color w:val="000000"/>
          <w:sz w:val="16"/>
          <w:szCs w:val="16"/>
        </w:rPr>
      </w:pPr>
      <w:r w:rsidRPr="007A077E">
        <w:rPr>
          <w:rFonts w:cs="Arial"/>
          <w:color w:val="000000"/>
          <w:sz w:val="16"/>
          <w:szCs w:val="16"/>
        </w:rPr>
        <w:t>Vir: MKGP-2020</w:t>
      </w:r>
    </w:p>
    <w:p w14:paraId="285A50B2" w14:textId="77777777" w:rsidR="007A077E" w:rsidRPr="007A077E" w:rsidRDefault="007A077E" w:rsidP="007A077E">
      <w:pPr>
        <w:spacing w:before="200" w:line="360" w:lineRule="auto"/>
        <w:jc w:val="both"/>
        <w:rPr>
          <w:rFonts w:eastAsia="Times New Roman" w:cs="Arial"/>
          <w:szCs w:val="20"/>
        </w:rPr>
      </w:pPr>
      <w:r w:rsidRPr="007A077E">
        <w:rPr>
          <w:rFonts w:eastAsia="Times New Roman" w:cs="Arial"/>
          <w:color w:val="000000"/>
          <w:kern w:val="24"/>
          <w:szCs w:val="20"/>
        </w:rPr>
        <w:t>Rejci so vključeni tudi v ukrepe KOPOP (plačilo kmetijsko-</w:t>
      </w:r>
      <w:proofErr w:type="spellStart"/>
      <w:r w:rsidRPr="007A077E">
        <w:rPr>
          <w:rFonts w:eastAsia="Times New Roman" w:cs="Arial"/>
          <w:color w:val="000000"/>
          <w:kern w:val="24"/>
          <w:szCs w:val="20"/>
        </w:rPr>
        <w:t>okoljskih</w:t>
      </w:r>
      <w:proofErr w:type="spellEnd"/>
      <w:r w:rsidRPr="007A077E">
        <w:rPr>
          <w:rFonts w:eastAsia="Times New Roman" w:cs="Arial"/>
          <w:color w:val="000000"/>
          <w:kern w:val="24"/>
          <w:szCs w:val="20"/>
        </w:rPr>
        <w:t xml:space="preserve">-podnebnih obveznosti) in OMD plačila (plačila območjem z naravnimi ali drugimi posebnimi omejitvami). </w:t>
      </w:r>
      <w:r w:rsidRPr="007A077E">
        <w:rPr>
          <w:rFonts w:eastAsia="Times New Roman" w:cs="Arial"/>
          <w:szCs w:val="20"/>
        </w:rPr>
        <w:t xml:space="preserve">V obdobju pandemije oziroma izrednih razmer zaradi Covid-19 so slovenski rejci prejeli podporo za izgubljen dohodek za govedo, ki je bilo zaklano, in sicer v višini 100 EUR/GVŽ. </w:t>
      </w:r>
    </w:p>
    <w:p w14:paraId="2BD677C9" w14:textId="77777777" w:rsidR="007A077E" w:rsidRPr="007A077E" w:rsidRDefault="007A077E" w:rsidP="007A077E">
      <w:pPr>
        <w:spacing w:before="200" w:line="360" w:lineRule="auto"/>
        <w:jc w:val="both"/>
        <w:rPr>
          <w:rFonts w:cs="Arial"/>
          <w:szCs w:val="20"/>
        </w:rPr>
      </w:pPr>
      <w:r w:rsidRPr="007A077E">
        <w:rPr>
          <w:rFonts w:cs="Arial"/>
          <w:szCs w:val="20"/>
        </w:rPr>
        <w:t xml:space="preserve">Področje govedoreje je vključeno v dejavnosti javne službe strokovnih nalog v živinoreji. </w:t>
      </w:r>
      <w:r w:rsidRPr="007A077E" w:rsidDel="00B56BA6">
        <w:rPr>
          <w:rFonts w:cs="Arial"/>
          <w:szCs w:val="20"/>
        </w:rPr>
        <w:t xml:space="preserve">V </w:t>
      </w:r>
      <w:r w:rsidRPr="007A077E">
        <w:rPr>
          <w:rFonts w:cs="Arial"/>
          <w:szCs w:val="20"/>
        </w:rPr>
        <w:t>to</w:t>
      </w:r>
      <w:r w:rsidRPr="007A077E" w:rsidDel="00B56BA6">
        <w:rPr>
          <w:rFonts w:cs="Arial"/>
          <w:szCs w:val="20"/>
        </w:rPr>
        <w:t xml:space="preserve"> službo </w:t>
      </w:r>
      <w:r w:rsidRPr="007A077E">
        <w:rPr>
          <w:rFonts w:cs="Arial"/>
          <w:szCs w:val="20"/>
        </w:rPr>
        <w:t xml:space="preserve">so </w:t>
      </w:r>
      <w:r w:rsidRPr="007A077E" w:rsidDel="00B56BA6">
        <w:rPr>
          <w:rFonts w:cs="Arial"/>
          <w:szCs w:val="20"/>
        </w:rPr>
        <w:t xml:space="preserve">vključene: lisasta, rjava, </w:t>
      </w:r>
      <w:proofErr w:type="spellStart"/>
      <w:r w:rsidRPr="007A077E" w:rsidDel="00B56BA6">
        <w:rPr>
          <w:rFonts w:cs="Arial"/>
          <w:szCs w:val="20"/>
        </w:rPr>
        <w:t>črnobela</w:t>
      </w:r>
      <w:proofErr w:type="spellEnd"/>
      <w:r w:rsidRPr="007A077E" w:rsidDel="00B56BA6">
        <w:rPr>
          <w:rFonts w:cs="Arial"/>
          <w:szCs w:val="20"/>
        </w:rPr>
        <w:t xml:space="preserve">, limuzin, </w:t>
      </w:r>
      <w:proofErr w:type="spellStart"/>
      <w:r w:rsidRPr="007A077E" w:rsidDel="00B56BA6">
        <w:rPr>
          <w:rFonts w:cs="Arial"/>
          <w:szCs w:val="20"/>
        </w:rPr>
        <w:t>šarole</w:t>
      </w:r>
      <w:proofErr w:type="spellEnd"/>
      <w:r w:rsidRPr="007A077E" w:rsidDel="00B56BA6">
        <w:rPr>
          <w:rFonts w:cs="Arial"/>
          <w:szCs w:val="20"/>
        </w:rPr>
        <w:t xml:space="preserve"> pasma in </w:t>
      </w:r>
      <w:proofErr w:type="spellStart"/>
      <w:r w:rsidRPr="007A077E" w:rsidDel="00B56BA6">
        <w:rPr>
          <w:rFonts w:cs="Arial"/>
          <w:szCs w:val="20"/>
        </w:rPr>
        <w:t>cikasto</w:t>
      </w:r>
      <w:proofErr w:type="spellEnd"/>
      <w:r w:rsidRPr="007A077E" w:rsidDel="00B56BA6">
        <w:rPr>
          <w:rFonts w:cs="Arial"/>
          <w:szCs w:val="20"/>
        </w:rPr>
        <w:t xml:space="preserve"> govedo.</w:t>
      </w:r>
      <w:r w:rsidRPr="007A077E">
        <w:rPr>
          <w:rFonts w:cs="Arial"/>
          <w:szCs w:val="20"/>
        </w:rPr>
        <w:t xml:space="preserve"> Izpostaviti velja nalogo kontrolo prireje, ki se že desetletja izvaja na kmetijskih gospodarstvih s pomočjo izvajalcev javne službe. Ti </w:t>
      </w:r>
      <w:r w:rsidRPr="007A077E">
        <w:rPr>
          <w:rFonts w:cs="Arial"/>
          <w:color w:val="000000" w:themeColor="text1"/>
          <w:szCs w:val="20"/>
        </w:rPr>
        <w:t xml:space="preserve">posredujejo rejcem rezultate preizkusov, analiz in ocenjevanja plemenskih vrednosti, ki jih uporabljajo pri svojem delu, </w:t>
      </w:r>
      <w:r w:rsidRPr="007A077E">
        <w:rPr>
          <w:rFonts w:cs="Arial"/>
          <w:szCs w:val="20"/>
        </w:rPr>
        <w:t xml:space="preserve">pripravljajo in javno objavljajo različne analize in publikacije, kar zagotavlja promocijo najboljših plemenskih živali, rejskega in selekcijskega dela ter širjenje strokovnega znanja na področju živinoreje. </w:t>
      </w:r>
      <w:r w:rsidRPr="007A077E">
        <w:rPr>
          <w:rFonts w:eastAsia="Calibri" w:cs="Arial"/>
          <w:szCs w:val="20"/>
        </w:rPr>
        <w:t>V kontrolo prireje mleka je bilo leta 2019 vključenih 3.231 kmetijskih gospodarstev, ki so v povprečju redila 24,5 molznic. Na kmetijskih gospodarstvih s kravami dojiljami so v povprečju 3,7 krave, v kontroli prireje mesa pa 24,3 krav/KMG.</w:t>
      </w:r>
      <w:r w:rsidRPr="007A077E">
        <w:rPr>
          <w:rFonts w:cs="Arial"/>
          <w:szCs w:val="20"/>
        </w:rPr>
        <w:t xml:space="preserve"> </w:t>
      </w:r>
    </w:p>
    <w:p w14:paraId="5DBE198F" w14:textId="77777777" w:rsidR="007A077E" w:rsidRPr="007A077E" w:rsidRDefault="007A077E" w:rsidP="007A077E">
      <w:pPr>
        <w:spacing w:before="200" w:line="360" w:lineRule="auto"/>
        <w:jc w:val="both"/>
        <w:rPr>
          <w:rFonts w:eastAsia="TimesNewRoman" w:cs="Arial"/>
          <w:szCs w:val="20"/>
        </w:rPr>
      </w:pPr>
      <w:r w:rsidRPr="007A077E">
        <w:rPr>
          <w:rFonts w:eastAsia="TimesNewRoman" w:cs="Arial"/>
          <w:szCs w:val="20"/>
        </w:rPr>
        <w:t xml:space="preserve">V okviru javne službe nalog genske banke v živinoreji se varuje/ohranja edina avtohtona pasma goveda: </w:t>
      </w:r>
      <w:proofErr w:type="spellStart"/>
      <w:r w:rsidRPr="007A077E">
        <w:rPr>
          <w:rFonts w:eastAsia="TimesNewRoman" w:cs="Arial"/>
          <w:szCs w:val="20"/>
        </w:rPr>
        <w:t>cikasto</w:t>
      </w:r>
      <w:proofErr w:type="spellEnd"/>
      <w:r w:rsidRPr="007A077E">
        <w:rPr>
          <w:rFonts w:eastAsia="TimesNewRoman" w:cs="Arial"/>
          <w:szCs w:val="20"/>
        </w:rPr>
        <w:t xml:space="preserve"> govedo ter dve tradicionalni pasmi: rjavo in lisasto govedo. V letu 2019 se je Register pasem z zootehniško oceno vodil za naslednje pasme goveda: </w:t>
      </w:r>
      <w:proofErr w:type="spellStart"/>
      <w:r w:rsidRPr="007A077E">
        <w:rPr>
          <w:rFonts w:eastAsia="TimesNewRoman" w:cs="Arial"/>
          <w:szCs w:val="20"/>
        </w:rPr>
        <w:t>cikasto</w:t>
      </w:r>
      <w:proofErr w:type="spellEnd"/>
      <w:r w:rsidRPr="007A077E">
        <w:rPr>
          <w:rFonts w:eastAsia="TimesNewRoman" w:cs="Arial"/>
          <w:szCs w:val="20"/>
        </w:rPr>
        <w:t xml:space="preserve">, rjavo, lisasto, črno-belo, </w:t>
      </w:r>
      <w:proofErr w:type="spellStart"/>
      <w:r w:rsidRPr="007A077E">
        <w:rPr>
          <w:rFonts w:eastAsia="TimesNewRoman" w:cs="Arial"/>
          <w:szCs w:val="20"/>
        </w:rPr>
        <w:t>šarole</w:t>
      </w:r>
      <w:proofErr w:type="spellEnd"/>
      <w:r w:rsidRPr="007A077E">
        <w:rPr>
          <w:rFonts w:eastAsia="TimesNewRoman" w:cs="Arial"/>
          <w:szCs w:val="20"/>
        </w:rPr>
        <w:t xml:space="preserve">, limuzin, </w:t>
      </w:r>
      <w:r w:rsidRPr="007A077E">
        <w:rPr>
          <w:rFonts w:eastAsia="TimesNewRoman" w:cs="Arial"/>
          <w:szCs w:val="20"/>
        </w:rPr>
        <w:lastRenderedPageBreak/>
        <w:t xml:space="preserve">škotsko </w:t>
      </w:r>
      <w:proofErr w:type="spellStart"/>
      <w:r w:rsidRPr="007A077E">
        <w:rPr>
          <w:rFonts w:eastAsia="TimesNewRoman" w:cs="Arial"/>
          <w:szCs w:val="20"/>
        </w:rPr>
        <w:t>višavsko</w:t>
      </w:r>
      <w:proofErr w:type="spellEnd"/>
      <w:r w:rsidRPr="007A077E">
        <w:rPr>
          <w:rFonts w:eastAsia="TimesNewRoman" w:cs="Arial"/>
          <w:szCs w:val="20"/>
        </w:rPr>
        <w:t xml:space="preserve">, istrsko, rdeči </w:t>
      </w:r>
      <w:proofErr w:type="spellStart"/>
      <w:r w:rsidRPr="007A077E">
        <w:rPr>
          <w:rFonts w:eastAsia="TimesNewRoman" w:cs="Arial"/>
          <w:szCs w:val="20"/>
        </w:rPr>
        <w:t>angus</w:t>
      </w:r>
      <w:proofErr w:type="spellEnd"/>
      <w:r w:rsidRPr="007A077E">
        <w:rPr>
          <w:rFonts w:eastAsia="TimesNewRoman" w:cs="Arial"/>
          <w:szCs w:val="20"/>
        </w:rPr>
        <w:t xml:space="preserve">, nemški </w:t>
      </w:r>
      <w:proofErr w:type="spellStart"/>
      <w:r w:rsidRPr="007A077E">
        <w:rPr>
          <w:rFonts w:eastAsia="TimesNewRoman" w:cs="Arial"/>
          <w:szCs w:val="20"/>
        </w:rPr>
        <w:t>angus</w:t>
      </w:r>
      <w:proofErr w:type="spellEnd"/>
      <w:r w:rsidRPr="007A077E">
        <w:rPr>
          <w:rFonts w:eastAsia="TimesNewRoman" w:cs="Arial"/>
          <w:szCs w:val="20"/>
        </w:rPr>
        <w:t xml:space="preserve">, </w:t>
      </w:r>
      <w:proofErr w:type="spellStart"/>
      <w:r w:rsidRPr="007A077E">
        <w:rPr>
          <w:rFonts w:eastAsia="TimesNewRoman" w:cs="Arial"/>
          <w:szCs w:val="20"/>
        </w:rPr>
        <w:t>aberdeen</w:t>
      </w:r>
      <w:proofErr w:type="spellEnd"/>
      <w:r w:rsidRPr="007A077E">
        <w:rPr>
          <w:rFonts w:eastAsia="TimesNewRoman" w:cs="Arial"/>
          <w:szCs w:val="20"/>
        </w:rPr>
        <w:t xml:space="preserve"> </w:t>
      </w:r>
      <w:proofErr w:type="spellStart"/>
      <w:r w:rsidRPr="007A077E">
        <w:rPr>
          <w:rFonts w:eastAsia="TimesNewRoman" w:cs="Arial"/>
          <w:szCs w:val="20"/>
        </w:rPr>
        <w:t>angus</w:t>
      </w:r>
      <w:proofErr w:type="spellEnd"/>
      <w:r w:rsidRPr="007A077E">
        <w:rPr>
          <w:rFonts w:eastAsia="TimesNewRoman" w:cs="Arial"/>
          <w:szCs w:val="20"/>
        </w:rPr>
        <w:t xml:space="preserve"> in </w:t>
      </w:r>
      <w:proofErr w:type="spellStart"/>
      <w:r w:rsidRPr="007A077E">
        <w:rPr>
          <w:rFonts w:eastAsia="TimesNewRoman" w:cs="Arial"/>
          <w:szCs w:val="20"/>
        </w:rPr>
        <w:t>galloway</w:t>
      </w:r>
      <w:proofErr w:type="spellEnd"/>
      <w:r w:rsidRPr="007A077E">
        <w:rPr>
          <w:rFonts w:eastAsia="TimesNewRoman" w:cs="Arial"/>
          <w:szCs w:val="20"/>
        </w:rPr>
        <w:t xml:space="preserve">. </w:t>
      </w:r>
      <w:r w:rsidRPr="007A077E">
        <w:rPr>
          <w:rFonts w:cs="Arial"/>
          <w:szCs w:val="20"/>
        </w:rPr>
        <w:t>Javna služba opravlja naloge na področjih spremljanja stanja in karakterizacije pasem, mehanizmov trajnostne rabe in razvoja, oblik ohranjanja živalskih genskih virov ter politik upravljanja živalskih genskih virov.</w:t>
      </w:r>
    </w:p>
    <w:p w14:paraId="60E75DFC" w14:textId="77777777" w:rsidR="007A077E" w:rsidRPr="007A077E" w:rsidRDefault="007A077E" w:rsidP="007A077E">
      <w:pPr>
        <w:spacing w:before="200" w:line="360" w:lineRule="auto"/>
        <w:jc w:val="both"/>
        <w:rPr>
          <w:rFonts w:eastAsia="TimesNewRoman" w:cs="Arial"/>
          <w:szCs w:val="20"/>
        </w:rPr>
      </w:pPr>
      <w:r w:rsidRPr="007A077E">
        <w:rPr>
          <w:rFonts w:cs="Arial"/>
          <w:szCs w:val="20"/>
        </w:rPr>
        <w:t>Rejcem govedi je svetovanje zagotovljeno preko javne službe kmetijskega svetovanja, ki na primer svetuje tudi na področjih dobrobiti živali, sestave krmnega obroka, rabe in skladiščenja gnojil, pri gradnji objektov in pri številnih drugih tehnoloških vprašanjih.</w:t>
      </w:r>
    </w:p>
    <w:p w14:paraId="270D80FD" w14:textId="77777777" w:rsidR="007A077E" w:rsidRPr="007A077E" w:rsidRDefault="007A077E" w:rsidP="007A077E">
      <w:pPr>
        <w:spacing w:before="200" w:after="0" w:line="360" w:lineRule="auto"/>
        <w:jc w:val="both"/>
        <w:rPr>
          <w:rFonts w:eastAsia="TimesNewRoman" w:cs="Arial"/>
          <w:szCs w:val="20"/>
        </w:rPr>
      </w:pPr>
      <w:r w:rsidRPr="007A077E">
        <w:rPr>
          <w:rFonts w:cs="Arial"/>
          <w:szCs w:val="20"/>
        </w:rPr>
        <w:t xml:space="preserve">Med raziskovalnimi nalogami, ki jih izvajajo slovenski raziskovalci, velja izpostaviti ciljne raziskovalne projekte. V zadnjih desetih letih so bili ti usmerjeni v </w:t>
      </w:r>
      <w:proofErr w:type="spellStart"/>
      <w:r w:rsidRPr="007A077E">
        <w:rPr>
          <w:rFonts w:eastAsia="Times New Roman" w:cs="Arial"/>
          <w:szCs w:val="20"/>
        </w:rPr>
        <w:t>genomsko</w:t>
      </w:r>
      <w:proofErr w:type="spellEnd"/>
      <w:r w:rsidRPr="007A077E">
        <w:rPr>
          <w:rFonts w:eastAsia="Times New Roman" w:cs="Arial"/>
          <w:szCs w:val="20"/>
        </w:rPr>
        <w:t xml:space="preserve"> selekcijo na primeru rjave pasme govedi, </w:t>
      </w:r>
      <w:proofErr w:type="spellStart"/>
      <w:r w:rsidRPr="007A077E">
        <w:rPr>
          <w:rFonts w:eastAsia="Times New Roman" w:cs="Arial"/>
          <w:szCs w:val="20"/>
        </w:rPr>
        <w:t>optimiranje</w:t>
      </w:r>
      <w:proofErr w:type="spellEnd"/>
      <w:r w:rsidRPr="007A077E">
        <w:rPr>
          <w:rFonts w:eastAsia="Times New Roman" w:cs="Arial"/>
          <w:szCs w:val="20"/>
        </w:rPr>
        <w:t xml:space="preserve"> prehrane krav molznic, v tehnološke rešitve za boljše izkoriščanje lucerne v prehrani prežvekovalcev, tehnološko ekonomske modele prireje govejega mesa na travinju, ohranjanje avtohtonih pasem domačih živali, </w:t>
      </w:r>
      <w:proofErr w:type="spellStart"/>
      <w:r w:rsidRPr="007A077E">
        <w:rPr>
          <w:rFonts w:eastAsia="Times New Roman" w:cs="Arial"/>
          <w:szCs w:val="20"/>
        </w:rPr>
        <w:t>genomsko</w:t>
      </w:r>
      <w:proofErr w:type="spellEnd"/>
      <w:r w:rsidRPr="007A077E">
        <w:rPr>
          <w:rFonts w:eastAsia="Times New Roman" w:cs="Arial"/>
          <w:szCs w:val="20"/>
        </w:rPr>
        <w:t xml:space="preserve"> selekcijo in </w:t>
      </w:r>
      <w:proofErr w:type="spellStart"/>
      <w:r w:rsidRPr="007A077E">
        <w:rPr>
          <w:rFonts w:eastAsia="Times New Roman" w:cs="Arial"/>
          <w:szCs w:val="20"/>
        </w:rPr>
        <w:t>genotipizacijo</w:t>
      </w:r>
      <w:proofErr w:type="spellEnd"/>
      <w:r w:rsidRPr="007A077E">
        <w:rPr>
          <w:rFonts w:eastAsia="Times New Roman" w:cs="Arial"/>
          <w:szCs w:val="20"/>
        </w:rPr>
        <w:t xml:space="preserve"> pri mlečnih pasmah govedi v Sloveniji, obvladovanje </w:t>
      </w:r>
      <w:proofErr w:type="spellStart"/>
      <w:r w:rsidRPr="007A077E">
        <w:rPr>
          <w:rFonts w:eastAsia="Times New Roman" w:cs="Arial"/>
          <w:szCs w:val="20"/>
        </w:rPr>
        <w:t>paratuberkuloze</w:t>
      </w:r>
      <w:proofErr w:type="spellEnd"/>
      <w:r w:rsidRPr="007A077E">
        <w:rPr>
          <w:rFonts w:eastAsia="Times New Roman" w:cs="Arial"/>
          <w:szCs w:val="20"/>
        </w:rPr>
        <w:t xml:space="preserve"> v rejah krav molznic in dvig konkurenčnosti slovenske govedoreje. Poleg teh so bili raziskovalci vključeni v ERA NET projekta na področju zdravstvenega menedžmenta pri izvirnih kombiniranih pasmah goveda in ekonomsko zanimivih sistemov proste reje živali. </w:t>
      </w:r>
    </w:p>
    <w:p w14:paraId="4C1A27BA" w14:textId="77777777" w:rsidR="007A077E" w:rsidRPr="007A077E" w:rsidRDefault="007A077E" w:rsidP="007A077E">
      <w:pPr>
        <w:autoSpaceDE w:val="0"/>
        <w:autoSpaceDN w:val="0"/>
        <w:adjustRightInd w:val="0"/>
        <w:spacing w:before="200" w:after="0" w:line="360" w:lineRule="auto"/>
        <w:jc w:val="both"/>
        <w:rPr>
          <w:rFonts w:eastAsia="Times New Roman" w:cs="Arial"/>
          <w:color w:val="000000"/>
          <w:szCs w:val="20"/>
        </w:rPr>
      </w:pPr>
      <w:r w:rsidRPr="007A077E">
        <w:rPr>
          <w:rFonts w:eastAsia="Times New Roman" w:cs="Arial"/>
          <w:color w:val="000000"/>
          <w:szCs w:val="20"/>
        </w:rPr>
        <w:t>Nadalje so bili iz PRP 2014-2020 v sklopu EIP za področje govedoreje odobreni projekti, ki so se nanašali na:</w:t>
      </w:r>
    </w:p>
    <w:p w14:paraId="2272DECB" w14:textId="77777777" w:rsidR="007A077E" w:rsidRPr="007A077E" w:rsidRDefault="007A077E" w:rsidP="000A650F">
      <w:pPr>
        <w:pStyle w:val="Odstavekseznama"/>
        <w:numPr>
          <w:ilvl w:val="0"/>
          <w:numId w:val="34"/>
        </w:numPr>
        <w:autoSpaceDE w:val="0"/>
        <w:autoSpaceDN w:val="0"/>
        <w:adjustRightInd w:val="0"/>
        <w:spacing w:after="0" w:line="360" w:lineRule="auto"/>
        <w:contextualSpacing w:val="0"/>
        <w:jc w:val="both"/>
        <w:rPr>
          <w:rFonts w:eastAsia="Times New Roman" w:cs="Arial"/>
          <w:color w:val="000000"/>
          <w:szCs w:val="20"/>
        </w:rPr>
      </w:pPr>
      <w:r w:rsidRPr="007A077E">
        <w:rPr>
          <w:rFonts w:eastAsia="Times New Roman" w:cs="Arial"/>
          <w:color w:val="000000"/>
          <w:szCs w:val="20"/>
        </w:rPr>
        <w:t xml:space="preserve">razvoj tehnologij pridelave in predelave z beljakovinami bogatih rastlin pri zrnatih stročnicah, </w:t>
      </w:r>
    </w:p>
    <w:p w14:paraId="2BD9CB84" w14:textId="77777777" w:rsidR="007A077E" w:rsidRPr="007A077E" w:rsidRDefault="007A077E" w:rsidP="000A650F">
      <w:pPr>
        <w:pStyle w:val="Odstavekseznama"/>
        <w:numPr>
          <w:ilvl w:val="0"/>
          <w:numId w:val="34"/>
        </w:numPr>
        <w:autoSpaceDE w:val="0"/>
        <w:autoSpaceDN w:val="0"/>
        <w:adjustRightInd w:val="0"/>
        <w:spacing w:after="0" w:line="360" w:lineRule="auto"/>
        <w:contextualSpacing w:val="0"/>
        <w:jc w:val="both"/>
        <w:rPr>
          <w:rFonts w:eastAsia="Times New Roman" w:cs="Arial"/>
          <w:color w:val="000000"/>
          <w:szCs w:val="20"/>
        </w:rPr>
      </w:pPr>
      <w:r w:rsidRPr="007A077E">
        <w:rPr>
          <w:rFonts w:eastAsia="Times New Roman" w:cs="Arial"/>
          <w:color w:val="000000"/>
          <w:szCs w:val="20"/>
        </w:rPr>
        <w:t>modele lokalne oskrbe na  primeru senenega mesa in mleka,</w:t>
      </w:r>
    </w:p>
    <w:p w14:paraId="5D616284" w14:textId="77777777" w:rsidR="007A077E" w:rsidRPr="007A077E" w:rsidRDefault="007A077E" w:rsidP="000A650F">
      <w:pPr>
        <w:pStyle w:val="Odstavekseznama"/>
        <w:numPr>
          <w:ilvl w:val="0"/>
          <w:numId w:val="34"/>
        </w:numPr>
        <w:autoSpaceDE w:val="0"/>
        <w:autoSpaceDN w:val="0"/>
        <w:adjustRightInd w:val="0"/>
        <w:spacing w:after="0" w:line="360" w:lineRule="auto"/>
        <w:contextualSpacing w:val="0"/>
        <w:jc w:val="both"/>
        <w:rPr>
          <w:rFonts w:eastAsia="Times New Roman" w:cs="Arial"/>
          <w:color w:val="000000"/>
          <w:szCs w:val="20"/>
        </w:rPr>
      </w:pPr>
      <w:r w:rsidRPr="007A077E">
        <w:rPr>
          <w:rFonts w:eastAsia="Times New Roman" w:cs="Arial"/>
          <w:color w:val="000000"/>
          <w:szCs w:val="20"/>
        </w:rPr>
        <w:t>rejo različnih pasem govedi za meso in izdelke vrhunske kakovosti,</w:t>
      </w:r>
    </w:p>
    <w:p w14:paraId="7C0D3A71" w14:textId="77777777" w:rsidR="007A077E" w:rsidRPr="007A077E" w:rsidRDefault="007A077E" w:rsidP="000A650F">
      <w:pPr>
        <w:pStyle w:val="Odstavekseznama"/>
        <w:numPr>
          <w:ilvl w:val="0"/>
          <w:numId w:val="34"/>
        </w:numPr>
        <w:autoSpaceDE w:val="0"/>
        <w:autoSpaceDN w:val="0"/>
        <w:adjustRightInd w:val="0"/>
        <w:spacing w:after="0" w:line="360" w:lineRule="auto"/>
        <w:contextualSpacing w:val="0"/>
        <w:jc w:val="both"/>
        <w:rPr>
          <w:rFonts w:eastAsia="Times New Roman" w:cs="Arial"/>
          <w:color w:val="000000"/>
          <w:szCs w:val="20"/>
        </w:rPr>
      </w:pPr>
      <w:r w:rsidRPr="007A077E">
        <w:rPr>
          <w:rFonts w:eastAsia="Times New Roman" w:cs="Arial"/>
          <w:color w:val="000000"/>
          <w:szCs w:val="20"/>
        </w:rPr>
        <w:t>blaženje in prilagajanje na podnebne spremembe na kmetijskem gospodarstvu z izboljšanjem tehnologije pridelave in konzerviranja z beljakovinami bogate krme,</w:t>
      </w:r>
    </w:p>
    <w:p w14:paraId="2287EEBF" w14:textId="77777777" w:rsidR="007A077E" w:rsidRPr="007A077E" w:rsidRDefault="007A077E" w:rsidP="000A650F">
      <w:pPr>
        <w:pStyle w:val="Odstavekseznama"/>
        <w:numPr>
          <w:ilvl w:val="0"/>
          <w:numId w:val="34"/>
        </w:numPr>
        <w:autoSpaceDE w:val="0"/>
        <w:autoSpaceDN w:val="0"/>
        <w:adjustRightInd w:val="0"/>
        <w:spacing w:after="0" w:line="360" w:lineRule="auto"/>
        <w:contextualSpacing w:val="0"/>
        <w:jc w:val="both"/>
        <w:rPr>
          <w:rFonts w:eastAsia="Times New Roman" w:cs="Arial"/>
          <w:color w:val="000000"/>
          <w:szCs w:val="20"/>
        </w:rPr>
      </w:pPr>
      <w:proofErr w:type="spellStart"/>
      <w:r w:rsidRPr="007A077E">
        <w:rPr>
          <w:rFonts w:eastAsia="Times New Roman" w:cs="Arial"/>
          <w:color w:val="000000"/>
          <w:szCs w:val="20"/>
        </w:rPr>
        <w:t>genomsko</w:t>
      </w:r>
      <w:proofErr w:type="spellEnd"/>
      <w:r w:rsidRPr="007A077E">
        <w:rPr>
          <w:rFonts w:eastAsia="Times New Roman" w:cs="Arial"/>
          <w:color w:val="000000"/>
          <w:szCs w:val="20"/>
        </w:rPr>
        <w:t xml:space="preserve"> selekcijo z domačim obračunom </w:t>
      </w:r>
      <w:proofErr w:type="spellStart"/>
      <w:r w:rsidRPr="007A077E">
        <w:rPr>
          <w:rFonts w:eastAsia="Times New Roman" w:cs="Arial"/>
          <w:color w:val="000000"/>
          <w:szCs w:val="20"/>
        </w:rPr>
        <w:t>genomskih</w:t>
      </w:r>
      <w:proofErr w:type="spellEnd"/>
      <w:r w:rsidRPr="007A077E">
        <w:rPr>
          <w:rFonts w:eastAsia="Times New Roman" w:cs="Arial"/>
          <w:color w:val="000000"/>
          <w:szCs w:val="20"/>
        </w:rPr>
        <w:t xml:space="preserve"> plemenskih vrednosti za slovensko rjavo in črno-belo pasmo govedi ter testiranje in selekcija govedi na genotip A2 beta kazeina, </w:t>
      </w:r>
    </w:p>
    <w:p w14:paraId="53DEEC3A" w14:textId="77777777" w:rsidR="007A077E" w:rsidRPr="007A077E" w:rsidRDefault="007A077E" w:rsidP="000A650F">
      <w:pPr>
        <w:pStyle w:val="Odstavekseznama"/>
        <w:numPr>
          <w:ilvl w:val="0"/>
          <w:numId w:val="34"/>
        </w:numPr>
        <w:autoSpaceDE w:val="0"/>
        <w:autoSpaceDN w:val="0"/>
        <w:adjustRightInd w:val="0"/>
        <w:spacing w:after="0" w:line="360" w:lineRule="auto"/>
        <w:contextualSpacing w:val="0"/>
        <w:jc w:val="both"/>
        <w:rPr>
          <w:rFonts w:eastAsia="Times New Roman" w:cs="Arial"/>
          <w:color w:val="000000"/>
          <w:szCs w:val="20"/>
        </w:rPr>
      </w:pPr>
      <w:r w:rsidRPr="007A077E">
        <w:rPr>
          <w:rFonts w:eastAsia="Times New Roman" w:cs="Arial"/>
          <w:color w:val="000000"/>
          <w:szCs w:val="20"/>
        </w:rPr>
        <w:t>pridelavo in predelavo z beljakovinami bogatih rastlin –travinja in metuljnic,</w:t>
      </w:r>
    </w:p>
    <w:p w14:paraId="2A195AEB" w14:textId="77777777" w:rsidR="007A077E" w:rsidRPr="007A077E" w:rsidRDefault="007A077E" w:rsidP="000A650F">
      <w:pPr>
        <w:pStyle w:val="Odstavekseznama"/>
        <w:numPr>
          <w:ilvl w:val="0"/>
          <w:numId w:val="34"/>
        </w:numPr>
        <w:autoSpaceDE w:val="0"/>
        <w:autoSpaceDN w:val="0"/>
        <w:adjustRightInd w:val="0"/>
        <w:spacing w:after="0" w:line="360" w:lineRule="auto"/>
        <w:contextualSpacing w:val="0"/>
        <w:jc w:val="both"/>
        <w:rPr>
          <w:rFonts w:eastAsia="Times New Roman" w:cs="Arial"/>
          <w:color w:val="000000"/>
          <w:szCs w:val="20"/>
        </w:rPr>
      </w:pPr>
      <w:r w:rsidRPr="007A077E">
        <w:rPr>
          <w:rFonts w:eastAsia="Times New Roman" w:cs="Arial"/>
          <w:color w:val="000000"/>
          <w:szCs w:val="20"/>
        </w:rPr>
        <w:t>trajnostno rabo tal in zagotavljanje rodovitnosti tal na primeru govedorejske kmetije.</w:t>
      </w:r>
    </w:p>
    <w:p w14:paraId="3C29D0B1" w14:textId="05A5F288" w:rsidR="00CF3CC6" w:rsidRPr="00CF3CC6" w:rsidRDefault="007A077E" w:rsidP="007A077E">
      <w:pPr>
        <w:spacing w:before="200" w:line="360" w:lineRule="auto"/>
        <w:jc w:val="both"/>
        <w:rPr>
          <w:rFonts w:eastAsia="Calibri" w:cs="Arial"/>
          <w:b/>
          <w:szCs w:val="20"/>
        </w:rPr>
      </w:pPr>
      <w:r w:rsidRPr="007A077E">
        <w:rPr>
          <w:rFonts w:eastAsia="Times New Roman" w:cs="Arial"/>
          <w:color w:val="000000"/>
          <w:szCs w:val="20"/>
        </w:rPr>
        <w:t>Vključevanje večjega števila partnerjev in tudi rejcev govedi v EIP projekte zagotavlja hitrejši prenos znanja v prakso.</w:t>
      </w:r>
    </w:p>
    <w:p w14:paraId="1B357010" w14:textId="416030C0" w:rsidR="00CF3CC6" w:rsidRPr="00026BDF" w:rsidRDefault="00CF3CC6" w:rsidP="00026BDF">
      <w:pPr>
        <w:pStyle w:val="Naslov3"/>
        <w:rPr>
          <w:rFonts w:eastAsia="Calibri"/>
        </w:rPr>
      </w:pPr>
      <w:bookmarkStart w:id="147" w:name="_Toc55912201"/>
      <w:r w:rsidRPr="00026BDF">
        <w:rPr>
          <w:rFonts w:eastAsia="Calibri"/>
        </w:rPr>
        <w:t>Ključne ugotovitve</w:t>
      </w:r>
      <w:bookmarkEnd w:id="147"/>
    </w:p>
    <w:p w14:paraId="3824E426" w14:textId="77777777" w:rsidR="00D91539" w:rsidRPr="00282AA8" w:rsidRDefault="00D91539" w:rsidP="000A650F">
      <w:pPr>
        <w:numPr>
          <w:ilvl w:val="0"/>
          <w:numId w:val="35"/>
        </w:numPr>
        <w:tabs>
          <w:tab w:val="left" w:pos="2160"/>
        </w:tabs>
        <w:spacing w:before="120" w:after="120" w:line="360" w:lineRule="auto"/>
        <w:ind w:left="357" w:hanging="357"/>
        <w:jc w:val="both"/>
        <w:rPr>
          <w:rFonts w:eastAsia="Calibri" w:cs="Arial"/>
          <w:szCs w:val="20"/>
          <w:lang w:eastAsia="en-GB"/>
        </w:rPr>
      </w:pPr>
      <w:r w:rsidRPr="00282AA8">
        <w:rPr>
          <w:rFonts w:eastAsia="Calibri" w:cs="Arial"/>
          <w:szCs w:val="20"/>
          <w:lang w:eastAsia="en-GB"/>
        </w:rPr>
        <w:t>Glede na analizo stanja v govedoreji, sta v povezavi z neposrednimi in OMD plačili, obseg proizvodnje in dohodkovna vzdržnost relativno stabilna</w:t>
      </w:r>
      <w:r>
        <w:rPr>
          <w:rFonts w:eastAsia="Calibri" w:cs="Arial"/>
          <w:szCs w:val="20"/>
          <w:lang w:eastAsia="en-GB"/>
        </w:rPr>
        <w:t xml:space="preserve">. Sektor se počasi, a </w:t>
      </w:r>
      <w:r w:rsidRPr="00282AA8">
        <w:rPr>
          <w:rFonts w:eastAsia="Calibri" w:cs="Arial"/>
          <w:szCs w:val="20"/>
          <w:lang w:eastAsia="en-GB"/>
        </w:rPr>
        <w:t>vztrajno prestr</w:t>
      </w:r>
      <w:r>
        <w:rPr>
          <w:rFonts w:eastAsia="Calibri" w:cs="Arial"/>
          <w:szCs w:val="20"/>
          <w:lang w:eastAsia="en-GB"/>
        </w:rPr>
        <w:t>ukturira,</w:t>
      </w:r>
      <w:r w:rsidRPr="00105ADC">
        <w:rPr>
          <w:rFonts w:eastAsia="Calibri" w:cs="Arial"/>
          <w:szCs w:val="20"/>
          <w:lang w:eastAsia="en-GB"/>
        </w:rPr>
        <w:t xml:space="preserve"> </w:t>
      </w:r>
      <w:r>
        <w:rPr>
          <w:rFonts w:eastAsia="Calibri" w:cs="Arial"/>
          <w:szCs w:val="20"/>
          <w:lang w:eastAsia="en-GB"/>
        </w:rPr>
        <w:t xml:space="preserve">zlasti v mlečnem sektorju kar se izkazuje z koncentracijo proizvodnje Manjše </w:t>
      </w:r>
      <w:r w:rsidRPr="00282AA8">
        <w:rPr>
          <w:rFonts w:eastAsia="Calibri" w:cs="Arial"/>
          <w:szCs w:val="20"/>
          <w:lang w:eastAsia="en-GB"/>
        </w:rPr>
        <w:t xml:space="preserve">reje </w:t>
      </w:r>
      <w:r>
        <w:rPr>
          <w:rFonts w:eastAsia="Calibri" w:cs="Arial"/>
          <w:szCs w:val="20"/>
          <w:lang w:eastAsia="en-GB"/>
        </w:rPr>
        <w:t xml:space="preserve">se </w:t>
      </w:r>
      <w:r w:rsidRPr="00282AA8">
        <w:rPr>
          <w:rFonts w:eastAsia="Calibri" w:cs="Arial"/>
          <w:szCs w:val="20"/>
          <w:lang w:eastAsia="en-GB"/>
        </w:rPr>
        <w:t xml:space="preserve">najprej </w:t>
      </w:r>
      <w:proofErr w:type="spellStart"/>
      <w:r w:rsidRPr="00282AA8">
        <w:rPr>
          <w:rFonts w:eastAsia="Calibri" w:cs="Arial"/>
          <w:szCs w:val="20"/>
          <w:lang w:eastAsia="en-GB"/>
        </w:rPr>
        <w:t>ekstenz</w:t>
      </w:r>
      <w:r>
        <w:rPr>
          <w:rFonts w:eastAsia="Calibri" w:cs="Arial"/>
          <w:szCs w:val="20"/>
          <w:lang w:eastAsia="en-GB"/>
        </w:rPr>
        <w:t>virajo</w:t>
      </w:r>
      <w:proofErr w:type="spellEnd"/>
      <w:r>
        <w:rPr>
          <w:rFonts w:eastAsia="Calibri" w:cs="Arial"/>
          <w:szCs w:val="20"/>
          <w:lang w:eastAsia="en-GB"/>
        </w:rPr>
        <w:t xml:space="preserve"> (iz reje krav za mleko v rejo pitancev)</w:t>
      </w:r>
      <w:r w:rsidRPr="00282AA8">
        <w:rPr>
          <w:rFonts w:eastAsia="Calibri" w:cs="Arial"/>
          <w:szCs w:val="20"/>
          <w:lang w:eastAsia="en-GB"/>
        </w:rPr>
        <w:t xml:space="preserve">, v naslednjem koraku </w:t>
      </w:r>
      <w:r>
        <w:rPr>
          <w:rFonts w:eastAsia="Calibri" w:cs="Arial"/>
          <w:szCs w:val="20"/>
          <w:lang w:eastAsia="en-GB"/>
        </w:rPr>
        <w:t>pa se opusti</w:t>
      </w:r>
      <w:r w:rsidRPr="00105ADC">
        <w:rPr>
          <w:rFonts w:eastAsia="Calibri" w:cs="Arial"/>
          <w:szCs w:val="20"/>
          <w:lang w:eastAsia="en-GB"/>
        </w:rPr>
        <w:t xml:space="preserve"> </w:t>
      </w:r>
      <w:r>
        <w:rPr>
          <w:rFonts w:eastAsia="Calibri" w:cs="Arial"/>
          <w:szCs w:val="20"/>
          <w:lang w:eastAsia="en-GB"/>
        </w:rPr>
        <w:t>tudi reja pitancev</w:t>
      </w:r>
      <w:r w:rsidRPr="00282AA8">
        <w:rPr>
          <w:rFonts w:eastAsia="Calibri" w:cs="Arial"/>
          <w:szCs w:val="20"/>
          <w:lang w:eastAsia="en-GB"/>
        </w:rPr>
        <w:t>.</w:t>
      </w:r>
      <w:r>
        <w:rPr>
          <w:rFonts w:eastAsia="Calibri" w:cs="Arial"/>
          <w:szCs w:val="20"/>
          <w:lang w:eastAsia="en-GB"/>
        </w:rPr>
        <w:t xml:space="preserve"> Dolgoročno to pomeni opuščanje govedoreje v hribovitih </w:t>
      </w:r>
      <w:proofErr w:type="spellStart"/>
      <w:r>
        <w:rPr>
          <w:rFonts w:eastAsia="Calibri" w:cs="Arial"/>
          <w:szCs w:val="20"/>
          <w:lang w:eastAsia="en-GB"/>
        </w:rPr>
        <w:t>območijh</w:t>
      </w:r>
      <w:proofErr w:type="spellEnd"/>
      <w:r>
        <w:rPr>
          <w:rFonts w:eastAsia="Calibri" w:cs="Arial"/>
          <w:szCs w:val="20"/>
          <w:lang w:eastAsia="en-GB"/>
        </w:rPr>
        <w:t xml:space="preserve"> in neizbežno zaraščanje kulturne krajine.</w:t>
      </w:r>
    </w:p>
    <w:p w14:paraId="7A51591F" w14:textId="77777777" w:rsidR="00D91539" w:rsidRPr="004F38BB" w:rsidRDefault="00D91539" w:rsidP="000A650F">
      <w:pPr>
        <w:numPr>
          <w:ilvl w:val="0"/>
          <w:numId w:val="35"/>
        </w:numPr>
        <w:tabs>
          <w:tab w:val="left" w:pos="2160"/>
        </w:tabs>
        <w:spacing w:before="120" w:after="120" w:line="360" w:lineRule="auto"/>
        <w:ind w:left="357" w:hanging="357"/>
        <w:jc w:val="both"/>
        <w:rPr>
          <w:rFonts w:eastAsia="Calibri" w:cs="Arial"/>
          <w:szCs w:val="20"/>
          <w:lang w:val="fr-FR" w:eastAsia="en-GB"/>
        </w:rPr>
      </w:pPr>
      <w:r w:rsidRPr="004F38BB">
        <w:rPr>
          <w:rFonts w:eastAsia="Calibri" w:cs="Arial"/>
          <w:szCs w:val="20"/>
          <w:lang w:val="fr-FR" w:eastAsia="en-GB"/>
        </w:rPr>
        <w:lastRenderedPageBreak/>
        <w:t>Številne študije kažejo na to, da se z izboljšanjem tehnologije</w:t>
      </w:r>
      <w:r>
        <w:rPr>
          <w:rFonts w:eastAsia="Calibri" w:cs="Arial"/>
          <w:szCs w:val="20"/>
          <w:lang w:val="fr-FR" w:eastAsia="en-GB"/>
        </w:rPr>
        <w:t xml:space="preserve"> in modernejšimi hlevi</w:t>
      </w:r>
      <w:r w:rsidRPr="004F38BB">
        <w:rPr>
          <w:rFonts w:eastAsia="Calibri" w:cs="Arial"/>
          <w:szCs w:val="20"/>
          <w:lang w:val="fr-FR" w:eastAsia="en-GB"/>
        </w:rPr>
        <w:t xml:space="preserve">na govedorejskih kmetijah doseže večji ekonomski učinek, zato so potrebne dodatne naložbe v opremo za pripravo krme, digitalizacijo procesov reje, </w:t>
      </w:r>
      <w:r w:rsidRPr="004F38BB">
        <w:rPr>
          <w:rFonts w:eastAsia="Calibri" w:cs="Arial"/>
          <w:szCs w:val="20"/>
          <w:lang w:eastAsia="en-GB"/>
        </w:rPr>
        <w:t xml:space="preserve">za učinkovito izkoriščanje domače krme na kmetijskih gospodarstvih </w:t>
      </w:r>
      <w:r w:rsidRPr="004F38BB">
        <w:rPr>
          <w:rFonts w:eastAsia="Calibri" w:cs="Arial"/>
          <w:szCs w:val="20"/>
          <w:lang w:val="fr-FR" w:eastAsia="en-GB"/>
        </w:rPr>
        <w:t xml:space="preserve">in dobro delovanje </w:t>
      </w:r>
      <w:r w:rsidRPr="004F38BB">
        <w:rPr>
          <w:rFonts w:eastAsia="Calibri" w:cs="Arial"/>
          <w:szCs w:val="20"/>
          <w:lang w:eastAsia="en-GB"/>
        </w:rPr>
        <w:t>javnih služb, ki delujejo na področju</w:t>
      </w:r>
      <w:r>
        <w:rPr>
          <w:rFonts w:eastAsia="Calibri" w:cs="Arial"/>
          <w:szCs w:val="20"/>
          <w:lang w:eastAsia="en-GB"/>
        </w:rPr>
        <w:t xml:space="preserve"> kmetijstva</w:t>
      </w:r>
      <w:r w:rsidRPr="004F38BB">
        <w:rPr>
          <w:rFonts w:eastAsia="Calibri" w:cs="Arial"/>
          <w:szCs w:val="20"/>
          <w:lang w:val="fr-FR" w:eastAsia="en-GB"/>
        </w:rPr>
        <w:t>.</w:t>
      </w:r>
    </w:p>
    <w:p w14:paraId="1DD4F9DE" w14:textId="77777777" w:rsidR="00D91539" w:rsidRPr="000C68B6" w:rsidRDefault="00D91539" w:rsidP="000A650F">
      <w:pPr>
        <w:numPr>
          <w:ilvl w:val="0"/>
          <w:numId w:val="35"/>
        </w:numPr>
        <w:tabs>
          <w:tab w:val="left" w:pos="2160"/>
        </w:tabs>
        <w:spacing w:before="120" w:after="120" w:line="360" w:lineRule="auto"/>
        <w:ind w:left="357" w:hanging="357"/>
        <w:jc w:val="both"/>
        <w:textAlignment w:val="baseline"/>
        <w:rPr>
          <w:rFonts w:eastAsia="Calibri" w:cs="Arial"/>
          <w:szCs w:val="20"/>
        </w:rPr>
      </w:pPr>
      <w:r w:rsidRPr="000C68B6">
        <w:rPr>
          <w:rFonts w:eastAsia="Calibri" w:cs="Arial"/>
          <w:szCs w:val="20"/>
          <w:lang w:eastAsia="en-GB"/>
        </w:rPr>
        <w:t>Celotna proizvodnja mleka je v zadnj</w:t>
      </w:r>
      <w:r>
        <w:rPr>
          <w:rFonts w:eastAsia="Calibri" w:cs="Arial"/>
          <w:szCs w:val="20"/>
          <w:lang w:eastAsia="en-GB"/>
        </w:rPr>
        <w:t>em desetletju</w:t>
      </w:r>
      <w:r w:rsidRPr="000C68B6">
        <w:rPr>
          <w:rFonts w:eastAsia="Calibri" w:cs="Arial"/>
          <w:szCs w:val="20"/>
          <w:lang w:eastAsia="en-GB"/>
        </w:rPr>
        <w:t xml:space="preserve"> relativno stabilna</w:t>
      </w:r>
      <w:r>
        <w:rPr>
          <w:rFonts w:eastAsia="Calibri" w:cs="Arial"/>
          <w:szCs w:val="20"/>
          <w:lang w:eastAsia="en-GB"/>
        </w:rPr>
        <w:t>.</w:t>
      </w:r>
      <w:r w:rsidRPr="000C68B6">
        <w:rPr>
          <w:rFonts w:eastAsia="Calibri" w:cs="Arial"/>
          <w:szCs w:val="20"/>
          <w:lang w:eastAsia="en-GB"/>
        </w:rPr>
        <w:t xml:space="preserve"> </w:t>
      </w:r>
      <w:r>
        <w:rPr>
          <w:rFonts w:eastAsia="Calibri" w:cs="Arial"/>
          <w:szCs w:val="20"/>
          <w:lang w:eastAsia="en-GB"/>
        </w:rPr>
        <w:t>V</w:t>
      </w:r>
      <w:r w:rsidRPr="000C68B6">
        <w:rPr>
          <w:rFonts w:eastAsia="Calibri" w:cs="Arial"/>
          <w:szCs w:val="20"/>
          <w:lang w:eastAsia="en-GB"/>
        </w:rPr>
        <w:t xml:space="preserve"> zadnjih petih letih </w:t>
      </w:r>
      <w:r>
        <w:rPr>
          <w:rFonts w:eastAsia="Calibri" w:cs="Arial"/>
          <w:szCs w:val="20"/>
          <w:lang w:eastAsia="en-GB"/>
        </w:rPr>
        <w:t xml:space="preserve">se je </w:t>
      </w:r>
      <w:r w:rsidRPr="000C68B6">
        <w:rPr>
          <w:rFonts w:eastAsia="Calibri" w:cs="Arial"/>
          <w:szCs w:val="20"/>
          <w:lang w:eastAsia="en-GB"/>
        </w:rPr>
        <w:t>povečala oddaja mleka v mlekarne</w:t>
      </w:r>
      <w:r>
        <w:rPr>
          <w:rFonts w:eastAsia="Calibri" w:cs="Arial"/>
          <w:szCs w:val="20"/>
          <w:lang w:eastAsia="en-GB"/>
        </w:rPr>
        <w:t>,</w:t>
      </w:r>
      <w:r w:rsidRPr="000C68B6">
        <w:rPr>
          <w:rFonts w:eastAsia="Calibri" w:cs="Arial"/>
          <w:szCs w:val="20"/>
          <w:lang w:eastAsia="en-GB"/>
        </w:rPr>
        <w:t xml:space="preserve"> število rejcev </w:t>
      </w:r>
      <w:r>
        <w:rPr>
          <w:rFonts w:eastAsia="Calibri" w:cs="Arial"/>
          <w:szCs w:val="20"/>
          <w:lang w:eastAsia="en-GB"/>
        </w:rPr>
        <w:t xml:space="preserve">se sicer </w:t>
      </w:r>
      <w:r w:rsidRPr="000C68B6">
        <w:rPr>
          <w:rFonts w:eastAsia="Calibri" w:cs="Arial"/>
          <w:szCs w:val="20"/>
          <w:lang w:eastAsia="en-GB"/>
        </w:rPr>
        <w:t>zmanjšuje</w:t>
      </w:r>
      <w:r>
        <w:rPr>
          <w:rFonts w:eastAsia="Calibri" w:cs="Arial"/>
          <w:szCs w:val="20"/>
          <w:lang w:eastAsia="en-GB"/>
        </w:rPr>
        <w:t xml:space="preserve">, hkrati pa se povečuje </w:t>
      </w:r>
      <w:r w:rsidRPr="000C68B6">
        <w:rPr>
          <w:rFonts w:eastAsia="Calibri" w:cs="Arial"/>
          <w:szCs w:val="20"/>
          <w:lang w:eastAsia="en-GB"/>
        </w:rPr>
        <w:t>mlečnost na žival. Kakovost mleka v zadnjih letih niha</w:t>
      </w:r>
      <w:r>
        <w:rPr>
          <w:rFonts w:eastAsia="Calibri" w:cs="Arial"/>
          <w:szCs w:val="20"/>
          <w:lang w:eastAsia="en-GB"/>
        </w:rPr>
        <w:t>,</w:t>
      </w:r>
      <w:r w:rsidRPr="000C68B6">
        <w:rPr>
          <w:rFonts w:eastAsia="Calibri" w:cs="Arial"/>
          <w:szCs w:val="20"/>
          <w:lang w:eastAsia="en-GB"/>
        </w:rPr>
        <w:t xml:space="preserve"> </w:t>
      </w:r>
      <w:r>
        <w:rPr>
          <w:rFonts w:eastAsia="Calibri" w:cs="Arial"/>
          <w:szCs w:val="20"/>
          <w:lang w:eastAsia="en-GB"/>
        </w:rPr>
        <w:t xml:space="preserve">v </w:t>
      </w:r>
      <w:r w:rsidRPr="000C68B6">
        <w:rPr>
          <w:rFonts w:eastAsia="Calibri" w:cs="Arial"/>
          <w:szCs w:val="20"/>
          <w:lang w:eastAsia="en-GB"/>
        </w:rPr>
        <w:t>e</w:t>
      </w:r>
      <w:r>
        <w:rPr>
          <w:rFonts w:eastAsia="Calibri" w:cs="Arial"/>
          <w:szCs w:val="20"/>
          <w:lang w:eastAsia="en-GB"/>
        </w:rPr>
        <w:t>k</w:t>
      </w:r>
      <w:r w:rsidRPr="000C68B6">
        <w:rPr>
          <w:rFonts w:eastAsia="Calibri" w:cs="Arial"/>
          <w:szCs w:val="20"/>
          <w:lang w:eastAsia="en-GB"/>
        </w:rPr>
        <w:t>stra razred v zadnjih 10 letih lahko uvrstimo 88,36</w:t>
      </w:r>
      <w:r>
        <w:rPr>
          <w:rFonts w:eastAsia="Calibri" w:cs="Arial"/>
          <w:szCs w:val="20"/>
          <w:lang w:eastAsia="en-GB"/>
        </w:rPr>
        <w:t xml:space="preserve"> </w:t>
      </w:r>
      <w:r w:rsidRPr="000C68B6">
        <w:rPr>
          <w:rFonts w:eastAsia="Calibri" w:cs="Arial"/>
          <w:szCs w:val="20"/>
          <w:lang w:eastAsia="en-GB"/>
        </w:rPr>
        <w:t>-</w:t>
      </w:r>
      <w:r>
        <w:rPr>
          <w:rFonts w:eastAsia="Calibri" w:cs="Arial"/>
          <w:szCs w:val="20"/>
          <w:lang w:eastAsia="en-GB"/>
        </w:rPr>
        <w:t xml:space="preserve"> </w:t>
      </w:r>
      <w:r w:rsidRPr="000C68B6">
        <w:rPr>
          <w:rFonts w:eastAsia="Calibri" w:cs="Arial"/>
          <w:szCs w:val="20"/>
          <w:lang w:eastAsia="en-GB"/>
        </w:rPr>
        <w:t>95.67</w:t>
      </w:r>
      <w:r>
        <w:rPr>
          <w:rFonts w:eastAsia="Calibri" w:cs="Arial"/>
          <w:szCs w:val="20"/>
          <w:lang w:eastAsia="en-GB"/>
        </w:rPr>
        <w:t xml:space="preserve"> </w:t>
      </w:r>
      <w:r w:rsidRPr="000C68B6">
        <w:rPr>
          <w:rFonts w:eastAsia="Calibri" w:cs="Arial"/>
          <w:szCs w:val="20"/>
          <w:lang w:eastAsia="en-GB"/>
        </w:rPr>
        <w:t>% mleka, ki je imelo 4,12</w:t>
      </w:r>
      <w:r>
        <w:rPr>
          <w:rFonts w:eastAsia="Calibri" w:cs="Arial"/>
          <w:szCs w:val="20"/>
          <w:lang w:eastAsia="en-GB"/>
        </w:rPr>
        <w:t xml:space="preserve"> </w:t>
      </w:r>
      <w:r w:rsidRPr="000C68B6">
        <w:rPr>
          <w:rFonts w:eastAsia="Calibri" w:cs="Arial"/>
          <w:szCs w:val="20"/>
          <w:lang w:eastAsia="en-GB"/>
        </w:rPr>
        <w:t>-</w:t>
      </w:r>
      <w:r>
        <w:rPr>
          <w:rFonts w:eastAsia="Calibri" w:cs="Arial"/>
          <w:szCs w:val="20"/>
          <w:lang w:eastAsia="en-GB"/>
        </w:rPr>
        <w:t xml:space="preserve"> </w:t>
      </w:r>
      <w:r w:rsidRPr="000C68B6">
        <w:rPr>
          <w:rFonts w:eastAsia="Calibri" w:cs="Arial"/>
          <w:szCs w:val="20"/>
          <w:lang w:eastAsia="en-GB"/>
        </w:rPr>
        <w:t>4.20% maščob in 3,35</w:t>
      </w:r>
      <w:r>
        <w:rPr>
          <w:rFonts w:eastAsia="Calibri" w:cs="Arial"/>
          <w:szCs w:val="20"/>
          <w:lang w:eastAsia="en-GB"/>
        </w:rPr>
        <w:t xml:space="preserve"> </w:t>
      </w:r>
      <w:r w:rsidRPr="000C68B6">
        <w:rPr>
          <w:rFonts w:eastAsia="Calibri" w:cs="Arial"/>
          <w:szCs w:val="20"/>
          <w:lang w:eastAsia="en-GB"/>
        </w:rPr>
        <w:t>-</w:t>
      </w:r>
      <w:r>
        <w:rPr>
          <w:rFonts w:eastAsia="Calibri" w:cs="Arial"/>
          <w:szCs w:val="20"/>
          <w:lang w:eastAsia="en-GB"/>
        </w:rPr>
        <w:t xml:space="preserve"> </w:t>
      </w:r>
      <w:r w:rsidRPr="000C68B6">
        <w:rPr>
          <w:rFonts w:eastAsia="Calibri" w:cs="Arial"/>
          <w:szCs w:val="20"/>
          <w:lang w:eastAsia="en-GB"/>
        </w:rPr>
        <w:t>3,39</w:t>
      </w:r>
      <w:r>
        <w:rPr>
          <w:rFonts w:eastAsia="Calibri" w:cs="Arial"/>
          <w:szCs w:val="20"/>
          <w:lang w:eastAsia="en-GB"/>
        </w:rPr>
        <w:t xml:space="preserve"> </w:t>
      </w:r>
      <w:r w:rsidRPr="000C68B6">
        <w:rPr>
          <w:rFonts w:eastAsia="Calibri" w:cs="Arial"/>
          <w:szCs w:val="20"/>
          <w:lang w:eastAsia="en-GB"/>
        </w:rPr>
        <w:t>% beljakovin.</w:t>
      </w:r>
    </w:p>
    <w:p w14:paraId="0E827A04" w14:textId="77777777" w:rsidR="00D91539" w:rsidRPr="00282AA8" w:rsidRDefault="00D91539" w:rsidP="000A650F">
      <w:pPr>
        <w:numPr>
          <w:ilvl w:val="0"/>
          <w:numId w:val="35"/>
        </w:numPr>
        <w:tabs>
          <w:tab w:val="left" w:pos="2160"/>
        </w:tabs>
        <w:spacing w:before="120" w:after="120" w:line="360" w:lineRule="auto"/>
        <w:ind w:left="357" w:hanging="357"/>
        <w:jc w:val="both"/>
        <w:textAlignment w:val="baseline"/>
        <w:rPr>
          <w:rFonts w:eastAsia="Calibri" w:cs="Arial"/>
          <w:szCs w:val="20"/>
          <w:lang w:eastAsia="en-GB"/>
        </w:rPr>
      </w:pPr>
      <w:r>
        <w:rPr>
          <w:rFonts w:eastAsia="Calibri" w:cs="Arial"/>
          <w:szCs w:val="20"/>
          <w:lang w:eastAsia="en-GB"/>
        </w:rPr>
        <w:t xml:space="preserve">Za povečanje ponudbe mesa govedi v shemah višje kakovosti primanjkuje telet </w:t>
      </w:r>
      <w:r w:rsidRPr="00282AA8">
        <w:rPr>
          <w:rFonts w:eastAsia="Calibri" w:cs="Arial"/>
          <w:szCs w:val="20"/>
          <w:lang w:eastAsia="en-GB"/>
        </w:rPr>
        <w:t>za nadaljnje pitanje</w:t>
      </w:r>
      <w:r>
        <w:rPr>
          <w:rFonts w:eastAsia="Calibri" w:cs="Arial"/>
          <w:szCs w:val="20"/>
          <w:lang w:eastAsia="en-GB"/>
        </w:rPr>
        <w:t xml:space="preserve">, ki so rojena v Sloveniji, </w:t>
      </w:r>
      <w:r w:rsidRPr="00282AA8">
        <w:rPr>
          <w:rFonts w:eastAsia="Calibri" w:cs="Arial"/>
          <w:szCs w:val="20"/>
          <w:lang w:eastAsia="en-GB"/>
        </w:rPr>
        <w:t xml:space="preserve">zato so nujne investicije in prestrukturiranje </w:t>
      </w:r>
      <w:r>
        <w:rPr>
          <w:rFonts w:eastAsia="Calibri" w:cs="Arial"/>
          <w:szCs w:val="20"/>
          <w:lang w:eastAsia="en-GB"/>
        </w:rPr>
        <w:t xml:space="preserve">kmetijskih gospodarstev, </w:t>
      </w:r>
      <w:r w:rsidRPr="00282AA8">
        <w:rPr>
          <w:rFonts w:eastAsia="Calibri" w:cs="Arial"/>
          <w:szCs w:val="20"/>
          <w:lang w:eastAsia="en-GB"/>
        </w:rPr>
        <w:t>proizvodno vezan</w:t>
      </w:r>
      <w:r>
        <w:rPr>
          <w:rFonts w:eastAsia="Calibri" w:cs="Arial"/>
          <w:szCs w:val="20"/>
          <w:lang w:eastAsia="en-GB"/>
        </w:rPr>
        <w:t>e podpore, povezovanje deležnikov</w:t>
      </w:r>
      <w:r w:rsidRPr="00282AA8">
        <w:rPr>
          <w:rFonts w:eastAsia="Calibri" w:cs="Arial"/>
          <w:szCs w:val="20"/>
          <w:lang w:eastAsia="en-GB"/>
        </w:rPr>
        <w:t xml:space="preserve"> ter podpore za uveljavitev sheme izbrana kakovost.</w:t>
      </w:r>
    </w:p>
    <w:p w14:paraId="3E8FA00E" w14:textId="77777777" w:rsidR="00D91539" w:rsidRPr="00282AA8" w:rsidRDefault="00D91539" w:rsidP="000A650F">
      <w:pPr>
        <w:numPr>
          <w:ilvl w:val="0"/>
          <w:numId w:val="35"/>
        </w:numPr>
        <w:tabs>
          <w:tab w:val="left" w:pos="2160"/>
        </w:tabs>
        <w:spacing w:before="120" w:after="120" w:line="360" w:lineRule="auto"/>
        <w:ind w:left="357" w:hanging="357"/>
        <w:jc w:val="both"/>
        <w:textAlignment w:val="baseline"/>
        <w:rPr>
          <w:rFonts w:eastAsia="Calibri" w:cs="Arial"/>
          <w:szCs w:val="20"/>
          <w:lang w:eastAsia="en-GB"/>
        </w:rPr>
      </w:pPr>
      <w:r w:rsidRPr="00282AA8">
        <w:rPr>
          <w:rFonts w:eastAsia="Calibri" w:cs="Arial"/>
          <w:szCs w:val="20"/>
          <w:lang w:eastAsia="en-GB"/>
        </w:rPr>
        <w:t xml:space="preserve">Sektor </w:t>
      </w:r>
      <w:r>
        <w:rPr>
          <w:rFonts w:eastAsia="Calibri" w:cs="Arial"/>
          <w:szCs w:val="20"/>
          <w:lang w:eastAsia="en-GB"/>
        </w:rPr>
        <w:t xml:space="preserve">bi lahko napredoval z boljšo </w:t>
      </w:r>
      <w:r w:rsidRPr="00282AA8">
        <w:rPr>
          <w:rFonts w:eastAsia="Calibri" w:cs="Arial"/>
          <w:szCs w:val="20"/>
          <w:lang w:eastAsia="en-GB"/>
        </w:rPr>
        <w:t>organiziranost</w:t>
      </w:r>
      <w:r>
        <w:rPr>
          <w:rFonts w:eastAsia="Calibri" w:cs="Arial"/>
          <w:szCs w:val="20"/>
          <w:lang w:eastAsia="en-GB"/>
        </w:rPr>
        <w:t>jo</w:t>
      </w:r>
      <w:r w:rsidRPr="00282AA8">
        <w:rPr>
          <w:rFonts w:eastAsia="Calibri" w:cs="Arial"/>
          <w:szCs w:val="20"/>
          <w:lang w:eastAsia="en-GB"/>
        </w:rPr>
        <w:t xml:space="preserve">, </w:t>
      </w:r>
      <w:r>
        <w:rPr>
          <w:rFonts w:eastAsia="Calibri" w:cs="Arial"/>
          <w:szCs w:val="20"/>
          <w:lang w:eastAsia="en-GB"/>
        </w:rPr>
        <w:t>trenutno</w:t>
      </w:r>
      <w:r w:rsidRPr="00282AA8">
        <w:rPr>
          <w:rFonts w:eastAsia="Calibri" w:cs="Arial"/>
          <w:szCs w:val="20"/>
          <w:lang w:eastAsia="en-GB"/>
        </w:rPr>
        <w:t xml:space="preserve"> ni organiziranega trga s  plemensko živino, nastopanje na trgu je težavno, </w:t>
      </w:r>
      <w:r>
        <w:rPr>
          <w:rFonts w:eastAsia="Calibri" w:cs="Arial"/>
          <w:szCs w:val="20"/>
          <w:lang w:eastAsia="en-GB"/>
        </w:rPr>
        <w:t>prav tako</w:t>
      </w:r>
      <w:r w:rsidRPr="00282AA8">
        <w:rPr>
          <w:rFonts w:eastAsia="Calibri" w:cs="Arial"/>
          <w:szCs w:val="20"/>
          <w:lang w:eastAsia="en-GB"/>
        </w:rPr>
        <w:t xml:space="preserve"> zagotavljanje živali za </w:t>
      </w:r>
      <w:r>
        <w:rPr>
          <w:rFonts w:eastAsia="Calibri" w:cs="Arial"/>
          <w:szCs w:val="20"/>
          <w:lang w:eastAsia="en-GB"/>
        </w:rPr>
        <w:t>izbrano kakovost</w:t>
      </w:r>
      <w:r w:rsidRPr="00282AA8">
        <w:rPr>
          <w:rFonts w:eastAsia="Calibri" w:cs="Arial"/>
          <w:szCs w:val="20"/>
          <w:lang w:eastAsia="en-GB"/>
        </w:rPr>
        <w:t>, zato bi morali okrepiti povezovanje in sodelovanje rejcev (medsebojno in v verigi).</w:t>
      </w:r>
    </w:p>
    <w:p w14:paraId="26FC0032" w14:textId="77777777" w:rsidR="00D91539" w:rsidRDefault="00D91539" w:rsidP="000A650F">
      <w:pPr>
        <w:numPr>
          <w:ilvl w:val="0"/>
          <w:numId w:val="35"/>
        </w:numPr>
        <w:tabs>
          <w:tab w:val="left" w:pos="2160"/>
        </w:tabs>
        <w:spacing w:before="120" w:after="120" w:line="360" w:lineRule="auto"/>
        <w:ind w:left="357" w:hanging="357"/>
        <w:jc w:val="both"/>
        <w:rPr>
          <w:rFonts w:eastAsia="Calibri" w:cs="Arial"/>
          <w:szCs w:val="20"/>
          <w:lang w:eastAsia="en-GB"/>
        </w:rPr>
      </w:pPr>
      <w:r w:rsidRPr="00282AA8">
        <w:rPr>
          <w:rFonts w:eastAsia="Calibri" w:cs="Arial"/>
          <w:szCs w:val="20"/>
          <w:lang w:eastAsia="en-GB"/>
        </w:rPr>
        <w:t>Za ohranjanje govedo</w:t>
      </w:r>
      <w:r>
        <w:rPr>
          <w:rFonts w:eastAsia="Calibri" w:cs="Arial"/>
          <w:szCs w:val="20"/>
          <w:lang w:eastAsia="en-GB"/>
        </w:rPr>
        <w:t xml:space="preserve">reje in hkratno zmanjševanje vpliva na </w:t>
      </w:r>
      <w:r w:rsidRPr="00282AA8">
        <w:rPr>
          <w:rFonts w:eastAsia="Calibri" w:cs="Arial"/>
          <w:szCs w:val="20"/>
          <w:lang w:eastAsia="en-GB"/>
        </w:rPr>
        <w:t xml:space="preserve">okolje je </w:t>
      </w:r>
      <w:r>
        <w:rPr>
          <w:rFonts w:eastAsia="Calibri" w:cs="Arial"/>
          <w:szCs w:val="20"/>
          <w:lang w:eastAsia="en-GB"/>
        </w:rPr>
        <w:t xml:space="preserve">na eni strani </w:t>
      </w:r>
      <w:r w:rsidRPr="00282AA8">
        <w:rPr>
          <w:rFonts w:eastAsia="Calibri" w:cs="Arial"/>
          <w:szCs w:val="20"/>
          <w:lang w:eastAsia="en-GB"/>
        </w:rPr>
        <w:t>potrebno boljše izkoriščanje naravnih danosti na OMD – tudi z izkoriščanjem</w:t>
      </w:r>
      <w:r>
        <w:rPr>
          <w:rFonts w:eastAsia="Calibri" w:cs="Arial"/>
          <w:szCs w:val="20"/>
          <w:lang w:eastAsia="en-GB"/>
        </w:rPr>
        <w:t xml:space="preserve"> potenciala </w:t>
      </w:r>
      <w:r w:rsidRPr="00282AA8">
        <w:rPr>
          <w:rFonts w:eastAsia="Calibri" w:cs="Arial"/>
          <w:szCs w:val="20"/>
          <w:lang w:eastAsia="en-GB"/>
        </w:rPr>
        <w:t>za rejo mlade živine in plemenskih živali</w:t>
      </w:r>
      <w:r>
        <w:rPr>
          <w:rFonts w:eastAsia="Calibri" w:cs="Arial"/>
          <w:szCs w:val="20"/>
          <w:lang w:eastAsia="en-GB"/>
        </w:rPr>
        <w:t xml:space="preserve"> in na drugi </w:t>
      </w:r>
      <w:r w:rsidRPr="00282AA8">
        <w:rPr>
          <w:rFonts w:eastAsia="Calibri" w:cs="Arial"/>
          <w:szCs w:val="20"/>
          <w:lang w:eastAsia="en-GB"/>
        </w:rPr>
        <w:t>zmanjš</w:t>
      </w:r>
      <w:r>
        <w:rPr>
          <w:rFonts w:eastAsia="Calibri" w:cs="Arial"/>
          <w:szCs w:val="20"/>
          <w:lang w:eastAsia="en-GB"/>
        </w:rPr>
        <w:t>evanje</w:t>
      </w:r>
      <w:r w:rsidRPr="00282AA8">
        <w:rPr>
          <w:rFonts w:eastAsia="Calibri" w:cs="Arial"/>
          <w:szCs w:val="20"/>
          <w:lang w:eastAsia="en-GB"/>
        </w:rPr>
        <w:t xml:space="preserve"> obsega govedoreje na nižinskih </w:t>
      </w:r>
      <w:r>
        <w:rPr>
          <w:rFonts w:eastAsia="Calibri" w:cs="Arial"/>
          <w:szCs w:val="20"/>
          <w:lang w:eastAsia="en-GB"/>
        </w:rPr>
        <w:t>območjih</w:t>
      </w:r>
      <w:r w:rsidRPr="00282AA8">
        <w:rPr>
          <w:rFonts w:eastAsia="Calibri" w:cs="Arial"/>
          <w:szCs w:val="20"/>
          <w:lang w:eastAsia="en-GB"/>
        </w:rPr>
        <w:t xml:space="preserve">, za kar bodo potrebne dodatne investicije za </w:t>
      </w:r>
      <w:r>
        <w:rPr>
          <w:rFonts w:eastAsia="Calibri" w:cs="Arial"/>
          <w:szCs w:val="20"/>
          <w:lang w:eastAsia="en-GB"/>
        </w:rPr>
        <w:t>prestrukturiranja in povezovanje</w:t>
      </w:r>
      <w:r w:rsidRPr="00282AA8">
        <w:rPr>
          <w:rFonts w:eastAsia="Calibri" w:cs="Arial"/>
          <w:szCs w:val="20"/>
          <w:lang w:eastAsia="en-GB"/>
        </w:rPr>
        <w:t xml:space="preserve"> rejcev.</w:t>
      </w:r>
    </w:p>
    <w:p w14:paraId="2CA0401A" w14:textId="77777777" w:rsidR="00D91539" w:rsidRPr="00EF4F4E" w:rsidRDefault="00D91539" w:rsidP="000A650F">
      <w:pPr>
        <w:numPr>
          <w:ilvl w:val="0"/>
          <w:numId w:val="35"/>
        </w:numPr>
        <w:tabs>
          <w:tab w:val="left" w:pos="2160"/>
        </w:tabs>
        <w:spacing w:before="120" w:after="120" w:line="360" w:lineRule="auto"/>
        <w:ind w:left="357" w:hanging="357"/>
        <w:jc w:val="both"/>
        <w:rPr>
          <w:rFonts w:eastAsia="Calibri" w:cs="Arial"/>
          <w:szCs w:val="20"/>
          <w:lang w:eastAsia="en-GB"/>
        </w:rPr>
      </w:pPr>
      <w:r w:rsidRPr="00EF4F4E">
        <w:rPr>
          <w:rFonts w:eastAsia="Calibri" w:cs="Arial"/>
          <w:lang w:eastAsia="en-GB"/>
        </w:rPr>
        <w:t xml:space="preserve">Pri </w:t>
      </w:r>
      <w:r>
        <w:rPr>
          <w:rFonts w:eastAsia="Calibri" w:cs="Arial"/>
          <w:lang w:eastAsia="en-GB"/>
        </w:rPr>
        <w:t xml:space="preserve">proizvodnji </w:t>
      </w:r>
      <w:r w:rsidRPr="00EF4F4E">
        <w:rPr>
          <w:rFonts w:eastAsia="Calibri" w:cs="Arial"/>
          <w:lang w:eastAsia="en-GB"/>
        </w:rPr>
        <w:t>mlek</w:t>
      </w:r>
      <w:r>
        <w:rPr>
          <w:rFonts w:eastAsia="Calibri" w:cs="Arial"/>
          <w:lang w:eastAsia="en-GB"/>
        </w:rPr>
        <w:t>a</w:t>
      </w:r>
      <w:r w:rsidRPr="00EF4F4E">
        <w:rPr>
          <w:rFonts w:eastAsia="Calibri" w:cs="Arial"/>
          <w:lang w:eastAsia="en-GB"/>
        </w:rPr>
        <w:t>, kjer ima Slovenija vis</w:t>
      </w:r>
      <w:r>
        <w:rPr>
          <w:rFonts w:eastAsia="Calibri" w:cs="Arial"/>
          <w:lang w:eastAsia="en-GB"/>
        </w:rPr>
        <w:t>ok delež</w:t>
      </w:r>
      <w:r w:rsidRPr="00EF4F4E">
        <w:rPr>
          <w:rFonts w:eastAsia="Calibri" w:cs="Arial"/>
          <w:lang w:eastAsia="en-GB"/>
        </w:rPr>
        <w:t xml:space="preserve"> samooskrb</w:t>
      </w:r>
      <w:r>
        <w:rPr>
          <w:rFonts w:eastAsia="Calibri" w:cs="Arial"/>
          <w:lang w:eastAsia="en-GB"/>
        </w:rPr>
        <w:t>e</w:t>
      </w:r>
      <w:r w:rsidRPr="00EF4F4E">
        <w:rPr>
          <w:rFonts w:eastAsia="Calibri" w:cs="Arial"/>
          <w:lang w:eastAsia="en-GB"/>
        </w:rPr>
        <w:t>,</w:t>
      </w:r>
      <w:r>
        <w:rPr>
          <w:rFonts w:eastAsia="Calibri" w:cs="Arial"/>
          <w:lang w:eastAsia="en-GB"/>
        </w:rPr>
        <w:t xml:space="preserve"> </w:t>
      </w:r>
      <w:r w:rsidRPr="00EF4F4E">
        <w:rPr>
          <w:rFonts w:eastAsia="Calibri" w:cs="Arial"/>
          <w:lang w:eastAsia="en-GB"/>
        </w:rPr>
        <w:t xml:space="preserve">beležimo velik </w:t>
      </w:r>
      <w:r>
        <w:rPr>
          <w:rFonts w:eastAsia="Calibri" w:cs="Arial"/>
          <w:lang w:eastAsia="en-GB"/>
        </w:rPr>
        <w:t xml:space="preserve">obseg </w:t>
      </w:r>
      <w:r w:rsidRPr="00EF4F4E">
        <w:rPr>
          <w:rFonts w:eastAsia="Calibri" w:cs="Arial"/>
          <w:lang w:eastAsia="en-GB"/>
        </w:rPr>
        <w:t>izvoza kakovostnega surovega mleka</w:t>
      </w:r>
      <w:r>
        <w:rPr>
          <w:rFonts w:eastAsia="Calibri" w:cs="Arial"/>
          <w:lang w:eastAsia="en-GB"/>
        </w:rPr>
        <w:t>, zato je v Sloveniji potrebno okrepiti predelavo mleka v izdelke z višjo dodano vrednostjo.</w:t>
      </w:r>
    </w:p>
    <w:p w14:paraId="1AC7F94B" w14:textId="77777777" w:rsidR="00D91539" w:rsidRDefault="00D91539" w:rsidP="000A650F">
      <w:pPr>
        <w:numPr>
          <w:ilvl w:val="0"/>
          <w:numId w:val="35"/>
        </w:numPr>
        <w:tabs>
          <w:tab w:val="left" w:pos="2160"/>
        </w:tabs>
        <w:spacing w:before="120" w:after="120" w:line="360" w:lineRule="auto"/>
        <w:ind w:left="357" w:hanging="357"/>
        <w:jc w:val="both"/>
        <w:rPr>
          <w:rFonts w:eastAsia="Calibri" w:cs="Arial"/>
          <w:szCs w:val="20"/>
          <w:lang w:eastAsia="en-GB"/>
        </w:rPr>
      </w:pPr>
      <w:r>
        <w:rPr>
          <w:rFonts w:eastAsia="Calibri"/>
          <w:lang w:eastAsia="en-GB"/>
        </w:rPr>
        <w:t>Na področju</w:t>
      </w:r>
      <w:r w:rsidRPr="00EF4F4E">
        <w:rPr>
          <w:rFonts w:eastAsia="Calibri"/>
          <w:lang w:eastAsia="en-GB"/>
        </w:rPr>
        <w:t xml:space="preserve"> goveje</w:t>
      </w:r>
      <w:r>
        <w:rPr>
          <w:rFonts w:eastAsia="Calibri"/>
          <w:lang w:eastAsia="en-GB"/>
        </w:rPr>
        <w:t>ga</w:t>
      </w:r>
      <w:r w:rsidRPr="00EF4F4E">
        <w:rPr>
          <w:rFonts w:eastAsia="Calibri"/>
          <w:lang w:eastAsia="en-GB"/>
        </w:rPr>
        <w:t xml:space="preserve"> mes</w:t>
      </w:r>
      <w:r>
        <w:rPr>
          <w:rFonts w:eastAsia="Calibri"/>
          <w:lang w:eastAsia="en-GB"/>
        </w:rPr>
        <w:t xml:space="preserve">a beležimo velik obseg </w:t>
      </w:r>
      <w:r w:rsidRPr="00EF4F4E">
        <w:rPr>
          <w:rFonts w:eastAsia="Calibri"/>
          <w:lang w:eastAsia="en-GB"/>
        </w:rPr>
        <w:t>izvoz</w:t>
      </w:r>
      <w:r>
        <w:rPr>
          <w:rFonts w:eastAsia="Calibri"/>
          <w:lang w:eastAsia="en-GB"/>
        </w:rPr>
        <w:t>a živih</w:t>
      </w:r>
      <w:r w:rsidRPr="00EF4F4E">
        <w:rPr>
          <w:rFonts w:eastAsia="Calibri"/>
          <w:lang w:eastAsia="en-GB"/>
        </w:rPr>
        <w:t xml:space="preserve"> živali za zakol obenem </w:t>
      </w:r>
      <w:r>
        <w:rPr>
          <w:rFonts w:eastAsia="Calibri"/>
          <w:lang w:eastAsia="en-GB"/>
        </w:rPr>
        <w:t xml:space="preserve">pa beležimo uvoz govejega mesa </w:t>
      </w:r>
      <w:r w:rsidRPr="00EF4F4E">
        <w:rPr>
          <w:rFonts w:eastAsia="Calibri"/>
          <w:lang w:eastAsia="en-GB"/>
        </w:rPr>
        <w:t xml:space="preserve">v </w:t>
      </w:r>
      <w:r>
        <w:rPr>
          <w:rFonts w:eastAsia="Calibri"/>
          <w:lang w:eastAsia="en-GB"/>
        </w:rPr>
        <w:t xml:space="preserve">Slovenijo. </w:t>
      </w:r>
      <w:r w:rsidRPr="00EF4F4E">
        <w:rPr>
          <w:rFonts w:eastAsia="Calibri"/>
          <w:lang w:eastAsia="en-GB"/>
        </w:rPr>
        <w:t xml:space="preserve">  </w:t>
      </w:r>
    </w:p>
    <w:p w14:paraId="04B36F8B" w14:textId="3E1CB6DB" w:rsidR="00D91539" w:rsidRDefault="00D91539" w:rsidP="000A650F">
      <w:pPr>
        <w:numPr>
          <w:ilvl w:val="0"/>
          <w:numId w:val="35"/>
        </w:numPr>
        <w:tabs>
          <w:tab w:val="left" w:pos="2160"/>
        </w:tabs>
        <w:spacing w:before="120" w:after="120" w:line="360" w:lineRule="auto"/>
        <w:ind w:left="357" w:hanging="357"/>
        <w:jc w:val="both"/>
        <w:rPr>
          <w:rFonts w:eastAsia="Calibri" w:cs="Arial"/>
          <w:szCs w:val="20"/>
          <w:lang w:eastAsia="en-GB"/>
        </w:rPr>
      </w:pPr>
      <w:r w:rsidRPr="0025226F">
        <w:rPr>
          <w:rFonts w:eastAsia="Calibri" w:cs="Arial"/>
          <w:szCs w:val="20"/>
          <w:lang w:eastAsia="en-GB"/>
        </w:rPr>
        <w:t>Slovenija ima  zaradi velikega deleža travinja velik potencial za ekološko proizvodnjo, problem pa je trženje. Veliko ekološkega mesa se proda kot konve</w:t>
      </w:r>
      <w:r>
        <w:rPr>
          <w:rFonts w:eastAsia="Calibri" w:cs="Arial"/>
          <w:szCs w:val="20"/>
          <w:lang w:eastAsia="en-GB"/>
        </w:rPr>
        <w:t>n</w:t>
      </w:r>
      <w:r w:rsidRPr="0025226F">
        <w:rPr>
          <w:rFonts w:eastAsia="Calibri" w:cs="Arial"/>
          <w:szCs w:val="20"/>
          <w:lang w:eastAsia="en-GB"/>
        </w:rPr>
        <w:t>cionalno  meso.</w:t>
      </w:r>
    </w:p>
    <w:p w14:paraId="3F883860" w14:textId="6FA7241E" w:rsidR="00CF3CC6" w:rsidRPr="00901238" w:rsidRDefault="00CF3CC6" w:rsidP="00D05572">
      <w:pPr>
        <w:pStyle w:val="Naslov2"/>
        <w:ind w:left="578" w:hanging="578"/>
        <w:rPr>
          <w:rFonts w:eastAsia="Calibri"/>
        </w:rPr>
      </w:pPr>
      <w:bookmarkStart w:id="148" w:name="_Toc55912202"/>
      <w:r w:rsidRPr="00901238">
        <w:rPr>
          <w:rFonts w:eastAsia="Calibri"/>
        </w:rPr>
        <w:t>Prašičereja</w:t>
      </w:r>
      <w:bookmarkEnd w:id="148"/>
    </w:p>
    <w:p w14:paraId="2A98E163" w14:textId="77777777" w:rsidR="00D91539" w:rsidRDefault="00D91539" w:rsidP="00D91539">
      <w:pPr>
        <w:spacing w:before="200" w:line="360" w:lineRule="auto"/>
        <w:jc w:val="both"/>
        <w:rPr>
          <w:rFonts w:cs="Arial"/>
          <w:bCs/>
          <w:szCs w:val="20"/>
          <w:lang w:eastAsia="en-GB"/>
        </w:rPr>
      </w:pPr>
      <w:r w:rsidRPr="007418EE">
        <w:rPr>
          <w:rFonts w:cs="Arial"/>
          <w:bCs/>
          <w:szCs w:val="20"/>
          <w:lang w:eastAsia="en-GB"/>
        </w:rPr>
        <w:t>Prašičereja ima v Sloveniji dolgo tradicijo</w:t>
      </w:r>
      <w:r>
        <w:rPr>
          <w:rFonts w:cs="Arial"/>
          <w:bCs/>
          <w:szCs w:val="20"/>
          <w:lang w:eastAsia="en-GB"/>
        </w:rPr>
        <w:t>, tako z deležem mesa prašičev v slovenski tradicionalni prehrani</w:t>
      </w:r>
      <w:r w:rsidRPr="007418EE">
        <w:rPr>
          <w:rFonts w:cs="Arial"/>
          <w:bCs/>
          <w:szCs w:val="20"/>
          <w:lang w:eastAsia="en-GB"/>
        </w:rPr>
        <w:t>,</w:t>
      </w:r>
      <w:r>
        <w:rPr>
          <w:rFonts w:cs="Arial"/>
          <w:bCs/>
          <w:szCs w:val="20"/>
          <w:lang w:eastAsia="en-GB"/>
        </w:rPr>
        <w:t xml:space="preserve"> kot z</w:t>
      </w:r>
      <w:r w:rsidRPr="007418EE">
        <w:rPr>
          <w:rFonts w:cs="Arial"/>
          <w:bCs/>
          <w:szCs w:val="20"/>
          <w:lang w:eastAsia="en-GB"/>
        </w:rPr>
        <w:t xml:space="preserve"> višj</w:t>
      </w:r>
      <w:r>
        <w:rPr>
          <w:rFonts w:cs="Arial"/>
          <w:bCs/>
          <w:szCs w:val="20"/>
          <w:lang w:eastAsia="en-GB"/>
        </w:rPr>
        <w:t>o</w:t>
      </w:r>
      <w:r w:rsidRPr="007418EE">
        <w:rPr>
          <w:rFonts w:cs="Arial"/>
          <w:bCs/>
          <w:szCs w:val="20"/>
          <w:lang w:eastAsia="en-GB"/>
        </w:rPr>
        <w:t xml:space="preserve"> kakovost</w:t>
      </w:r>
      <w:r>
        <w:rPr>
          <w:rFonts w:cs="Arial"/>
          <w:bCs/>
          <w:szCs w:val="20"/>
          <w:lang w:eastAsia="en-GB"/>
        </w:rPr>
        <w:t>jo</w:t>
      </w:r>
      <w:r w:rsidRPr="007418EE">
        <w:rPr>
          <w:rFonts w:cs="Arial"/>
          <w:bCs/>
          <w:szCs w:val="20"/>
          <w:lang w:eastAsia="en-GB"/>
        </w:rPr>
        <w:t xml:space="preserve"> mesa in izdelkov z dobrimi senzoričnimi in kulinaričnimi lastnostmi</w:t>
      </w:r>
      <w:r w:rsidRPr="00AA2ECF">
        <w:rPr>
          <w:rFonts w:cs="Arial"/>
          <w:bCs/>
          <w:szCs w:val="20"/>
          <w:lang w:eastAsia="en-GB"/>
        </w:rPr>
        <w:t xml:space="preserve"> </w:t>
      </w:r>
      <w:r>
        <w:rPr>
          <w:rFonts w:cs="Arial"/>
          <w:bCs/>
          <w:szCs w:val="20"/>
          <w:lang w:eastAsia="en-GB"/>
        </w:rPr>
        <w:t>ter tipičnimi izdelki</w:t>
      </w:r>
      <w:r w:rsidRPr="007418EE">
        <w:rPr>
          <w:rFonts w:cs="Arial"/>
          <w:bCs/>
          <w:szCs w:val="20"/>
          <w:lang w:eastAsia="en-GB"/>
        </w:rPr>
        <w:t xml:space="preserve"> iz mesa prašičev. </w:t>
      </w:r>
      <w:r>
        <w:rPr>
          <w:rFonts w:cs="Arial"/>
          <w:bCs/>
          <w:szCs w:val="20"/>
          <w:lang w:eastAsia="en-GB"/>
        </w:rPr>
        <w:t>Po drugi strani je z</w:t>
      </w:r>
      <w:r w:rsidRPr="00105ADC">
        <w:rPr>
          <w:rFonts w:cs="Arial"/>
          <w:bCs/>
          <w:szCs w:val="20"/>
          <w:lang w:eastAsia="en-GB"/>
        </w:rPr>
        <w:t xml:space="preserve">aradi smradu in drugih negativnih vplivov na okolje reja prašičev med prebivalci </w:t>
      </w:r>
      <w:r>
        <w:rPr>
          <w:rFonts w:cs="Arial"/>
          <w:bCs/>
          <w:szCs w:val="20"/>
          <w:lang w:eastAsia="en-GB"/>
        </w:rPr>
        <w:t>vse manj</w:t>
      </w:r>
      <w:r w:rsidRPr="00105ADC">
        <w:rPr>
          <w:rFonts w:cs="Arial"/>
          <w:bCs/>
          <w:szCs w:val="20"/>
          <w:lang w:eastAsia="en-GB"/>
        </w:rPr>
        <w:t xml:space="preserve"> priljubljena</w:t>
      </w:r>
      <w:r>
        <w:rPr>
          <w:rFonts w:cs="Arial"/>
          <w:bCs/>
          <w:szCs w:val="20"/>
          <w:lang w:eastAsia="en-GB"/>
        </w:rPr>
        <w:t xml:space="preserve"> zato nastajajo</w:t>
      </w:r>
      <w:r w:rsidRPr="00105ADC">
        <w:rPr>
          <w:rFonts w:cs="Arial"/>
          <w:bCs/>
          <w:szCs w:val="20"/>
          <w:lang w:eastAsia="en-GB"/>
        </w:rPr>
        <w:t xml:space="preserve"> vedno večji konflikti pri umeščanju prašičerejskih objektov v prostor.</w:t>
      </w:r>
    </w:p>
    <w:p w14:paraId="460B50DB" w14:textId="77777777" w:rsidR="00D91539" w:rsidRDefault="00D91539" w:rsidP="00D91539">
      <w:pPr>
        <w:spacing w:before="200" w:line="360" w:lineRule="auto"/>
        <w:rPr>
          <w:rFonts w:cs="Arial"/>
          <w:bCs/>
          <w:szCs w:val="20"/>
          <w:lang w:eastAsia="en-GB"/>
        </w:rPr>
      </w:pPr>
      <w:r w:rsidRPr="007418EE">
        <w:rPr>
          <w:rFonts w:eastAsia="Times New Roman" w:cs="Arial"/>
          <w:szCs w:val="20"/>
        </w:rPr>
        <w:lastRenderedPageBreak/>
        <w:t>R</w:t>
      </w:r>
      <w:r w:rsidRPr="007418EE">
        <w:rPr>
          <w:rFonts w:cs="Arial"/>
          <w:bCs/>
          <w:szCs w:val="20"/>
          <w:lang w:eastAsia="en-GB"/>
        </w:rPr>
        <w:t xml:space="preserve">eja prašičev </w:t>
      </w:r>
      <w:r>
        <w:rPr>
          <w:rFonts w:cs="Arial"/>
          <w:bCs/>
          <w:szCs w:val="20"/>
          <w:lang w:eastAsia="en-GB"/>
        </w:rPr>
        <w:t xml:space="preserve">sicer </w:t>
      </w:r>
      <w:r w:rsidRPr="007418EE">
        <w:rPr>
          <w:rFonts w:cs="Arial"/>
          <w:bCs/>
          <w:szCs w:val="20"/>
          <w:lang w:eastAsia="en-GB"/>
        </w:rPr>
        <w:t>omogoča marsikateri kmetiji zaokrožitev proizvodnje in ustvarjanje dodatnega dohodka za obstoj kmetije. Reja je konkurenčna zlasti na večjih farmah (znanje, tehnologija, organizacija</w:t>
      </w:r>
      <w:r>
        <w:rPr>
          <w:rFonts w:cs="Arial"/>
          <w:bCs/>
          <w:szCs w:val="20"/>
          <w:lang w:eastAsia="en-GB"/>
        </w:rPr>
        <w:t xml:space="preserve"> ter</w:t>
      </w:r>
      <w:r w:rsidRPr="007418EE">
        <w:rPr>
          <w:rFonts w:cs="Arial"/>
          <w:bCs/>
          <w:szCs w:val="20"/>
          <w:lang w:eastAsia="en-GB"/>
        </w:rPr>
        <w:t xml:space="preserve"> povezanost v verigi).</w:t>
      </w:r>
    </w:p>
    <w:p w14:paraId="2480B7A9" w14:textId="3C94F9AB" w:rsidR="00CF3CC6" w:rsidRPr="003360B4" w:rsidRDefault="00CF3CC6" w:rsidP="00CF3CC6">
      <w:pPr>
        <w:pStyle w:val="Naslov3"/>
        <w:rPr>
          <w:rFonts w:eastAsia="Calibri"/>
        </w:rPr>
      </w:pPr>
      <w:bookmarkStart w:id="149" w:name="_Toc55912203"/>
      <w:r w:rsidRPr="00026BDF">
        <w:rPr>
          <w:rFonts w:eastAsia="Calibri"/>
        </w:rPr>
        <w:t>Stanje v sektorju in osnovni ekonomski kazalniki</w:t>
      </w:r>
      <w:bookmarkEnd w:id="149"/>
    </w:p>
    <w:p w14:paraId="5FA69879" w14:textId="77777777" w:rsidR="00D91539" w:rsidRPr="00D05572" w:rsidRDefault="00D91539" w:rsidP="00D05572">
      <w:pPr>
        <w:spacing w:before="200" w:line="360" w:lineRule="auto"/>
        <w:jc w:val="both"/>
        <w:rPr>
          <w:rFonts w:cs="Arial"/>
          <w:bCs/>
          <w:szCs w:val="20"/>
          <w:lang w:eastAsia="en-GB"/>
        </w:rPr>
      </w:pPr>
      <w:r w:rsidRPr="00D05572">
        <w:rPr>
          <w:rFonts w:cs="Arial"/>
          <w:bCs/>
          <w:szCs w:val="20"/>
          <w:lang w:eastAsia="en-GB"/>
        </w:rPr>
        <w:t xml:space="preserve">Prispevek prireje mesa prašičev k vrednosti slovenskega kmetijstva se je v zadnjem desetletju zmanjševal. Po letu 2015, ko je bil zabeležen najnižji delež (3,3 %), je v letu 2019 znašal 4,2 %. K vrednosti živinoreje prašičereja od leta 2013 prispeva manj kot 10 %, leta 2019 je bil delež le 9,7 %. Panoga v primerjavi z drugimi kmetijskimi panogami od leta 2000 nazaduje. Leta 2005 se je s prašičerejo ukvarjalo 44 %, leta 2016 pa 32% kmetijskih gospodarstev (SURS podatki raziskovanja strukture kmetijskih gospodarstev). </w:t>
      </w:r>
    </w:p>
    <w:p w14:paraId="153436DF" w14:textId="77777777" w:rsidR="00D91539" w:rsidRPr="00D05572" w:rsidRDefault="00D91539" w:rsidP="00D05572">
      <w:pPr>
        <w:spacing w:before="200" w:line="360" w:lineRule="auto"/>
        <w:jc w:val="both"/>
        <w:rPr>
          <w:rFonts w:cs="Arial"/>
          <w:bCs/>
          <w:szCs w:val="20"/>
          <w:lang w:eastAsia="en-GB"/>
        </w:rPr>
      </w:pPr>
      <w:r w:rsidRPr="00D05572">
        <w:rPr>
          <w:rFonts w:cs="Arial"/>
          <w:bCs/>
          <w:szCs w:val="20"/>
          <w:lang w:eastAsia="en-GB"/>
        </w:rPr>
        <w:t xml:space="preserve">V zadnjem popisu kmetijskih gospodarstev (2013–2016) se je skupno število prašičev zmanjšalo za 5 % in leta 2016 znašalo 266 tisoč živali, zmanjšalo pa se je tudi povprečno število prašičev na gospodarstvo (iz 17,2 prašiča v letu 2007 na 12,1 prašiča v letu 2016). Intenzivna reja prašičev je skoncentrirana predvsem v pomurski, podravski in osrednjeslovenski regiji, kjer je skoraj polovica vseh prašičerejskih gospodarstev in kjer redijo več kot 76 % vseh prašičev v Sloveniji. Po številu prašičev na gospodarstvo izstopa predvsem osrednjeslovenska regija s povprečno 42 prašiči na kmetijsko gospodarstvo. To je kar desetkrat več kot v koroški regiji, kjer redijo manj kot štiri prašiče na kmetijsko gospodarstvo. </w:t>
      </w:r>
    </w:p>
    <w:p w14:paraId="0F29C57B" w14:textId="77777777" w:rsidR="00D91539" w:rsidRPr="00D05572" w:rsidRDefault="00D91539" w:rsidP="00D05572">
      <w:pPr>
        <w:spacing w:before="200" w:line="360" w:lineRule="auto"/>
        <w:jc w:val="both"/>
        <w:rPr>
          <w:rFonts w:cs="Arial"/>
          <w:bCs/>
          <w:szCs w:val="20"/>
          <w:lang w:eastAsia="en-GB"/>
        </w:rPr>
      </w:pPr>
      <w:r w:rsidRPr="00D05572">
        <w:rPr>
          <w:rFonts w:cs="Arial"/>
          <w:bCs/>
          <w:szCs w:val="20"/>
          <w:lang w:eastAsia="en-GB"/>
        </w:rPr>
        <w:t>Ciklično nihanje števila živali, ki je sicer značilno za prašičerejo, je po izrazitem zmanjšanju v letih 2003 in 2004, v letih 2005 in 2006 ponovno nekoliko poraslo (na 575 tisoč) in se po letu 2006 spremenilo v trend zmanjševanja staleža, ki se je v zadnjih letih nekoliko umiril. Po podatkih SURS je bilo konec leta 2019 v hlevih okoli 240 tisoč živali, kar je najmanj do sedaj. Število prašičev v ekološki reji stagnira in je nizko, tako da je bilo v letu 2019 vključenih le 3.252 prašičev oziroma 1,4 % črede.</w:t>
      </w:r>
    </w:p>
    <w:p w14:paraId="5089C990" w14:textId="77777777" w:rsidR="00D91539" w:rsidRPr="00D91539" w:rsidRDefault="00D91539" w:rsidP="00D91539">
      <w:pPr>
        <w:spacing w:before="200" w:line="360" w:lineRule="auto"/>
        <w:jc w:val="both"/>
        <w:rPr>
          <w:rFonts w:eastAsia="Times New Roman" w:cs="Arial"/>
          <w:szCs w:val="20"/>
          <w:lang w:eastAsia="en-GB"/>
        </w:rPr>
      </w:pPr>
      <w:r w:rsidRPr="00D91539">
        <w:rPr>
          <w:rFonts w:eastAsia="Times New Roman" w:cs="Arial"/>
          <w:szCs w:val="20"/>
          <w:lang w:eastAsia="en-GB"/>
        </w:rPr>
        <w:t xml:space="preserve">Slovenija ima izrazito </w:t>
      </w:r>
      <w:proofErr w:type="spellStart"/>
      <w:r w:rsidRPr="00D91539">
        <w:rPr>
          <w:rFonts w:eastAsia="Times New Roman" w:cs="Arial"/>
          <w:szCs w:val="20"/>
          <w:lang w:eastAsia="en-GB"/>
        </w:rPr>
        <w:t>dvopolarno</w:t>
      </w:r>
      <w:proofErr w:type="spellEnd"/>
      <w:r w:rsidRPr="00D91539">
        <w:rPr>
          <w:rFonts w:eastAsia="Times New Roman" w:cs="Arial"/>
          <w:szCs w:val="20"/>
          <w:lang w:eastAsia="en-GB"/>
        </w:rPr>
        <w:t xml:space="preserve"> strukturo kmetijskih gospodarstev s prašiči. Večina gospodarstev (87 %) še vedno redi manj kot 10 prašičev, večina staleža prašičev pa je na gospodarstvih, ki redijo 100 ali več prašičev (55 %). </w:t>
      </w:r>
    </w:p>
    <w:p w14:paraId="510676E6" w14:textId="77777777" w:rsidR="00D91539" w:rsidRPr="00D91539" w:rsidRDefault="00D91539" w:rsidP="00D91539">
      <w:pPr>
        <w:spacing w:before="200" w:line="360" w:lineRule="auto"/>
        <w:jc w:val="both"/>
        <w:rPr>
          <w:rFonts w:eastAsia="Times New Roman" w:cs="Arial"/>
          <w:szCs w:val="20"/>
          <w:lang w:eastAsia="en-GB"/>
        </w:rPr>
      </w:pPr>
      <w:r w:rsidRPr="00D91539">
        <w:rPr>
          <w:rFonts w:eastAsia="Times New Roman" w:cs="Arial"/>
          <w:szCs w:val="20"/>
          <w:lang w:eastAsia="en-GB"/>
        </w:rPr>
        <w:t>V letih 2007-2013 se je zmanjševal tudi prirast prašičev, ki pa se je v zadnjih šestih letih ustalil. V letu 2019 je bil 2 % nad ravnijo leta 2018 in je znašal dobrih 38 tisoč ton. V rejah se še naprej zmanjšuje interes za zagotavljanje plemenskega materiala, kar je podlaga oziroma pogoj za dolgoročen obstoj panoge in stabilnost trga s prašičjim mesom.</w:t>
      </w:r>
    </w:p>
    <w:p w14:paraId="781BFE45" w14:textId="50EC7A03" w:rsidR="00D91539" w:rsidRDefault="00D91539" w:rsidP="00D91539">
      <w:pPr>
        <w:pStyle w:val="SCPreglednica"/>
        <w:keepNext/>
        <w:keepLines/>
      </w:pPr>
      <w:bookmarkStart w:id="150" w:name="_Toc55913780"/>
      <w:r>
        <w:lastRenderedPageBreak/>
        <w:t xml:space="preserve">Slika </w:t>
      </w:r>
      <w:r>
        <w:fldChar w:fldCharType="begin"/>
      </w:r>
      <w:r>
        <w:instrText xml:space="preserve"> SEQ Slika \* ARABIC </w:instrText>
      </w:r>
      <w:r>
        <w:fldChar w:fldCharType="separate"/>
      </w:r>
      <w:r w:rsidR="0040635C">
        <w:rPr>
          <w:noProof/>
        </w:rPr>
        <w:t>31</w:t>
      </w:r>
      <w:r>
        <w:fldChar w:fldCharType="end"/>
      </w:r>
      <w:r>
        <w:t xml:space="preserve">: </w:t>
      </w:r>
      <w:r w:rsidRPr="00D91539">
        <w:t>Število in prirast prašičev (2007–2019)</w:t>
      </w:r>
      <w:bookmarkEnd w:id="150"/>
    </w:p>
    <w:p w14:paraId="6DC27007" w14:textId="77777777" w:rsidR="00D91539" w:rsidRPr="007418EE" w:rsidRDefault="00D91539" w:rsidP="00D91539">
      <w:pPr>
        <w:spacing w:after="0" w:line="360" w:lineRule="auto"/>
        <w:rPr>
          <w:rFonts w:eastAsia="Times New Roman" w:cs="Arial"/>
          <w:szCs w:val="20"/>
          <w:lang w:eastAsia="en-GB"/>
        </w:rPr>
      </w:pPr>
      <w:r w:rsidRPr="007418EE">
        <w:rPr>
          <w:rFonts w:eastAsia="Times New Roman" w:cs="Arial"/>
          <w:noProof/>
          <w:szCs w:val="20"/>
        </w:rPr>
        <w:drawing>
          <wp:inline distT="0" distB="0" distL="0" distR="0" wp14:anchorId="459DAD85" wp14:editId="4D16A055">
            <wp:extent cx="5704840" cy="221805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04840" cy="2218055"/>
                    </a:xfrm>
                    <a:prstGeom prst="rect">
                      <a:avLst/>
                    </a:prstGeom>
                    <a:noFill/>
                    <a:ln>
                      <a:noFill/>
                    </a:ln>
                  </pic:spPr>
                </pic:pic>
              </a:graphicData>
            </a:graphic>
          </wp:inline>
        </w:drawing>
      </w:r>
    </w:p>
    <w:p w14:paraId="57509D80" w14:textId="77777777" w:rsidR="00D91539" w:rsidRPr="007418EE" w:rsidRDefault="00D91539" w:rsidP="00D91539">
      <w:pPr>
        <w:spacing w:after="0" w:line="360" w:lineRule="auto"/>
        <w:rPr>
          <w:rFonts w:eastAsia="Times New Roman" w:cs="Arial"/>
          <w:bCs/>
          <w:sz w:val="16"/>
          <w:szCs w:val="16"/>
          <w:lang w:eastAsia="en-GB"/>
        </w:rPr>
      </w:pPr>
      <w:r w:rsidRPr="007418EE">
        <w:rPr>
          <w:rFonts w:eastAsia="Times New Roman" w:cs="Arial"/>
          <w:bCs/>
          <w:sz w:val="16"/>
          <w:szCs w:val="16"/>
          <w:lang w:eastAsia="en-GB"/>
        </w:rPr>
        <w:t>Vir: SURS</w:t>
      </w:r>
      <w:r>
        <w:rPr>
          <w:rFonts w:eastAsia="Times New Roman" w:cs="Arial"/>
          <w:bCs/>
          <w:sz w:val="16"/>
          <w:szCs w:val="16"/>
          <w:lang w:eastAsia="en-GB"/>
        </w:rPr>
        <w:t xml:space="preserve"> (ZP-2019)</w:t>
      </w:r>
    </w:p>
    <w:p w14:paraId="4AB720C6" w14:textId="77777777" w:rsidR="00D91539" w:rsidRPr="00D91539" w:rsidRDefault="00D91539" w:rsidP="00D91539">
      <w:pPr>
        <w:spacing w:before="200" w:line="360" w:lineRule="auto"/>
        <w:jc w:val="both"/>
        <w:rPr>
          <w:rFonts w:eastAsia="Times New Roman" w:cs="Arial"/>
          <w:szCs w:val="20"/>
          <w:lang w:eastAsia="en-GB"/>
        </w:rPr>
      </w:pPr>
      <w:r w:rsidRPr="00D91539">
        <w:rPr>
          <w:rFonts w:eastAsia="Times New Roman" w:cs="Arial"/>
          <w:szCs w:val="20"/>
          <w:lang w:eastAsia="en-GB"/>
        </w:rPr>
        <w:t xml:space="preserve">Domača prireja mesa prašičev je v letu 2019 znašala 30,5 tisoč ton, poraba pa slabih 76,7 tisoč ton. Najvišja je bila v letih 2004-2006 (okoli 90 tisoč ton), nato v obdobju 2007-2010 okoli 85 tisoč ton in v letu 2018 78 tisoč ton. Poraba prašičjega mesa na prebivalca je v letu 2019 znašala 36,7 kg in med leti nekoliko niha ter je v zadnjem desetletju za okoli petino večja od povprečja v EU. </w:t>
      </w:r>
    </w:p>
    <w:p w14:paraId="6E712DA2" w14:textId="77777777" w:rsidR="00D91539" w:rsidRPr="00D91539" w:rsidRDefault="00D91539" w:rsidP="00D91539">
      <w:pPr>
        <w:spacing w:before="200" w:line="360" w:lineRule="auto"/>
        <w:jc w:val="both"/>
        <w:rPr>
          <w:rFonts w:eastAsia="Times New Roman" w:cs="Arial"/>
          <w:szCs w:val="20"/>
          <w:lang w:eastAsia="en-GB"/>
        </w:rPr>
      </w:pPr>
      <w:r w:rsidRPr="00D91539">
        <w:rPr>
          <w:rFonts w:eastAsia="Times New Roman" w:cs="Arial"/>
          <w:szCs w:val="20"/>
          <w:lang w:eastAsia="en-GB"/>
        </w:rPr>
        <w:t>Stopnja samooskrbe je bila 80 % v letih 2000 do 2004, v letu 2016 je znašala najmanj v zgodovini Slovenije (34 %) in je do leta 2019 narasla na slabih 40 %.</w:t>
      </w:r>
    </w:p>
    <w:p w14:paraId="06F09AAA" w14:textId="77777777" w:rsidR="00D91539" w:rsidRPr="00D91539" w:rsidRDefault="00D91539" w:rsidP="00D91539">
      <w:pPr>
        <w:spacing w:before="200" w:line="360" w:lineRule="auto"/>
        <w:jc w:val="both"/>
        <w:rPr>
          <w:rFonts w:eastAsia="Times New Roman" w:cs="Arial"/>
          <w:szCs w:val="20"/>
          <w:lang w:eastAsia="en-GB"/>
        </w:rPr>
      </w:pPr>
      <w:r w:rsidRPr="00D91539">
        <w:rPr>
          <w:rFonts w:eastAsia="Times New Roman" w:cs="Arial"/>
          <w:szCs w:val="20"/>
          <w:lang w:eastAsia="en-GB"/>
        </w:rPr>
        <w:t>Slovenija je tradicionalna neto uvoznica prašičjega mesa, večinoma se povečujeta tako izvoz kot uvoz prašičjega mesa. V letu 2019 je skupni obseg zunanje trgovine s prašiči (v ekvivalentu klavnih polovic) znašal 87,8 tisoč ton, primanjkljaj pa 46 tisoč ton. Povečevanje izvoza prašičjega mesa se je začelo po letu 2013 in je doseglo v letu 2019 skoraj 21 tisoč ton. Slovenija izvaža predvsem izdelke iz prašičjega mesa (67 % izvoza), preostalo predstavlja izvoz mesa, izvoza živih živali pa skoraj ni bilo. V uvozu največji delež predstavlja meso (84 %), preostalo pa izdelki in žive živali. Uvoz živih živali je skoncentriran na uvoz pujskov za nadaljnjo rejo.</w:t>
      </w:r>
    </w:p>
    <w:p w14:paraId="576A1425" w14:textId="77777777" w:rsidR="00D91539" w:rsidRPr="00D91539" w:rsidRDefault="00D91539" w:rsidP="00D91539">
      <w:pPr>
        <w:spacing w:before="200" w:line="360" w:lineRule="auto"/>
        <w:jc w:val="both"/>
        <w:rPr>
          <w:rFonts w:eastAsia="Times New Roman" w:cs="Arial"/>
          <w:iCs/>
          <w:szCs w:val="20"/>
          <w:lang w:eastAsia="en-GB"/>
        </w:rPr>
      </w:pPr>
      <w:r w:rsidRPr="00D91539">
        <w:rPr>
          <w:rFonts w:eastAsia="Times New Roman" w:cs="Arial"/>
          <w:iCs/>
          <w:szCs w:val="20"/>
          <w:lang w:eastAsia="en-GB"/>
        </w:rPr>
        <w:t xml:space="preserve">Po več kot desetletju splošno slabega </w:t>
      </w:r>
      <w:r w:rsidRPr="00D91539">
        <w:rPr>
          <w:rFonts w:eastAsia="Times New Roman" w:cs="Arial"/>
          <w:szCs w:val="20"/>
          <w:lang w:eastAsia="en-GB"/>
        </w:rPr>
        <w:t>ekonomskega položaja prašičerejcev</w:t>
      </w:r>
      <w:r w:rsidRPr="00D91539">
        <w:rPr>
          <w:rFonts w:eastAsia="Times New Roman" w:cs="Arial"/>
          <w:iCs/>
          <w:szCs w:val="20"/>
          <w:lang w:eastAsia="en-GB"/>
        </w:rPr>
        <w:t xml:space="preserve"> so bile razmere v letu 2019 nadvse ugodne. Dohodki so se po močnem znižanju od leta 2006, ko so bili med najnižjimi v sklopu kmetijskih proizvodnih usmeritev, izrazito povečali. </w:t>
      </w:r>
    </w:p>
    <w:p w14:paraId="65777142" w14:textId="0542CA4A" w:rsidR="00D91539" w:rsidRDefault="00D91539" w:rsidP="00D91539">
      <w:pPr>
        <w:pStyle w:val="SCPreglednica"/>
        <w:keepNext/>
        <w:keepLines/>
      </w:pPr>
      <w:bookmarkStart w:id="151" w:name="_Toc55913781"/>
      <w:r>
        <w:lastRenderedPageBreak/>
        <w:t xml:space="preserve">Slika </w:t>
      </w:r>
      <w:r>
        <w:fldChar w:fldCharType="begin"/>
      </w:r>
      <w:r>
        <w:instrText xml:space="preserve"> SEQ Slika \* ARABIC </w:instrText>
      </w:r>
      <w:r>
        <w:fldChar w:fldCharType="separate"/>
      </w:r>
      <w:r w:rsidR="0040635C">
        <w:rPr>
          <w:noProof/>
        </w:rPr>
        <w:t>32</w:t>
      </w:r>
      <w:r>
        <w:fldChar w:fldCharType="end"/>
      </w:r>
      <w:r>
        <w:t xml:space="preserve">: </w:t>
      </w:r>
      <w:r w:rsidRPr="00D91539">
        <w:t>Osnovni ekonomski kazalniki pri pitanju prašičev (indeks; povprečje 2014–2018 = 100)</w:t>
      </w:r>
      <w:bookmarkEnd w:id="151"/>
    </w:p>
    <w:p w14:paraId="0A45272B" w14:textId="77777777" w:rsidR="00D91539" w:rsidRPr="007418EE" w:rsidRDefault="00D91539" w:rsidP="00D91539">
      <w:pPr>
        <w:spacing w:after="0" w:line="360" w:lineRule="auto"/>
        <w:jc w:val="center"/>
        <w:rPr>
          <w:rFonts w:eastAsia="Times New Roman" w:cs="Arial"/>
          <w:noProof/>
          <w:szCs w:val="20"/>
        </w:rPr>
      </w:pPr>
      <w:r w:rsidRPr="007418EE">
        <w:rPr>
          <w:rFonts w:eastAsia="Times New Roman" w:cs="Arial"/>
          <w:noProof/>
          <w:szCs w:val="20"/>
        </w:rPr>
        <w:drawing>
          <wp:inline distT="0" distB="0" distL="0" distR="0" wp14:anchorId="7811AE9F" wp14:editId="5965107B">
            <wp:extent cx="5706110" cy="2143760"/>
            <wp:effectExtent l="0" t="0" r="8890" b="889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6110" cy="2143760"/>
                    </a:xfrm>
                    <a:prstGeom prst="rect">
                      <a:avLst/>
                    </a:prstGeom>
                    <a:noFill/>
                    <a:ln>
                      <a:noFill/>
                    </a:ln>
                  </pic:spPr>
                </pic:pic>
              </a:graphicData>
            </a:graphic>
          </wp:inline>
        </w:drawing>
      </w:r>
    </w:p>
    <w:p w14:paraId="19FC59C4" w14:textId="77777777" w:rsidR="00D91539" w:rsidRPr="007418EE" w:rsidRDefault="00D91539" w:rsidP="00D91539">
      <w:pPr>
        <w:widowControl w:val="0"/>
        <w:spacing w:after="0" w:line="360" w:lineRule="auto"/>
        <w:ind w:left="170" w:hanging="170"/>
        <w:rPr>
          <w:rFonts w:eastAsia="Times New Roman" w:cs="Arial"/>
          <w:sz w:val="16"/>
          <w:szCs w:val="16"/>
        </w:rPr>
      </w:pPr>
      <w:r w:rsidRPr="007418EE">
        <w:rPr>
          <w:rFonts w:eastAsia="Times New Roman" w:cs="Arial"/>
          <w:sz w:val="16"/>
          <w:szCs w:val="16"/>
        </w:rPr>
        <w:t>Vir: Modelne kalkulacije KIS</w:t>
      </w:r>
      <w:r>
        <w:rPr>
          <w:rFonts w:eastAsia="Times New Roman" w:cs="Arial"/>
          <w:sz w:val="16"/>
          <w:szCs w:val="16"/>
        </w:rPr>
        <w:t xml:space="preserve"> (ZP-2019)</w:t>
      </w:r>
    </w:p>
    <w:p w14:paraId="010C7013" w14:textId="77777777" w:rsidR="00D91539" w:rsidRPr="00D91539" w:rsidRDefault="00D91539" w:rsidP="00D91539">
      <w:pPr>
        <w:spacing w:before="200" w:line="360" w:lineRule="auto"/>
        <w:jc w:val="both"/>
        <w:rPr>
          <w:rFonts w:eastAsia="Times New Roman" w:cs="Arial"/>
          <w:bCs/>
          <w:szCs w:val="20"/>
          <w:lang w:eastAsia="en-GB"/>
        </w:rPr>
      </w:pPr>
      <w:r w:rsidRPr="00D91539">
        <w:rPr>
          <w:rFonts w:eastAsia="Times New Roman" w:cs="Arial"/>
          <w:bCs/>
          <w:szCs w:val="20"/>
          <w:lang w:eastAsia="en-GB"/>
        </w:rPr>
        <w:t xml:space="preserve">Cene prašičev se v Sloveniji oblikujejo pod močnim vplivom cen na evropskem trgu, ki med leti ciklično zelo nihajo. Slovenija se že nekaj let uvršča v prvo tretjino držav z najvišjo odkupno ceno v EU. Odkupna cena v letu 2019 je bila 7 % nad povprečjem EU. </w:t>
      </w:r>
    </w:p>
    <w:p w14:paraId="55344166" w14:textId="77777777" w:rsidR="00D91539" w:rsidRPr="00D91539" w:rsidRDefault="00D91539" w:rsidP="00D91539">
      <w:pPr>
        <w:spacing w:before="200" w:line="360" w:lineRule="auto"/>
        <w:jc w:val="both"/>
        <w:rPr>
          <w:rFonts w:eastAsia="Times New Roman" w:cs="Arial"/>
          <w:bCs/>
          <w:szCs w:val="20"/>
        </w:rPr>
      </w:pPr>
      <w:r w:rsidRPr="00D91539">
        <w:rPr>
          <w:rFonts w:eastAsia="Times New Roman" w:cs="Arial"/>
          <w:bCs/>
          <w:szCs w:val="20"/>
        </w:rPr>
        <w:t xml:space="preserve">Vpliv prašičereje na okolje v glavnem ni ugoden zaradi potencialnega onesnaževanja predvsem podtalnice z nitrati in kloridi, površinskih voda s fosfati in okolice z amonijakom ter smradom. Prašičereja ni priljubljena zlasti v urbanih okoljih (smrad, vedno večji konflikti pri umeščanju prašičerejskih objektov v prostor). Zato so potrebna večja vlaganja v čistilne naprave, opremo in drugo infrastrukturo. </w:t>
      </w:r>
    </w:p>
    <w:p w14:paraId="50BDBE3F" w14:textId="77777777" w:rsidR="00D91539" w:rsidRPr="00D91539" w:rsidRDefault="00D91539" w:rsidP="00D91539">
      <w:pPr>
        <w:spacing w:before="200" w:line="360" w:lineRule="auto"/>
        <w:jc w:val="both"/>
        <w:rPr>
          <w:rFonts w:eastAsia="Times New Roman" w:cs="Arial"/>
          <w:bCs/>
          <w:szCs w:val="20"/>
        </w:rPr>
      </w:pPr>
      <w:r w:rsidRPr="00D91539">
        <w:rPr>
          <w:rFonts w:eastAsia="Times New Roman" w:cs="Arial"/>
          <w:bCs/>
          <w:szCs w:val="20"/>
        </w:rPr>
        <w:t xml:space="preserve">Zaradi značilnosti prašičereje je nujno dosledno izboljševanje in izvajanje </w:t>
      </w:r>
      <w:proofErr w:type="spellStart"/>
      <w:r w:rsidRPr="00D91539">
        <w:rPr>
          <w:rFonts w:eastAsia="Times New Roman" w:cs="Arial"/>
          <w:bCs/>
          <w:szCs w:val="20"/>
        </w:rPr>
        <w:t>biovarnostnih</w:t>
      </w:r>
      <w:proofErr w:type="spellEnd"/>
      <w:r w:rsidRPr="00D91539">
        <w:rPr>
          <w:rFonts w:eastAsia="Times New Roman" w:cs="Arial"/>
          <w:bCs/>
          <w:szCs w:val="20"/>
        </w:rPr>
        <w:t xml:space="preserve"> ukrepov. Pri odprtih rejah (na primer ekološke reje) je tveganje večje kot pri zaprtih rejah. Še posebej je velika nevarnost vnosa </w:t>
      </w:r>
      <w:proofErr w:type="spellStart"/>
      <w:r w:rsidRPr="00D91539">
        <w:rPr>
          <w:rFonts w:eastAsia="Times New Roman" w:cs="Arial"/>
          <w:bCs/>
          <w:szCs w:val="20"/>
        </w:rPr>
        <w:t>afiriške</w:t>
      </w:r>
      <w:proofErr w:type="spellEnd"/>
      <w:r w:rsidRPr="00D91539">
        <w:rPr>
          <w:rFonts w:eastAsia="Times New Roman" w:cs="Arial"/>
          <w:bCs/>
          <w:szCs w:val="20"/>
        </w:rPr>
        <w:t xml:space="preserve"> prašičje kuge (APK) in drugih kužnih bolezni.</w:t>
      </w:r>
    </w:p>
    <w:p w14:paraId="1A38542D" w14:textId="77777777" w:rsidR="00D91539" w:rsidRPr="00D91539" w:rsidRDefault="00D91539" w:rsidP="00D91539">
      <w:pPr>
        <w:spacing w:before="200" w:line="360" w:lineRule="auto"/>
        <w:jc w:val="both"/>
        <w:rPr>
          <w:rFonts w:eastAsia="Times New Roman" w:cs="Arial"/>
          <w:bCs/>
          <w:szCs w:val="20"/>
          <w:lang w:eastAsia="en-GB"/>
        </w:rPr>
      </w:pPr>
      <w:r w:rsidRPr="00D91539">
        <w:rPr>
          <w:rFonts w:eastAsia="Times New Roman" w:cs="Arial"/>
          <w:bCs/>
          <w:szCs w:val="20"/>
          <w:lang w:eastAsia="en-GB"/>
        </w:rPr>
        <w:t xml:space="preserve">V okviru SKP 2014 – 2020 lahko prašičerejci za svoje kmetijske površine uveljavljajo osnovno plačilo, plačilo za zeleno komponento in, če so mladi kmetje, tudi plačilo za mlade kmete, prav tako pa je pomembna podpora za strna žita in glede na podatke tudi podpora za zelenjadnice. Po podatkih ARSKTRP o izplačilih neposrednih plačil za leto 2019 je seštevek osnovnega plačila (plačilna pravica) in plačila za zeleno komponento na kmetijskih gospodarstvih, ki imajo tudi prašiče 269 EUR/ha. Povprečna vrednost plačilnih pravic znaša 172 EUR/ha, kar je nekoliko nad povprečjem (160 EUR/ha). Kmetijska gospodarstva, ki redijo prašiče pa uveljavljajo tudi proizvodno vezano podporo za strna žita, ki jo je prejelo 7.770 KMG in proizvodno vezano podporo za zelenjavo, ki jo je prejelo 292 KMG. </w:t>
      </w:r>
    </w:p>
    <w:p w14:paraId="7E01FB4A" w14:textId="77777777" w:rsidR="00D91539" w:rsidRPr="00D91539" w:rsidRDefault="00D91539" w:rsidP="00D91539">
      <w:pPr>
        <w:spacing w:before="200" w:line="360" w:lineRule="auto"/>
        <w:jc w:val="both"/>
        <w:rPr>
          <w:rFonts w:eastAsia="Times New Roman" w:cs="Arial"/>
          <w:bCs/>
          <w:szCs w:val="20"/>
          <w:lang w:eastAsia="en-GB"/>
        </w:rPr>
      </w:pPr>
      <w:r w:rsidRPr="00D91539">
        <w:rPr>
          <w:rFonts w:eastAsia="Times New Roman" w:cs="Arial"/>
          <w:bCs/>
          <w:szCs w:val="20"/>
          <w:lang w:eastAsia="en-GB"/>
        </w:rPr>
        <w:t xml:space="preserve">Skupno je bilo v programskem obdobju PRP 2014-2020 do 31. 8. 2019 odobrenih 80 vlog pri ukrepih investicij, mladih kmetov, prenosa znanja in informiranja ter dobrobiti živali za prašičerejska kmetijska gospodarstva z zneskom 21,22 milijona EUR. Od tega je bilo do 31. 8. 2019 izplačanih 13,21 milijona EUR. Dodatno so ta KMG prejela tudi približno 14 milijonov sredstev v okviru KOPOP </w:t>
      </w:r>
      <w:proofErr w:type="spellStart"/>
      <w:r w:rsidRPr="00D91539">
        <w:rPr>
          <w:rFonts w:eastAsia="Times New Roman" w:cs="Arial"/>
          <w:bCs/>
          <w:szCs w:val="20"/>
          <w:lang w:eastAsia="en-GB"/>
        </w:rPr>
        <w:t>podukrepov</w:t>
      </w:r>
      <w:proofErr w:type="spellEnd"/>
      <w:r w:rsidRPr="00D91539">
        <w:rPr>
          <w:rFonts w:eastAsia="Times New Roman" w:cs="Arial"/>
          <w:bCs/>
          <w:szCs w:val="20"/>
          <w:lang w:eastAsia="en-GB"/>
        </w:rPr>
        <w:t xml:space="preserve">, med drugimi tudi za ohranjanje avtohtone pasme </w:t>
      </w:r>
      <w:proofErr w:type="spellStart"/>
      <w:r w:rsidRPr="00D91539">
        <w:rPr>
          <w:rFonts w:eastAsia="Times New Roman" w:cs="Arial"/>
          <w:bCs/>
          <w:szCs w:val="20"/>
          <w:lang w:eastAsia="en-GB"/>
        </w:rPr>
        <w:t>krškopoljski</w:t>
      </w:r>
      <w:proofErr w:type="spellEnd"/>
      <w:r w:rsidRPr="00D91539">
        <w:rPr>
          <w:rFonts w:eastAsia="Times New Roman" w:cs="Arial"/>
          <w:bCs/>
          <w:szCs w:val="20"/>
          <w:lang w:eastAsia="en-GB"/>
        </w:rPr>
        <w:t xml:space="preserve"> prašič.</w:t>
      </w:r>
    </w:p>
    <w:p w14:paraId="2D1247E3" w14:textId="77777777" w:rsidR="00D91539" w:rsidRPr="007A5B66" w:rsidRDefault="00D91539" w:rsidP="007A5B66">
      <w:pPr>
        <w:autoSpaceDE w:val="0"/>
        <w:autoSpaceDN w:val="0"/>
        <w:adjustRightInd w:val="0"/>
        <w:spacing w:before="200" w:line="360" w:lineRule="auto"/>
        <w:jc w:val="both"/>
        <w:rPr>
          <w:rFonts w:eastAsia="Times New Roman" w:cs="Arial"/>
          <w:bCs/>
          <w:kern w:val="1"/>
          <w:szCs w:val="20"/>
        </w:rPr>
      </w:pPr>
      <w:r w:rsidRPr="007A5B66">
        <w:rPr>
          <w:rFonts w:eastAsia="Times New Roman" w:cs="Arial"/>
          <w:bCs/>
          <w:kern w:val="1"/>
          <w:szCs w:val="20"/>
        </w:rPr>
        <w:lastRenderedPageBreak/>
        <w:t>Na področju dobrobiti prašičev se stanje izboljšuje. Ukrep se izvaja od leta 2014, vanj pa je bilo do sedaj vključenih 302 kmetijskih gospodarstev. V letu 2019 je bilo v ukrepu že 50 % vseh GVŽ prašičev. Izvajanje ukrepa dobrobiti živali je potrebno ohraniti in krepiti še naprej, težave so pri pridobivanju dodatnih zemljišč za povečanje proizvodnje, potrebna so velika vlaganja v posodobitev in novogradnje objektov in opreme, digitalizacije ipd.</w:t>
      </w:r>
    </w:p>
    <w:p w14:paraId="315C88A3" w14:textId="77777777" w:rsidR="00D91539" w:rsidRPr="007A5B66" w:rsidRDefault="00D91539" w:rsidP="007A5B66">
      <w:pPr>
        <w:autoSpaceDE w:val="0"/>
        <w:autoSpaceDN w:val="0"/>
        <w:adjustRightInd w:val="0"/>
        <w:spacing w:before="200" w:line="360" w:lineRule="auto"/>
        <w:jc w:val="both"/>
        <w:rPr>
          <w:rFonts w:eastAsia="Times New Roman" w:cs="Arial"/>
          <w:bCs/>
          <w:kern w:val="1"/>
          <w:szCs w:val="20"/>
        </w:rPr>
      </w:pPr>
      <w:r w:rsidRPr="007A5B66">
        <w:rPr>
          <w:rFonts w:eastAsia="Times New Roman" w:cs="Arial"/>
          <w:bCs/>
          <w:kern w:val="1"/>
          <w:szCs w:val="20"/>
        </w:rPr>
        <w:t xml:space="preserve">Ukrepi podpor de </w:t>
      </w:r>
      <w:proofErr w:type="spellStart"/>
      <w:r w:rsidRPr="007A5B66">
        <w:rPr>
          <w:rFonts w:eastAsia="Times New Roman" w:cs="Arial"/>
          <w:bCs/>
          <w:kern w:val="1"/>
          <w:szCs w:val="20"/>
        </w:rPr>
        <w:t>minimis</w:t>
      </w:r>
      <w:proofErr w:type="spellEnd"/>
      <w:r w:rsidRPr="007A5B66">
        <w:rPr>
          <w:rFonts w:eastAsia="Times New Roman" w:cs="Arial"/>
          <w:bCs/>
          <w:kern w:val="1"/>
          <w:szCs w:val="20"/>
        </w:rPr>
        <w:t xml:space="preserve"> v prašičereji so bili v preteklosti uporabljeni le izjemoma za blažitev poslabšanja ekonomskega položaja.</w:t>
      </w:r>
    </w:p>
    <w:p w14:paraId="45F29F65" w14:textId="77777777" w:rsidR="00D91539" w:rsidRPr="007A5B66" w:rsidRDefault="00D91539" w:rsidP="007A5B66">
      <w:pPr>
        <w:autoSpaceDE w:val="0"/>
        <w:autoSpaceDN w:val="0"/>
        <w:adjustRightInd w:val="0"/>
        <w:spacing w:before="200" w:line="360" w:lineRule="auto"/>
        <w:jc w:val="both"/>
        <w:rPr>
          <w:rFonts w:eastAsia="Times New Roman" w:cs="Arial"/>
          <w:bCs/>
          <w:kern w:val="1"/>
          <w:szCs w:val="20"/>
        </w:rPr>
      </w:pPr>
      <w:r w:rsidRPr="007A5B66">
        <w:rPr>
          <w:rFonts w:eastAsia="Times New Roman" w:cs="Arial"/>
          <w:bCs/>
          <w:kern w:val="1"/>
          <w:szCs w:val="20"/>
        </w:rPr>
        <w:t>Poleg podpor prek zemljišč in podpor iz PRP-ja so rejci upravičeni do regresa za zavarovanje živali (bolezni) - 20 % sofinanciranja premije in v letu 2019 do 30 % sofinanciranja in imajo pravico vračila dela trošarine za gorivo iz kmetijstva 70 % od leta 2009 dalje.</w:t>
      </w:r>
    </w:p>
    <w:p w14:paraId="07D9B8CA" w14:textId="77777777" w:rsidR="00D91539" w:rsidRPr="00D91539" w:rsidRDefault="00D91539" w:rsidP="00D91539">
      <w:pPr>
        <w:autoSpaceDE w:val="0"/>
        <w:autoSpaceDN w:val="0"/>
        <w:adjustRightInd w:val="0"/>
        <w:spacing w:before="200" w:line="360" w:lineRule="auto"/>
        <w:jc w:val="both"/>
        <w:rPr>
          <w:rFonts w:eastAsia="Times New Roman" w:cs="Arial"/>
          <w:bCs/>
          <w:kern w:val="1"/>
          <w:szCs w:val="20"/>
        </w:rPr>
      </w:pPr>
      <w:r w:rsidRPr="00D91539">
        <w:rPr>
          <w:rFonts w:eastAsia="Times New Roman" w:cs="Arial"/>
          <w:bCs/>
          <w:kern w:val="1"/>
          <w:szCs w:val="20"/>
        </w:rPr>
        <w:t xml:space="preserve">Prašičereja je vključena v izvajanje javne službe strokovnih nalog v živinoreji in javne službe nalog genske banke v živinoreji. V javno službo strokovnih nalog na področju prašičereje so vključene naslednje pasme oz. linije: slovenska </w:t>
      </w:r>
      <w:proofErr w:type="spellStart"/>
      <w:r w:rsidRPr="00D91539">
        <w:rPr>
          <w:rFonts w:eastAsia="Times New Roman" w:cs="Arial"/>
          <w:bCs/>
          <w:kern w:val="1"/>
          <w:szCs w:val="20"/>
        </w:rPr>
        <w:t>landrace</w:t>
      </w:r>
      <w:proofErr w:type="spellEnd"/>
      <w:r w:rsidRPr="00D91539">
        <w:rPr>
          <w:rFonts w:eastAsia="Times New Roman" w:cs="Arial"/>
          <w:bCs/>
          <w:kern w:val="1"/>
          <w:szCs w:val="20"/>
        </w:rPr>
        <w:t xml:space="preserve"> (linija 11), slovenski veliki beli prašič (linija 22), </w:t>
      </w:r>
      <w:proofErr w:type="spellStart"/>
      <w:r w:rsidRPr="00D91539">
        <w:rPr>
          <w:rFonts w:eastAsia="Times New Roman" w:cs="Arial"/>
          <w:bCs/>
          <w:kern w:val="1"/>
          <w:szCs w:val="20"/>
        </w:rPr>
        <w:t>pietrain</w:t>
      </w:r>
      <w:proofErr w:type="spellEnd"/>
      <w:r w:rsidRPr="00D91539">
        <w:rPr>
          <w:rFonts w:eastAsia="Times New Roman" w:cs="Arial"/>
          <w:bCs/>
          <w:kern w:val="1"/>
          <w:szCs w:val="20"/>
        </w:rPr>
        <w:t xml:space="preserve"> (44), slovenska </w:t>
      </w:r>
      <w:proofErr w:type="spellStart"/>
      <w:r w:rsidRPr="00D91539">
        <w:rPr>
          <w:rFonts w:eastAsia="Times New Roman" w:cs="Arial"/>
          <w:bCs/>
          <w:kern w:val="1"/>
          <w:szCs w:val="20"/>
        </w:rPr>
        <w:t>landrace</w:t>
      </w:r>
      <w:proofErr w:type="spellEnd"/>
      <w:r w:rsidRPr="00D91539">
        <w:rPr>
          <w:rFonts w:eastAsia="Times New Roman" w:cs="Arial"/>
          <w:bCs/>
          <w:kern w:val="1"/>
          <w:szCs w:val="20"/>
        </w:rPr>
        <w:t xml:space="preserve"> (linija 55), </w:t>
      </w:r>
      <w:proofErr w:type="spellStart"/>
      <w:r w:rsidRPr="00D91539">
        <w:rPr>
          <w:rFonts w:eastAsia="Times New Roman" w:cs="Arial"/>
          <w:bCs/>
          <w:kern w:val="1"/>
          <w:szCs w:val="20"/>
        </w:rPr>
        <w:t>krškopoljski</w:t>
      </w:r>
      <w:proofErr w:type="spellEnd"/>
      <w:r w:rsidRPr="00D91539">
        <w:rPr>
          <w:rFonts w:eastAsia="Times New Roman" w:cs="Arial"/>
          <w:bCs/>
          <w:kern w:val="1"/>
          <w:szCs w:val="20"/>
        </w:rPr>
        <w:t xml:space="preserve"> prašič (88), hibrid 12, hibrid 21 in hibrid 54. V sklopu teh nalog se izvaja predvsem izboljševanje proizvodnih in neproizvodnih lastnosti čistopasemskih plemenskih živali ter ohranjanje genetskega napredka, skrbi se za plemenski material in živali, ki so vpisane v rodovniške knjige in registre ter doseganje boljše kakovosti živinorejskih proizvodov.</w:t>
      </w:r>
    </w:p>
    <w:p w14:paraId="4692E1B8" w14:textId="77777777" w:rsidR="00D91539" w:rsidRPr="00D91539" w:rsidRDefault="00D91539" w:rsidP="00D91539">
      <w:pPr>
        <w:autoSpaceDE w:val="0"/>
        <w:autoSpaceDN w:val="0"/>
        <w:adjustRightInd w:val="0"/>
        <w:spacing w:before="200" w:line="360" w:lineRule="auto"/>
        <w:jc w:val="both"/>
        <w:rPr>
          <w:rFonts w:eastAsia="Times New Roman" w:cs="Arial"/>
          <w:bCs/>
          <w:kern w:val="1"/>
          <w:szCs w:val="20"/>
        </w:rPr>
      </w:pPr>
      <w:r w:rsidRPr="00D91539">
        <w:rPr>
          <w:rFonts w:eastAsia="Times New Roman" w:cs="Arial"/>
          <w:bCs/>
          <w:kern w:val="1"/>
          <w:szCs w:val="20"/>
        </w:rPr>
        <w:t xml:space="preserve">V okviru javne službe nalog genske banke v živinoreji se varuje/ohranja edina avtohtona pasma prašičev, </w:t>
      </w:r>
      <w:proofErr w:type="spellStart"/>
      <w:r w:rsidRPr="00D91539">
        <w:rPr>
          <w:rFonts w:eastAsia="Times New Roman" w:cs="Arial"/>
          <w:bCs/>
          <w:kern w:val="1"/>
          <w:szCs w:val="20"/>
        </w:rPr>
        <w:t>krškopoljski</w:t>
      </w:r>
      <w:proofErr w:type="spellEnd"/>
      <w:r w:rsidRPr="00D91539">
        <w:rPr>
          <w:rFonts w:eastAsia="Times New Roman" w:cs="Arial"/>
          <w:bCs/>
          <w:kern w:val="1"/>
          <w:szCs w:val="20"/>
        </w:rPr>
        <w:t xml:space="preserve"> prašič, ki ima drugo stopnjo ogroženosti. V letu 2019 se je Register pasem z zootehniško oceno vodil za pet pasem prašičev: </w:t>
      </w:r>
      <w:proofErr w:type="spellStart"/>
      <w:r w:rsidRPr="00D91539">
        <w:rPr>
          <w:rFonts w:eastAsia="Times New Roman" w:cs="Arial"/>
          <w:bCs/>
          <w:kern w:val="1"/>
          <w:szCs w:val="20"/>
        </w:rPr>
        <w:t>krškopoljski</w:t>
      </w:r>
      <w:proofErr w:type="spellEnd"/>
      <w:r w:rsidRPr="00D91539">
        <w:rPr>
          <w:rFonts w:eastAsia="Times New Roman" w:cs="Arial"/>
          <w:bCs/>
          <w:kern w:val="1"/>
          <w:szCs w:val="20"/>
        </w:rPr>
        <w:t xml:space="preserve"> prašič, slovenska </w:t>
      </w:r>
      <w:proofErr w:type="spellStart"/>
      <w:r w:rsidRPr="00D91539">
        <w:rPr>
          <w:rFonts w:eastAsia="Times New Roman" w:cs="Arial"/>
          <w:bCs/>
          <w:kern w:val="1"/>
          <w:szCs w:val="20"/>
        </w:rPr>
        <w:t>landrace</w:t>
      </w:r>
      <w:proofErr w:type="spellEnd"/>
      <w:r w:rsidRPr="00D91539">
        <w:rPr>
          <w:rFonts w:eastAsia="Times New Roman" w:cs="Arial"/>
          <w:bCs/>
          <w:kern w:val="1"/>
          <w:szCs w:val="20"/>
        </w:rPr>
        <w:t xml:space="preserve"> (linija 11), slovenska </w:t>
      </w:r>
      <w:proofErr w:type="spellStart"/>
      <w:r w:rsidRPr="00D91539">
        <w:rPr>
          <w:rFonts w:eastAsia="Times New Roman" w:cs="Arial"/>
          <w:bCs/>
          <w:kern w:val="1"/>
          <w:szCs w:val="20"/>
        </w:rPr>
        <w:t>landrace</w:t>
      </w:r>
      <w:proofErr w:type="spellEnd"/>
      <w:r w:rsidRPr="00D91539">
        <w:rPr>
          <w:rFonts w:eastAsia="Times New Roman" w:cs="Arial"/>
          <w:bCs/>
          <w:kern w:val="1"/>
          <w:szCs w:val="20"/>
        </w:rPr>
        <w:t xml:space="preserve"> (linija 55), slovenski veliki beli prašič (linija 22) in </w:t>
      </w:r>
      <w:proofErr w:type="spellStart"/>
      <w:r w:rsidRPr="00D91539">
        <w:rPr>
          <w:rFonts w:eastAsia="Times New Roman" w:cs="Arial"/>
          <w:bCs/>
          <w:kern w:val="1"/>
          <w:szCs w:val="20"/>
        </w:rPr>
        <w:t>pietrain</w:t>
      </w:r>
      <w:proofErr w:type="spellEnd"/>
      <w:r w:rsidRPr="00D91539">
        <w:rPr>
          <w:rFonts w:eastAsia="Times New Roman" w:cs="Arial"/>
          <w:bCs/>
          <w:kern w:val="1"/>
          <w:szCs w:val="20"/>
        </w:rPr>
        <w:t xml:space="preserve"> (44). Javna služba opravlja naloge na področjih spremljanja stanja in karakterizacije pasem, mehanizmih trajnostne rabe in razvoja, oblik ohranjanja živalskih genskih virov ter politik upravljanja živalskih genskih virov.</w:t>
      </w:r>
    </w:p>
    <w:p w14:paraId="0BEA1C80" w14:textId="77777777" w:rsidR="00D91539" w:rsidRPr="00D91539" w:rsidRDefault="00D91539" w:rsidP="00D91539">
      <w:pPr>
        <w:autoSpaceDE w:val="0"/>
        <w:autoSpaceDN w:val="0"/>
        <w:adjustRightInd w:val="0"/>
        <w:spacing w:before="200" w:line="360" w:lineRule="auto"/>
        <w:jc w:val="both"/>
        <w:rPr>
          <w:rFonts w:cs="Arial"/>
          <w:bCs/>
          <w:color w:val="000000"/>
          <w:szCs w:val="20"/>
        </w:rPr>
      </w:pPr>
      <w:r w:rsidRPr="00D91539">
        <w:rPr>
          <w:rFonts w:eastAsia="Times New Roman" w:cs="Arial"/>
          <w:bCs/>
          <w:kern w:val="1"/>
          <w:szCs w:val="20"/>
        </w:rPr>
        <w:t xml:space="preserve">Rejcem prašičev je svetovanje zagotovljeno preko </w:t>
      </w:r>
      <w:r w:rsidRPr="00D91539">
        <w:rPr>
          <w:rFonts w:eastAsia="Times New Roman"/>
          <w:bCs/>
          <w:kern w:val="1"/>
        </w:rPr>
        <w:t>javne</w:t>
      </w:r>
      <w:r w:rsidRPr="00D91539">
        <w:rPr>
          <w:rFonts w:eastAsia="Times New Roman" w:cs="Arial"/>
          <w:bCs/>
          <w:kern w:val="1"/>
          <w:szCs w:val="20"/>
        </w:rPr>
        <w:t xml:space="preserve"> službe kmetijskega svetovanja, ki na primer svetuje na področjih tehnologij reje, dobrobiti živali, </w:t>
      </w:r>
      <w:proofErr w:type="spellStart"/>
      <w:r w:rsidRPr="00D91539">
        <w:rPr>
          <w:rFonts w:eastAsia="Times New Roman" w:cs="Arial"/>
          <w:bCs/>
          <w:kern w:val="1"/>
          <w:szCs w:val="20"/>
        </w:rPr>
        <w:t>biovarnostnih</w:t>
      </w:r>
      <w:proofErr w:type="spellEnd"/>
      <w:r w:rsidRPr="00D91539">
        <w:rPr>
          <w:rFonts w:eastAsia="Times New Roman" w:cs="Arial"/>
          <w:bCs/>
          <w:kern w:val="1"/>
          <w:szCs w:val="20"/>
        </w:rPr>
        <w:t xml:space="preserve"> ukrepov, sestave krmnega obroka, rabe in skladiščenja gnojil, pri gradnji objektov in drugih tehnoloških vprašanjih.</w:t>
      </w:r>
    </w:p>
    <w:p w14:paraId="613064BC" w14:textId="6CC4714D" w:rsidR="00D91539" w:rsidRDefault="00D91539" w:rsidP="00D91539">
      <w:pPr>
        <w:spacing w:before="200" w:line="360" w:lineRule="auto"/>
        <w:jc w:val="both"/>
        <w:rPr>
          <w:rFonts w:eastAsia="Calibri" w:cs="Arial"/>
          <w:szCs w:val="20"/>
        </w:rPr>
      </w:pPr>
      <w:r w:rsidRPr="00D91539">
        <w:rPr>
          <w:rFonts w:eastAsia="Times New Roman" w:cs="Arial"/>
          <w:bCs/>
          <w:szCs w:val="20"/>
        </w:rPr>
        <w:t xml:space="preserve">V zadnjih desetih letih so slovenski raziskovalci na področju prašičereje izvajali štiri ciljne raziskovalne programe, ki so bili usmerjeni v celovite rešitve sistemov rej, v proizvode višje kakovosti z uporabo tehnologije, alternativnih krmil in naravnih dodatkov ter dobrobiti prašičev v povezavi s tehnologijo in  zdravstvenim stanjem. Izvajala sta se aplikativni projekt in ERA-Net projekt na področju </w:t>
      </w:r>
      <w:proofErr w:type="spellStart"/>
      <w:r w:rsidRPr="00D91539">
        <w:rPr>
          <w:rFonts w:eastAsia="Times New Roman" w:cs="Arial"/>
          <w:bCs/>
          <w:szCs w:val="20"/>
        </w:rPr>
        <w:t>imunokastracije</w:t>
      </w:r>
      <w:proofErr w:type="spellEnd"/>
      <w:r w:rsidRPr="00D91539">
        <w:rPr>
          <w:rFonts w:eastAsia="Times New Roman" w:cs="Arial"/>
          <w:bCs/>
          <w:szCs w:val="20"/>
        </w:rPr>
        <w:t xml:space="preserve"> </w:t>
      </w:r>
      <w:proofErr w:type="spellStart"/>
      <w:r w:rsidRPr="00D91539">
        <w:rPr>
          <w:rFonts w:eastAsia="Times New Roman" w:cs="Arial"/>
          <w:bCs/>
          <w:szCs w:val="20"/>
        </w:rPr>
        <w:t>merjaščkov</w:t>
      </w:r>
      <w:proofErr w:type="spellEnd"/>
      <w:r w:rsidRPr="00D91539">
        <w:rPr>
          <w:rFonts w:eastAsia="Times New Roman" w:cs="Arial"/>
          <w:bCs/>
          <w:szCs w:val="20"/>
        </w:rPr>
        <w:t xml:space="preserve"> glede vpliva na kakovost proizvodov ter EIP projekta na področju</w:t>
      </w:r>
      <w:r w:rsidRPr="00272DD7">
        <w:rPr>
          <w:rFonts w:eastAsia="Times New Roman" w:cs="Arial"/>
          <w:szCs w:val="20"/>
        </w:rPr>
        <w:t xml:space="preserve"> sledljivosti porekla pri pasmi </w:t>
      </w:r>
      <w:proofErr w:type="spellStart"/>
      <w:r w:rsidRPr="00272DD7">
        <w:rPr>
          <w:rFonts w:eastAsia="Times New Roman" w:cs="Arial"/>
          <w:szCs w:val="20"/>
        </w:rPr>
        <w:t>krškopoljski</w:t>
      </w:r>
      <w:proofErr w:type="spellEnd"/>
      <w:r w:rsidRPr="00272DD7">
        <w:rPr>
          <w:rFonts w:eastAsia="Times New Roman" w:cs="Arial"/>
          <w:szCs w:val="20"/>
        </w:rPr>
        <w:t xml:space="preserve"> prašič in reje prašičev za proizvodnjo izdelkov višje kakovosti.</w:t>
      </w:r>
    </w:p>
    <w:p w14:paraId="39C02810" w14:textId="77777777" w:rsidR="00D91539" w:rsidRDefault="00D91539" w:rsidP="003360B4">
      <w:pPr>
        <w:spacing w:line="360" w:lineRule="auto"/>
        <w:jc w:val="both"/>
        <w:rPr>
          <w:rFonts w:eastAsia="Calibri" w:cs="Arial"/>
          <w:szCs w:val="20"/>
        </w:rPr>
      </w:pPr>
    </w:p>
    <w:p w14:paraId="4CA8FFB3" w14:textId="77777777" w:rsidR="00CF3CC6" w:rsidRPr="00CF3CC6" w:rsidRDefault="00CF3CC6" w:rsidP="00CF3CC6">
      <w:pPr>
        <w:rPr>
          <w:rFonts w:eastAsia="Calibri" w:cs="Arial"/>
          <w:b/>
          <w:szCs w:val="20"/>
        </w:rPr>
      </w:pPr>
    </w:p>
    <w:p w14:paraId="0A664BC0" w14:textId="19F99E09" w:rsidR="00CF3CC6" w:rsidRDefault="00CF3CC6" w:rsidP="00026BDF">
      <w:pPr>
        <w:pStyle w:val="Naslov3"/>
        <w:rPr>
          <w:rFonts w:eastAsia="Calibri"/>
        </w:rPr>
      </w:pPr>
      <w:bookmarkStart w:id="152" w:name="_Toc55912204"/>
      <w:r w:rsidRPr="00026BDF">
        <w:rPr>
          <w:rFonts w:eastAsia="Calibri"/>
        </w:rPr>
        <w:lastRenderedPageBreak/>
        <w:t>Ključne ugotovitve</w:t>
      </w:r>
      <w:bookmarkEnd w:id="152"/>
    </w:p>
    <w:p w14:paraId="6FDD9B28" w14:textId="77777777" w:rsidR="009D60D5" w:rsidRPr="007418EE" w:rsidRDefault="009D60D5" w:rsidP="000A650F">
      <w:pPr>
        <w:keepNext/>
        <w:keepLines/>
        <w:numPr>
          <w:ilvl w:val="0"/>
          <w:numId w:val="36"/>
        </w:numPr>
        <w:spacing w:before="120" w:after="120" w:line="360" w:lineRule="auto"/>
        <w:ind w:left="357" w:hanging="357"/>
        <w:jc w:val="both"/>
        <w:rPr>
          <w:rFonts w:eastAsia="Times New Roman" w:cs="Arial"/>
          <w:szCs w:val="20"/>
          <w:lang w:eastAsia="en-GB"/>
        </w:rPr>
      </w:pPr>
      <w:r w:rsidRPr="007418EE">
        <w:rPr>
          <w:rFonts w:eastAsia="Times New Roman" w:cs="Arial"/>
          <w:szCs w:val="20"/>
          <w:lang w:eastAsia="en-GB"/>
        </w:rPr>
        <w:t xml:space="preserve">Število prašičev v Sloveniji se v zadnjem desetletju zmanjšuje. Zmanjšuje se interes rejcev za zagotavljanje plemenskega materiala, pujskov za nadaljnjo rejo v Sloveniji ni dovolj in rejci so odvisni od uvoza živali, posledično je onemogočena ponudba sheme kakovosti Izbrana kakovost Slovenije. Potrebne </w:t>
      </w:r>
      <w:r>
        <w:rPr>
          <w:rFonts w:eastAsia="Times New Roman" w:cs="Arial"/>
          <w:szCs w:val="20"/>
          <w:lang w:eastAsia="en-GB"/>
        </w:rPr>
        <w:t xml:space="preserve">so </w:t>
      </w:r>
      <w:r w:rsidRPr="007418EE">
        <w:rPr>
          <w:rFonts w:eastAsia="Times New Roman" w:cs="Arial"/>
          <w:szCs w:val="20"/>
          <w:lang w:eastAsia="en-GB"/>
        </w:rPr>
        <w:t>naložbe in boljša organiziranost prašičerejcev.</w:t>
      </w:r>
    </w:p>
    <w:p w14:paraId="239641AC" w14:textId="77777777" w:rsidR="009D60D5" w:rsidRPr="007418EE" w:rsidRDefault="009D60D5" w:rsidP="000A650F">
      <w:pPr>
        <w:numPr>
          <w:ilvl w:val="0"/>
          <w:numId w:val="36"/>
        </w:numPr>
        <w:spacing w:before="120" w:after="120" w:line="360" w:lineRule="auto"/>
        <w:ind w:left="357" w:hanging="357"/>
        <w:jc w:val="both"/>
        <w:rPr>
          <w:rFonts w:eastAsia="Times New Roman" w:cs="Arial"/>
          <w:szCs w:val="20"/>
          <w:lang w:eastAsia="en-GB"/>
        </w:rPr>
      </w:pPr>
      <w:r w:rsidRPr="007418EE">
        <w:rPr>
          <w:rFonts w:eastAsia="Times New Roman" w:cs="Arial"/>
          <w:szCs w:val="20"/>
          <w:lang w:eastAsia="en-GB"/>
        </w:rPr>
        <w:t xml:space="preserve">Na oblikovanje cen v Sloveniji imajo velik vpliv cene na evropskih trgih (vpliv azijskega trga, Covid-19 idr.). </w:t>
      </w:r>
    </w:p>
    <w:p w14:paraId="56622BF0" w14:textId="77777777" w:rsidR="009D60D5" w:rsidRPr="007418EE" w:rsidRDefault="009D60D5" w:rsidP="000A650F">
      <w:pPr>
        <w:numPr>
          <w:ilvl w:val="0"/>
          <w:numId w:val="36"/>
        </w:numPr>
        <w:spacing w:before="120" w:after="120" w:line="360" w:lineRule="auto"/>
        <w:ind w:left="357" w:hanging="357"/>
        <w:jc w:val="both"/>
        <w:rPr>
          <w:rFonts w:eastAsia="Times New Roman" w:cs="Arial"/>
          <w:szCs w:val="20"/>
          <w:lang w:eastAsia="en-GB"/>
        </w:rPr>
      </w:pPr>
      <w:r w:rsidRPr="007418EE">
        <w:rPr>
          <w:rFonts w:eastAsia="Times New Roman" w:cs="Arial"/>
          <w:szCs w:val="20"/>
          <w:lang w:eastAsia="en-GB"/>
        </w:rPr>
        <w:t xml:space="preserve">Panoga ima v Sloveniji dovolj tržnega potenciala, saj je samooskrba le 40 %, potrošniki pa so navajeni na </w:t>
      </w:r>
      <w:r>
        <w:rPr>
          <w:rFonts w:eastAsia="Times New Roman" w:cs="Arial"/>
          <w:szCs w:val="20"/>
          <w:lang w:eastAsia="en-GB"/>
        </w:rPr>
        <w:t>u</w:t>
      </w:r>
      <w:r w:rsidRPr="007418EE">
        <w:rPr>
          <w:rFonts w:eastAsia="Times New Roman" w:cs="Arial"/>
          <w:szCs w:val="20"/>
          <w:lang w:eastAsia="en-GB"/>
        </w:rPr>
        <w:t>porabo prašičjega mesa.</w:t>
      </w:r>
    </w:p>
    <w:p w14:paraId="0F3C88D5" w14:textId="77777777" w:rsidR="009D60D5" w:rsidRDefault="009D60D5" w:rsidP="000A650F">
      <w:pPr>
        <w:keepNext/>
        <w:keepLines/>
        <w:numPr>
          <w:ilvl w:val="0"/>
          <w:numId w:val="36"/>
        </w:numPr>
        <w:spacing w:before="120" w:after="120" w:line="360" w:lineRule="auto"/>
        <w:ind w:left="357" w:hanging="357"/>
        <w:jc w:val="both"/>
        <w:rPr>
          <w:rFonts w:eastAsia="Times New Roman" w:cs="Arial"/>
          <w:szCs w:val="20"/>
          <w:lang w:eastAsia="en-GB"/>
        </w:rPr>
      </w:pPr>
      <w:r w:rsidRPr="007418EE">
        <w:rPr>
          <w:rFonts w:eastAsia="Times New Roman" w:cs="Arial"/>
          <w:szCs w:val="20"/>
          <w:lang w:eastAsia="en-GB"/>
        </w:rPr>
        <w:t xml:space="preserve">Večja podjetja kooperantom zagotavljajo znanje in </w:t>
      </w:r>
      <w:proofErr w:type="spellStart"/>
      <w:r w:rsidRPr="007418EE">
        <w:rPr>
          <w:rFonts w:eastAsia="Times New Roman" w:cs="Arial"/>
          <w:szCs w:val="20"/>
          <w:lang w:eastAsia="en-GB"/>
        </w:rPr>
        <w:t>repromaterial</w:t>
      </w:r>
      <w:proofErr w:type="spellEnd"/>
      <w:r w:rsidRPr="007418EE">
        <w:rPr>
          <w:rFonts w:eastAsia="Times New Roman" w:cs="Arial"/>
          <w:szCs w:val="20"/>
          <w:lang w:eastAsia="en-GB"/>
        </w:rPr>
        <w:t xml:space="preserve"> ter ustrezno tehnologijo. Rejci sicer niso organizirani</w:t>
      </w:r>
      <w:r>
        <w:rPr>
          <w:rFonts w:eastAsia="Times New Roman" w:cs="Arial"/>
          <w:szCs w:val="20"/>
          <w:lang w:eastAsia="en-GB"/>
        </w:rPr>
        <w:t xml:space="preserve"> in nimamo </w:t>
      </w:r>
      <w:r w:rsidRPr="007418EE">
        <w:rPr>
          <w:rFonts w:eastAsia="Times New Roman" w:cs="Arial"/>
          <w:szCs w:val="20"/>
          <w:lang w:eastAsia="en-GB"/>
        </w:rPr>
        <w:t>organizacij</w:t>
      </w:r>
      <w:r>
        <w:rPr>
          <w:rFonts w:eastAsia="Times New Roman" w:cs="Arial"/>
          <w:szCs w:val="20"/>
          <w:lang w:eastAsia="en-GB"/>
        </w:rPr>
        <w:t>e</w:t>
      </w:r>
      <w:r w:rsidRPr="007418EE">
        <w:rPr>
          <w:rFonts w:eastAsia="Times New Roman" w:cs="Arial"/>
          <w:szCs w:val="20"/>
          <w:lang w:eastAsia="en-GB"/>
        </w:rPr>
        <w:t xml:space="preserve"> proizvajalcev, kar bi bilo treba zaradi zagotavljanja pujskov in </w:t>
      </w:r>
      <w:r>
        <w:rPr>
          <w:rFonts w:eastAsia="Times New Roman" w:cs="Arial"/>
          <w:szCs w:val="20"/>
          <w:lang w:eastAsia="en-GB"/>
        </w:rPr>
        <w:t xml:space="preserve">tudi uspešne </w:t>
      </w:r>
      <w:r w:rsidRPr="007418EE">
        <w:rPr>
          <w:rFonts w:eastAsia="Times New Roman" w:cs="Arial"/>
          <w:szCs w:val="20"/>
          <w:lang w:eastAsia="en-GB"/>
        </w:rPr>
        <w:t>organizirane prodaje spodbujati in okrepiti.</w:t>
      </w:r>
    </w:p>
    <w:p w14:paraId="18308A0D" w14:textId="407887A4" w:rsidR="009D60D5" w:rsidRPr="009D60D5" w:rsidRDefault="009D60D5" w:rsidP="000A650F">
      <w:pPr>
        <w:keepNext/>
        <w:keepLines/>
        <w:numPr>
          <w:ilvl w:val="0"/>
          <w:numId w:val="36"/>
        </w:numPr>
        <w:spacing w:before="120" w:after="120" w:line="360" w:lineRule="auto"/>
        <w:ind w:left="357" w:hanging="357"/>
        <w:jc w:val="both"/>
      </w:pPr>
      <w:r w:rsidRPr="009D60D5">
        <w:rPr>
          <w:rFonts w:eastAsia="Times New Roman" w:cs="Arial"/>
          <w:szCs w:val="20"/>
        </w:rPr>
        <w:t xml:space="preserve">Prašičereja v </w:t>
      </w:r>
      <w:r w:rsidRPr="009D60D5">
        <w:rPr>
          <w:rFonts w:eastAsia="Times New Roman" w:cs="Arial"/>
          <w:bCs/>
          <w:szCs w:val="20"/>
        </w:rPr>
        <w:t>urbanih okoljih</w:t>
      </w:r>
      <w:r w:rsidRPr="009D60D5">
        <w:rPr>
          <w:rFonts w:eastAsia="Times New Roman" w:cs="Arial"/>
          <w:szCs w:val="20"/>
        </w:rPr>
        <w:t xml:space="preserve"> ni priljubljena (smrad, vedno večji konflikti pri umeščanju prašičerejskih objektov v prostoru), </w:t>
      </w:r>
      <w:r w:rsidRPr="009D60D5">
        <w:rPr>
          <w:rFonts w:eastAsia="Times New Roman" w:cs="Arial"/>
          <w:szCs w:val="20"/>
          <w:lang w:eastAsia="en-GB"/>
        </w:rPr>
        <w:t xml:space="preserve">APK in druge prenosljive bolezni predstavljajo resno grožnjo prireji prašičev v Sloveniji, zato bodo potrebne dodatne naložbe za okrepitev </w:t>
      </w:r>
      <w:proofErr w:type="spellStart"/>
      <w:r w:rsidRPr="009D60D5">
        <w:rPr>
          <w:rFonts w:eastAsia="Times New Roman" w:cs="Arial"/>
          <w:szCs w:val="20"/>
          <w:lang w:eastAsia="en-GB"/>
        </w:rPr>
        <w:t>biovarnosti</w:t>
      </w:r>
      <w:proofErr w:type="spellEnd"/>
      <w:r w:rsidRPr="009D60D5">
        <w:rPr>
          <w:rFonts w:eastAsia="Times New Roman" w:cs="Arial"/>
          <w:szCs w:val="20"/>
          <w:lang w:eastAsia="en-GB"/>
        </w:rPr>
        <w:t>.</w:t>
      </w:r>
    </w:p>
    <w:bookmarkStart w:id="153" w:name="_Toc29450289"/>
    <w:bookmarkStart w:id="154" w:name="_Toc29450398"/>
    <w:bookmarkStart w:id="155" w:name="_Toc29458756"/>
    <w:bookmarkStart w:id="156" w:name="_Toc29450290"/>
    <w:bookmarkStart w:id="157" w:name="_Toc29450399"/>
    <w:bookmarkStart w:id="158" w:name="_Toc29458757"/>
    <w:bookmarkStart w:id="159" w:name="_Toc29450291"/>
    <w:bookmarkStart w:id="160" w:name="_Toc29450400"/>
    <w:bookmarkStart w:id="161" w:name="_Toc29458758"/>
    <w:bookmarkStart w:id="162" w:name="_Toc29450292"/>
    <w:bookmarkStart w:id="163" w:name="_Toc29450401"/>
    <w:bookmarkStart w:id="164" w:name="_Toc29458759"/>
    <w:bookmarkStart w:id="165" w:name="_Toc42094799"/>
    <w:bookmarkEnd w:id="138"/>
    <w:bookmarkEnd w:id="153"/>
    <w:bookmarkEnd w:id="154"/>
    <w:bookmarkEnd w:id="155"/>
    <w:bookmarkEnd w:id="156"/>
    <w:bookmarkEnd w:id="157"/>
    <w:bookmarkEnd w:id="158"/>
    <w:bookmarkEnd w:id="159"/>
    <w:bookmarkEnd w:id="160"/>
    <w:bookmarkEnd w:id="161"/>
    <w:bookmarkEnd w:id="162"/>
    <w:bookmarkEnd w:id="163"/>
    <w:bookmarkEnd w:id="164"/>
    <w:p w14:paraId="35FEF029" w14:textId="6AF86349" w:rsidR="00CF3CC6" w:rsidRDefault="00CF3CC6" w:rsidP="00DF0D48">
      <w:pPr>
        <w:pStyle w:val="Naslov2"/>
        <w:ind w:left="578" w:hanging="578"/>
        <w:rPr>
          <w:rFonts w:eastAsia="Calibri"/>
        </w:rPr>
      </w:pPr>
      <w:r w:rsidRPr="00EC5259">
        <w:rPr>
          <w:rFonts w:eastAsia="Calibri"/>
        </w:rPr>
        <w:fldChar w:fldCharType="begin"/>
      </w:r>
      <w:r w:rsidRPr="00EC5259">
        <w:rPr>
          <w:rFonts w:eastAsia="Calibri"/>
        </w:rPr>
        <w:instrText xml:space="preserve"> HYPERLINK "https://www.gov.si/teme/perutninarstvo-in-jajca/" </w:instrText>
      </w:r>
      <w:r w:rsidRPr="00EC5259">
        <w:rPr>
          <w:rFonts w:eastAsia="Calibri"/>
        </w:rPr>
        <w:fldChar w:fldCharType="separate"/>
      </w:r>
      <w:bookmarkStart w:id="166" w:name="_Toc55912205"/>
      <w:r w:rsidRPr="00EC5259">
        <w:t>Perutninarstvo</w:t>
      </w:r>
      <w:bookmarkEnd w:id="166"/>
      <w:r w:rsidRPr="00EC5259">
        <w:rPr>
          <w:rFonts w:eastAsia="Calibri"/>
        </w:rPr>
        <w:fldChar w:fldCharType="end"/>
      </w:r>
    </w:p>
    <w:p w14:paraId="02DF78B9" w14:textId="77777777" w:rsidR="009D60D5" w:rsidRPr="005718B1" w:rsidRDefault="009D60D5" w:rsidP="009D60D5">
      <w:pPr>
        <w:spacing w:before="200" w:line="360" w:lineRule="auto"/>
        <w:jc w:val="both"/>
        <w:rPr>
          <w:rFonts w:cs="Arial"/>
          <w:color w:val="000000" w:themeColor="text1"/>
          <w:szCs w:val="20"/>
          <w:lang w:eastAsia="en-GB"/>
        </w:rPr>
      </w:pPr>
      <w:r>
        <w:rPr>
          <w:lang w:eastAsia="en-GB"/>
        </w:rPr>
        <w:t xml:space="preserve">Perutnina </w:t>
      </w:r>
      <w:r w:rsidRPr="00915839">
        <w:rPr>
          <w:rFonts w:cs="Arial"/>
          <w:szCs w:val="20"/>
          <w:lang w:eastAsia="en-GB"/>
        </w:rPr>
        <w:t xml:space="preserve">je </w:t>
      </w:r>
      <w:r>
        <w:rPr>
          <w:lang w:eastAsia="en-GB"/>
        </w:rPr>
        <w:t>tradicionalno prisotna skoraj na vsakem kmetijskem gospodarstvu, panoga s prirejo perutninskega mesa in jajc pa se je razvila v zadnjih desetletjih in dosega pomemben delež v kmetijskih proizvodnji. Prireja perutninskega mesa in jajc je</w:t>
      </w:r>
      <w:r w:rsidRPr="00915839">
        <w:rPr>
          <w:rFonts w:cs="Arial"/>
          <w:szCs w:val="20"/>
          <w:lang w:eastAsia="en-GB"/>
        </w:rPr>
        <w:t xml:space="preserve"> tržn</w:t>
      </w:r>
      <w:r w:rsidRPr="00AE6951">
        <w:rPr>
          <w:lang w:eastAsia="en-GB"/>
        </w:rPr>
        <w:t xml:space="preserve">o in izvozno naravnana, večina </w:t>
      </w:r>
      <w:r w:rsidRPr="00915839">
        <w:rPr>
          <w:rFonts w:cs="Arial"/>
          <w:szCs w:val="20"/>
          <w:lang w:eastAsia="en-GB"/>
        </w:rPr>
        <w:t>pro</w:t>
      </w:r>
      <w:r>
        <w:rPr>
          <w:lang w:eastAsia="en-GB"/>
        </w:rPr>
        <w:t xml:space="preserve">izvodnje se </w:t>
      </w:r>
      <w:r w:rsidRPr="00AE6951">
        <w:rPr>
          <w:lang w:eastAsia="en-GB"/>
        </w:rPr>
        <w:t>odvija</w:t>
      </w:r>
      <w:r w:rsidRPr="00915839">
        <w:rPr>
          <w:rFonts w:cs="Arial"/>
          <w:szCs w:val="20"/>
          <w:lang w:eastAsia="en-GB"/>
        </w:rPr>
        <w:t xml:space="preserve"> v kooperaciji</w:t>
      </w:r>
      <w:r>
        <w:rPr>
          <w:lang w:eastAsia="en-GB"/>
        </w:rPr>
        <w:t xml:space="preserve"> s komercialno uspešnimi pasmami/linijami</w:t>
      </w:r>
      <w:r w:rsidRPr="00915839">
        <w:rPr>
          <w:rFonts w:cs="Arial"/>
          <w:szCs w:val="20"/>
          <w:lang w:eastAsia="en-GB"/>
        </w:rPr>
        <w:t>.</w:t>
      </w:r>
      <w:r>
        <w:rPr>
          <w:lang w:eastAsia="en-GB"/>
        </w:rPr>
        <w:t xml:space="preserve"> Še vedno pa je v tradicionalnih rejah in v genski banki </w:t>
      </w:r>
      <w:r w:rsidRPr="008C64F4">
        <w:rPr>
          <w:lang w:eastAsia="en-GB"/>
        </w:rPr>
        <w:t xml:space="preserve">v živinoreji </w:t>
      </w:r>
      <w:r>
        <w:rPr>
          <w:lang w:eastAsia="en-GB"/>
        </w:rPr>
        <w:t xml:space="preserve">zaslediti </w:t>
      </w:r>
      <w:r>
        <w:rPr>
          <w:rFonts w:eastAsia="TimesNewRoman"/>
        </w:rPr>
        <w:t>štajersko kokoš, slovensko grahasto kokoš, slovensko srebrno kokoš, slovensko rjavo kokoš in slovensko pozno operjeno kokoš. Panoga ima še vedno velik razvojni in izvozni potencial.</w:t>
      </w:r>
      <w:r>
        <w:rPr>
          <w:lang w:eastAsia="en-GB"/>
        </w:rPr>
        <w:t xml:space="preserve"> </w:t>
      </w:r>
    </w:p>
    <w:p w14:paraId="5DD318D0" w14:textId="78E10CEA" w:rsidR="00CF3CC6" w:rsidRPr="00EC5259" w:rsidRDefault="00CF3CC6" w:rsidP="00EC5259">
      <w:pPr>
        <w:pStyle w:val="Naslov3"/>
        <w:rPr>
          <w:rFonts w:eastAsia="Calibri"/>
        </w:rPr>
      </w:pPr>
      <w:bookmarkStart w:id="167" w:name="_Toc55912206"/>
      <w:r w:rsidRPr="00EC5259">
        <w:rPr>
          <w:rFonts w:eastAsia="Calibri"/>
        </w:rPr>
        <w:t>Stanje v sektorju in osnovni ekon</w:t>
      </w:r>
      <w:r w:rsidR="00EC5259" w:rsidRPr="00EC5259">
        <w:rPr>
          <w:rFonts w:eastAsia="Calibri"/>
        </w:rPr>
        <w:t>omski kazalniki</w:t>
      </w:r>
      <w:bookmarkEnd w:id="167"/>
      <w:r w:rsidR="00EC5259" w:rsidRPr="00EC5259">
        <w:rPr>
          <w:rFonts w:eastAsia="Calibri"/>
        </w:rPr>
        <w:t xml:space="preserve"> </w:t>
      </w:r>
    </w:p>
    <w:p w14:paraId="12141E9F" w14:textId="77777777" w:rsidR="009D60D5" w:rsidRPr="00DB3AEC" w:rsidRDefault="009D60D5" w:rsidP="00DB3AEC">
      <w:pPr>
        <w:spacing w:before="200" w:line="360" w:lineRule="auto"/>
        <w:jc w:val="both"/>
        <w:rPr>
          <w:rFonts w:eastAsia="Times New Roman"/>
          <w:lang w:eastAsia="en-GB"/>
        </w:rPr>
      </w:pPr>
      <w:r w:rsidRPr="00DB3AEC">
        <w:rPr>
          <w:rFonts w:eastAsia="Times New Roman"/>
          <w:lang w:eastAsia="en-GB"/>
        </w:rPr>
        <w:t>Prireja perutninskega mesa v Sloveniji je v zadnjem desetletju dosegla okoli 8 % skupne vrednosti kmetijstva, v okviru živinorejske proizvodnje pa okoli 18 %. Obseg reje kokoši nesnic se med leti spreminja, prireja jajc pa k skupni kmetijski proizvodnji v zadnjih letih prispeva okoli 3 %, k vrednosti živinoreje pa okoli 7 %.</w:t>
      </w:r>
    </w:p>
    <w:p w14:paraId="28E76F30" w14:textId="77777777" w:rsidR="009D60D5" w:rsidRPr="009D60D5" w:rsidRDefault="009D60D5" w:rsidP="009D60D5">
      <w:pPr>
        <w:spacing w:before="200" w:line="360" w:lineRule="auto"/>
        <w:jc w:val="both"/>
        <w:rPr>
          <w:rFonts w:eastAsia="Times New Roman"/>
          <w:lang w:eastAsia="en-GB"/>
        </w:rPr>
      </w:pPr>
      <w:r w:rsidRPr="009D60D5">
        <w:rPr>
          <w:rFonts w:eastAsia="Times New Roman"/>
          <w:lang w:eastAsia="en-GB"/>
        </w:rPr>
        <w:t xml:space="preserve">Število kmetijskih gospodarstev, kjer redijo perutnino se je po statističnih podatkih od leta 2005 do 2010 zmanjšalo (iz 45.512 na 36.240), nato pa se je rahlo povečevalo in v letu 2016 znašalo 37.840 kmetijskih gospodarstev. Glede na kategorije živali je največ kmetijskih gospodarstev z rejo kokoši nesnic, sledijo kmetijska gospodarstva, ki zapadejo v kategorijo druge kokoši (petelini, </w:t>
      </w:r>
      <w:proofErr w:type="spellStart"/>
      <w:r w:rsidRPr="009D60D5">
        <w:rPr>
          <w:rFonts w:eastAsia="Times New Roman"/>
          <w:lang w:eastAsia="en-GB"/>
        </w:rPr>
        <w:t>jarkice</w:t>
      </w:r>
      <w:proofErr w:type="spellEnd"/>
      <w:r w:rsidRPr="009D60D5">
        <w:rPr>
          <w:rFonts w:eastAsia="Times New Roman"/>
          <w:lang w:eastAsia="en-GB"/>
        </w:rPr>
        <w:t xml:space="preserve">) in kmetijska gospodarstva z rejo pitovnih piščancev. Po podatkih registra obratov rej kokoši nesnic je bilo na dan 31. </w:t>
      </w:r>
      <w:r w:rsidRPr="009D60D5">
        <w:rPr>
          <w:rFonts w:eastAsia="Times New Roman"/>
          <w:lang w:eastAsia="en-GB"/>
        </w:rPr>
        <w:lastRenderedPageBreak/>
        <w:t>3. 2020 registriranih 200 obratov (43 proste reje, 86 hlevske reje, 46 baterijske reje in 25 ekološke reje). V povsem zaprtem sistemu poteka 2/3 reje kokoši nesnic.</w:t>
      </w:r>
    </w:p>
    <w:p w14:paraId="51A14B78" w14:textId="77777777" w:rsidR="009D60D5" w:rsidRPr="009D60D5" w:rsidRDefault="009D60D5" w:rsidP="009D60D5">
      <w:pPr>
        <w:spacing w:before="200" w:line="360" w:lineRule="auto"/>
        <w:jc w:val="both"/>
        <w:rPr>
          <w:rFonts w:eastAsia="Times New Roman" w:cs="Arial"/>
          <w:sz w:val="16"/>
          <w:szCs w:val="16"/>
          <w:lang w:eastAsia="en-GB"/>
        </w:rPr>
      </w:pPr>
      <w:r w:rsidRPr="009D60D5">
        <w:rPr>
          <w:rFonts w:eastAsia="Times New Roman"/>
          <w:lang w:eastAsia="en-GB"/>
        </w:rPr>
        <w:t xml:space="preserve">Skupno število rejene perutnine se je od leta 2006 do 2019 povečalo iz 3,1 milijona na 6,6 milijona živali. Po številu živali prevladuje reja pitovnih piščancev, katerih število je (med vsemi kategorijami perutnine) v tem obdobju tudi najbolj naraslo. </w:t>
      </w:r>
    </w:p>
    <w:p w14:paraId="33D91BED" w14:textId="77777777" w:rsidR="009D60D5" w:rsidRPr="009D60D5" w:rsidRDefault="009D60D5" w:rsidP="009D60D5">
      <w:pPr>
        <w:spacing w:before="200" w:line="360" w:lineRule="auto"/>
        <w:jc w:val="both"/>
        <w:rPr>
          <w:rFonts w:eastAsia="Times New Roman"/>
          <w:lang w:eastAsia="en-GB"/>
        </w:rPr>
      </w:pPr>
      <w:r w:rsidRPr="009D60D5">
        <w:rPr>
          <w:rFonts w:eastAsia="Times New Roman"/>
          <w:lang w:eastAsia="en-GB"/>
        </w:rPr>
        <w:t>Prireja mesa se je v obdobju 2006–2019 gibala med 50 in 71 tisoč tonami, poraba pa med 46 tisoč in 65 tisoč ton. V Sloveniji se je poraba perutninskega mesa od leta 2013 do leta 2018 povečala za dodatnih 6,4 kg/prebivalca in je znašala 31,2 kg na prebivalca, medtem ko je bila v letu 2019 ponovno nekoliko manjša (30,8 kg/prebivalca). V letu 2018 je povprečna poraba perutninskega mesa v EU znašala 24,8 kg/prebivalca, kar kaže na četrtino večjo porabo perutninskega mesa v Sloveniji.</w:t>
      </w:r>
    </w:p>
    <w:p w14:paraId="2B112B11" w14:textId="77777777" w:rsidR="009D60D5" w:rsidRPr="009D60D5" w:rsidRDefault="009D60D5" w:rsidP="009D60D5">
      <w:pPr>
        <w:spacing w:before="200" w:line="360" w:lineRule="auto"/>
        <w:jc w:val="both"/>
        <w:rPr>
          <w:rFonts w:eastAsia="Times New Roman"/>
          <w:highlight w:val="yellow"/>
          <w:lang w:eastAsia="en-GB"/>
        </w:rPr>
      </w:pPr>
      <w:r w:rsidRPr="009D60D5">
        <w:rPr>
          <w:rFonts w:eastAsia="Times New Roman"/>
          <w:lang w:eastAsia="en-GB"/>
        </w:rPr>
        <w:t>Prireja vseh jajc se je v letih 2006 – 2019 gibala med 15,8 tisoč ton (v letu 2006) in 25,2 tisoč ton (v letu 2019). Človeški prehrani je namenjenih več kot 80 % celotne prireje jajc v Sloveniji. Poraba jajc namenjenih človeški prehrani se je od leta 2006 do leta 2019 povečala iz 7 kg/prebivalca na skoraj 12 kg/prebivalca.</w:t>
      </w:r>
    </w:p>
    <w:p w14:paraId="4CADE818" w14:textId="77777777" w:rsidR="009D60D5" w:rsidRPr="009D60D5" w:rsidRDefault="009D60D5" w:rsidP="009D60D5">
      <w:pPr>
        <w:spacing w:before="200" w:line="360" w:lineRule="auto"/>
        <w:jc w:val="both"/>
        <w:rPr>
          <w:rFonts w:eastAsia="Times New Roman"/>
          <w:lang w:eastAsia="en-GB"/>
        </w:rPr>
      </w:pPr>
      <w:r w:rsidRPr="009D60D5">
        <w:rPr>
          <w:rFonts w:eastAsia="Times New Roman"/>
          <w:lang w:eastAsia="en-GB"/>
        </w:rPr>
        <w:t xml:space="preserve">Prihodki in stroški prireje piščančjega mesa in tudi jajc so se od leta 2014 do 2019 nekoliko znižali, </w:t>
      </w:r>
      <w:r w:rsidRPr="009D60D5">
        <w:t>prihodkovno-stroškovno razmerje pa kaže na stabilen položaj</w:t>
      </w:r>
      <w:r w:rsidRPr="009D60D5">
        <w:rPr>
          <w:rFonts w:eastAsia="Times New Roman"/>
          <w:lang w:eastAsia="en-GB"/>
        </w:rPr>
        <w:t>.</w:t>
      </w:r>
    </w:p>
    <w:p w14:paraId="46ADAE0B" w14:textId="77777777" w:rsidR="009D60D5" w:rsidRPr="009D60D5" w:rsidRDefault="009D60D5" w:rsidP="009D60D5">
      <w:pPr>
        <w:spacing w:before="200" w:line="360" w:lineRule="auto"/>
        <w:jc w:val="both"/>
        <w:rPr>
          <w:rFonts w:eastAsia="Times New Roman"/>
          <w:lang w:eastAsia="en-GB"/>
        </w:rPr>
      </w:pPr>
      <w:r w:rsidRPr="009D60D5">
        <w:rPr>
          <w:rFonts w:eastAsia="Times New Roman"/>
          <w:lang w:eastAsia="en-GB"/>
        </w:rPr>
        <w:t xml:space="preserve">Odkupne cene perutnine so se od leta 2006 do leta 2013 zviševale, po letu 2013 pa so se zniževale (z izjemo leta 2019). Tržna cena zaklanih piščancev (65 % piščancev) je v Sloveniji višja od povprečne cene v EU, Slovenija pa se od leta 2014 dalje nahaja v sredini držav članic EU. </w:t>
      </w:r>
    </w:p>
    <w:p w14:paraId="0FFAC739" w14:textId="77777777" w:rsidR="009D60D5" w:rsidRPr="009D60D5" w:rsidRDefault="009D60D5" w:rsidP="009D60D5">
      <w:pPr>
        <w:spacing w:before="200" w:line="360" w:lineRule="auto"/>
        <w:jc w:val="both"/>
        <w:rPr>
          <w:rFonts w:eastAsia="Times New Roman"/>
          <w:lang w:eastAsia="en-GB"/>
        </w:rPr>
      </w:pPr>
      <w:r w:rsidRPr="009D60D5">
        <w:rPr>
          <w:rFonts w:eastAsia="Times New Roman"/>
          <w:lang w:eastAsia="en-GB"/>
        </w:rPr>
        <w:t>Odkupne cene jajc so se po letu 2013 zniževale, v letih 2018 in 2019 pa je opazna ponovna rast. V letu 2019 so bile cene na slovenskih reprezentativnih trgih (pakirni centri), tako kot v predhodnih letih, višje od povprečnih cen v EU. Slovenija se nahaja v sredini držav članic EU, pri čemer velja omeniti, da so med državami članicami velike razlike v cenah konzumnih jajc.</w:t>
      </w:r>
    </w:p>
    <w:p w14:paraId="22B9866A" w14:textId="77777777" w:rsidR="009D60D5" w:rsidRPr="009D60D5" w:rsidRDefault="009D60D5" w:rsidP="009D60D5">
      <w:pPr>
        <w:spacing w:before="200" w:line="360" w:lineRule="auto"/>
        <w:jc w:val="both"/>
        <w:rPr>
          <w:rFonts w:eastAsia="Times New Roman"/>
          <w:highlight w:val="yellow"/>
          <w:lang w:eastAsia="en-GB"/>
        </w:rPr>
      </w:pPr>
      <w:r w:rsidRPr="009D60D5">
        <w:rPr>
          <w:rFonts w:eastAsia="Times New Roman"/>
          <w:lang w:eastAsia="en-GB"/>
        </w:rPr>
        <w:t>Slovenija je samooskrbna s perutninskim mesom. V obdobju 2006 – 2019 se je stopnja samooskrbe gibala med 103 % in 117 %, v letu 2019 je bila 110-odstotna. Stopnja samooskrbe z jajci (tako valilna kot ostala jajca) je že več let visoka, vendar ne samozadostna. V letu 2019 je bila stopnja samooskrbe z jajci 95-odstotna.</w:t>
      </w:r>
    </w:p>
    <w:p w14:paraId="42664688" w14:textId="77777777" w:rsidR="009D60D5" w:rsidRPr="009D60D5" w:rsidRDefault="009D60D5" w:rsidP="009D60D5">
      <w:pPr>
        <w:spacing w:before="200" w:line="360" w:lineRule="auto"/>
        <w:jc w:val="both"/>
      </w:pPr>
      <w:r w:rsidRPr="009D60D5">
        <w:rPr>
          <w:rFonts w:eastAsia="Times New Roman"/>
          <w:lang w:eastAsia="en-GB"/>
        </w:rPr>
        <w:t xml:space="preserve">Slovenija je neto izvoznica perutninskega mesa in živih živali. Povečujeta se tako izvoz kot uvoz, pri čemer v zadnjih nekaj letih hitrejša rast izvoza ustvarja še ugodnejšo zunanjetrgovinsko bilanco. Večino izvoza in uvoza predstavlja meso (okoli 75 % oziroma 85 %). V obdobju 2006 in 2019 sta se povečevala tudi izvoz in uvoz jajc s tem, da je uvoz ves čas večji. </w:t>
      </w:r>
    </w:p>
    <w:p w14:paraId="68ACA7D2" w14:textId="77777777" w:rsidR="009D60D5" w:rsidRPr="009D60D5" w:rsidRDefault="009D60D5" w:rsidP="009D60D5">
      <w:pPr>
        <w:spacing w:before="200" w:line="360" w:lineRule="auto"/>
        <w:jc w:val="both"/>
        <w:rPr>
          <w:rFonts w:eastAsia="Calibri" w:cs="Arial"/>
          <w:szCs w:val="20"/>
          <w:lang w:eastAsia="en-GB"/>
        </w:rPr>
      </w:pPr>
      <w:r w:rsidRPr="009D60D5">
        <w:t xml:space="preserve">V obdobju od leta 2010 do 2019 se je število ekološko rejene perutnine povečevalo od 28.000 živali do nekaj manj kot 97.000 živali v 2019, ko je opaziti rahlo zmanjšanje števila ekološko rejene perutnine </w:t>
      </w:r>
      <w:r w:rsidRPr="009D60D5">
        <w:lastRenderedPageBreak/>
        <w:t>glede na trend povečevanja iz predhodnih let.</w:t>
      </w:r>
      <w:r w:rsidRPr="009D60D5">
        <w:rPr>
          <w:rFonts w:eastAsia="TimesNewRoman"/>
        </w:rPr>
        <w:t xml:space="preserve"> Prireja ekološkega perutninskega mesa se je od 2012 do 2019 povečala iz približno 17 ton na 27 ton. V omenjenem obdobju se je povečevala tudi p</w:t>
      </w:r>
      <w:r w:rsidRPr="009D60D5">
        <w:t>rireja ekoloških konzumnih jajc, saj je bilo v letu 2019 prirejenih nekaj manj kot 12 milijonov ekoloških konzumnih jajc (okrog 3 % vseh konzumnih jajc).</w:t>
      </w:r>
    </w:p>
    <w:p w14:paraId="42AF0A04" w14:textId="77777777" w:rsidR="009D60D5" w:rsidRPr="009D60D5" w:rsidRDefault="009D60D5" w:rsidP="009D60D5">
      <w:pPr>
        <w:spacing w:before="200" w:line="360" w:lineRule="auto"/>
        <w:jc w:val="both"/>
        <w:rPr>
          <w:rFonts w:eastAsia="TimesNewRoman" w:cs="Arial"/>
          <w:szCs w:val="20"/>
        </w:rPr>
      </w:pPr>
      <w:r w:rsidRPr="009D60D5">
        <w:rPr>
          <w:rFonts w:eastAsia="TimesNewRoman"/>
        </w:rPr>
        <w:t xml:space="preserve">Sektor perutninarstva v primerjavi z drugimi panogami proizvaja </w:t>
      </w:r>
      <w:r w:rsidRPr="009D60D5">
        <w:rPr>
          <w:rFonts w:eastAsia="TimesNewRoman" w:cs="Arial"/>
          <w:szCs w:val="20"/>
        </w:rPr>
        <w:t>relativno majhne emisije TGP</w:t>
      </w:r>
      <w:r w:rsidRPr="009D60D5">
        <w:rPr>
          <w:rFonts w:eastAsia="TimesNewRoman"/>
        </w:rPr>
        <w:t>, ki pa izhajajo predvsem iz skladiščenja perutninskega gnoja. Leta 2014 so bili izpusti metana precej manjši kot leta 1986. Podatki kažejo, da so se izpusti amonijaka od leta 1990 do leta 2014 zmanjšali, kar je predvsem posledica zmanjšanja števila živali.</w:t>
      </w:r>
    </w:p>
    <w:p w14:paraId="5020166A" w14:textId="77777777" w:rsidR="009D60D5" w:rsidRPr="009D60D5" w:rsidRDefault="009D60D5" w:rsidP="009D60D5">
      <w:pPr>
        <w:spacing w:before="200" w:line="360" w:lineRule="auto"/>
        <w:jc w:val="both"/>
        <w:rPr>
          <w:rFonts w:eastAsia="TimesNewRoman"/>
        </w:rPr>
      </w:pPr>
      <w:r w:rsidRPr="009D60D5">
        <w:rPr>
          <w:rFonts w:eastAsia="TimesNewRoman" w:cs="Arial"/>
          <w:szCs w:val="20"/>
        </w:rPr>
        <w:t xml:space="preserve">V </w:t>
      </w:r>
      <w:r w:rsidRPr="009D60D5">
        <w:rPr>
          <w:rFonts w:eastAsia="TimesNewRoman"/>
        </w:rPr>
        <w:t>sektorju so prepoznane</w:t>
      </w:r>
      <w:r w:rsidRPr="009D60D5">
        <w:rPr>
          <w:rFonts w:eastAsia="TimesNewRoman" w:cs="Arial"/>
          <w:szCs w:val="20"/>
        </w:rPr>
        <w:t xml:space="preserve"> priložnosti, ki </w:t>
      </w:r>
      <w:r w:rsidRPr="009D60D5">
        <w:rPr>
          <w:rFonts w:eastAsia="TimesNewRoman"/>
        </w:rPr>
        <w:t xml:space="preserve">bi </w:t>
      </w:r>
      <w:r w:rsidRPr="009D60D5">
        <w:rPr>
          <w:rFonts w:eastAsia="TimesNewRoman" w:cs="Arial"/>
          <w:szCs w:val="20"/>
        </w:rPr>
        <w:t xml:space="preserve">pozitivno </w:t>
      </w:r>
      <w:r w:rsidRPr="009D60D5">
        <w:rPr>
          <w:rFonts w:eastAsia="TimesNewRoman"/>
        </w:rPr>
        <w:t>vplivale</w:t>
      </w:r>
      <w:r w:rsidRPr="009D60D5">
        <w:rPr>
          <w:rFonts w:eastAsia="TimesNewRoman" w:cs="Arial"/>
          <w:szCs w:val="20"/>
        </w:rPr>
        <w:t xml:space="preserve"> na</w:t>
      </w:r>
      <w:r w:rsidRPr="009D60D5">
        <w:rPr>
          <w:rFonts w:eastAsia="TimesNewRoman"/>
        </w:rPr>
        <w:t xml:space="preserve"> </w:t>
      </w:r>
      <w:r w:rsidRPr="009D60D5">
        <w:rPr>
          <w:rFonts w:eastAsia="TimesNewRoman" w:cs="Arial"/>
          <w:szCs w:val="20"/>
        </w:rPr>
        <w:t>okolje</w:t>
      </w:r>
      <w:r w:rsidRPr="009D60D5">
        <w:rPr>
          <w:rFonts w:eastAsia="TimesNewRoman"/>
        </w:rPr>
        <w:t xml:space="preserve"> in</w:t>
      </w:r>
      <w:r w:rsidRPr="009D60D5">
        <w:rPr>
          <w:rFonts w:eastAsia="TimesNewRoman" w:cs="Arial"/>
          <w:szCs w:val="20"/>
        </w:rPr>
        <w:t xml:space="preserve"> </w:t>
      </w:r>
      <w:r w:rsidRPr="009D60D5">
        <w:rPr>
          <w:rFonts w:eastAsia="TimesNewRoman"/>
        </w:rPr>
        <w:t>bi prispevale</w:t>
      </w:r>
      <w:r w:rsidRPr="009D60D5">
        <w:rPr>
          <w:rFonts w:eastAsia="TimesNewRoman" w:cs="Arial"/>
          <w:szCs w:val="20"/>
        </w:rPr>
        <w:t xml:space="preserve"> k blažitvi podnebnih </w:t>
      </w:r>
      <w:r w:rsidRPr="009D60D5">
        <w:rPr>
          <w:rFonts w:eastAsia="TimesNewRoman"/>
        </w:rPr>
        <w:t>sprememb oz. prilagajanje nanje. Ključne priložnosti se kažejo v proizvodnji</w:t>
      </w:r>
      <w:r w:rsidRPr="009D60D5">
        <w:rPr>
          <w:rFonts w:eastAsia="TimesNewRoman" w:cs="Arial"/>
          <w:szCs w:val="20"/>
        </w:rPr>
        <w:t xml:space="preserve"> energije iz perutninskega gnoja in stranskih proizvodov</w:t>
      </w:r>
      <w:r w:rsidRPr="009D60D5">
        <w:rPr>
          <w:rFonts w:eastAsia="TimesNewRoman"/>
        </w:rPr>
        <w:t xml:space="preserve">, </w:t>
      </w:r>
      <w:r w:rsidRPr="009D60D5">
        <w:rPr>
          <w:rFonts w:eastAsia="TimesNewRoman" w:cs="Arial"/>
          <w:szCs w:val="20"/>
        </w:rPr>
        <w:t>proizvod</w:t>
      </w:r>
      <w:r w:rsidRPr="009D60D5">
        <w:rPr>
          <w:rFonts w:eastAsia="TimesNewRoman"/>
        </w:rPr>
        <w:t>nji</w:t>
      </w:r>
      <w:r w:rsidRPr="009D60D5">
        <w:rPr>
          <w:rFonts w:eastAsia="TimesNewRoman" w:cs="Arial"/>
          <w:szCs w:val="20"/>
        </w:rPr>
        <w:t xml:space="preserve"> sončne energije na objektih</w:t>
      </w:r>
      <w:r w:rsidRPr="009D60D5">
        <w:rPr>
          <w:rFonts w:eastAsia="TimesNewRoman"/>
        </w:rPr>
        <w:t>, predelavi in trženju</w:t>
      </w:r>
      <w:r w:rsidRPr="009D60D5">
        <w:rPr>
          <w:rFonts w:eastAsia="TimesNewRoman" w:cs="Arial"/>
          <w:szCs w:val="20"/>
        </w:rPr>
        <w:t xml:space="preserve"> izdelkov iz gnoja in stranskih proizvodov reje</w:t>
      </w:r>
      <w:r w:rsidRPr="009D60D5">
        <w:rPr>
          <w:rFonts w:eastAsia="TimesNewRoman"/>
        </w:rPr>
        <w:t>, uvajanju novih tehnologij za zmanjšanje emisij amonijaka (gnojenje z majhnimi izpusti), nadomeščanju mineralnih gnojil s perutninskim gnojem. Glavna ovira za navedeni napredek so zastareli in neustrezni obstoječi objekti (predvsem skladišča in predelovalni objekti) ter oprema.</w:t>
      </w:r>
    </w:p>
    <w:p w14:paraId="7A08CDFA" w14:textId="77777777" w:rsidR="009D60D5" w:rsidRPr="009D60D5" w:rsidRDefault="009D60D5" w:rsidP="009D60D5">
      <w:pPr>
        <w:spacing w:before="200" w:line="360" w:lineRule="auto"/>
        <w:jc w:val="both"/>
        <w:rPr>
          <w:rFonts w:eastAsia="TimesNewRoman"/>
        </w:rPr>
      </w:pPr>
      <w:r w:rsidRPr="009D60D5">
        <w:rPr>
          <w:rFonts w:eastAsia="TimesNewRoman"/>
        </w:rPr>
        <w:t xml:space="preserve">V okviru </w:t>
      </w:r>
      <w:r w:rsidRPr="009D60D5">
        <w:rPr>
          <w:rFonts w:eastAsia="TimesNewRoman" w:cs="Arial"/>
          <w:szCs w:val="20"/>
        </w:rPr>
        <w:t>Programa varstva biotske raznovrstnosti v živinoreji</w:t>
      </w:r>
      <w:r w:rsidRPr="009D60D5">
        <w:rPr>
          <w:rFonts w:eastAsia="TimesNewRoman"/>
        </w:rPr>
        <w:t xml:space="preserve"> za obdobje 2017-2023 se varuje/ohranja edina avtohtona pasma, štajerska kokoš, ki ima drugo stopnjo ogroženosti. Poleg štajerske kokoši se skrbi tudi za ohranitev štirih tradicionalnih pasem kokoši, katere pa imajo najvišjo stopnjo ogroženosti </w:t>
      </w:r>
      <w:proofErr w:type="spellStart"/>
      <w:r w:rsidRPr="009D60D5">
        <w:rPr>
          <w:rFonts w:eastAsia="TimesNewRoman"/>
        </w:rPr>
        <w:t>t.j</w:t>
      </w:r>
      <w:proofErr w:type="spellEnd"/>
      <w:r w:rsidRPr="009D60D5">
        <w:rPr>
          <w:rFonts w:eastAsia="TimesNewRoman"/>
        </w:rPr>
        <w:t>. kritična in sicer zaradi zelo slabe geografske razširjenosti. V letu 2019 se je Register pasem z zootehniško oceno vodil za pet pasem kokoši: štajerska kokoš, slovenska grahasta kokoš, slovenska srebrna kokoš, slovenska rjava kokoš, slovenska pozno operjena kokoš.</w:t>
      </w:r>
      <w:r w:rsidRPr="009D60D5">
        <w:rPr>
          <w:rFonts w:eastAsia="TimesNewRoman" w:cs="Arial"/>
          <w:szCs w:val="20"/>
        </w:rPr>
        <w:t xml:space="preserve"> </w:t>
      </w:r>
      <w:r w:rsidRPr="009D60D5">
        <w:rPr>
          <w:rFonts w:eastAsia="TimesNewRoman"/>
        </w:rPr>
        <w:t>Slabosti se kažejo v nekonkurenčnosti reje lokalnih pasem medtem, ko so prednosti v samem obstoju genske banke za lokalne pasme. Priložnosti se kažejo predvsem v novih (</w:t>
      </w:r>
      <w:proofErr w:type="spellStart"/>
      <w:r w:rsidRPr="009D60D5">
        <w:rPr>
          <w:rFonts w:eastAsia="TimesNewRoman"/>
        </w:rPr>
        <w:t>nišnih</w:t>
      </w:r>
      <w:proofErr w:type="spellEnd"/>
      <w:r w:rsidRPr="009D60D5">
        <w:rPr>
          <w:rFonts w:eastAsia="TimesNewRoman"/>
        </w:rPr>
        <w:t>) proizvodih in tudi v povečevanju števila ARK kmetij oz. središč.</w:t>
      </w:r>
    </w:p>
    <w:p w14:paraId="3ED2D81F" w14:textId="77777777" w:rsidR="009D60D5" w:rsidRPr="009D60D5" w:rsidRDefault="009D60D5" w:rsidP="009D60D5">
      <w:pPr>
        <w:spacing w:before="200" w:line="360" w:lineRule="auto"/>
        <w:jc w:val="both"/>
        <w:rPr>
          <w:rFonts w:eastAsia="TimesNewRoman"/>
        </w:rPr>
      </w:pPr>
      <w:r w:rsidRPr="009D60D5">
        <w:rPr>
          <w:rFonts w:eastAsia="TimesNewRoman"/>
        </w:rPr>
        <w:t xml:space="preserve">Priložnosti, ki bi pozitivno vplivale na </w:t>
      </w:r>
      <w:r w:rsidRPr="009D60D5">
        <w:rPr>
          <w:rFonts w:eastAsia="TimesNewRoman" w:cs="Arial"/>
          <w:szCs w:val="20"/>
        </w:rPr>
        <w:t>privabljanje mladih kmetov</w:t>
      </w:r>
      <w:r w:rsidRPr="009D60D5">
        <w:rPr>
          <w:rFonts w:eastAsia="TimesNewRoman"/>
        </w:rPr>
        <w:t>, na spodbujanje razvoja podjetij, zaposlovanja in lokalni razvoj na podeželskih območjih so: zaposlitev na kmetijah (kot glavna ali dopolnilna dejavnost) ter v perutninskih obratih, zaposlovanje ranljivih skupin (starejši, invalidi…), uvajanje novih digitalno podprtih tehnologij, novi načini trženja, novi (</w:t>
      </w:r>
      <w:proofErr w:type="spellStart"/>
      <w:r w:rsidRPr="009D60D5">
        <w:rPr>
          <w:rFonts w:eastAsia="TimesNewRoman"/>
        </w:rPr>
        <w:t>nišni</w:t>
      </w:r>
      <w:proofErr w:type="spellEnd"/>
      <w:r w:rsidRPr="009D60D5">
        <w:rPr>
          <w:rFonts w:eastAsia="TimesNewRoman"/>
        </w:rPr>
        <w:t>) proizvodi, povezovanje med deležniki v verigi, razvoj dopolnilnih dejavnosti (ponudba lokalnih proizvodov v povezavi s turizmom).</w:t>
      </w:r>
    </w:p>
    <w:p w14:paraId="39B9F11B" w14:textId="77777777" w:rsidR="009D60D5" w:rsidRPr="009D60D5" w:rsidRDefault="009D60D5" w:rsidP="009D60D5">
      <w:pPr>
        <w:spacing w:before="200" w:line="360" w:lineRule="auto"/>
        <w:jc w:val="both"/>
        <w:rPr>
          <w:rFonts w:eastAsia="TimesNewRoman"/>
        </w:rPr>
      </w:pPr>
      <w:r w:rsidRPr="009D60D5">
        <w:rPr>
          <w:rFonts w:eastAsia="TimesNewRoman"/>
        </w:rPr>
        <w:t xml:space="preserve">Ključne slabosti v panogi so neatraktivnost poklica, </w:t>
      </w:r>
      <w:r w:rsidRPr="009D60D5">
        <w:t xml:space="preserve">visoki stroški za zagon proizvodnje in visoka amortizacija, pomanjkljiv obseg in prenos specialnega znanja, predvsem rejcem, ki niso v sistemu kooperacijske reje, </w:t>
      </w:r>
      <w:r w:rsidRPr="009D60D5">
        <w:rPr>
          <w:rFonts w:eastAsia="TimesNewRoman"/>
        </w:rPr>
        <w:t>zastareli in neustrezni objekti ter konflikti v poseljenih območjih</w:t>
      </w:r>
      <w:r w:rsidRPr="009D60D5">
        <w:t>.</w:t>
      </w:r>
      <w:r w:rsidRPr="009D60D5">
        <w:rPr>
          <w:rFonts w:eastAsia="TimesNewRoman" w:cs="Arial"/>
          <w:szCs w:val="20"/>
        </w:rPr>
        <w:t xml:space="preserve"> </w:t>
      </w:r>
      <w:r w:rsidRPr="009D60D5">
        <w:rPr>
          <w:rFonts w:eastAsia="TimesNewRoman"/>
        </w:rPr>
        <w:t>Prednosti</w:t>
      </w:r>
      <w:r w:rsidRPr="009D60D5">
        <w:rPr>
          <w:rFonts w:eastAsia="TimesNewRoman" w:cs="Arial"/>
          <w:szCs w:val="20"/>
        </w:rPr>
        <w:t>,</w:t>
      </w:r>
      <w:r w:rsidRPr="009D60D5">
        <w:rPr>
          <w:rFonts w:eastAsia="TimesNewRoman"/>
        </w:rPr>
        <w:t xml:space="preserve"> ki so v sektorju perutninarstva prepoznane, </w:t>
      </w:r>
      <w:r w:rsidRPr="009D60D5">
        <w:rPr>
          <w:rFonts w:eastAsia="TimesNewRoman" w:cs="Arial"/>
          <w:szCs w:val="20"/>
        </w:rPr>
        <w:t xml:space="preserve">pa </w:t>
      </w:r>
      <w:r w:rsidRPr="009D60D5">
        <w:rPr>
          <w:rFonts w:eastAsia="TimesNewRoman"/>
        </w:rPr>
        <w:t xml:space="preserve">so zlasti v vzpostavljenih kooperacijskih rejah, dovzetnosti mladih za uporabo novih informacijskih tehnologij ter v uporabi lesa za različne namene (za ogrevanje hlevov, za </w:t>
      </w:r>
      <w:proofErr w:type="spellStart"/>
      <w:r w:rsidRPr="009D60D5">
        <w:rPr>
          <w:rFonts w:eastAsia="TimesNewRoman"/>
        </w:rPr>
        <w:t>nastilj</w:t>
      </w:r>
      <w:proofErr w:type="spellEnd"/>
      <w:r w:rsidRPr="009D60D5">
        <w:rPr>
          <w:rFonts w:eastAsia="TimesNewRoman"/>
        </w:rPr>
        <w:t xml:space="preserve"> itd.).</w:t>
      </w:r>
    </w:p>
    <w:p w14:paraId="2D637C77" w14:textId="77777777" w:rsidR="009D60D5" w:rsidRPr="009D60D5" w:rsidRDefault="009D60D5" w:rsidP="009D60D5">
      <w:pPr>
        <w:spacing w:before="200" w:line="360" w:lineRule="auto"/>
        <w:jc w:val="both"/>
        <w:rPr>
          <w:rFonts w:eastAsia="TimesNewRoman"/>
        </w:rPr>
      </w:pPr>
      <w:r w:rsidRPr="009D60D5">
        <w:rPr>
          <w:rFonts w:eastAsia="TimesNewRoman"/>
        </w:rPr>
        <w:lastRenderedPageBreak/>
        <w:t xml:space="preserve">Splošna javnost želi, da se </w:t>
      </w:r>
      <w:r w:rsidRPr="009D60D5">
        <w:rPr>
          <w:rFonts w:eastAsia="TimesNewRoman" w:cs="Arial"/>
          <w:szCs w:val="20"/>
        </w:rPr>
        <w:t>dobrobit živali</w:t>
      </w:r>
      <w:r w:rsidRPr="009D60D5">
        <w:rPr>
          <w:rFonts w:eastAsia="TimesNewRoman"/>
        </w:rPr>
        <w:t xml:space="preserve"> okrepi na vseh področjih, vključno s perutninarstvom. Nevarnosti, ki pretijo sektorju so predvsem širjenje bolezni, prepočasno prilagajanje rejcev zahtevam potrošnikov ter preveliko število označb (npr. Zaščitena geografska označba, Višja kakovost, Ekološka pridelava, Izbrana kakovost itd.), ki begajo potrošnika.</w:t>
      </w:r>
    </w:p>
    <w:p w14:paraId="40AF87D7" w14:textId="4DB3E78F" w:rsidR="00CF3CC6" w:rsidRPr="00CF3CC6" w:rsidRDefault="009D60D5" w:rsidP="009D60D5">
      <w:pPr>
        <w:spacing w:before="200" w:line="360" w:lineRule="auto"/>
        <w:jc w:val="both"/>
        <w:rPr>
          <w:rFonts w:eastAsia="Calibri" w:cs="Arial"/>
          <w:b/>
          <w:szCs w:val="20"/>
        </w:rPr>
      </w:pPr>
      <w:r w:rsidRPr="009D60D5">
        <w:rPr>
          <w:rFonts w:eastAsia="TimesNewRoman" w:cs="Arial"/>
          <w:szCs w:val="20"/>
        </w:rPr>
        <w:t>Dosedanje podpore SKP 2014 – 2020</w:t>
      </w:r>
      <w:r w:rsidRPr="009D60D5">
        <w:rPr>
          <w:rFonts w:eastAsia="TimesNewRoman"/>
        </w:rPr>
        <w:t xml:space="preserve"> za sektor perutninarstva izhajajo iz splošnih ukrepov, ki so vezani na površine in različnih ukrepov PRP 2014-2020 (M4, M6 itd.). Do dne 31. 8. 2019 je bilo v okviru </w:t>
      </w:r>
      <w:proofErr w:type="spellStart"/>
      <w:r w:rsidRPr="009D60D5">
        <w:rPr>
          <w:rFonts w:eastAsia="TimesNewRoman"/>
        </w:rPr>
        <w:t>podukrepa</w:t>
      </w:r>
      <w:proofErr w:type="spellEnd"/>
      <w:r w:rsidRPr="009D60D5">
        <w:rPr>
          <w:rFonts w:eastAsia="TimesNewRoman"/>
        </w:rPr>
        <w:t xml:space="preserve"> M04.1 Podpora za naložbe v kmetijska gospodarstva izplačano približno 1,5 mio EUR, v okviru </w:t>
      </w:r>
      <w:proofErr w:type="spellStart"/>
      <w:r w:rsidRPr="009D60D5">
        <w:rPr>
          <w:rFonts w:eastAsia="TimesNewRoman"/>
        </w:rPr>
        <w:t>podukrepa</w:t>
      </w:r>
      <w:proofErr w:type="spellEnd"/>
      <w:r w:rsidRPr="009D60D5">
        <w:rPr>
          <w:rFonts w:eastAsia="TimesNewRoman"/>
        </w:rPr>
        <w:t xml:space="preserve"> 4.2 Podpora za naložbe v predelavo/trženje in/ali razvoj kmetijskih proizvodov nekaj čez 0,5 mio EUR, v okviru </w:t>
      </w:r>
      <w:proofErr w:type="spellStart"/>
      <w:r w:rsidRPr="009D60D5">
        <w:rPr>
          <w:rFonts w:eastAsia="TimesNewRoman"/>
        </w:rPr>
        <w:t>podukrepa</w:t>
      </w:r>
      <w:proofErr w:type="spellEnd"/>
      <w:r w:rsidRPr="009D60D5">
        <w:rPr>
          <w:rFonts w:eastAsia="TimesNewRoman"/>
        </w:rPr>
        <w:t xml:space="preserve"> 6.1 Pomoč za zagon dejavnosti za mlade kmete približno 0,4 mio EUR in v okviru </w:t>
      </w:r>
      <w:proofErr w:type="spellStart"/>
      <w:r w:rsidRPr="009D60D5">
        <w:rPr>
          <w:rFonts w:eastAsia="TimesNewRoman"/>
        </w:rPr>
        <w:t>podukrepa</w:t>
      </w:r>
      <w:proofErr w:type="spellEnd"/>
      <w:r w:rsidRPr="009D60D5">
        <w:rPr>
          <w:rFonts w:eastAsia="TimesNewRoman"/>
        </w:rPr>
        <w:t xml:space="preserve"> 6.3 Pomoč za zagon dejavnosti, namenjene razvoju majhnih kmetij je bilo izplačano 10.500 EUR.</w:t>
      </w:r>
    </w:p>
    <w:p w14:paraId="28FB1C1F" w14:textId="77777777" w:rsidR="00CF3CC6" w:rsidRPr="00EC5259" w:rsidRDefault="00CF3CC6" w:rsidP="00EC5259">
      <w:pPr>
        <w:pStyle w:val="Naslov3"/>
        <w:rPr>
          <w:rFonts w:eastAsia="Calibri"/>
        </w:rPr>
      </w:pPr>
      <w:bookmarkStart w:id="168" w:name="_Toc55912207"/>
      <w:r w:rsidRPr="00EC5259">
        <w:rPr>
          <w:rFonts w:eastAsia="Calibri"/>
        </w:rPr>
        <w:t>Ključne ugotovitve</w:t>
      </w:r>
      <w:bookmarkEnd w:id="168"/>
    </w:p>
    <w:p w14:paraId="1CDB8203" w14:textId="77777777" w:rsidR="009D60D5" w:rsidRPr="0028731E" w:rsidRDefault="009D60D5" w:rsidP="000A650F">
      <w:pPr>
        <w:pStyle w:val="Odstavekseznama"/>
        <w:numPr>
          <w:ilvl w:val="0"/>
          <w:numId w:val="37"/>
        </w:numPr>
        <w:spacing w:before="120" w:after="120" w:line="360" w:lineRule="auto"/>
        <w:ind w:left="357" w:hanging="357"/>
        <w:contextualSpacing w:val="0"/>
        <w:jc w:val="both"/>
        <w:rPr>
          <w:rFonts w:eastAsia="TimesNewRoman" w:cs="Arial"/>
          <w:szCs w:val="20"/>
        </w:rPr>
      </w:pPr>
      <w:r>
        <w:rPr>
          <w:rFonts w:eastAsia="TimesNewRoman" w:cs="Arial"/>
          <w:szCs w:val="20"/>
        </w:rPr>
        <w:t>V Sloveniji je p</w:t>
      </w:r>
      <w:r w:rsidRPr="00915839">
        <w:rPr>
          <w:rFonts w:eastAsia="TimesNewRoman" w:cs="Arial"/>
          <w:szCs w:val="20"/>
        </w:rPr>
        <w:t>erutninarstvo stabilna panoga, ki je zaradi zaprtosti sistema izpostavljena manjšim tveganjem. Potrebno je posodobiti opremo in objekte zlasti s ciljem izboljšanja pogojev reje oziroma dobrobiti živali, prilagajanj</w:t>
      </w:r>
      <w:r w:rsidRPr="008F489F">
        <w:rPr>
          <w:rFonts w:eastAsia="TimesNewRoman" w:cs="Arial"/>
          <w:szCs w:val="20"/>
        </w:rPr>
        <w:t>a</w:t>
      </w:r>
      <w:r w:rsidRPr="00915839">
        <w:rPr>
          <w:rFonts w:eastAsia="TimesNewRoman" w:cs="Arial"/>
          <w:szCs w:val="20"/>
        </w:rPr>
        <w:t xml:space="preserve"> podnebnim spremembam, tehnološki dovršenos</w:t>
      </w:r>
      <w:r>
        <w:rPr>
          <w:rFonts w:eastAsia="TimesNewRoman"/>
        </w:rPr>
        <w:t xml:space="preserve">ti ter izboljšanjem </w:t>
      </w:r>
      <w:proofErr w:type="spellStart"/>
      <w:r>
        <w:rPr>
          <w:rFonts w:eastAsia="TimesNewRoman"/>
        </w:rPr>
        <w:t>biovarnosti</w:t>
      </w:r>
      <w:proofErr w:type="spellEnd"/>
      <w:r w:rsidRPr="008F489F">
        <w:rPr>
          <w:rFonts w:eastAsia="TimesNewRoman" w:cs="Arial"/>
          <w:szCs w:val="20"/>
        </w:rPr>
        <w:t>.</w:t>
      </w:r>
    </w:p>
    <w:p w14:paraId="2C176EBB" w14:textId="77777777" w:rsidR="009D60D5" w:rsidRPr="002D4B01" w:rsidRDefault="009D60D5" w:rsidP="000A650F">
      <w:pPr>
        <w:pStyle w:val="Odstavekseznama"/>
        <w:numPr>
          <w:ilvl w:val="0"/>
          <w:numId w:val="37"/>
        </w:numPr>
        <w:spacing w:before="120" w:after="120" w:line="360" w:lineRule="auto"/>
        <w:ind w:left="357" w:hanging="357"/>
        <w:contextualSpacing w:val="0"/>
        <w:jc w:val="both"/>
        <w:rPr>
          <w:rFonts w:eastAsia="TimesNewRoman" w:cs="Arial"/>
          <w:szCs w:val="20"/>
        </w:rPr>
      </w:pPr>
      <w:r>
        <w:rPr>
          <w:rFonts w:eastAsia="TimesNewRoman"/>
        </w:rPr>
        <w:t xml:space="preserve">Potrebno je izvajanje ukrepa dobrobiti živali, še </w:t>
      </w:r>
      <w:proofErr w:type="spellStart"/>
      <w:r>
        <w:rPr>
          <w:rFonts w:eastAsia="TimesNewRoman"/>
        </w:rPr>
        <w:t>posebje</w:t>
      </w:r>
      <w:proofErr w:type="spellEnd"/>
      <w:r>
        <w:rPr>
          <w:rFonts w:eastAsia="TimesNewRoman"/>
        </w:rPr>
        <w:t xml:space="preserve"> zaradi preprečevanja širjenja bolezni ter učinkovitejšega prilagajanja rejcev zahtevam potrošniku.</w:t>
      </w:r>
    </w:p>
    <w:p w14:paraId="19FFB3E8" w14:textId="77777777" w:rsidR="009D60D5" w:rsidRPr="002D4B01" w:rsidRDefault="009D60D5" w:rsidP="000A650F">
      <w:pPr>
        <w:pStyle w:val="Odstavekseznama"/>
        <w:numPr>
          <w:ilvl w:val="0"/>
          <w:numId w:val="37"/>
        </w:numPr>
        <w:spacing w:before="120" w:after="120" w:line="360" w:lineRule="auto"/>
        <w:ind w:left="357" w:hanging="357"/>
        <w:contextualSpacing w:val="0"/>
        <w:jc w:val="both"/>
        <w:rPr>
          <w:rFonts w:eastAsia="TimesNewRoman" w:cs="Arial"/>
          <w:szCs w:val="20"/>
        </w:rPr>
      </w:pPr>
      <w:r w:rsidRPr="0028731E">
        <w:rPr>
          <w:rFonts w:eastAsia="TimesNewRoman" w:cs="Arial"/>
          <w:szCs w:val="20"/>
        </w:rPr>
        <w:t xml:space="preserve">Potrebno je </w:t>
      </w:r>
      <w:r w:rsidRPr="00282538">
        <w:rPr>
          <w:rFonts w:eastAsia="TimesNewRoman"/>
        </w:rPr>
        <w:t>v</w:t>
      </w:r>
      <w:r>
        <w:rPr>
          <w:rFonts w:eastAsia="TimesNewRoman"/>
        </w:rPr>
        <w:t>zpostaviti</w:t>
      </w:r>
      <w:r w:rsidRPr="00915839">
        <w:rPr>
          <w:rFonts w:eastAsia="TimesNewRoman" w:cs="Arial"/>
          <w:szCs w:val="20"/>
        </w:rPr>
        <w:t xml:space="preserve"> pogoje za hitrejše vključevanje mladih v panogo</w:t>
      </w:r>
      <w:r w:rsidRPr="0028731E">
        <w:rPr>
          <w:rFonts w:eastAsia="TimesNewRoman" w:cs="Arial"/>
          <w:szCs w:val="20"/>
        </w:rPr>
        <w:t>.</w:t>
      </w:r>
    </w:p>
    <w:p w14:paraId="01A59910" w14:textId="77777777" w:rsidR="009D60D5" w:rsidRDefault="009D60D5" w:rsidP="000A650F">
      <w:pPr>
        <w:pStyle w:val="Odstavekseznama"/>
        <w:numPr>
          <w:ilvl w:val="0"/>
          <w:numId w:val="37"/>
        </w:numPr>
        <w:spacing w:before="120" w:after="120" w:line="360" w:lineRule="auto"/>
        <w:ind w:left="357" w:hanging="357"/>
        <w:contextualSpacing w:val="0"/>
        <w:jc w:val="both"/>
        <w:rPr>
          <w:rFonts w:eastAsia="TimesNewRoman" w:cs="Arial"/>
          <w:szCs w:val="20"/>
        </w:rPr>
      </w:pPr>
      <w:r w:rsidRPr="0028731E">
        <w:rPr>
          <w:rFonts w:eastAsia="TimesNewRoman" w:cs="Arial"/>
          <w:szCs w:val="20"/>
        </w:rPr>
        <w:t>Povezovanje in izobraževanj</w:t>
      </w:r>
      <w:r>
        <w:rPr>
          <w:rFonts w:eastAsia="TimesNewRoman" w:cs="Arial"/>
          <w:szCs w:val="20"/>
        </w:rPr>
        <w:t>e</w:t>
      </w:r>
      <w:r w:rsidRPr="0028731E">
        <w:rPr>
          <w:rFonts w:eastAsia="TimesNewRoman" w:cs="Arial"/>
          <w:szCs w:val="20"/>
        </w:rPr>
        <w:t xml:space="preserve"> rejcev</w:t>
      </w:r>
      <w:r w:rsidRPr="0028731E" w:rsidDel="0028731E">
        <w:rPr>
          <w:rFonts w:eastAsia="TimesNewRoman" w:cs="Arial"/>
          <w:szCs w:val="20"/>
        </w:rPr>
        <w:t xml:space="preserve"> </w:t>
      </w:r>
      <w:r w:rsidRPr="0028731E">
        <w:rPr>
          <w:rFonts w:eastAsia="TimesNewRoman" w:cs="Arial"/>
          <w:szCs w:val="20"/>
        </w:rPr>
        <w:t>je potrebno okrepiti, prav tako</w:t>
      </w:r>
      <w:r w:rsidRPr="00282538">
        <w:rPr>
          <w:rFonts w:eastAsia="TimesNewRoman"/>
        </w:rPr>
        <w:t xml:space="preserve"> </w:t>
      </w:r>
      <w:r w:rsidRPr="008F489F">
        <w:rPr>
          <w:rFonts w:eastAsia="TimesNewRoman" w:cs="Arial"/>
          <w:szCs w:val="20"/>
        </w:rPr>
        <w:t>p</w:t>
      </w:r>
      <w:r w:rsidRPr="00915839">
        <w:rPr>
          <w:rFonts w:eastAsia="TimesNewRoman" w:cs="Arial"/>
          <w:szCs w:val="20"/>
        </w:rPr>
        <w:t>romoci</w:t>
      </w:r>
      <w:r w:rsidRPr="0028731E">
        <w:rPr>
          <w:rFonts w:eastAsia="TimesNewRoman" w:cs="Arial"/>
          <w:szCs w:val="20"/>
        </w:rPr>
        <w:t>jo</w:t>
      </w:r>
      <w:r>
        <w:rPr>
          <w:rFonts w:eastAsia="TimesNewRoman" w:cs="Arial"/>
          <w:szCs w:val="20"/>
        </w:rPr>
        <w:t xml:space="preserve"> lokalnih proizvodov.</w:t>
      </w:r>
    </w:p>
    <w:p w14:paraId="36EB46C3" w14:textId="7AE9714F" w:rsidR="00CF3CC6" w:rsidRDefault="00CF3CC6" w:rsidP="00DF0D48">
      <w:pPr>
        <w:pStyle w:val="Naslov2"/>
        <w:ind w:left="578" w:hanging="578"/>
      </w:pPr>
      <w:bookmarkStart w:id="169" w:name="_Toc55912208"/>
      <w:r w:rsidRPr="00F546E3">
        <w:t>Drobnica</w:t>
      </w:r>
      <w:bookmarkEnd w:id="169"/>
    </w:p>
    <w:p w14:paraId="68ACE82C" w14:textId="698F7B86" w:rsidR="009D60D5" w:rsidRPr="009D60D5" w:rsidRDefault="009D60D5" w:rsidP="009D60D5">
      <w:pPr>
        <w:spacing w:before="200" w:line="360" w:lineRule="auto"/>
        <w:jc w:val="both"/>
      </w:pPr>
      <w:r w:rsidRPr="00B5388F">
        <w:rPr>
          <w:rFonts w:cs="Arial"/>
          <w:szCs w:val="20"/>
        </w:rPr>
        <w:t xml:space="preserve">Reja drobnice je v Sloveniji tradicionalna kmetijska dejavnost </w:t>
      </w:r>
      <w:r w:rsidRPr="00B5388F">
        <w:rPr>
          <w:rFonts w:cs="Arial"/>
          <w:bCs/>
          <w:szCs w:val="20"/>
        </w:rPr>
        <w:t>in je ena do okolja najbolj prijaznih oblik živinoreje.</w:t>
      </w:r>
      <w:r w:rsidRPr="00B5388F">
        <w:rPr>
          <w:rFonts w:cs="Arial"/>
          <w:szCs w:val="20"/>
        </w:rPr>
        <w:t xml:space="preserve"> Večina rej se nahaja v območjih z omejenimi možnostmi za kmetijsko dejavnost in </w:t>
      </w:r>
      <w:r>
        <w:rPr>
          <w:rFonts w:cs="Arial"/>
          <w:szCs w:val="20"/>
        </w:rPr>
        <w:t xml:space="preserve">imajo </w:t>
      </w:r>
      <w:r w:rsidRPr="00B5388F">
        <w:rPr>
          <w:rFonts w:cs="Arial"/>
          <w:szCs w:val="20"/>
        </w:rPr>
        <w:t>pomembno</w:t>
      </w:r>
      <w:r>
        <w:rPr>
          <w:rFonts w:cs="Arial"/>
          <w:szCs w:val="20"/>
        </w:rPr>
        <w:t xml:space="preserve"> vlogo v okviru prizadevanj za preprečevanje</w:t>
      </w:r>
      <w:r w:rsidRPr="00B5388F">
        <w:rPr>
          <w:rFonts w:cs="Arial"/>
          <w:szCs w:val="20"/>
        </w:rPr>
        <w:t xml:space="preserve"> </w:t>
      </w:r>
      <w:r>
        <w:rPr>
          <w:rFonts w:cs="Arial"/>
          <w:szCs w:val="20"/>
        </w:rPr>
        <w:t xml:space="preserve">hitrega </w:t>
      </w:r>
      <w:r w:rsidRPr="00B5388F">
        <w:rPr>
          <w:rFonts w:cs="Arial"/>
          <w:szCs w:val="20"/>
        </w:rPr>
        <w:t>zaraščanj</w:t>
      </w:r>
      <w:r>
        <w:rPr>
          <w:rFonts w:cs="Arial"/>
          <w:szCs w:val="20"/>
        </w:rPr>
        <w:t>a</w:t>
      </w:r>
      <w:r w:rsidRPr="00B5388F">
        <w:rPr>
          <w:rFonts w:cs="Arial"/>
          <w:szCs w:val="20"/>
        </w:rPr>
        <w:t xml:space="preserve"> kmetijskih površin. Zaradi načina prehranjevalnih vzorcev </w:t>
      </w:r>
      <w:r>
        <w:rPr>
          <w:rFonts w:cs="Arial"/>
          <w:szCs w:val="20"/>
        </w:rPr>
        <w:t xml:space="preserve">je </w:t>
      </w:r>
      <w:r w:rsidRPr="00B5388F">
        <w:rPr>
          <w:rFonts w:cs="Arial"/>
          <w:szCs w:val="20"/>
        </w:rPr>
        <w:t>drobnica pom</w:t>
      </w:r>
      <w:r>
        <w:rPr>
          <w:rFonts w:cs="Arial"/>
          <w:szCs w:val="20"/>
        </w:rPr>
        <w:t xml:space="preserve">embna za </w:t>
      </w:r>
      <w:r w:rsidRPr="00B5388F">
        <w:rPr>
          <w:rFonts w:cs="Arial"/>
          <w:szCs w:val="20"/>
        </w:rPr>
        <w:t>ohranja</w:t>
      </w:r>
      <w:r>
        <w:rPr>
          <w:rFonts w:cs="Arial"/>
          <w:szCs w:val="20"/>
        </w:rPr>
        <w:t>nje</w:t>
      </w:r>
      <w:r w:rsidRPr="00B5388F">
        <w:rPr>
          <w:rFonts w:cs="Arial"/>
          <w:szCs w:val="20"/>
        </w:rPr>
        <w:t xml:space="preserve"> biotsk</w:t>
      </w:r>
      <w:r>
        <w:rPr>
          <w:rFonts w:cs="Arial"/>
          <w:szCs w:val="20"/>
        </w:rPr>
        <w:t>e</w:t>
      </w:r>
      <w:r w:rsidRPr="00B5388F">
        <w:rPr>
          <w:rFonts w:cs="Arial"/>
          <w:szCs w:val="20"/>
        </w:rPr>
        <w:t xml:space="preserve"> raznovrstnost</w:t>
      </w:r>
      <w:r>
        <w:rPr>
          <w:rFonts w:cs="Arial"/>
          <w:szCs w:val="20"/>
        </w:rPr>
        <w:t>i</w:t>
      </w:r>
      <w:r w:rsidRPr="00B5388F">
        <w:rPr>
          <w:rFonts w:cs="Arial"/>
          <w:szCs w:val="20"/>
        </w:rPr>
        <w:t xml:space="preserve"> rastlinskih ekosistemov, avtohton</w:t>
      </w:r>
      <w:r>
        <w:rPr>
          <w:rFonts w:cs="Arial"/>
          <w:szCs w:val="20"/>
        </w:rPr>
        <w:t>e</w:t>
      </w:r>
      <w:r w:rsidRPr="00B5388F">
        <w:rPr>
          <w:rFonts w:cs="Arial"/>
          <w:szCs w:val="20"/>
        </w:rPr>
        <w:t xml:space="preserve"> in tradicionaln</w:t>
      </w:r>
      <w:r>
        <w:rPr>
          <w:rFonts w:cs="Arial"/>
          <w:szCs w:val="20"/>
        </w:rPr>
        <w:t>e</w:t>
      </w:r>
      <w:r w:rsidRPr="00B5388F">
        <w:rPr>
          <w:rFonts w:cs="Arial"/>
          <w:szCs w:val="20"/>
        </w:rPr>
        <w:t xml:space="preserve"> pas</w:t>
      </w:r>
      <w:r>
        <w:rPr>
          <w:rFonts w:cs="Arial"/>
          <w:szCs w:val="20"/>
        </w:rPr>
        <w:t>me</w:t>
      </w:r>
      <w:r w:rsidRPr="00B5388F">
        <w:rPr>
          <w:rFonts w:cs="Arial"/>
          <w:szCs w:val="20"/>
        </w:rPr>
        <w:t xml:space="preserve"> pa </w:t>
      </w:r>
      <w:r>
        <w:rPr>
          <w:rFonts w:cs="Arial"/>
          <w:szCs w:val="20"/>
        </w:rPr>
        <w:t xml:space="preserve">za </w:t>
      </w:r>
      <w:r w:rsidRPr="00B5388F">
        <w:rPr>
          <w:rFonts w:cs="Arial"/>
          <w:szCs w:val="20"/>
        </w:rPr>
        <w:t xml:space="preserve">živalske ekosisteme, kar varuje okolje in ohranja kulturno krajino. Prevladuje konvencionalna ekstenzivna reja z zmernimi prirasti, razen pri rejcih, ki so usmerjeni v proizvodnjo mleka. Vedno več rej se odloča za ekološki način kmetovanja.  </w:t>
      </w:r>
    </w:p>
    <w:p w14:paraId="32588AE4" w14:textId="32969C38" w:rsidR="00CF3CC6" w:rsidRPr="00F546E3" w:rsidRDefault="00CF3CC6" w:rsidP="00F546E3">
      <w:pPr>
        <w:pStyle w:val="Naslov3"/>
        <w:rPr>
          <w:rFonts w:eastAsia="Calibri"/>
        </w:rPr>
      </w:pPr>
      <w:bookmarkStart w:id="170" w:name="_Toc55912209"/>
      <w:r w:rsidRPr="00F546E3">
        <w:rPr>
          <w:rFonts w:eastAsia="Calibri"/>
        </w:rPr>
        <w:t>Stanje v sektorju</w:t>
      </w:r>
      <w:r w:rsidR="00F546E3" w:rsidRPr="00F546E3">
        <w:rPr>
          <w:rFonts w:eastAsia="Calibri"/>
        </w:rPr>
        <w:t xml:space="preserve"> in osnovni ekonomski kazalniki</w:t>
      </w:r>
      <w:bookmarkEnd w:id="170"/>
    </w:p>
    <w:p w14:paraId="0033BA06" w14:textId="77777777" w:rsidR="009D60D5" w:rsidRDefault="009D60D5" w:rsidP="009D60D5">
      <w:pPr>
        <w:spacing w:before="200" w:line="360" w:lineRule="auto"/>
        <w:jc w:val="both"/>
        <w:rPr>
          <w:rFonts w:cs="Arial"/>
          <w:szCs w:val="20"/>
        </w:rPr>
      </w:pPr>
      <w:r w:rsidRPr="00B5388F">
        <w:rPr>
          <w:rFonts w:cs="Arial"/>
          <w:szCs w:val="20"/>
        </w:rPr>
        <w:t xml:space="preserve">Prireja mesa drobnice k skupni slovenski kmetijski proizvodnji prispeva malo manj kot odstotek vrednosti (leta 2019 0,7%), k vrednosti živinorejske proizvodnje pa dober odstotek (leta 2019 1,5 %). Statistični podatki kažejo, da se je po hitri rasti obsega reje do leta 2009, ko je število drobnice znašalo 168.004 </w:t>
      </w:r>
      <w:r w:rsidRPr="00B5388F">
        <w:rPr>
          <w:rFonts w:cs="Arial"/>
          <w:szCs w:val="20"/>
        </w:rPr>
        <w:lastRenderedPageBreak/>
        <w:t xml:space="preserve">glav, trend obrnil navzdol. Tako je stalež leta 2013 znašal 130.019 živali in se je v letih 2014 do 2019 </w:t>
      </w:r>
      <w:r>
        <w:rPr>
          <w:rFonts w:cs="Arial"/>
          <w:szCs w:val="20"/>
        </w:rPr>
        <w:t>ustalil (110 tisoč ovac in dobrih 24 tisoč koz v letu 2019).</w:t>
      </w:r>
    </w:p>
    <w:p w14:paraId="5B7426DC" w14:textId="77777777" w:rsidR="009D60D5" w:rsidRDefault="009D60D5" w:rsidP="009D60D5">
      <w:pPr>
        <w:spacing w:before="200" w:line="360" w:lineRule="auto"/>
        <w:jc w:val="both"/>
        <w:rPr>
          <w:rFonts w:cs="Arial"/>
          <w:szCs w:val="20"/>
        </w:rPr>
      </w:pPr>
      <w:r w:rsidRPr="00B5388F">
        <w:rPr>
          <w:rFonts w:cs="Arial"/>
          <w:szCs w:val="20"/>
        </w:rPr>
        <w:t>V Sloveniji drobnico redijo na preko 7.100 kmetijskih gospodarstvih</w:t>
      </w:r>
      <w:r>
        <w:rPr>
          <w:rFonts w:cs="Arial"/>
          <w:szCs w:val="20"/>
        </w:rPr>
        <w:t>.</w:t>
      </w:r>
      <w:r w:rsidRPr="00B5388F">
        <w:rPr>
          <w:rFonts w:cs="Arial"/>
          <w:szCs w:val="20"/>
        </w:rPr>
        <w:t xml:space="preserve"> Po podatkih raziskovanja strukture kmetijskih gospodarstev 2016 se je število gospodarstev z drobnico v primerjavi z letom 2013 povečalo</w:t>
      </w:r>
      <w:r>
        <w:rPr>
          <w:rFonts w:cs="Arial"/>
          <w:szCs w:val="20"/>
        </w:rPr>
        <w:t xml:space="preserve"> na račun porasta števila kmetijskih gospodarstev s kozami (+14 %).</w:t>
      </w:r>
      <w:r w:rsidRPr="00B5388F">
        <w:rPr>
          <w:rFonts w:cs="Arial"/>
          <w:szCs w:val="20"/>
        </w:rPr>
        <w:t xml:space="preserve"> Pri ovcah se je povprečno število živali na </w:t>
      </w:r>
      <w:r>
        <w:rPr>
          <w:rFonts w:cs="Arial"/>
          <w:szCs w:val="20"/>
        </w:rPr>
        <w:t>kmetijsko gospodarstvo</w:t>
      </w:r>
      <w:r w:rsidRPr="00B5388F">
        <w:rPr>
          <w:rFonts w:cs="Arial"/>
          <w:szCs w:val="20"/>
        </w:rPr>
        <w:t xml:space="preserve"> v obdobju med 2013 in 2016 povečalo z 20,9 na 21,9 živali, pri kozah pa nekoliko zmanjšal</w:t>
      </w:r>
      <w:r>
        <w:rPr>
          <w:rFonts w:cs="Arial"/>
          <w:szCs w:val="20"/>
        </w:rPr>
        <w:t xml:space="preserve">o, z 8,6 na 8,4 živali na KMG. </w:t>
      </w:r>
      <w:r w:rsidRPr="00B5388F">
        <w:rPr>
          <w:rFonts w:cs="Arial"/>
          <w:szCs w:val="20"/>
        </w:rPr>
        <w:t xml:space="preserve">70 % od vseh gospodarstev z drobnico ima manj od 2 GVŽ drobnice. V Sloveniji je </w:t>
      </w:r>
      <w:r>
        <w:rPr>
          <w:rFonts w:cs="Arial"/>
          <w:szCs w:val="20"/>
        </w:rPr>
        <w:t>več kot 30 % črede</w:t>
      </w:r>
      <w:r w:rsidRPr="00B5388F">
        <w:rPr>
          <w:rFonts w:cs="Arial"/>
          <w:szCs w:val="20"/>
        </w:rPr>
        <w:t xml:space="preserve"> drobnice vključene v ekološko kmetovanje.</w:t>
      </w:r>
      <w:bookmarkStart w:id="171" w:name="_Toc479330667"/>
      <w:bookmarkStart w:id="172" w:name="_Toc489955939"/>
      <w:bookmarkStart w:id="173" w:name="_Toc513809631"/>
      <w:bookmarkStart w:id="174" w:name="_Toc10785737"/>
      <w:bookmarkStart w:id="175" w:name="_Toc44415276"/>
    </w:p>
    <w:p w14:paraId="68F274E2" w14:textId="4AD3AE56" w:rsidR="009D60D5" w:rsidRDefault="009D60D5" w:rsidP="009D60D5">
      <w:pPr>
        <w:pStyle w:val="SCPreglednica"/>
        <w:keepNext/>
        <w:keepLines/>
      </w:pPr>
      <w:bookmarkStart w:id="176" w:name="_Toc55913782"/>
      <w:bookmarkEnd w:id="171"/>
      <w:bookmarkEnd w:id="172"/>
      <w:bookmarkEnd w:id="173"/>
      <w:bookmarkEnd w:id="174"/>
      <w:bookmarkEnd w:id="175"/>
      <w:r>
        <w:t xml:space="preserve">Slika </w:t>
      </w:r>
      <w:r>
        <w:fldChar w:fldCharType="begin"/>
      </w:r>
      <w:r>
        <w:instrText xml:space="preserve"> SEQ Slika \* ARABIC </w:instrText>
      </w:r>
      <w:r>
        <w:fldChar w:fldCharType="separate"/>
      </w:r>
      <w:r w:rsidR="0040635C">
        <w:rPr>
          <w:noProof/>
        </w:rPr>
        <w:t>33</w:t>
      </w:r>
      <w:r>
        <w:fldChar w:fldCharType="end"/>
      </w:r>
      <w:r>
        <w:t xml:space="preserve">: </w:t>
      </w:r>
      <w:r w:rsidRPr="009D60D5">
        <w:t>Število drobnice in prirast (2007–2019)</w:t>
      </w:r>
      <w:bookmarkEnd w:id="176"/>
    </w:p>
    <w:p w14:paraId="3103712A" w14:textId="77777777" w:rsidR="009D60D5" w:rsidRPr="00915839" w:rsidRDefault="009D60D5" w:rsidP="009D60D5">
      <w:pPr>
        <w:spacing w:after="0" w:line="360" w:lineRule="auto"/>
        <w:jc w:val="center"/>
        <w:rPr>
          <w:rFonts w:eastAsia="Times New Roman"/>
        </w:rPr>
      </w:pPr>
      <w:r w:rsidRPr="00915839">
        <w:rPr>
          <w:rFonts w:eastAsia="Times New Roman"/>
          <w:noProof/>
        </w:rPr>
        <w:drawing>
          <wp:inline distT="0" distB="0" distL="0" distR="0" wp14:anchorId="5EF803F0" wp14:editId="6BBBEE9E">
            <wp:extent cx="5705475" cy="2219325"/>
            <wp:effectExtent l="0" t="0" r="9525" b="952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05475" cy="2219325"/>
                    </a:xfrm>
                    <a:prstGeom prst="rect">
                      <a:avLst/>
                    </a:prstGeom>
                    <a:noFill/>
                    <a:ln>
                      <a:noFill/>
                    </a:ln>
                  </pic:spPr>
                </pic:pic>
              </a:graphicData>
            </a:graphic>
          </wp:inline>
        </w:drawing>
      </w:r>
    </w:p>
    <w:p w14:paraId="6C193012" w14:textId="77777777" w:rsidR="009D60D5" w:rsidRPr="00690008" w:rsidRDefault="009D60D5" w:rsidP="009D60D5">
      <w:pPr>
        <w:widowControl w:val="0"/>
        <w:spacing w:after="0" w:line="360" w:lineRule="auto"/>
        <w:ind w:left="170" w:hanging="170"/>
        <w:rPr>
          <w:rFonts w:eastAsia="Times New Roman"/>
          <w:sz w:val="16"/>
          <w:szCs w:val="16"/>
        </w:rPr>
      </w:pPr>
      <w:r w:rsidRPr="00690008">
        <w:rPr>
          <w:rFonts w:eastAsia="Times New Roman"/>
          <w:sz w:val="16"/>
          <w:szCs w:val="16"/>
        </w:rPr>
        <w:t>Vir: SURS</w:t>
      </w:r>
      <w:r>
        <w:rPr>
          <w:rFonts w:eastAsia="Times New Roman"/>
          <w:sz w:val="16"/>
          <w:szCs w:val="16"/>
        </w:rPr>
        <w:t xml:space="preserve"> (ZP-2019)</w:t>
      </w:r>
    </w:p>
    <w:p w14:paraId="1D561E40" w14:textId="77777777" w:rsidR="009D60D5" w:rsidRPr="00DF0D48" w:rsidRDefault="009D60D5" w:rsidP="009D60D5">
      <w:pPr>
        <w:spacing w:before="200" w:line="360" w:lineRule="auto"/>
        <w:jc w:val="both"/>
        <w:rPr>
          <w:rFonts w:cs="Arial"/>
          <w:szCs w:val="20"/>
        </w:rPr>
      </w:pPr>
      <w:r w:rsidRPr="00DF0D48">
        <w:rPr>
          <w:rFonts w:cs="Arial"/>
          <w:szCs w:val="20"/>
        </w:rPr>
        <w:t>Prirast drobnice v živi masi znaša okoli 3,4 tisoč ton, pri čemer ovce prispevajo okoli 80 %, domača prireja mesa pa v zadnjih nekaj letih niha med 1,6 in 1,8 tisoč ton. Od leta 2013 dalje se zakol v klavnicah povečuje, a se še vedno največ mesa drobnice pridobi iz zakola zunaj klavnic (povprečje zadnjih pet let je okoli 91 %). Domača poraba mesa drobnice je v letu 2019 znašala 1,83 tisoč ton. Po letu 2016, ko je domača poraba z dobrimi 2 tisoč tonami mesa pomenila porabo 1 kg mesa drobnice na prebivalca, je bila v letu 2019 0,88 kg, kar je med najnižjimi vrednostmi porabe. Poraba je za približno polovico manjša od povprečne porabe v EU.</w:t>
      </w:r>
    </w:p>
    <w:p w14:paraId="0BD32C89" w14:textId="77777777" w:rsidR="009D60D5" w:rsidRPr="00DF0D48" w:rsidRDefault="009D60D5" w:rsidP="009D60D5">
      <w:pPr>
        <w:spacing w:before="200" w:line="360" w:lineRule="auto"/>
        <w:jc w:val="both"/>
        <w:rPr>
          <w:rFonts w:cs="Arial"/>
          <w:szCs w:val="20"/>
        </w:rPr>
      </w:pPr>
      <w:r w:rsidRPr="00DF0D48">
        <w:rPr>
          <w:rFonts w:cs="Arial"/>
          <w:szCs w:val="20"/>
        </w:rPr>
        <w:t>Po zaustavitvi večletnega zniževanja stopnje samooskrbe z mesom drobnice v letu 2016, ko je znašala 82 %, se je stopnja samooskrbe višala in v letu 2019 znašala dobrih 93 %.</w:t>
      </w:r>
    </w:p>
    <w:p w14:paraId="3F60287C" w14:textId="77777777" w:rsidR="009D60D5" w:rsidRPr="00DF0D48" w:rsidRDefault="009D60D5" w:rsidP="009D60D5">
      <w:pPr>
        <w:spacing w:before="200" w:line="360" w:lineRule="auto"/>
        <w:jc w:val="both"/>
        <w:rPr>
          <w:rFonts w:cs="Arial"/>
          <w:szCs w:val="20"/>
        </w:rPr>
      </w:pPr>
      <w:r w:rsidRPr="00DF0D48">
        <w:rPr>
          <w:rFonts w:cs="Arial"/>
          <w:szCs w:val="20"/>
        </w:rPr>
        <w:t xml:space="preserve">Obseg zunanje trgovine z drobnico (večinoma gre za uvoz mesa) je v primerjavi z drugimi živalskimi proizvodi skromen. V letih 2011-2016 se je povečeval (na skoraj 441 ton), nato pa ponovno upadal ter v letu 2019 znašal le še 150 ton. </w:t>
      </w:r>
    </w:p>
    <w:p w14:paraId="66FDF709" w14:textId="77777777" w:rsidR="009D60D5" w:rsidRPr="00A316D7" w:rsidRDefault="009D60D5" w:rsidP="009D60D5">
      <w:pPr>
        <w:spacing w:before="200" w:line="360" w:lineRule="auto"/>
        <w:jc w:val="both"/>
        <w:rPr>
          <w:rFonts w:cs="Arial"/>
          <w:szCs w:val="20"/>
        </w:rPr>
      </w:pPr>
      <w:r w:rsidRPr="00DF0D48">
        <w:rPr>
          <w:rFonts w:cs="Arial"/>
          <w:szCs w:val="20"/>
        </w:rPr>
        <w:t>Cene drobnice se v Sloveniji oblikujejo precej lokalno in na njihovo gibanje razmere na evropskem trgu nimajo pomembnega vpliva. Cene na domačem trgu so se daljše obdobje v primerjavi z evropskimi</w:t>
      </w:r>
      <w:r w:rsidRPr="00A316D7">
        <w:rPr>
          <w:rFonts w:cs="Arial"/>
          <w:szCs w:val="20"/>
        </w:rPr>
        <w:t xml:space="preserve"> </w:t>
      </w:r>
      <w:r w:rsidRPr="00A316D7">
        <w:rPr>
          <w:rFonts w:cs="Arial"/>
          <w:szCs w:val="20"/>
        </w:rPr>
        <w:lastRenderedPageBreak/>
        <w:t xml:space="preserve">gibale različno intenzivno in tudi v različnih smereh, v zadnjih petih letih pa so dokaj stabilne. V zadnjih letih se cena lahkih jagnjet v Sloveniji giblje med zgornjo tretjino in sredino držav članic EU. </w:t>
      </w:r>
    </w:p>
    <w:p w14:paraId="37FAF3E1" w14:textId="77777777" w:rsidR="009D60D5" w:rsidRDefault="009D60D5" w:rsidP="009D60D5">
      <w:pPr>
        <w:spacing w:before="200" w:line="360" w:lineRule="auto"/>
        <w:jc w:val="both"/>
        <w:rPr>
          <w:rFonts w:cs="Arial"/>
          <w:szCs w:val="20"/>
        </w:rPr>
      </w:pPr>
      <w:r w:rsidRPr="00A316D7">
        <w:rPr>
          <w:rFonts w:eastAsia="Times New Roman" w:cs="Arial"/>
          <w:szCs w:val="20"/>
        </w:rPr>
        <w:t xml:space="preserve">Po letu 2015 (leti 2015 in 2016 </w:t>
      </w:r>
      <w:r>
        <w:rPr>
          <w:rFonts w:eastAsia="Times New Roman" w:cs="Arial"/>
          <w:szCs w:val="20"/>
        </w:rPr>
        <w:t xml:space="preserve">sta bili </w:t>
      </w:r>
      <w:r w:rsidRPr="00A316D7">
        <w:rPr>
          <w:rFonts w:eastAsia="Times New Roman" w:cs="Arial"/>
          <w:szCs w:val="20"/>
        </w:rPr>
        <w:t xml:space="preserve">sicer nadpovprečni leti) se razmere za rejo drobnice slabšajo. </w:t>
      </w:r>
      <w:r w:rsidRPr="00A316D7">
        <w:rPr>
          <w:rFonts w:cs="Arial"/>
          <w:szCs w:val="20"/>
        </w:rPr>
        <w:t>Koeficient ekonomičnosti reje jagnjet, ki upošteva tudi vrednosti neposrednih plačil, je že vse obdobje od leta 2009 pod 1 (od 0,785 do 0,626 v obdobju 2009-2013), v obdobju 2014-2019 pa v povprečju 0,694, in je najnižji med vsemi živinorejskimi panogami.</w:t>
      </w:r>
    </w:p>
    <w:p w14:paraId="48A5419E" w14:textId="5B4DFB57" w:rsidR="009D60D5" w:rsidRDefault="009D60D5" w:rsidP="009D60D5">
      <w:pPr>
        <w:pStyle w:val="SCPreglednica"/>
        <w:keepNext/>
        <w:keepLines/>
      </w:pPr>
      <w:bookmarkStart w:id="177" w:name="_Toc55913783"/>
      <w:r>
        <w:t xml:space="preserve">Slika </w:t>
      </w:r>
      <w:r>
        <w:fldChar w:fldCharType="begin"/>
      </w:r>
      <w:r>
        <w:instrText xml:space="preserve"> SEQ Slika \* ARABIC </w:instrText>
      </w:r>
      <w:r>
        <w:fldChar w:fldCharType="separate"/>
      </w:r>
      <w:r w:rsidR="0040635C">
        <w:rPr>
          <w:noProof/>
        </w:rPr>
        <w:t>34</w:t>
      </w:r>
      <w:r>
        <w:fldChar w:fldCharType="end"/>
      </w:r>
      <w:r>
        <w:t xml:space="preserve">: </w:t>
      </w:r>
      <w:r w:rsidRPr="009D60D5">
        <w:t>Osnovni ekonomski kazalniki pri reji jagnjet (indeks; povprečje 2014–2018 = 100)</w:t>
      </w:r>
      <w:bookmarkEnd w:id="177"/>
    </w:p>
    <w:p w14:paraId="69B60670" w14:textId="77777777" w:rsidR="009D60D5" w:rsidRPr="00A316D7" w:rsidRDefault="009D60D5" w:rsidP="009D60D5">
      <w:pPr>
        <w:spacing w:after="0" w:line="360" w:lineRule="auto"/>
        <w:jc w:val="center"/>
        <w:rPr>
          <w:rFonts w:eastAsia="Times New Roman"/>
          <w:szCs w:val="20"/>
        </w:rPr>
      </w:pPr>
      <w:r w:rsidRPr="00A316D7">
        <w:rPr>
          <w:rFonts w:eastAsia="Times New Roman"/>
          <w:noProof/>
          <w:szCs w:val="20"/>
        </w:rPr>
        <w:drawing>
          <wp:inline distT="0" distB="0" distL="0" distR="0" wp14:anchorId="23BE1AD6" wp14:editId="4F184BE6">
            <wp:extent cx="5709285" cy="2146935"/>
            <wp:effectExtent l="0" t="0" r="5715" b="571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9285" cy="2146935"/>
                    </a:xfrm>
                    <a:prstGeom prst="rect">
                      <a:avLst/>
                    </a:prstGeom>
                    <a:noFill/>
                    <a:ln>
                      <a:noFill/>
                    </a:ln>
                  </pic:spPr>
                </pic:pic>
              </a:graphicData>
            </a:graphic>
          </wp:inline>
        </w:drawing>
      </w:r>
    </w:p>
    <w:p w14:paraId="0721E1C4" w14:textId="77777777" w:rsidR="009D60D5" w:rsidRPr="00A316D7" w:rsidRDefault="009D60D5" w:rsidP="009D60D5">
      <w:pPr>
        <w:widowControl w:val="0"/>
        <w:spacing w:after="0" w:line="360" w:lineRule="auto"/>
        <w:ind w:left="170" w:hanging="170"/>
        <w:rPr>
          <w:rFonts w:cs="Arial"/>
          <w:szCs w:val="20"/>
        </w:rPr>
      </w:pPr>
      <w:r w:rsidRPr="005718B1">
        <w:rPr>
          <w:rFonts w:eastAsia="Times New Roman"/>
          <w:sz w:val="16"/>
          <w:szCs w:val="16"/>
        </w:rPr>
        <w:t>Vir: Modelne kalkulacije KIS</w:t>
      </w:r>
      <w:r>
        <w:rPr>
          <w:rFonts w:eastAsia="Times New Roman"/>
          <w:sz w:val="16"/>
          <w:szCs w:val="16"/>
        </w:rPr>
        <w:t xml:space="preserve"> (ZP-2019)</w:t>
      </w:r>
    </w:p>
    <w:p w14:paraId="39DEBEF8" w14:textId="77777777" w:rsidR="009D60D5" w:rsidRPr="00DB3AEC" w:rsidRDefault="009D60D5" w:rsidP="00DB3AEC">
      <w:pPr>
        <w:spacing w:before="200" w:line="360" w:lineRule="auto"/>
        <w:jc w:val="both"/>
        <w:rPr>
          <w:rFonts w:eastAsia="Times New Roman" w:cs="Arial"/>
          <w:bCs/>
          <w:szCs w:val="20"/>
          <w:lang w:val="pl-PL" w:eastAsia="en-GB"/>
        </w:rPr>
      </w:pPr>
      <w:r w:rsidRPr="00DB3AEC">
        <w:rPr>
          <w:rFonts w:eastAsia="Times New Roman" w:cs="Arial"/>
          <w:bCs/>
          <w:szCs w:val="20"/>
          <w:lang w:val="pl-PL" w:eastAsia="en-GB"/>
        </w:rPr>
        <w:t xml:space="preserve">Reja drobnice je ena do okolja najbolj prijaznih oblik živinoreje. Večina rej se nahaja v območjih z omejenimi možnostmi za kmetijsko dejavnost in pomembno delujejo proti zaraščanju kmetijskih površin tudi zaradi nadomeščanja govedoreje, kjer se v teh območjih opušča. Zaradi načina prehranjevalnih vzorcev drobnica pomaga ohranjati biotsko raznovrstnost rastlinskih ekosistemov, vzreja avtohtonih in tradicionalnih pasem pa živalske ekosisteme, kar varuje okolje in ohranja kulturno krajino. </w:t>
      </w:r>
    </w:p>
    <w:p w14:paraId="315114B9" w14:textId="77777777" w:rsidR="009D60D5" w:rsidRPr="00DB3AEC" w:rsidRDefault="009D60D5" w:rsidP="00DB3AEC">
      <w:pPr>
        <w:spacing w:before="200" w:line="360" w:lineRule="auto"/>
        <w:jc w:val="both"/>
        <w:rPr>
          <w:rFonts w:eastAsia="Times New Roman" w:cs="Arial"/>
          <w:bCs/>
          <w:szCs w:val="20"/>
          <w:lang w:val="pl-PL" w:eastAsia="en-GB"/>
        </w:rPr>
      </w:pPr>
      <w:r w:rsidRPr="00DB3AEC">
        <w:rPr>
          <w:rFonts w:eastAsia="Times New Roman" w:cs="Arial"/>
          <w:bCs/>
          <w:szCs w:val="20"/>
          <w:lang w:val="pl-PL" w:eastAsia="en-GB"/>
        </w:rPr>
        <w:t>V okviru neposrednih plačil SKP 2014-2020, so rejci drobnice, preko kmetijskih zemljišč, upravičeni do: osnovne sheme (plačilnih pravic), zelene komponente, sheme za mlade kmete in plačila za območja z naravnimi omejitvami (PONO).</w:t>
      </w:r>
    </w:p>
    <w:p w14:paraId="0E94D4E0" w14:textId="77777777" w:rsidR="009D60D5" w:rsidRPr="009D60D5" w:rsidRDefault="009D60D5" w:rsidP="009D60D5">
      <w:pPr>
        <w:spacing w:before="200" w:line="360" w:lineRule="auto"/>
        <w:jc w:val="both"/>
        <w:rPr>
          <w:rFonts w:eastAsia="Times New Roman" w:cs="Arial"/>
          <w:bCs/>
          <w:szCs w:val="20"/>
          <w:lang w:eastAsia="en-GB"/>
        </w:rPr>
      </w:pPr>
      <w:r w:rsidRPr="009D60D5">
        <w:rPr>
          <w:rFonts w:eastAsia="Times New Roman" w:cs="Arial"/>
          <w:bCs/>
          <w:szCs w:val="20"/>
          <w:lang w:val="pl-PL" w:eastAsia="en-GB"/>
        </w:rPr>
        <w:t>V letu 2019 so KMG-ji z drobnico prejeli 13 milijonov evrov od 134 milijonov evrov neposrednih plačil.</w:t>
      </w:r>
      <w:r w:rsidRPr="009D60D5">
        <w:rPr>
          <w:rFonts w:eastAsia="Times New Roman" w:cs="Arial"/>
          <w:bCs/>
          <w:szCs w:val="20"/>
          <w:lang w:eastAsia="en-GB"/>
        </w:rPr>
        <w:t xml:space="preserve"> </w:t>
      </w:r>
      <w:r w:rsidRPr="009D60D5">
        <w:rPr>
          <w:rFonts w:eastAsia="Times New Roman" w:cs="Arial"/>
          <w:bCs/>
          <w:szCs w:val="20"/>
          <w:lang w:val="pl-PL" w:eastAsia="en-GB"/>
        </w:rPr>
        <w:t>Povprečna vrednost plačilnih pravic za KMG-je z drobnico je v letu 2019 znašala 140 evrov, kar je pod povprečjem, ki znaša 160 evrov.</w:t>
      </w:r>
      <w:r w:rsidRPr="009D60D5">
        <w:rPr>
          <w:rFonts w:eastAsia="Times New Roman" w:cs="Arial"/>
          <w:bCs/>
          <w:szCs w:val="20"/>
          <w:lang w:eastAsia="en-GB"/>
        </w:rPr>
        <w:t xml:space="preserve"> </w:t>
      </w:r>
      <w:r w:rsidRPr="009D60D5">
        <w:rPr>
          <w:rFonts w:eastAsia="Times New Roman" w:cs="Arial"/>
          <w:bCs/>
          <w:szCs w:val="20"/>
          <w:lang w:val="pl-PL" w:eastAsia="en-GB"/>
        </w:rPr>
        <w:t>Poleg podpor prek zemljišč in podpor iz PRP-ja so rejci upravičeni do regresa za zavarovanje živali (bolezni) - 20 % sofinanciranja premije in v letu 2019 do 30 % sofinanciranja in imajo pravico vračila dela trošarine za gorivo iz kmetijstva 70 % od leta 2009 dalje.</w:t>
      </w:r>
    </w:p>
    <w:p w14:paraId="7EB75CC7" w14:textId="77777777" w:rsidR="009D60D5" w:rsidRPr="009D60D5" w:rsidRDefault="009D60D5" w:rsidP="009D60D5">
      <w:pPr>
        <w:spacing w:before="200" w:line="360" w:lineRule="auto"/>
        <w:jc w:val="both"/>
        <w:rPr>
          <w:rFonts w:eastAsia="Times New Roman" w:cs="Arial"/>
          <w:bCs/>
          <w:color w:val="000000" w:themeColor="text1"/>
          <w:kern w:val="1"/>
          <w:szCs w:val="20"/>
        </w:rPr>
      </w:pPr>
      <w:r w:rsidRPr="009D60D5">
        <w:rPr>
          <w:rFonts w:eastAsia="Times New Roman" w:cs="Arial"/>
          <w:bCs/>
          <w:szCs w:val="20"/>
          <w:lang w:eastAsia="en-GB"/>
        </w:rPr>
        <w:t xml:space="preserve">Na področju dobrobiti drobnice se stanje izboljšuje, ukrep dobrobit živali za drobnico se izvaja od leta 2017, do zdaj je bilo vključenih 722 KMG. V letu 2019 je bilo v ukrepu 27 % vseh GVŽ drobnice. Izvajanje ukrepa dobrobiti živali je potrebno ohraniti in krepiti še naprej, težave so pri pridobivanju dodatnih zemljišč za povečanje proizvodnje, potrebna so velika vlaganja v posodobitev in novogradnje objektov </w:t>
      </w:r>
      <w:r w:rsidRPr="009D60D5">
        <w:rPr>
          <w:rFonts w:eastAsia="Times New Roman" w:cs="Arial"/>
          <w:bCs/>
          <w:szCs w:val="20"/>
          <w:lang w:eastAsia="en-GB"/>
        </w:rPr>
        <w:lastRenderedPageBreak/>
        <w:t xml:space="preserve">in opreme, sektor zaostaja v digitalizaciji, pri promociji, razvoju </w:t>
      </w:r>
      <w:proofErr w:type="spellStart"/>
      <w:r w:rsidRPr="009D60D5">
        <w:rPr>
          <w:rFonts w:eastAsia="Times New Roman" w:cs="Arial"/>
          <w:bCs/>
          <w:szCs w:val="20"/>
          <w:lang w:eastAsia="en-GB"/>
        </w:rPr>
        <w:t>nišnih</w:t>
      </w:r>
      <w:proofErr w:type="spellEnd"/>
      <w:r w:rsidRPr="009D60D5">
        <w:rPr>
          <w:rFonts w:eastAsia="Times New Roman" w:cs="Arial"/>
          <w:bCs/>
          <w:szCs w:val="20"/>
          <w:lang w:eastAsia="en-GB"/>
        </w:rPr>
        <w:t xml:space="preserve"> in novih proizvodov, starostna struktura rejcev je slaba.</w:t>
      </w:r>
    </w:p>
    <w:p w14:paraId="5B6F4277" w14:textId="77777777" w:rsidR="009D60D5" w:rsidRPr="009D60D5" w:rsidRDefault="009D60D5" w:rsidP="009D60D5">
      <w:pPr>
        <w:spacing w:before="200" w:line="360" w:lineRule="auto"/>
        <w:jc w:val="both"/>
        <w:rPr>
          <w:rFonts w:cs="Arial"/>
          <w:bCs/>
          <w:szCs w:val="20"/>
        </w:rPr>
      </w:pPr>
      <w:r w:rsidRPr="009D60D5">
        <w:rPr>
          <w:rFonts w:eastAsia="Times New Roman" w:cs="Arial"/>
          <w:bCs/>
          <w:kern w:val="1"/>
          <w:szCs w:val="20"/>
        </w:rPr>
        <w:t xml:space="preserve">V Sloveniji delujeta na področju reje drobnice javna služba strokovnih nalog v živinoreji in javna služba nalog genske banke v živinoreji. V javno službo strokovnih nalog na področju reje drobnice so vključene naslednje pasme ovc in koz: jezersko solčavska pasma, belokranjska </w:t>
      </w:r>
      <w:proofErr w:type="spellStart"/>
      <w:r w:rsidRPr="009D60D5">
        <w:rPr>
          <w:rFonts w:eastAsia="Times New Roman" w:cs="Arial"/>
          <w:bCs/>
          <w:kern w:val="1"/>
          <w:szCs w:val="20"/>
        </w:rPr>
        <w:t>pramenka</w:t>
      </w:r>
      <w:proofErr w:type="spellEnd"/>
      <w:r w:rsidRPr="009D60D5">
        <w:rPr>
          <w:rFonts w:eastAsia="Times New Roman" w:cs="Arial"/>
          <w:bCs/>
          <w:kern w:val="1"/>
          <w:szCs w:val="20"/>
        </w:rPr>
        <w:t xml:space="preserve">, istrska </w:t>
      </w:r>
      <w:proofErr w:type="spellStart"/>
      <w:r w:rsidRPr="009D60D5">
        <w:rPr>
          <w:rFonts w:eastAsia="Times New Roman" w:cs="Arial"/>
          <w:bCs/>
          <w:kern w:val="1"/>
          <w:szCs w:val="20"/>
        </w:rPr>
        <w:t>pramenka</w:t>
      </w:r>
      <w:proofErr w:type="spellEnd"/>
      <w:r w:rsidRPr="009D60D5">
        <w:rPr>
          <w:rFonts w:eastAsia="Times New Roman" w:cs="Arial"/>
          <w:bCs/>
          <w:kern w:val="1"/>
          <w:szCs w:val="20"/>
        </w:rPr>
        <w:t xml:space="preserve">, oplemenjena jezersko solčavska pasma, bovška ovca, drežniška koza, burska pasma koz, slovenska </w:t>
      </w:r>
      <w:proofErr w:type="spellStart"/>
      <w:r w:rsidRPr="009D60D5">
        <w:rPr>
          <w:rFonts w:eastAsia="Times New Roman" w:cs="Arial"/>
          <w:bCs/>
          <w:kern w:val="1"/>
          <w:szCs w:val="20"/>
        </w:rPr>
        <w:t>srnasta</w:t>
      </w:r>
      <w:proofErr w:type="spellEnd"/>
      <w:r w:rsidRPr="009D60D5">
        <w:rPr>
          <w:rFonts w:eastAsia="Times New Roman" w:cs="Arial"/>
          <w:bCs/>
          <w:kern w:val="1"/>
          <w:szCs w:val="20"/>
        </w:rPr>
        <w:t xml:space="preserve"> pasma koz in slovenska sanska pasma koz. Javna služba skrbi za izboljševanje proizvodnih in neproizvodnih lastnosti čistopasemskih plemenskih živali, izboljševanje oziroma ohranjanje genetskega napredka, zagotavljanje zadostnega števila plemenskega materiala, povečevanje števila plemenskih živali, ki so vpisane v rodovniške knjige in registre ter doseganje boljše kakovosti proizvodov pri reji ovc in koz. </w:t>
      </w:r>
      <w:r w:rsidRPr="009D60D5">
        <w:rPr>
          <w:rFonts w:eastAsia="Calibri" w:cs="Arial"/>
          <w:bCs/>
          <w:szCs w:val="20"/>
        </w:rPr>
        <w:t>V letu 2019 je bilo v kontrolo mlečnosti vključenih 4.990 ovc v 35 tropih in 2.399 koz v 39 tropih.</w:t>
      </w:r>
      <w:r w:rsidRPr="009D60D5">
        <w:rPr>
          <w:rFonts w:eastAsia="Times New Roman" w:cs="Arial"/>
          <w:bCs/>
          <w:szCs w:val="20"/>
        </w:rPr>
        <w:t xml:space="preserve"> </w:t>
      </w:r>
      <w:r w:rsidRPr="009D60D5">
        <w:rPr>
          <w:rFonts w:eastAsia="Calibri" w:cs="Arial"/>
          <w:bCs/>
          <w:szCs w:val="20"/>
        </w:rPr>
        <w:t>V kontrolo porekla in proizvodnje je bilo leta 2019 vključenih 10.281 ovc mesnih pasem v 195 tropih in 1.685 koz mesnih pasem v 76 tropih.</w:t>
      </w:r>
    </w:p>
    <w:p w14:paraId="5655B8F4" w14:textId="77777777" w:rsidR="009D60D5" w:rsidRPr="009D60D5" w:rsidRDefault="009D60D5" w:rsidP="009D60D5">
      <w:pPr>
        <w:spacing w:before="200" w:line="360" w:lineRule="auto"/>
        <w:jc w:val="both"/>
        <w:rPr>
          <w:rFonts w:cs="Arial"/>
          <w:bCs/>
          <w:szCs w:val="20"/>
        </w:rPr>
      </w:pPr>
      <w:r w:rsidRPr="009D60D5">
        <w:rPr>
          <w:rFonts w:eastAsia="TimesNewRoman"/>
          <w:bCs/>
          <w:szCs w:val="20"/>
        </w:rPr>
        <w:t xml:space="preserve">V okviru </w:t>
      </w:r>
      <w:r w:rsidRPr="009D60D5">
        <w:rPr>
          <w:rFonts w:eastAsia="TimesNewRoman" w:cs="Arial"/>
          <w:bCs/>
          <w:szCs w:val="20"/>
        </w:rPr>
        <w:t>javne službe nalog genske banke v živinoreji</w:t>
      </w:r>
      <w:r w:rsidRPr="009D60D5">
        <w:rPr>
          <w:rFonts w:eastAsia="TimesNewRoman"/>
          <w:bCs/>
          <w:szCs w:val="20"/>
        </w:rPr>
        <w:t xml:space="preserve"> se varujejo/ohranjajo štiri avtohtone pasme ovc in ena avtohtona pasma koz ter dve tradicionalni pasmi ovc in dve tradicionalni pasmi koz. V letu 2019 se je Register pasem z zootehniško oceno vodil za šest pasem ovc: jezersko solčavska, bovška, belokranjska </w:t>
      </w:r>
      <w:proofErr w:type="spellStart"/>
      <w:r w:rsidRPr="009D60D5">
        <w:rPr>
          <w:rFonts w:eastAsia="TimesNewRoman"/>
          <w:bCs/>
          <w:szCs w:val="20"/>
        </w:rPr>
        <w:t>pramenka</w:t>
      </w:r>
      <w:proofErr w:type="spellEnd"/>
      <w:r w:rsidRPr="009D60D5">
        <w:rPr>
          <w:rFonts w:eastAsia="TimesNewRoman"/>
          <w:bCs/>
          <w:szCs w:val="20"/>
        </w:rPr>
        <w:t xml:space="preserve">, istrska </w:t>
      </w:r>
      <w:proofErr w:type="spellStart"/>
      <w:r w:rsidRPr="009D60D5">
        <w:rPr>
          <w:rFonts w:eastAsia="TimesNewRoman"/>
          <w:bCs/>
          <w:szCs w:val="20"/>
        </w:rPr>
        <w:t>pramenka</w:t>
      </w:r>
      <w:proofErr w:type="spellEnd"/>
      <w:r w:rsidRPr="009D60D5">
        <w:rPr>
          <w:rFonts w:eastAsia="TimesNewRoman"/>
          <w:bCs/>
          <w:szCs w:val="20"/>
        </w:rPr>
        <w:t xml:space="preserve">, oplemenjena jezersko solčavska in oplemenjena bovška ter štiri pasme koz: drežniška, slovenska sanska, slovenska </w:t>
      </w:r>
      <w:proofErr w:type="spellStart"/>
      <w:r w:rsidRPr="009D60D5">
        <w:rPr>
          <w:rFonts w:eastAsia="TimesNewRoman"/>
          <w:bCs/>
          <w:szCs w:val="20"/>
        </w:rPr>
        <w:t>srnasta</w:t>
      </w:r>
      <w:proofErr w:type="spellEnd"/>
      <w:r w:rsidRPr="009D60D5">
        <w:rPr>
          <w:rFonts w:eastAsia="TimesNewRoman"/>
          <w:bCs/>
          <w:szCs w:val="20"/>
        </w:rPr>
        <w:t xml:space="preserve"> ter burska pasma. </w:t>
      </w:r>
      <w:r w:rsidRPr="009D60D5">
        <w:rPr>
          <w:rFonts w:cs="Arial"/>
          <w:bCs/>
          <w:szCs w:val="20"/>
        </w:rPr>
        <w:t>Javna služba opravlja naloge na področjih spremljanja stanja in karakterizacije pasem, mehanizmih trajnostne rabe in razvoja, oblik ohranjanja živalskih genskih virov ter politik upravljanja živalskih genskih virov.</w:t>
      </w:r>
    </w:p>
    <w:p w14:paraId="31A54DCC" w14:textId="77777777" w:rsidR="009D60D5" w:rsidRPr="009D60D5" w:rsidRDefault="009D60D5" w:rsidP="009D60D5">
      <w:pPr>
        <w:spacing w:before="200" w:line="360" w:lineRule="auto"/>
        <w:jc w:val="both"/>
        <w:rPr>
          <w:rFonts w:cs="Arial"/>
          <w:bCs/>
          <w:szCs w:val="20"/>
        </w:rPr>
      </w:pPr>
      <w:r w:rsidRPr="009D60D5">
        <w:rPr>
          <w:rFonts w:cs="Arial"/>
          <w:bCs/>
          <w:szCs w:val="20"/>
        </w:rPr>
        <w:t xml:space="preserve">Rejcem drobnice je svetovanje zagotovljeno preko </w:t>
      </w:r>
      <w:r w:rsidRPr="009D60D5">
        <w:rPr>
          <w:bCs/>
        </w:rPr>
        <w:t>javne</w:t>
      </w:r>
      <w:r w:rsidRPr="009D60D5">
        <w:rPr>
          <w:rFonts w:cs="Arial"/>
          <w:bCs/>
          <w:szCs w:val="20"/>
        </w:rPr>
        <w:t xml:space="preserve"> službe kmetijskega svetovanja, ki na primer svetuje na področju tehnologije reje in paše, dobrobiti živali, sestave krmnega obroka, rabe in skladiščenja gnojil, pri gradnji objektov, aktivnosti povezane z reševanjem problematike zveri in drugih tehnoloških vprašanjih.</w:t>
      </w:r>
    </w:p>
    <w:p w14:paraId="7922E2D6" w14:textId="71D1DA91" w:rsidR="00CF3CC6" w:rsidRPr="00CF3CC6" w:rsidRDefault="009D60D5" w:rsidP="009D60D5">
      <w:pPr>
        <w:spacing w:before="200" w:line="360" w:lineRule="auto"/>
        <w:jc w:val="both"/>
        <w:rPr>
          <w:rFonts w:eastAsia="Calibri" w:cs="Arial"/>
          <w:b/>
          <w:szCs w:val="20"/>
        </w:rPr>
      </w:pPr>
      <w:r w:rsidRPr="009D60D5">
        <w:rPr>
          <w:rFonts w:eastAsia="Times New Roman" w:cs="Arial"/>
          <w:bCs/>
          <w:szCs w:val="20"/>
          <w:lang w:eastAsia="en-GB"/>
        </w:rPr>
        <w:t>V obdobju od leta 2014 sta se na področju reje drobnice izvajala ciljni raziskovalni program, ki je bil usmerjen v ekološko in konvencionalno rejo koz za proizvodnjo mleka ter EIP projekt o reji različnih pasem drobnice za meso in izdelke vrhunske kakovosti.</w:t>
      </w:r>
    </w:p>
    <w:p w14:paraId="4A6533A9" w14:textId="47F2B4D2" w:rsidR="00CF3CC6" w:rsidRDefault="00CF3CC6" w:rsidP="009D60D5">
      <w:pPr>
        <w:pStyle w:val="Naslov3"/>
        <w:keepNext w:val="0"/>
        <w:keepLines w:val="0"/>
        <w:rPr>
          <w:rFonts w:eastAsia="Calibri"/>
        </w:rPr>
      </w:pPr>
      <w:bookmarkStart w:id="178" w:name="_Toc55912210"/>
      <w:r w:rsidRPr="00F546E3">
        <w:rPr>
          <w:rFonts w:eastAsia="Calibri"/>
        </w:rPr>
        <w:t>Ključne ugotovitve</w:t>
      </w:r>
      <w:bookmarkEnd w:id="178"/>
    </w:p>
    <w:p w14:paraId="08BF0B29" w14:textId="77777777" w:rsidR="009D60D5" w:rsidRDefault="009D60D5" w:rsidP="000A650F">
      <w:pPr>
        <w:numPr>
          <w:ilvl w:val="0"/>
          <w:numId w:val="38"/>
        </w:numPr>
        <w:spacing w:before="120" w:after="120" w:line="360" w:lineRule="auto"/>
        <w:ind w:left="357" w:hanging="357"/>
        <w:jc w:val="both"/>
        <w:rPr>
          <w:rFonts w:eastAsia="Times New Roman" w:cs="Arial"/>
          <w:szCs w:val="20"/>
          <w:lang w:eastAsia="en-GB"/>
        </w:rPr>
      </w:pPr>
      <w:r w:rsidRPr="00585BC8">
        <w:rPr>
          <w:rFonts w:eastAsia="Times New Roman" w:cs="Arial"/>
          <w:szCs w:val="20"/>
          <w:lang w:eastAsia="en-GB"/>
        </w:rPr>
        <w:t xml:space="preserve">Število </w:t>
      </w:r>
      <w:r>
        <w:rPr>
          <w:rFonts w:eastAsia="Times New Roman" w:cs="Arial"/>
          <w:szCs w:val="20"/>
          <w:lang w:eastAsia="en-GB"/>
        </w:rPr>
        <w:t xml:space="preserve">drobnice </w:t>
      </w:r>
      <w:r w:rsidRPr="00585BC8">
        <w:rPr>
          <w:rFonts w:eastAsia="Times New Roman" w:cs="Arial"/>
          <w:szCs w:val="20"/>
          <w:lang w:eastAsia="en-GB"/>
        </w:rPr>
        <w:t xml:space="preserve">v Sloveniji </w:t>
      </w:r>
      <w:r>
        <w:rPr>
          <w:rFonts w:eastAsia="Times New Roman" w:cs="Arial"/>
          <w:szCs w:val="20"/>
          <w:lang w:eastAsia="en-GB"/>
        </w:rPr>
        <w:t>je med letoma 2009 in 2013 upadalo, v letih 2018-2019 pa se je ustalilo na okoli 135 tisoč. Glede na razpoložljive podatke se je tudi p</w:t>
      </w:r>
      <w:r w:rsidRPr="00585BC8">
        <w:rPr>
          <w:rFonts w:eastAsia="Times New Roman" w:cs="Arial"/>
          <w:szCs w:val="20"/>
          <w:lang w:eastAsia="en-GB"/>
        </w:rPr>
        <w:t xml:space="preserve">rirast </w:t>
      </w:r>
      <w:r>
        <w:rPr>
          <w:rFonts w:eastAsia="Times New Roman" w:cs="Arial"/>
          <w:szCs w:val="20"/>
          <w:lang w:eastAsia="en-GB"/>
        </w:rPr>
        <w:t>v</w:t>
      </w:r>
      <w:r w:rsidRPr="00585BC8">
        <w:rPr>
          <w:rFonts w:eastAsia="Times New Roman" w:cs="Arial"/>
          <w:szCs w:val="20"/>
          <w:lang w:eastAsia="en-GB"/>
        </w:rPr>
        <w:t xml:space="preserve"> zadnjih šestih letih ustalil in znaša okoli 3</w:t>
      </w:r>
      <w:r>
        <w:rPr>
          <w:rFonts w:eastAsia="Times New Roman" w:cs="Arial"/>
          <w:szCs w:val="20"/>
          <w:lang w:eastAsia="en-GB"/>
        </w:rPr>
        <w:t>,4</w:t>
      </w:r>
      <w:r w:rsidRPr="00585BC8">
        <w:rPr>
          <w:rFonts w:eastAsia="Times New Roman" w:cs="Arial"/>
          <w:szCs w:val="20"/>
          <w:lang w:eastAsia="en-GB"/>
        </w:rPr>
        <w:t xml:space="preserve"> tisoč ton.</w:t>
      </w:r>
      <w:r>
        <w:rPr>
          <w:rFonts w:eastAsia="Times New Roman" w:cs="Arial"/>
          <w:szCs w:val="20"/>
          <w:lang w:eastAsia="en-GB"/>
        </w:rPr>
        <w:t xml:space="preserve"> Za kmetijska gospodarstva je značilna </w:t>
      </w:r>
      <w:r w:rsidRPr="00B5388F">
        <w:rPr>
          <w:rFonts w:cs="Arial"/>
          <w:szCs w:val="20"/>
        </w:rPr>
        <w:t>nizka obtežba kmetijskih gospodarstev z drobnico, majhne črede na kmetijskih gospodarstvih</w:t>
      </w:r>
      <w:r>
        <w:rPr>
          <w:rFonts w:cs="Arial"/>
          <w:szCs w:val="20"/>
        </w:rPr>
        <w:t xml:space="preserve"> (</w:t>
      </w:r>
      <w:r>
        <w:rPr>
          <w:rFonts w:eastAsia="Times New Roman" w:cs="Arial"/>
          <w:szCs w:val="20"/>
          <w:lang w:eastAsia="en-GB"/>
        </w:rPr>
        <w:t>70 % gospodarstev z drobnico redi manj kot 2 GVŽ drobnice)</w:t>
      </w:r>
      <w:r w:rsidRPr="00B5388F">
        <w:rPr>
          <w:rFonts w:cs="Arial"/>
          <w:szCs w:val="20"/>
        </w:rPr>
        <w:t xml:space="preserve">, </w:t>
      </w:r>
      <w:r>
        <w:rPr>
          <w:rFonts w:cs="Arial"/>
          <w:szCs w:val="20"/>
        </w:rPr>
        <w:t xml:space="preserve">reje so </w:t>
      </w:r>
      <w:r w:rsidRPr="00B5388F">
        <w:rPr>
          <w:rFonts w:cs="Arial"/>
          <w:szCs w:val="20"/>
        </w:rPr>
        <w:t>večinoma tradicionaln</w:t>
      </w:r>
      <w:r>
        <w:rPr>
          <w:rFonts w:cs="Arial"/>
          <w:szCs w:val="20"/>
        </w:rPr>
        <w:t xml:space="preserve">e, večina avtohtonih pasem ima stopnjo kritične ogroženosti. </w:t>
      </w:r>
      <w:r>
        <w:rPr>
          <w:rFonts w:eastAsia="Times New Roman" w:cs="Arial"/>
          <w:szCs w:val="20"/>
          <w:lang w:eastAsia="en-GB"/>
        </w:rPr>
        <w:t xml:space="preserve"> </w:t>
      </w:r>
    </w:p>
    <w:p w14:paraId="241BE2C3" w14:textId="77777777" w:rsidR="009D60D5" w:rsidRPr="00585BC8" w:rsidRDefault="009D60D5" w:rsidP="000A650F">
      <w:pPr>
        <w:numPr>
          <w:ilvl w:val="0"/>
          <w:numId w:val="38"/>
        </w:numPr>
        <w:spacing w:before="120" w:after="120" w:line="360" w:lineRule="auto"/>
        <w:ind w:left="357" w:hanging="357"/>
        <w:jc w:val="both"/>
        <w:rPr>
          <w:rFonts w:eastAsia="Times New Roman" w:cs="Arial"/>
          <w:szCs w:val="20"/>
          <w:lang w:eastAsia="en-GB"/>
        </w:rPr>
      </w:pPr>
      <w:r w:rsidRPr="002B53FE">
        <w:rPr>
          <w:rFonts w:eastAsia="Times New Roman" w:cs="Arial"/>
          <w:szCs w:val="20"/>
          <w:lang w:eastAsia="en-GB"/>
        </w:rPr>
        <w:lastRenderedPageBreak/>
        <w:t>Prireja</w:t>
      </w:r>
      <w:r w:rsidRPr="00585BC8">
        <w:rPr>
          <w:rFonts w:eastAsia="Times New Roman" w:cs="Arial"/>
          <w:szCs w:val="20"/>
          <w:lang w:eastAsia="en-GB"/>
        </w:rPr>
        <w:t xml:space="preserve"> </w:t>
      </w:r>
      <w:r>
        <w:rPr>
          <w:rFonts w:eastAsia="Times New Roman" w:cs="Arial"/>
          <w:szCs w:val="20"/>
          <w:lang w:eastAsia="en-GB"/>
        </w:rPr>
        <w:t xml:space="preserve">mesa drobnice </w:t>
      </w:r>
      <w:r w:rsidRPr="00585BC8">
        <w:rPr>
          <w:rFonts w:eastAsia="Times New Roman" w:cs="Arial"/>
          <w:szCs w:val="20"/>
          <w:lang w:eastAsia="en-GB"/>
        </w:rPr>
        <w:t xml:space="preserve">je </w:t>
      </w:r>
      <w:proofErr w:type="spellStart"/>
      <w:r w:rsidRPr="00585BC8">
        <w:rPr>
          <w:rFonts w:eastAsia="Times New Roman" w:cs="Arial"/>
          <w:szCs w:val="20"/>
          <w:lang w:eastAsia="en-GB"/>
        </w:rPr>
        <w:t>n</w:t>
      </w:r>
      <w:r>
        <w:rPr>
          <w:rFonts w:eastAsia="Times New Roman" w:cs="Arial"/>
          <w:szCs w:val="20"/>
          <w:lang w:eastAsia="en-GB"/>
        </w:rPr>
        <w:t>izkoek</w:t>
      </w:r>
      <w:r w:rsidRPr="00585BC8">
        <w:rPr>
          <w:rFonts w:eastAsia="Times New Roman" w:cs="Arial"/>
          <w:szCs w:val="20"/>
          <w:lang w:eastAsia="en-GB"/>
        </w:rPr>
        <w:t>o</w:t>
      </w:r>
      <w:r>
        <w:rPr>
          <w:rFonts w:eastAsia="Times New Roman" w:cs="Arial"/>
          <w:szCs w:val="20"/>
          <w:lang w:eastAsia="en-GB"/>
        </w:rPr>
        <w:t>no</w:t>
      </w:r>
      <w:r w:rsidRPr="00585BC8">
        <w:rPr>
          <w:rFonts w:eastAsia="Times New Roman" w:cs="Arial"/>
          <w:szCs w:val="20"/>
          <w:lang w:eastAsia="en-GB"/>
        </w:rPr>
        <w:t>mična</w:t>
      </w:r>
      <w:proofErr w:type="spellEnd"/>
      <w:r w:rsidRPr="00585BC8">
        <w:rPr>
          <w:rFonts w:eastAsia="Times New Roman" w:cs="Arial"/>
          <w:szCs w:val="20"/>
          <w:lang w:eastAsia="en-GB"/>
        </w:rPr>
        <w:t xml:space="preserve">, </w:t>
      </w:r>
      <w:r>
        <w:rPr>
          <w:rFonts w:eastAsia="Times New Roman" w:cs="Arial"/>
          <w:szCs w:val="20"/>
          <w:lang w:eastAsia="en-GB"/>
        </w:rPr>
        <w:t>zato ne privablja mladih kmetov, starostna struktura rejcev j</w:t>
      </w:r>
      <w:r w:rsidRPr="002B53FE">
        <w:rPr>
          <w:rFonts w:eastAsia="Times New Roman" w:cs="Arial"/>
          <w:szCs w:val="20"/>
          <w:lang w:eastAsia="en-GB"/>
        </w:rPr>
        <w:t>e</w:t>
      </w:r>
      <w:r>
        <w:rPr>
          <w:rFonts w:eastAsia="Times New Roman" w:cs="Arial"/>
          <w:szCs w:val="20"/>
          <w:lang w:eastAsia="en-GB"/>
        </w:rPr>
        <w:t xml:space="preserve"> slaba. </w:t>
      </w:r>
    </w:p>
    <w:p w14:paraId="5CD71586" w14:textId="77777777" w:rsidR="009D60D5" w:rsidRDefault="009D60D5" w:rsidP="000A650F">
      <w:pPr>
        <w:numPr>
          <w:ilvl w:val="0"/>
          <w:numId w:val="38"/>
        </w:numPr>
        <w:spacing w:before="120" w:after="120" w:line="360" w:lineRule="auto"/>
        <w:ind w:left="357" w:hanging="357"/>
        <w:jc w:val="both"/>
        <w:rPr>
          <w:rFonts w:eastAsia="Times New Roman" w:cs="Arial"/>
          <w:szCs w:val="20"/>
          <w:lang w:eastAsia="en-GB"/>
        </w:rPr>
      </w:pPr>
      <w:r w:rsidRPr="00B5388F">
        <w:rPr>
          <w:rFonts w:eastAsia="Times New Roman" w:cs="Arial"/>
          <w:szCs w:val="20"/>
          <w:lang w:eastAsia="en-GB"/>
        </w:rPr>
        <w:t xml:space="preserve">Panoga ima v Sloveniji </w:t>
      </w:r>
      <w:r>
        <w:rPr>
          <w:rFonts w:eastAsia="Times New Roman" w:cs="Arial"/>
          <w:szCs w:val="20"/>
          <w:lang w:eastAsia="en-GB"/>
        </w:rPr>
        <w:t>velik tržni potencial</w:t>
      </w:r>
      <w:r w:rsidRPr="00B5388F">
        <w:rPr>
          <w:rFonts w:eastAsia="Times New Roman" w:cs="Arial"/>
          <w:szCs w:val="20"/>
          <w:lang w:eastAsia="en-GB"/>
        </w:rPr>
        <w:t xml:space="preserve">, saj je poraba mesa na prebivalca le 0,88 kg in polovico manjša od povprečja v EU. </w:t>
      </w:r>
    </w:p>
    <w:p w14:paraId="4261A8D8" w14:textId="77777777" w:rsidR="009D60D5" w:rsidRPr="00B5388F" w:rsidRDefault="009D60D5" w:rsidP="000A650F">
      <w:pPr>
        <w:numPr>
          <w:ilvl w:val="0"/>
          <w:numId w:val="38"/>
        </w:numPr>
        <w:spacing w:before="120" w:after="120" w:line="360" w:lineRule="auto"/>
        <w:ind w:left="357" w:hanging="357"/>
        <w:jc w:val="both"/>
        <w:rPr>
          <w:rFonts w:eastAsia="Times New Roman" w:cs="Arial"/>
          <w:szCs w:val="20"/>
          <w:lang w:eastAsia="en-GB"/>
        </w:rPr>
      </w:pPr>
      <w:r>
        <w:rPr>
          <w:rFonts w:eastAsia="Times New Roman" w:cs="Arial"/>
          <w:szCs w:val="20"/>
          <w:lang w:eastAsia="en-GB"/>
        </w:rPr>
        <w:t>Reja drobnice omogoča dohodek na kmetijah v OMD, kjer se lahko pase tudi na za druge vrste domačih živali nedostopnih površinah ter preprečuje zaraščanje površin, pozitivno deluje na biotsko raznovrstnost rastlin in živali ter ohranja kulturno krajino.</w:t>
      </w:r>
    </w:p>
    <w:p w14:paraId="37974747" w14:textId="77777777" w:rsidR="009D60D5" w:rsidRPr="002D4B01" w:rsidRDefault="009D60D5" w:rsidP="000A650F">
      <w:pPr>
        <w:numPr>
          <w:ilvl w:val="0"/>
          <w:numId w:val="38"/>
        </w:numPr>
        <w:spacing w:before="120" w:after="120" w:line="360" w:lineRule="auto"/>
        <w:ind w:left="357" w:hanging="357"/>
        <w:jc w:val="both"/>
        <w:rPr>
          <w:rFonts w:eastAsia="Times New Roman" w:cs="Arial"/>
          <w:szCs w:val="20"/>
          <w:lang w:eastAsia="en-GB"/>
        </w:rPr>
      </w:pPr>
      <w:r>
        <w:rPr>
          <w:rFonts w:eastAsia="Times New Roman" w:cs="Arial"/>
          <w:szCs w:val="20"/>
          <w:lang w:eastAsia="en-GB"/>
        </w:rPr>
        <w:t>Del r</w:t>
      </w:r>
      <w:r w:rsidRPr="00585BC8">
        <w:rPr>
          <w:rFonts w:eastAsia="Times New Roman" w:cs="Arial"/>
          <w:szCs w:val="20"/>
          <w:lang w:eastAsia="en-GB"/>
        </w:rPr>
        <w:t>ejc</w:t>
      </w:r>
      <w:r>
        <w:rPr>
          <w:rFonts w:eastAsia="Times New Roman" w:cs="Arial"/>
          <w:szCs w:val="20"/>
          <w:lang w:eastAsia="en-GB"/>
        </w:rPr>
        <w:t>ev je v zadnjih letih organiziran v skupini proizvajalcev za prirejo mesa, večina pa ni organizirana.</w:t>
      </w:r>
    </w:p>
    <w:p w14:paraId="0BE96FAE" w14:textId="529C301C" w:rsidR="00CF3CC6" w:rsidRDefault="009D60D5" w:rsidP="00DF0D48">
      <w:pPr>
        <w:pStyle w:val="Naslov2"/>
        <w:ind w:left="578" w:hanging="578"/>
      </w:pPr>
      <w:bookmarkStart w:id="179" w:name="_Toc40959286"/>
      <w:bookmarkStart w:id="180" w:name="_Toc55912211"/>
      <w:r>
        <w:t>Č</w:t>
      </w:r>
      <w:r w:rsidR="00CF3CC6" w:rsidRPr="00F546E3">
        <w:t>ebel</w:t>
      </w:r>
      <w:bookmarkEnd w:id="179"/>
      <w:r>
        <w:t>arstvo</w:t>
      </w:r>
      <w:bookmarkEnd w:id="180"/>
    </w:p>
    <w:p w14:paraId="4EDA4900" w14:textId="77777777" w:rsidR="009D60D5" w:rsidRDefault="009D60D5" w:rsidP="009D60D5">
      <w:pPr>
        <w:spacing w:before="200" w:line="360" w:lineRule="auto"/>
        <w:jc w:val="both"/>
        <w:rPr>
          <w:rFonts w:cs="Arial"/>
          <w:szCs w:val="20"/>
        </w:rPr>
      </w:pPr>
      <w:r w:rsidRPr="007A1880">
        <w:rPr>
          <w:rFonts w:cs="Arial"/>
          <w:szCs w:val="20"/>
        </w:rPr>
        <w:t xml:space="preserve">Čebelarstvo </w:t>
      </w:r>
      <w:r>
        <w:rPr>
          <w:rFonts w:cs="Arial"/>
          <w:szCs w:val="20"/>
        </w:rPr>
        <w:t xml:space="preserve">je tako v Sloveniji kot v tujini izjemno pomembno </w:t>
      </w:r>
      <w:r w:rsidRPr="007A1880">
        <w:rPr>
          <w:rFonts w:cs="Arial"/>
          <w:szCs w:val="20"/>
        </w:rPr>
        <w:t xml:space="preserve">zaradi </w:t>
      </w:r>
      <w:r w:rsidRPr="00ED3A15">
        <w:rPr>
          <w:rFonts w:eastAsia="Arial" w:cs="Arial"/>
        </w:rPr>
        <w:t>opraševanja</w:t>
      </w:r>
      <w:r w:rsidRPr="00ED3A15" w:rsidDel="36B3072D">
        <w:rPr>
          <w:rFonts w:eastAsia="Arial" w:cs="Arial"/>
        </w:rPr>
        <w:t xml:space="preserve"> </w:t>
      </w:r>
      <w:r>
        <w:rPr>
          <w:rFonts w:eastAsia="Arial" w:cs="Arial"/>
        </w:rPr>
        <w:t>kmetijskih rastlin in vloge čebel</w:t>
      </w:r>
      <w:r w:rsidRPr="00ED3A15">
        <w:rPr>
          <w:rFonts w:eastAsia="Arial" w:cs="Arial"/>
        </w:rPr>
        <w:t xml:space="preserve"> v naravnih ekosistemih</w:t>
      </w:r>
      <w:r>
        <w:rPr>
          <w:rFonts w:eastAsia="Arial" w:cs="Arial"/>
        </w:rPr>
        <w:t>, v Sloveniji pa še</w:t>
      </w:r>
      <w:r w:rsidRPr="00ED3A15">
        <w:rPr>
          <w:rFonts w:eastAsia="Arial" w:cs="Arial"/>
        </w:rPr>
        <w:t xml:space="preserve"> zaradi </w:t>
      </w:r>
      <w:r w:rsidRPr="007A1880">
        <w:rPr>
          <w:rFonts w:cs="Arial"/>
          <w:szCs w:val="20"/>
        </w:rPr>
        <w:t xml:space="preserve">posebnosti, kot so kranjska čebela, </w:t>
      </w:r>
      <w:r>
        <w:rPr>
          <w:rFonts w:cs="Arial"/>
          <w:szCs w:val="20"/>
        </w:rPr>
        <w:t xml:space="preserve">tradicionalni </w:t>
      </w:r>
      <w:r w:rsidRPr="007A1880">
        <w:rPr>
          <w:rFonts w:cs="Arial"/>
          <w:szCs w:val="20"/>
        </w:rPr>
        <w:t xml:space="preserve">AŽ </w:t>
      </w:r>
      <w:r w:rsidRPr="00066C48">
        <w:rPr>
          <w:rFonts w:eastAsia="Times New Roman" w:cs="Arial"/>
          <w:szCs w:val="20"/>
          <w:lang w:eastAsia="en-GB"/>
        </w:rPr>
        <w:t>(Albert Žnideršič)</w:t>
      </w:r>
      <w:r>
        <w:rPr>
          <w:rFonts w:eastAsia="Times New Roman" w:cs="Arial"/>
          <w:szCs w:val="20"/>
          <w:lang w:eastAsia="en-GB"/>
        </w:rPr>
        <w:t xml:space="preserve"> panji,</w:t>
      </w:r>
      <w:r>
        <w:rPr>
          <w:rFonts w:cs="Arial"/>
          <w:szCs w:val="20"/>
        </w:rPr>
        <w:t xml:space="preserve"> edinstvene panjske končnice ter</w:t>
      </w:r>
      <w:r w:rsidRPr="007A1880">
        <w:rPr>
          <w:rFonts w:cs="Arial"/>
          <w:szCs w:val="20"/>
        </w:rPr>
        <w:t xml:space="preserve"> kakovostni čebelji proizvodi. </w:t>
      </w:r>
    </w:p>
    <w:p w14:paraId="748306D4" w14:textId="4CEE81B4" w:rsidR="009D60D5" w:rsidRPr="009D60D5" w:rsidDel="00B07316" w:rsidRDefault="009D60D5" w:rsidP="009D60D5">
      <w:pPr>
        <w:spacing w:before="200" w:line="360" w:lineRule="auto"/>
        <w:jc w:val="both"/>
      </w:pPr>
      <w:r w:rsidRPr="007A1880">
        <w:rPr>
          <w:rFonts w:cs="Arial"/>
          <w:szCs w:val="20"/>
        </w:rPr>
        <w:t>V Sloveniji ima kranjska čebela poseben status zaščitene vrste, zato so ukrepi kmetijske politike prvenstveno namenjeni predvsem k ohranitvi pasemske čistosti kranjske čebele ter enakomerni in zadostni poseljenost</w:t>
      </w:r>
      <w:r>
        <w:rPr>
          <w:rFonts w:cs="Arial"/>
          <w:szCs w:val="20"/>
        </w:rPr>
        <w:t>i čebeljih družin po Sloveniji.</w:t>
      </w:r>
    </w:p>
    <w:p w14:paraId="3CA2F09E" w14:textId="74F2C6EE" w:rsidR="00CF3CC6" w:rsidRDefault="00CF3CC6" w:rsidP="005F08EB">
      <w:pPr>
        <w:pStyle w:val="Naslov3"/>
        <w:rPr>
          <w:rFonts w:eastAsia="Calibri"/>
        </w:rPr>
      </w:pPr>
      <w:bookmarkStart w:id="181" w:name="_Toc55912212"/>
      <w:r w:rsidRPr="005F08EB">
        <w:rPr>
          <w:rFonts w:eastAsia="Calibri"/>
        </w:rPr>
        <w:t>Stanje</w:t>
      </w:r>
      <w:r w:rsidR="005F08EB" w:rsidRPr="005F08EB">
        <w:rPr>
          <w:rFonts w:eastAsia="Calibri"/>
        </w:rPr>
        <w:t xml:space="preserve"> in osnovni ekonomski kazalniki</w:t>
      </w:r>
      <w:bookmarkEnd w:id="181"/>
    </w:p>
    <w:p w14:paraId="7935B7F4" w14:textId="77777777" w:rsidR="009D60D5" w:rsidRPr="00DF3BFA" w:rsidRDefault="009D60D5" w:rsidP="009D60D5">
      <w:pPr>
        <w:spacing w:before="200" w:line="360" w:lineRule="auto"/>
        <w:jc w:val="both"/>
        <w:rPr>
          <w:rFonts w:cs="Arial"/>
          <w:szCs w:val="20"/>
          <w:lang w:eastAsia="en-GB"/>
        </w:rPr>
      </w:pPr>
      <w:r w:rsidRPr="009208D5">
        <w:rPr>
          <w:lang w:eastAsia="en-GB"/>
        </w:rPr>
        <w:t>Po podatkih centralnega registra čebelnjakov je bilo oktobra 201</w:t>
      </w:r>
      <w:r>
        <w:rPr>
          <w:lang w:eastAsia="en-GB"/>
        </w:rPr>
        <w:t>9</w:t>
      </w:r>
      <w:r w:rsidRPr="009208D5">
        <w:rPr>
          <w:lang w:eastAsia="en-GB"/>
        </w:rPr>
        <w:t xml:space="preserve"> v Sloveniji 1</w:t>
      </w:r>
      <w:r>
        <w:rPr>
          <w:lang w:eastAsia="en-GB"/>
        </w:rPr>
        <w:t>1.066</w:t>
      </w:r>
      <w:r w:rsidRPr="009208D5">
        <w:rPr>
          <w:lang w:eastAsia="en-GB"/>
        </w:rPr>
        <w:t xml:space="preserve"> čebelarjev, ki so čebelarili z 20</w:t>
      </w:r>
      <w:r>
        <w:rPr>
          <w:lang w:eastAsia="en-GB"/>
        </w:rPr>
        <w:t>8</w:t>
      </w:r>
      <w:r w:rsidRPr="009208D5">
        <w:rPr>
          <w:lang w:eastAsia="en-GB"/>
        </w:rPr>
        <w:t>.</w:t>
      </w:r>
      <w:r>
        <w:rPr>
          <w:lang w:eastAsia="en-GB"/>
        </w:rPr>
        <w:t>260</w:t>
      </w:r>
      <w:r w:rsidRPr="009208D5">
        <w:rPr>
          <w:lang w:eastAsia="en-GB"/>
        </w:rPr>
        <w:t xml:space="preserve"> čebeljimi družinami. Število čebeljih družin v Sloveniji raste od leta 2014 v povprečju za 7</w:t>
      </w:r>
      <w:r>
        <w:rPr>
          <w:lang w:eastAsia="en-GB"/>
        </w:rPr>
        <w:t xml:space="preserve"> </w:t>
      </w:r>
      <w:r w:rsidRPr="009208D5">
        <w:rPr>
          <w:lang w:eastAsia="en-GB"/>
        </w:rPr>
        <w:t xml:space="preserve">% letno, v zadnjih desetih letih se je povečalo za </w:t>
      </w:r>
      <w:r>
        <w:rPr>
          <w:lang w:eastAsia="en-GB"/>
        </w:rPr>
        <w:t xml:space="preserve">46 </w:t>
      </w:r>
      <w:r w:rsidRPr="009208D5">
        <w:rPr>
          <w:lang w:eastAsia="en-GB"/>
        </w:rPr>
        <w:t xml:space="preserve">%. Na nekaterih </w:t>
      </w:r>
      <w:r>
        <w:rPr>
          <w:lang w:eastAsia="en-GB"/>
        </w:rPr>
        <w:t>območjih</w:t>
      </w:r>
      <w:r w:rsidRPr="009208D5">
        <w:rPr>
          <w:lang w:eastAsia="en-GB"/>
        </w:rPr>
        <w:t xml:space="preserve"> Slovenij</w:t>
      </w:r>
      <w:r>
        <w:rPr>
          <w:lang w:eastAsia="en-GB"/>
        </w:rPr>
        <w:t>e</w:t>
      </w:r>
      <w:r w:rsidRPr="009208D5">
        <w:rPr>
          <w:lang w:eastAsia="en-GB"/>
        </w:rPr>
        <w:t xml:space="preserve"> </w:t>
      </w:r>
      <w:r>
        <w:rPr>
          <w:lang w:eastAsia="en-GB"/>
        </w:rPr>
        <w:t>je zelo</w:t>
      </w:r>
      <w:r w:rsidRPr="009208D5">
        <w:rPr>
          <w:lang w:eastAsia="en-GB"/>
        </w:rPr>
        <w:t xml:space="preserve"> velik</w:t>
      </w:r>
      <w:r>
        <w:rPr>
          <w:lang w:eastAsia="en-GB"/>
        </w:rPr>
        <w:t>a</w:t>
      </w:r>
      <w:r w:rsidRPr="009208D5">
        <w:rPr>
          <w:lang w:eastAsia="en-GB"/>
        </w:rPr>
        <w:t xml:space="preserve"> go</w:t>
      </w:r>
      <w:r>
        <w:rPr>
          <w:lang w:eastAsia="en-GB"/>
        </w:rPr>
        <w:t>stota čebeljih družin, saj smo z gostoto</w:t>
      </w:r>
      <w:r w:rsidRPr="009208D5">
        <w:rPr>
          <w:lang w:eastAsia="en-GB"/>
        </w:rPr>
        <w:t xml:space="preserve"> 6,9 čebelje družine/km² v evropskem vrhu.</w:t>
      </w:r>
      <w:r>
        <w:rPr>
          <w:lang w:eastAsia="en-GB"/>
        </w:rPr>
        <w:t xml:space="preserve"> Velika gostota čebeljih družin na določenih območjih lahko vodi predvsem do povečanega pojava bolezni in pomanjkanja pašnih virov.</w:t>
      </w:r>
    </w:p>
    <w:p w14:paraId="1CDF0973" w14:textId="77777777" w:rsidR="009D60D5" w:rsidRDefault="009D60D5" w:rsidP="009D60D5">
      <w:pPr>
        <w:spacing w:before="200" w:line="360" w:lineRule="auto"/>
        <w:jc w:val="both"/>
        <w:rPr>
          <w:rFonts w:eastAsia="Times New Roman" w:cs="Arial"/>
          <w:szCs w:val="20"/>
          <w:lang w:eastAsia="en-GB"/>
        </w:rPr>
      </w:pPr>
      <w:r w:rsidRPr="008900E3">
        <w:rPr>
          <w:rFonts w:eastAsia="Times New Roman" w:cs="Arial"/>
          <w:szCs w:val="20"/>
          <w:lang w:eastAsia="en-GB"/>
        </w:rPr>
        <w:t xml:space="preserve">Prevladujoči </w:t>
      </w:r>
      <w:r>
        <w:rPr>
          <w:rFonts w:eastAsia="Times New Roman" w:cs="Arial"/>
          <w:szCs w:val="20"/>
          <w:lang w:eastAsia="en-GB"/>
        </w:rPr>
        <w:t>so</w:t>
      </w:r>
      <w:r w:rsidRPr="008900E3">
        <w:rPr>
          <w:rFonts w:eastAsia="Times New Roman" w:cs="Arial"/>
          <w:szCs w:val="20"/>
          <w:lang w:eastAsia="en-GB"/>
        </w:rPr>
        <w:t xml:space="preserve"> manjši čebelarji, ki se s čebelarstvom ukvarjajo ljubiteljsko in svoje čebelje pridelke prodajo neposredno na domu, kjer dosegajo višje cene.</w:t>
      </w:r>
      <w:r>
        <w:rPr>
          <w:rFonts w:eastAsia="Times New Roman" w:cs="Arial"/>
          <w:szCs w:val="20"/>
          <w:lang w:eastAsia="en-GB"/>
        </w:rPr>
        <w:t xml:space="preserve"> </w:t>
      </w:r>
      <w:r w:rsidRPr="00066C48">
        <w:rPr>
          <w:rFonts w:eastAsia="Times New Roman" w:cs="Arial"/>
          <w:szCs w:val="20"/>
          <w:lang w:eastAsia="en-GB"/>
        </w:rPr>
        <w:t>V letu 201</w:t>
      </w:r>
      <w:r>
        <w:rPr>
          <w:rFonts w:eastAsia="Times New Roman" w:cs="Arial"/>
          <w:szCs w:val="20"/>
          <w:lang w:eastAsia="en-GB"/>
        </w:rPr>
        <w:t>9</w:t>
      </w:r>
      <w:r w:rsidRPr="00066C48">
        <w:rPr>
          <w:rFonts w:eastAsia="Times New Roman" w:cs="Arial"/>
          <w:szCs w:val="20"/>
          <w:lang w:eastAsia="en-GB"/>
        </w:rPr>
        <w:t xml:space="preserve"> so imeli čebelarji v povprečju 18,</w:t>
      </w:r>
      <w:r>
        <w:rPr>
          <w:rFonts w:eastAsia="Times New Roman" w:cs="Arial"/>
          <w:szCs w:val="20"/>
          <w:lang w:eastAsia="en-GB"/>
        </w:rPr>
        <w:t>8</w:t>
      </w:r>
      <w:r w:rsidRPr="00066C48">
        <w:rPr>
          <w:rFonts w:eastAsia="Times New Roman" w:cs="Arial"/>
          <w:szCs w:val="20"/>
          <w:lang w:eastAsia="en-GB"/>
        </w:rPr>
        <w:t xml:space="preserve"> čebeljih družin. Prevladujoči način čebelarjenja je v AŽ-panjih, kjer je naseljenih kar 93 % čebeljih družin.</w:t>
      </w:r>
      <w:r w:rsidRPr="00DF3BFA">
        <w:rPr>
          <w:rFonts w:eastAsia="Times New Roman" w:cs="Arial"/>
          <w:szCs w:val="20"/>
          <w:lang w:eastAsia="en-GB"/>
        </w:rPr>
        <w:t xml:space="preserve"> </w:t>
      </w:r>
    </w:p>
    <w:p w14:paraId="337A335B" w14:textId="77777777" w:rsidR="009D60D5" w:rsidRDefault="009D60D5" w:rsidP="009D60D5">
      <w:pPr>
        <w:spacing w:before="200" w:line="360" w:lineRule="auto"/>
        <w:jc w:val="both"/>
        <w:rPr>
          <w:rFonts w:eastAsia="Times New Roman" w:cs="Arial"/>
          <w:szCs w:val="20"/>
          <w:lang w:eastAsia="en-GB"/>
        </w:rPr>
      </w:pPr>
      <w:r w:rsidRPr="00CF0A1E">
        <w:rPr>
          <w:rFonts w:eastAsia="Times New Roman" w:cs="Arial"/>
          <w:szCs w:val="20"/>
          <w:lang w:eastAsia="en-GB"/>
        </w:rPr>
        <w:t>Po podatkih Statističnega urada je bil leta 201</w:t>
      </w:r>
      <w:r>
        <w:rPr>
          <w:rFonts w:eastAsia="Times New Roman" w:cs="Arial"/>
          <w:szCs w:val="20"/>
          <w:lang w:eastAsia="en-GB"/>
        </w:rPr>
        <w:t>9</w:t>
      </w:r>
      <w:r w:rsidRPr="00CF0A1E">
        <w:rPr>
          <w:rFonts w:eastAsia="Times New Roman" w:cs="Arial"/>
          <w:szCs w:val="20"/>
          <w:lang w:eastAsia="en-GB"/>
        </w:rPr>
        <w:t xml:space="preserve"> pridelek medu v Sloveniji </w:t>
      </w:r>
      <w:r>
        <w:rPr>
          <w:rFonts w:eastAsia="Times New Roman" w:cs="Arial"/>
          <w:szCs w:val="20"/>
          <w:lang w:eastAsia="en-GB"/>
        </w:rPr>
        <w:t>le 653 ton</w:t>
      </w:r>
      <w:r w:rsidRPr="00CF0A1E">
        <w:rPr>
          <w:rFonts w:eastAsia="Times New Roman" w:cs="Arial"/>
          <w:szCs w:val="20"/>
          <w:lang w:eastAsia="en-GB"/>
        </w:rPr>
        <w:t>. Pridelek niha med leti zaradi vremenskih razmer, leta 2001 je bil rekordnih 2.550 ton, leta 2014, pa ga je bilo le 471 ton.</w:t>
      </w:r>
      <w:r w:rsidRPr="00DF3BFA">
        <w:rPr>
          <w:rFonts w:eastAsia="Times New Roman" w:cs="Arial"/>
          <w:szCs w:val="20"/>
          <w:lang w:eastAsia="en-GB"/>
        </w:rPr>
        <w:t xml:space="preserve"> </w:t>
      </w:r>
    </w:p>
    <w:p w14:paraId="7210F4D6" w14:textId="77777777" w:rsidR="009D60D5" w:rsidRDefault="009D60D5" w:rsidP="009D60D5">
      <w:pPr>
        <w:spacing w:before="200" w:line="360" w:lineRule="auto"/>
        <w:jc w:val="both"/>
        <w:rPr>
          <w:rFonts w:eastAsia="Times New Roman" w:cs="Arial"/>
          <w:szCs w:val="20"/>
          <w:lang w:eastAsia="en-GB"/>
        </w:rPr>
      </w:pPr>
      <w:r w:rsidRPr="00633368">
        <w:rPr>
          <w:rFonts w:eastAsia="Times New Roman" w:cs="Arial"/>
          <w:szCs w:val="20"/>
          <w:lang w:eastAsia="en-GB"/>
        </w:rPr>
        <w:t xml:space="preserve">Največja grožnja čebeljim družinam je še zmeraj </w:t>
      </w:r>
      <w:proofErr w:type="spellStart"/>
      <w:r w:rsidRPr="00633368">
        <w:rPr>
          <w:rFonts w:eastAsia="Times New Roman" w:cs="Arial"/>
          <w:szCs w:val="20"/>
          <w:lang w:eastAsia="en-GB"/>
        </w:rPr>
        <w:t>varoja</w:t>
      </w:r>
      <w:proofErr w:type="spellEnd"/>
      <w:r w:rsidRPr="00633368">
        <w:rPr>
          <w:rFonts w:eastAsia="Times New Roman" w:cs="Arial"/>
          <w:szCs w:val="20"/>
          <w:lang w:eastAsia="en-GB"/>
        </w:rPr>
        <w:t xml:space="preserve">, ki prenaša še druge povzročitelje, in sicer viruse. Pri zdravstvenem varstvu čebel ugotavljamo, da v Sloveniji ni dovolj učinkovitih zdravil za zdravljenje varoze. </w:t>
      </w:r>
    </w:p>
    <w:p w14:paraId="0F8D9A39" w14:textId="77777777" w:rsidR="009D60D5" w:rsidRDefault="009D60D5" w:rsidP="009D60D5">
      <w:pPr>
        <w:spacing w:before="200" w:line="360" w:lineRule="auto"/>
        <w:jc w:val="both"/>
        <w:rPr>
          <w:rFonts w:eastAsia="Times New Roman" w:cs="Arial"/>
          <w:szCs w:val="20"/>
          <w:lang w:eastAsia="en-GB"/>
        </w:rPr>
      </w:pPr>
      <w:r w:rsidRPr="00413662">
        <w:rPr>
          <w:rFonts w:eastAsia="Times New Roman" w:cs="Arial"/>
          <w:szCs w:val="20"/>
          <w:lang w:eastAsia="en-GB"/>
        </w:rPr>
        <w:lastRenderedPageBreak/>
        <w:t>Razvija se ekološko čebelarstvo, v letu 2018 je 65 čebelarjev pridelalo 44 ton ekološkega medu</w:t>
      </w:r>
      <w:r>
        <w:rPr>
          <w:rFonts w:eastAsia="Times New Roman" w:cs="Arial"/>
          <w:szCs w:val="20"/>
          <w:lang w:eastAsia="en-GB"/>
        </w:rPr>
        <w:t>, v letu 2019 pa 42 ton.</w:t>
      </w:r>
      <w:r w:rsidRPr="00413662">
        <w:rPr>
          <w:rFonts w:eastAsia="Times New Roman" w:cs="Arial"/>
          <w:szCs w:val="20"/>
          <w:lang w:eastAsia="en-GB"/>
        </w:rPr>
        <w:t xml:space="preserve"> V letih od 2011 do 201</w:t>
      </w:r>
      <w:r>
        <w:rPr>
          <w:rFonts w:eastAsia="Times New Roman" w:cs="Arial"/>
          <w:szCs w:val="20"/>
          <w:lang w:eastAsia="en-GB"/>
        </w:rPr>
        <w:t>9</w:t>
      </w:r>
      <w:r w:rsidRPr="00413662">
        <w:rPr>
          <w:rFonts w:eastAsia="Times New Roman" w:cs="Arial"/>
          <w:szCs w:val="20"/>
          <w:lang w:eastAsia="en-GB"/>
        </w:rPr>
        <w:t xml:space="preserve"> je bilo v Sloveniji v ekološko čebelarstvo vključenih med 1.400 in </w:t>
      </w:r>
      <w:r>
        <w:rPr>
          <w:rFonts w:eastAsia="Times New Roman" w:cs="Arial"/>
          <w:szCs w:val="20"/>
          <w:lang w:eastAsia="en-GB"/>
        </w:rPr>
        <w:t>3.245</w:t>
      </w:r>
      <w:r w:rsidRPr="00413662">
        <w:rPr>
          <w:rFonts w:eastAsia="Times New Roman" w:cs="Arial"/>
          <w:szCs w:val="20"/>
          <w:lang w:eastAsia="en-GB"/>
        </w:rPr>
        <w:t xml:space="preserve"> čebeljih družin.</w:t>
      </w:r>
    </w:p>
    <w:p w14:paraId="52451379" w14:textId="280D5ADB" w:rsidR="00C4167C" w:rsidRDefault="00C4167C" w:rsidP="00C4167C">
      <w:pPr>
        <w:pStyle w:val="SCPreglednica"/>
      </w:pPr>
      <w:bookmarkStart w:id="182" w:name="_Toc55913744"/>
      <w:r>
        <w:t xml:space="preserve">Tabela </w:t>
      </w:r>
      <w:r>
        <w:fldChar w:fldCharType="begin"/>
      </w:r>
      <w:r>
        <w:instrText xml:space="preserve"> SEQ Tabela \* ARABIC </w:instrText>
      </w:r>
      <w:r>
        <w:fldChar w:fldCharType="separate"/>
      </w:r>
      <w:r w:rsidR="00DF0D48">
        <w:rPr>
          <w:noProof/>
        </w:rPr>
        <w:t>33</w:t>
      </w:r>
      <w:r>
        <w:fldChar w:fldCharType="end"/>
      </w:r>
      <w:r>
        <w:t xml:space="preserve">: </w:t>
      </w:r>
      <w:r w:rsidRPr="00C4167C">
        <w:t>Število čebelarjev, čebelnjakov in čebeljih družin ter količina pridelanega medu</w:t>
      </w:r>
      <w:bookmarkEnd w:id="182"/>
    </w:p>
    <w:tbl>
      <w:tblPr>
        <w:tblW w:w="4959" w:type="pct"/>
        <w:tblLayout w:type="fixed"/>
        <w:tblCellMar>
          <w:left w:w="70" w:type="dxa"/>
          <w:right w:w="70" w:type="dxa"/>
        </w:tblCellMar>
        <w:tblLook w:val="04A0" w:firstRow="1" w:lastRow="0" w:firstColumn="1" w:lastColumn="0" w:noHBand="0" w:noVBand="1"/>
      </w:tblPr>
      <w:tblGrid>
        <w:gridCol w:w="1089"/>
        <w:gridCol w:w="659"/>
        <w:gridCol w:w="659"/>
        <w:gridCol w:w="658"/>
        <w:gridCol w:w="658"/>
        <w:gridCol w:w="658"/>
        <w:gridCol w:w="658"/>
        <w:gridCol w:w="658"/>
        <w:gridCol w:w="658"/>
        <w:gridCol w:w="658"/>
        <w:gridCol w:w="658"/>
        <w:gridCol w:w="658"/>
        <w:gridCol w:w="659"/>
      </w:tblGrid>
      <w:tr w:rsidR="009D60D5" w:rsidRPr="00673630" w14:paraId="5F0290B4" w14:textId="77777777" w:rsidTr="00C4167C">
        <w:trPr>
          <w:trHeight w:val="332"/>
        </w:trPr>
        <w:tc>
          <w:tcPr>
            <w:tcW w:w="1089" w:type="dxa"/>
            <w:tcBorders>
              <w:top w:val="single" w:sz="12" w:space="0" w:color="76923C"/>
              <w:left w:val="single" w:sz="4" w:space="0" w:color="auto"/>
              <w:bottom w:val="single" w:sz="4" w:space="0" w:color="auto"/>
              <w:right w:val="single" w:sz="4" w:space="0" w:color="auto"/>
            </w:tcBorders>
            <w:shd w:val="clear" w:color="auto" w:fill="auto"/>
            <w:noWrap/>
            <w:vAlign w:val="center"/>
            <w:hideMark/>
          </w:tcPr>
          <w:p w14:paraId="4337E635" w14:textId="77777777" w:rsidR="009D60D5" w:rsidRPr="00D64438" w:rsidRDefault="009D60D5" w:rsidP="00C4167C">
            <w:pPr>
              <w:spacing w:line="360" w:lineRule="auto"/>
              <w:rPr>
                <w:rFonts w:cs="Arial"/>
                <w:b/>
                <w:bCs/>
                <w:sz w:val="16"/>
                <w:szCs w:val="16"/>
              </w:rPr>
            </w:pPr>
            <w:r w:rsidRPr="00D64438">
              <w:rPr>
                <w:rFonts w:cs="Arial"/>
                <w:b/>
                <w:bCs/>
                <w:sz w:val="16"/>
                <w:szCs w:val="16"/>
              </w:rPr>
              <w:t>Leto</w:t>
            </w:r>
          </w:p>
        </w:tc>
        <w:tc>
          <w:tcPr>
            <w:tcW w:w="659" w:type="dxa"/>
            <w:tcBorders>
              <w:top w:val="single" w:sz="12" w:space="0" w:color="76923C"/>
              <w:left w:val="single" w:sz="4" w:space="0" w:color="auto"/>
              <w:bottom w:val="single" w:sz="4" w:space="0" w:color="auto"/>
              <w:right w:val="single" w:sz="4" w:space="0" w:color="auto"/>
            </w:tcBorders>
            <w:vAlign w:val="center"/>
          </w:tcPr>
          <w:p w14:paraId="52875831" w14:textId="77777777" w:rsidR="009D60D5" w:rsidRPr="00D64438" w:rsidRDefault="009D60D5" w:rsidP="00C4167C">
            <w:pPr>
              <w:spacing w:line="360" w:lineRule="auto"/>
              <w:rPr>
                <w:rFonts w:cs="Arial"/>
                <w:b/>
                <w:bCs/>
                <w:sz w:val="16"/>
                <w:szCs w:val="16"/>
              </w:rPr>
            </w:pPr>
            <w:r w:rsidRPr="00D64438">
              <w:rPr>
                <w:rFonts w:cs="Arial"/>
                <w:b/>
                <w:bCs/>
                <w:sz w:val="16"/>
                <w:szCs w:val="16"/>
              </w:rPr>
              <w:t>2008</w:t>
            </w:r>
          </w:p>
        </w:tc>
        <w:tc>
          <w:tcPr>
            <w:tcW w:w="659" w:type="dxa"/>
            <w:tcBorders>
              <w:top w:val="single" w:sz="12" w:space="0" w:color="76923C"/>
              <w:left w:val="single" w:sz="4" w:space="0" w:color="auto"/>
              <w:bottom w:val="single" w:sz="4" w:space="0" w:color="auto"/>
              <w:right w:val="single" w:sz="4" w:space="0" w:color="auto"/>
            </w:tcBorders>
            <w:shd w:val="clear" w:color="auto" w:fill="auto"/>
            <w:noWrap/>
            <w:vAlign w:val="center"/>
            <w:hideMark/>
          </w:tcPr>
          <w:p w14:paraId="2D4F40F2" w14:textId="77777777" w:rsidR="009D60D5" w:rsidRPr="00D64438" w:rsidRDefault="009D60D5" w:rsidP="00C4167C">
            <w:pPr>
              <w:spacing w:line="360" w:lineRule="auto"/>
              <w:rPr>
                <w:rFonts w:cs="Arial"/>
                <w:b/>
                <w:bCs/>
                <w:sz w:val="16"/>
                <w:szCs w:val="16"/>
              </w:rPr>
            </w:pPr>
            <w:r w:rsidRPr="00D64438">
              <w:rPr>
                <w:rFonts w:cs="Arial"/>
                <w:b/>
                <w:bCs/>
                <w:sz w:val="16"/>
                <w:szCs w:val="16"/>
              </w:rPr>
              <w:t>2009</w:t>
            </w:r>
          </w:p>
        </w:tc>
        <w:tc>
          <w:tcPr>
            <w:tcW w:w="658" w:type="dxa"/>
            <w:tcBorders>
              <w:top w:val="single" w:sz="12" w:space="0" w:color="76923C"/>
              <w:left w:val="single" w:sz="4" w:space="0" w:color="auto"/>
              <w:bottom w:val="single" w:sz="4" w:space="0" w:color="auto"/>
              <w:right w:val="single" w:sz="4" w:space="0" w:color="auto"/>
            </w:tcBorders>
            <w:shd w:val="clear" w:color="auto" w:fill="auto"/>
            <w:noWrap/>
            <w:vAlign w:val="center"/>
            <w:hideMark/>
          </w:tcPr>
          <w:p w14:paraId="547B4207" w14:textId="77777777" w:rsidR="009D60D5" w:rsidRPr="00D64438" w:rsidRDefault="009D60D5" w:rsidP="00C4167C">
            <w:pPr>
              <w:spacing w:line="360" w:lineRule="auto"/>
              <w:rPr>
                <w:rFonts w:cs="Arial"/>
                <w:b/>
                <w:bCs/>
                <w:sz w:val="16"/>
                <w:szCs w:val="16"/>
              </w:rPr>
            </w:pPr>
            <w:r w:rsidRPr="00D64438">
              <w:rPr>
                <w:rFonts w:cs="Arial"/>
                <w:b/>
                <w:bCs/>
                <w:sz w:val="16"/>
                <w:szCs w:val="16"/>
              </w:rPr>
              <w:t>2010</w:t>
            </w:r>
          </w:p>
        </w:tc>
        <w:tc>
          <w:tcPr>
            <w:tcW w:w="658" w:type="dxa"/>
            <w:tcBorders>
              <w:top w:val="single" w:sz="12" w:space="0" w:color="76923C"/>
              <w:left w:val="single" w:sz="4" w:space="0" w:color="auto"/>
              <w:bottom w:val="single" w:sz="4" w:space="0" w:color="auto"/>
              <w:right w:val="single" w:sz="4" w:space="0" w:color="auto"/>
            </w:tcBorders>
            <w:shd w:val="clear" w:color="auto" w:fill="auto"/>
            <w:noWrap/>
            <w:vAlign w:val="center"/>
            <w:hideMark/>
          </w:tcPr>
          <w:p w14:paraId="17A0F6A3" w14:textId="77777777" w:rsidR="009D60D5" w:rsidRPr="00D64438" w:rsidRDefault="009D60D5" w:rsidP="00C4167C">
            <w:pPr>
              <w:spacing w:line="360" w:lineRule="auto"/>
              <w:rPr>
                <w:rFonts w:cs="Arial"/>
                <w:b/>
                <w:bCs/>
                <w:sz w:val="16"/>
                <w:szCs w:val="16"/>
              </w:rPr>
            </w:pPr>
            <w:r w:rsidRPr="00D64438">
              <w:rPr>
                <w:rFonts w:cs="Arial"/>
                <w:b/>
                <w:bCs/>
                <w:sz w:val="16"/>
                <w:szCs w:val="16"/>
              </w:rPr>
              <w:t>2011</w:t>
            </w:r>
          </w:p>
        </w:tc>
        <w:tc>
          <w:tcPr>
            <w:tcW w:w="658" w:type="dxa"/>
            <w:tcBorders>
              <w:top w:val="single" w:sz="12" w:space="0" w:color="76923C"/>
              <w:left w:val="single" w:sz="4" w:space="0" w:color="auto"/>
              <w:bottom w:val="single" w:sz="4" w:space="0" w:color="auto"/>
              <w:right w:val="single" w:sz="4" w:space="0" w:color="auto"/>
            </w:tcBorders>
            <w:shd w:val="clear" w:color="auto" w:fill="auto"/>
            <w:noWrap/>
            <w:vAlign w:val="center"/>
            <w:hideMark/>
          </w:tcPr>
          <w:p w14:paraId="15229ADE" w14:textId="77777777" w:rsidR="009D60D5" w:rsidRPr="00D64438" w:rsidRDefault="009D60D5" w:rsidP="00C4167C">
            <w:pPr>
              <w:spacing w:line="360" w:lineRule="auto"/>
              <w:rPr>
                <w:rFonts w:cs="Arial"/>
                <w:b/>
                <w:bCs/>
                <w:sz w:val="16"/>
                <w:szCs w:val="16"/>
              </w:rPr>
            </w:pPr>
            <w:r w:rsidRPr="00D64438">
              <w:rPr>
                <w:rFonts w:cs="Arial"/>
                <w:b/>
                <w:bCs/>
                <w:sz w:val="16"/>
                <w:szCs w:val="16"/>
              </w:rPr>
              <w:t>2012</w:t>
            </w:r>
          </w:p>
        </w:tc>
        <w:tc>
          <w:tcPr>
            <w:tcW w:w="658" w:type="dxa"/>
            <w:tcBorders>
              <w:top w:val="single" w:sz="12" w:space="0" w:color="76923C"/>
              <w:left w:val="single" w:sz="4" w:space="0" w:color="auto"/>
              <w:bottom w:val="single" w:sz="4" w:space="0" w:color="auto"/>
              <w:right w:val="single" w:sz="4" w:space="0" w:color="auto"/>
            </w:tcBorders>
            <w:shd w:val="clear" w:color="auto" w:fill="auto"/>
            <w:noWrap/>
            <w:vAlign w:val="center"/>
            <w:hideMark/>
          </w:tcPr>
          <w:p w14:paraId="6B9BED58" w14:textId="77777777" w:rsidR="009D60D5" w:rsidRPr="00D64438" w:rsidRDefault="009D60D5" w:rsidP="00C4167C">
            <w:pPr>
              <w:spacing w:line="360" w:lineRule="auto"/>
              <w:rPr>
                <w:rFonts w:cs="Arial"/>
                <w:b/>
                <w:bCs/>
                <w:sz w:val="16"/>
                <w:szCs w:val="16"/>
              </w:rPr>
            </w:pPr>
            <w:r w:rsidRPr="00D64438">
              <w:rPr>
                <w:rFonts w:cs="Arial"/>
                <w:b/>
                <w:bCs/>
                <w:sz w:val="16"/>
                <w:szCs w:val="16"/>
              </w:rPr>
              <w:t>2013</w:t>
            </w:r>
          </w:p>
        </w:tc>
        <w:tc>
          <w:tcPr>
            <w:tcW w:w="658" w:type="dxa"/>
            <w:tcBorders>
              <w:top w:val="single" w:sz="12" w:space="0" w:color="76923C"/>
              <w:left w:val="single" w:sz="4" w:space="0" w:color="auto"/>
              <w:bottom w:val="single" w:sz="4" w:space="0" w:color="auto"/>
              <w:right w:val="single" w:sz="4" w:space="0" w:color="auto"/>
            </w:tcBorders>
            <w:shd w:val="clear" w:color="auto" w:fill="auto"/>
            <w:noWrap/>
            <w:vAlign w:val="center"/>
            <w:hideMark/>
          </w:tcPr>
          <w:p w14:paraId="57ED39BC" w14:textId="77777777" w:rsidR="009D60D5" w:rsidRPr="00D64438" w:rsidRDefault="009D60D5" w:rsidP="00C4167C">
            <w:pPr>
              <w:spacing w:line="360" w:lineRule="auto"/>
              <w:rPr>
                <w:rFonts w:cs="Arial"/>
                <w:b/>
                <w:bCs/>
                <w:sz w:val="16"/>
                <w:szCs w:val="16"/>
              </w:rPr>
            </w:pPr>
            <w:r w:rsidRPr="00D64438">
              <w:rPr>
                <w:rFonts w:cs="Arial"/>
                <w:b/>
                <w:bCs/>
                <w:sz w:val="16"/>
                <w:szCs w:val="16"/>
              </w:rPr>
              <w:t>2014</w:t>
            </w:r>
          </w:p>
        </w:tc>
        <w:tc>
          <w:tcPr>
            <w:tcW w:w="658" w:type="dxa"/>
            <w:tcBorders>
              <w:top w:val="single" w:sz="12" w:space="0" w:color="76923C"/>
              <w:left w:val="single" w:sz="4" w:space="0" w:color="auto"/>
              <w:bottom w:val="single" w:sz="4" w:space="0" w:color="auto"/>
              <w:right w:val="single" w:sz="4" w:space="0" w:color="auto"/>
            </w:tcBorders>
            <w:shd w:val="clear" w:color="auto" w:fill="auto"/>
            <w:noWrap/>
            <w:vAlign w:val="center"/>
            <w:hideMark/>
          </w:tcPr>
          <w:p w14:paraId="42CCC95F" w14:textId="77777777" w:rsidR="009D60D5" w:rsidRPr="00D64438" w:rsidRDefault="009D60D5" w:rsidP="00C4167C">
            <w:pPr>
              <w:spacing w:line="360" w:lineRule="auto"/>
              <w:rPr>
                <w:rFonts w:cs="Arial"/>
                <w:b/>
                <w:bCs/>
                <w:sz w:val="16"/>
                <w:szCs w:val="16"/>
              </w:rPr>
            </w:pPr>
            <w:r w:rsidRPr="00D64438">
              <w:rPr>
                <w:rFonts w:cs="Arial"/>
                <w:b/>
                <w:bCs/>
                <w:sz w:val="16"/>
                <w:szCs w:val="16"/>
              </w:rPr>
              <w:t>2015</w:t>
            </w:r>
          </w:p>
        </w:tc>
        <w:tc>
          <w:tcPr>
            <w:tcW w:w="658" w:type="dxa"/>
            <w:tcBorders>
              <w:top w:val="single" w:sz="12" w:space="0" w:color="76923C"/>
              <w:left w:val="single" w:sz="4" w:space="0" w:color="auto"/>
              <w:bottom w:val="single" w:sz="4" w:space="0" w:color="auto"/>
              <w:right w:val="single" w:sz="4" w:space="0" w:color="auto"/>
            </w:tcBorders>
            <w:vAlign w:val="center"/>
          </w:tcPr>
          <w:p w14:paraId="455626D1" w14:textId="77777777" w:rsidR="009D60D5" w:rsidRPr="00D64438" w:rsidRDefault="009D60D5" w:rsidP="00C4167C">
            <w:pPr>
              <w:spacing w:line="360" w:lineRule="auto"/>
              <w:rPr>
                <w:rFonts w:cs="Arial"/>
                <w:b/>
                <w:bCs/>
                <w:sz w:val="16"/>
                <w:szCs w:val="16"/>
              </w:rPr>
            </w:pPr>
            <w:r w:rsidRPr="00D64438">
              <w:rPr>
                <w:rFonts w:cs="Arial"/>
                <w:b/>
                <w:bCs/>
                <w:sz w:val="16"/>
                <w:szCs w:val="16"/>
              </w:rPr>
              <w:t>2016</w:t>
            </w:r>
          </w:p>
        </w:tc>
        <w:tc>
          <w:tcPr>
            <w:tcW w:w="658" w:type="dxa"/>
            <w:tcBorders>
              <w:top w:val="single" w:sz="12" w:space="0" w:color="76923C"/>
              <w:left w:val="single" w:sz="4" w:space="0" w:color="auto"/>
              <w:bottom w:val="single" w:sz="4" w:space="0" w:color="auto"/>
              <w:right w:val="single" w:sz="4" w:space="0" w:color="auto"/>
            </w:tcBorders>
            <w:vAlign w:val="center"/>
          </w:tcPr>
          <w:p w14:paraId="151BE995" w14:textId="77777777" w:rsidR="009D60D5" w:rsidRPr="00D64438" w:rsidRDefault="009D60D5" w:rsidP="00C4167C">
            <w:pPr>
              <w:spacing w:line="360" w:lineRule="auto"/>
              <w:rPr>
                <w:rFonts w:cs="Arial"/>
                <w:b/>
                <w:bCs/>
                <w:sz w:val="16"/>
                <w:szCs w:val="16"/>
              </w:rPr>
            </w:pPr>
            <w:r w:rsidRPr="00D64438">
              <w:rPr>
                <w:rFonts w:cs="Arial"/>
                <w:b/>
                <w:bCs/>
                <w:sz w:val="16"/>
                <w:szCs w:val="16"/>
              </w:rPr>
              <w:t>2017</w:t>
            </w:r>
          </w:p>
        </w:tc>
        <w:tc>
          <w:tcPr>
            <w:tcW w:w="658" w:type="dxa"/>
            <w:tcBorders>
              <w:top w:val="single" w:sz="12" w:space="0" w:color="76923C"/>
              <w:left w:val="single" w:sz="4" w:space="0" w:color="auto"/>
              <w:bottom w:val="single" w:sz="4" w:space="0" w:color="auto"/>
              <w:right w:val="single" w:sz="4" w:space="0" w:color="auto"/>
            </w:tcBorders>
            <w:vAlign w:val="center"/>
          </w:tcPr>
          <w:p w14:paraId="6ADCC1CF" w14:textId="77777777" w:rsidR="009D60D5" w:rsidRPr="00D64438" w:rsidRDefault="009D60D5" w:rsidP="00C4167C">
            <w:pPr>
              <w:spacing w:line="360" w:lineRule="auto"/>
              <w:rPr>
                <w:rFonts w:cs="Arial"/>
                <w:b/>
                <w:bCs/>
                <w:sz w:val="16"/>
                <w:szCs w:val="16"/>
              </w:rPr>
            </w:pPr>
            <w:r w:rsidRPr="00D64438">
              <w:rPr>
                <w:rFonts w:cs="Arial"/>
                <w:b/>
                <w:bCs/>
                <w:sz w:val="16"/>
                <w:szCs w:val="16"/>
              </w:rPr>
              <w:t>2018</w:t>
            </w:r>
          </w:p>
        </w:tc>
        <w:tc>
          <w:tcPr>
            <w:tcW w:w="659" w:type="dxa"/>
            <w:tcBorders>
              <w:top w:val="single" w:sz="12" w:space="0" w:color="76923C"/>
              <w:left w:val="single" w:sz="4" w:space="0" w:color="auto"/>
              <w:bottom w:val="single" w:sz="4" w:space="0" w:color="auto"/>
              <w:right w:val="single" w:sz="4" w:space="0" w:color="auto"/>
            </w:tcBorders>
            <w:vAlign w:val="center"/>
          </w:tcPr>
          <w:p w14:paraId="32040362" w14:textId="77777777" w:rsidR="009D60D5" w:rsidRDefault="009D60D5" w:rsidP="00C4167C">
            <w:pPr>
              <w:spacing w:line="360" w:lineRule="auto"/>
              <w:rPr>
                <w:rFonts w:cs="Arial"/>
                <w:b/>
                <w:bCs/>
                <w:sz w:val="16"/>
                <w:szCs w:val="16"/>
              </w:rPr>
            </w:pPr>
            <w:r>
              <w:rPr>
                <w:rFonts w:cs="Arial"/>
                <w:b/>
                <w:bCs/>
                <w:sz w:val="16"/>
                <w:szCs w:val="16"/>
              </w:rPr>
              <w:t>2019</w:t>
            </w:r>
          </w:p>
        </w:tc>
      </w:tr>
      <w:tr w:rsidR="009D60D5" w:rsidRPr="00673630" w14:paraId="2ECF0A37" w14:textId="77777777" w:rsidTr="00C4167C">
        <w:trPr>
          <w:trHeight w:val="407"/>
        </w:trPr>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14:paraId="00763BE3" w14:textId="77777777" w:rsidR="009D60D5" w:rsidRPr="00D64438" w:rsidRDefault="009D60D5" w:rsidP="00C4167C">
            <w:pPr>
              <w:spacing w:line="360" w:lineRule="auto"/>
              <w:rPr>
                <w:rFonts w:cs="Arial"/>
                <w:sz w:val="16"/>
                <w:szCs w:val="16"/>
              </w:rPr>
            </w:pPr>
            <w:r w:rsidRPr="00D64438">
              <w:rPr>
                <w:rFonts w:cs="Arial"/>
                <w:sz w:val="16"/>
                <w:szCs w:val="16"/>
              </w:rPr>
              <w:t>Število čebelarjev</w:t>
            </w:r>
          </w:p>
        </w:tc>
        <w:tc>
          <w:tcPr>
            <w:tcW w:w="659" w:type="dxa"/>
            <w:tcBorders>
              <w:top w:val="single" w:sz="4" w:space="0" w:color="auto"/>
              <w:left w:val="single" w:sz="4" w:space="0" w:color="auto"/>
              <w:bottom w:val="single" w:sz="4" w:space="0" w:color="auto"/>
              <w:right w:val="single" w:sz="4" w:space="0" w:color="auto"/>
            </w:tcBorders>
            <w:vAlign w:val="center"/>
          </w:tcPr>
          <w:p w14:paraId="52E4158E" w14:textId="77777777" w:rsidR="009D60D5" w:rsidRPr="00D64438" w:rsidRDefault="009D60D5" w:rsidP="00C4167C">
            <w:pPr>
              <w:spacing w:line="360" w:lineRule="auto"/>
              <w:rPr>
                <w:rFonts w:cs="Arial"/>
                <w:bCs/>
                <w:sz w:val="16"/>
                <w:szCs w:val="16"/>
              </w:rPr>
            </w:pPr>
            <w:r w:rsidRPr="00D64438">
              <w:rPr>
                <w:rFonts w:cs="Arial"/>
                <w:bCs/>
                <w:sz w:val="16"/>
                <w:szCs w:val="16"/>
              </w:rPr>
              <w:t>7.475</w:t>
            </w: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BDB3B" w14:textId="77777777" w:rsidR="009D60D5" w:rsidRPr="00D64438" w:rsidRDefault="009D60D5" w:rsidP="00C4167C">
            <w:pPr>
              <w:spacing w:line="360" w:lineRule="auto"/>
              <w:rPr>
                <w:rFonts w:cs="Arial"/>
                <w:bCs/>
                <w:sz w:val="16"/>
                <w:szCs w:val="16"/>
              </w:rPr>
            </w:pPr>
            <w:r w:rsidRPr="00D64438">
              <w:rPr>
                <w:rFonts w:cs="Arial"/>
                <w:sz w:val="16"/>
                <w:szCs w:val="16"/>
              </w:rPr>
              <w:t>8.838</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621EE" w14:textId="77777777" w:rsidR="009D60D5" w:rsidRPr="00D64438" w:rsidRDefault="009D60D5" w:rsidP="00C4167C">
            <w:pPr>
              <w:spacing w:line="360" w:lineRule="auto"/>
              <w:rPr>
                <w:rFonts w:cs="Arial"/>
                <w:bCs/>
                <w:sz w:val="16"/>
                <w:szCs w:val="16"/>
              </w:rPr>
            </w:pPr>
            <w:r w:rsidRPr="00D64438">
              <w:rPr>
                <w:rFonts w:cs="Arial"/>
                <w:sz w:val="16"/>
                <w:szCs w:val="16"/>
              </w:rPr>
              <w:t>9.019</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40637B" w14:textId="77777777" w:rsidR="009D60D5" w:rsidRPr="00D64438" w:rsidRDefault="009D60D5" w:rsidP="00C4167C">
            <w:pPr>
              <w:spacing w:line="360" w:lineRule="auto"/>
              <w:rPr>
                <w:rFonts w:cs="Arial"/>
                <w:bCs/>
                <w:sz w:val="16"/>
                <w:szCs w:val="16"/>
              </w:rPr>
            </w:pPr>
            <w:r w:rsidRPr="00D64438">
              <w:rPr>
                <w:rFonts w:cs="Arial"/>
                <w:sz w:val="16"/>
                <w:szCs w:val="16"/>
              </w:rPr>
              <w:t>9.532</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52C1D" w14:textId="77777777" w:rsidR="009D60D5" w:rsidRPr="00D64438" w:rsidRDefault="009D60D5" w:rsidP="00C4167C">
            <w:pPr>
              <w:spacing w:line="360" w:lineRule="auto"/>
              <w:rPr>
                <w:rFonts w:cs="Arial"/>
                <w:bCs/>
                <w:sz w:val="16"/>
                <w:szCs w:val="16"/>
              </w:rPr>
            </w:pPr>
            <w:r w:rsidRPr="00D64438">
              <w:rPr>
                <w:rFonts w:cs="Arial"/>
                <w:sz w:val="16"/>
                <w:szCs w:val="16"/>
              </w:rPr>
              <w:t>9.638</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A4AD9" w14:textId="77777777" w:rsidR="009D60D5" w:rsidRPr="00D64438" w:rsidRDefault="009D60D5" w:rsidP="00C4167C">
            <w:pPr>
              <w:spacing w:line="360" w:lineRule="auto"/>
              <w:rPr>
                <w:rFonts w:cs="Arial"/>
                <w:bCs/>
                <w:sz w:val="16"/>
                <w:szCs w:val="16"/>
              </w:rPr>
            </w:pPr>
            <w:r w:rsidRPr="00D64438">
              <w:rPr>
                <w:rFonts w:cs="Arial"/>
                <w:bCs/>
                <w:sz w:val="16"/>
                <w:szCs w:val="16"/>
              </w:rPr>
              <w:t>9.885</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6397A" w14:textId="77777777" w:rsidR="009D60D5" w:rsidRPr="00D64438" w:rsidRDefault="009D60D5" w:rsidP="00C4167C">
            <w:pPr>
              <w:spacing w:line="360" w:lineRule="auto"/>
              <w:rPr>
                <w:rFonts w:cs="Arial"/>
                <w:bCs/>
                <w:sz w:val="16"/>
                <w:szCs w:val="16"/>
              </w:rPr>
            </w:pPr>
            <w:r w:rsidRPr="00D64438">
              <w:rPr>
                <w:rFonts w:cs="Arial"/>
                <w:bCs/>
                <w:sz w:val="16"/>
                <w:szCs w:val="16"/>
              </w:rPr>
              <w:t>10.145</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7E492" w14:textId="77777777" w:rsidR="009D60D5" w:rsidRPr="00D64438" w:rsidRDefault="009D60D5" w:rsidP="00C4167C">
            <w:pPr>
              <w:spacing w:line="360" w:lineRule="auto"/>
              <w:rPr>
                <w:rFonts w:cs="Arial"/>
                <w:bCs/>
                <w:sz w:val="16"/>
                <w:szCs w:val="16"/>
              </w:rPr>
            </w:pPr>
            <w:r w:rsidRPr="00D64438">
              <w:rPr>
                <w:rFonts w:cs="Arial"/>
                <w:bCs/>
                <w:sz w:val="16"/>
                <w:szCs w:val="16"/>
              </w:rPr>
              <w:t>10.369</w:t>
            </w:r>
          </w:p>
        </w:tc>
        <w:tc>
          <w:tcPr>
            <w:tcW w:w="658" w:type="dxa"/>
            <w:tcBorders>
              <w:top w:val="single" w:sz="4" w:space="0" w:color="auto"/>
              <w:left w:val="single" w:sz="4" w:space="0" w:color="auto"/>
              <w:bottom w:val="single" w:sz="4" w:space="0" w:color="auto"/>
              <w:right w:val="single" w:sz="4" w:space="0" w:color="auto"/>
            </w:tcBorders>
            <w:vAlign w:val="center"/>
          </w:tcPr>
          <w:p w14:paraId="32A89A6B" w14:textId="77777777" w:rsidR="009D60D5" w:rsidRPr="00D64438" w:rsidRDefault="009D60D5" w:rsidP="00C4167C">
            <w:pPr>
              <w:spacing w:line="360" w:lineRule="auto"/>
              <w:rPr>
                <w:rFonts w:cs="Arial"/>
                <w:bCs/>
                <w:sz w:val="16"/>
                <w:szCs w:val="16"/>
              </w:rPr>
            </w:pPr>
            <w:r w:rsidRPr="00D64438">
              <w:rPr>
                <w:rFonts w:cs="Arial"/>
                <w:bCs/>
                <w:sz w:val="16"/>
                <w:szCs w:val="16"/>
              </w:rPr>
              <w:t>10.667</w:t>
            </w:r>
          </w:p>
        </w:tc>
        <w:tc>
          <w:tcPr>
            <w:tcW w:w="658" w:type="dxa"/>
            <w:tcBorders>
              <w:top w:val="single" w:sz="4" w:space="0" w:color="auto"/>
              <w:left w:val="single" w:sz="4" w:space="0" w:color="auto"/>
              <w:bottom w:val="single" w:sz="4" w:space="0" w:color="auto"/>
              <w:right w:val="single" w:sz="4" w:space="0" w:color="auto"/>
            </w:tcBorders>
            <w:vAlign w:val="center"/>
          </w:tcPr>
          <w:p w14:paraId="0938CB7F" w14:textId="77777777" w:rsidR="009D60D5" w:rsidRPr="00D64438" w:rsidRDefault="009D60D5" w:rsidP="00C4167C">
            <w:pPr>
              <w:spacing w:line="360" w:lineRule="auto"/>
              <w:rPr>
                <w:rFonts w:cs="Arial"/>
                <w:bCs/>
                <w:sz w:val="16"/>
                <w:szCs w:val="16"/>
              </w:rPr>
            </w:pPr>
            <w:r w:rsidRPr="00D64438">
              <w:rPr>
                <w:rFonts w:cs="Arial"/>
                <w:bCs/>
                <w:sz w:val="16"/>
                <w:szCs w:val="16"/>
              </w:rPr>
              <w:t>10.579</w:t>
            </w:r>
          </w:p>
        </w:tc>
        <w:tc>
          <w:tcPr>
            <w:tcW w:w="658" w:type="dxa"/>
            <w:tcBorders>
              <w:top w:val="single" w:sz="4" w:space="0" w:color="auto"/>
              <w:left w:val="single" w:sz="4" w:space="0" w:color="auto"/>
              <w:bottom w:val="single" w:sz="4" w:space="0" w:color="auto"/>
              <w:right w:val="single" w:sz="4" w:space="0" w:color="auto"/>
            </w:tcBorders>
            <w:vAlign w:val="center"/>
          </w:tcPr>
          <w:p w14:paraId="62E38BB2" w14:textId="77777777" w:rsidR="009D60D5" w:rsidRPr="00D64438" w:rsidRDefault="009D60D5" w:rsidP="00C4167C">
            <w:pPr>
              <w:spacing w:line="360" w:lineRule="auto"/>
              <w:rPr>
                <w:rFonts w:cs="Arial"/>
                <w:bCs/>
                <w:sz w:val="16"/>
                <w:szCs w:val="16"/>
              </w:rPr>
            </w:pPr>
            <w:r w:rsidRPr="00D64438">
              <w:rPr>
                <w:rFonts w:cs="Arial"/>
                <w:bCs/>
                <w:sz w:val="16"/>
                <w:szCs w:val="16"/>
              </w:rPr>
              <w:t>10.933</w:t>
            </w:r>
          </w:p>
        </w:tc>
        <w:tc>
          <w:tcPr>
            <w:tcW w:w="659" w:type="dxa"/>
            <w:tcBorders>
              <w:top w:val="single" w:sz="4" w:space="0" w:color="auto"/>
              <w:left w:val="single" w:sz="4" w:space="0" w:color="auto"/>
              <w:bottom w:val="single" w:sz="4" w:space="0" w:color="auto"/>
              <w:right w:val="single" w:sz="4" w:space="0" w:color="auto"/>
            </w:tcBorders>
            <w:vAlign w:val="center"/>
          </w:tcPr>
          <w:p w14:paraId="4E730D38" w14:textId="77777777" w:rsidR="009D60D5" w:rsidRDefault="009D60D5" w:rsidP="00C4167C">
            <w:pPr>
              <w:spacing w:line="360" w:lineRule="auto"/>
              <w:rPr>
                <w:rFonts w:cs="Arial"/>
                <w:bCs/>
                <w:sz w:val="16"/>
                <w:szCs w:val="16"/>
              </w:rPr>
            </w:pPr>
            <w:r>
              <w:rPr>
                <w:rFonts w:cs="Arial"/>
                <w:bCs/>
                <w:sz w:val="16"/>
                <w:szCs w:val="16"/>
              </w:rPr>
              <w:t>11.066</w:t>
            </w:r>
          </w:p>
        </w:tc>
      </w:tr>
      <w:tr w:rsidR="009D60D5" w:rsidRPr="00673630" w14:paraId="0890AF68" w14:textId="77777777" w:rsidTr="00C4167C">
        <w:trPr>
          <w:trHeight w:val="407"/>
        </w:trPr>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14:paraId="57C7B6E5" w14:textId="77777777" w:rsidR="009D60D5" w:rsidRPr="00D64438" w:rsidRDefault="009D60D5" w:rsidP="00C4167C">
            <w:pPr>
              <w:spacing w:line="360" w:lineRule="auto"/>
              <w:rPr>
                <w:rFonts w:cs="Arial"/>
                <w:sz w:val="16"/>
                <w:szCs w:val="16"/>
              </w:rPr>
            </w:pPr>
            <w:r w:rsidRPr="00D64438">
              <w:rPr>
                <w:rFonts w:cs="Arial"/>
                <w:sz w:val="16"/>
                <w:szCs w:val="16"/>
              </w:rPr>
              <w:t>Število čebelnjakov</w:t>
            </w:r>
          </w:p>
        </w:tc>
        <w:tc>
          <w:tcPr>
            <w:tcW w:w="659" w:type="dxa"/>
            <w:tcBorders>
              <w:top w:val="single" w:sz="4" w:space="0" w:color="auto"/>
              <w:left w:val="single" w:sz="4" w:space="0" w:color="auto"/>
              <w:bottom w:val="single" w:sz="4" w:space="0" w:color="auto"/>
              <w:right w:val="single" w:sz="4" w:space="0" w:color="auto"/>
            </w:tcBorders>
            <w:vAlign w:val="center"/>
          </w:tcPr>
          <w:p w14:paraId="23C06402" w14:textId="77777777" w:rsidR="009D60D5" w:rsidRPr="00D64438" w:rsidRDefault="009D60D5" w:rsidP="00C4167C">
            <w:pPr>
              <w:spacing w:line="360" w:lineRule="auto"/>
              <w:rPr>
                <w:rFonts w:cs="Arial"/>
                <w:bCs/>
                <w:sz w:val="16"/>
                <w:szCs w:val="16"/>
              </w:rPr>
            </w:pPr>
            <w:r w:rsidRPr="00D64438">
              <w:rPr>
                <w:rFonts w:cs="Arial"/>
                <w:sz w:val="16"/>
                <w:szCs w:val="16"/>
              </w:rPr>
              <w:t>10.414</w:t>
            </w: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95B06" w14:textId="77777777" w:rsidR="009D60D5" w:rsidRPr="00D64438" w:rsidRDefault="009D60D5" w:rsidP="00C4167C">
            <w:pPr>
              <w:spacing w:line="360" w:lineRule="auto"/>
              <w:rPr>
                <w:rFonts w:cs="Arial"/>
                <w:bCs/>
                <w:sz w:val="16"/>
                <w:szCs w:val="16"/>
              </w:rPr>
            </w:pPr>
            <w:r w:rsidRPr="00D64438">
              <w:rPr>
                <w:rFonts w:cs="Arial"/>
                <w:sz w:val="16"/>
                <w:szCs w:val="16"/>
              </w:rPr>
              <w:t>11.253</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B5B4CC" w14:textId="77777777" w:rsidR="009D60D5" w:rsidRPr="00D64438" w:rsidRDefault="009D60D5" w:rsidP="00C4167C">
            <w:pPr>
              <w:spacing w:line="360" w:lineRule="auto"/>
              <w:rPr>
                <w:rFonts w:cs="Arial"/>
                <w:bCs/>
                <w:sz w:val="16"/>
                <w:szCs w:val="16"/>
              </w:rPr>
            </w:pPr>
            <w:r w:rsidRPr="00D64438">
              <w:rPr>
                <w:rFonts w:cs="Arial"/>
                <w:sz w:val="16"/>
                <w:szCs w:val="16"/>
              </w:rPr>
              <w:t>11.504</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E5B1C0" w14:textId="77777777" w:rsidR="009D60D5" w:rsidRPr="00D64438" w:rsidRDefault="009D60D5" w:rsidP="00C4167C">
            <w:pPr>
              <w:spacing w:line="360" w:lineRule="auto"/>
              <w:rPr>
                <w:rFonts w:cs="Arial"/>
                <w:bCs/>
                <w:sz w:val="16"/>
                <w:szCs w:val="16"/>
              </w:rPr>
            </w:pPr>
            <w:r w:rsidRPr="00D64438">
              <w:rPr>
                <w:rFonts w:cs="Arial"/>
                <w:sz w:val="16"/>
                <w:szCs w:val="16"/>
              </w:rPr>
              <w:t>12.206</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10311" w14:textId="77777777" w:rsidR="009D60D5" w:rsidRPr="00D64438" w:rsidRDefault="009D60D5" w:rsidP="00C4167C">
            <w:pPr>
              <w:spacing w:line="360" w:lineRule="auto"/>
              <w:rPr>
                <w:rFonts w:cs="Arial"/>
                <w:bCs/>
                <w:sz w:val="16"/>
                <w:szCs w:val="16"/>
              </w:rPr>
            </w:pPr>
            <w:r w:rsidRPr="00D64438">
              <w:rPr>
                <w:rFonts w:cs="Arial"/>
                <w:sz w:val="16"/>
                <w:szCs w:val="16"/>
              </w:rPr>
              <w:t>12.469</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F87CE" w14:textId="77777777" w:rsidR="009D60D5" w:rsidRPr="00D64438" w:rsidRDefault="009D60D5" w:rsidP="00C4167C">
            <w:pPr>
              <w:spacing w:line="360" w:lineRule="auto"/>
              <w:rPr>
                <w:rFonts w:cs="Arial"/>
                <w:bCs/>
                <w:sz w:val="16"/>
                <w:szCs w:val="16"/>
              </w:rPr>
            </w:pPr>
            <w:r w:rsidRPr="00D64438">
              <w:rPr>
                <w:rFonts w:cs="Arial"/>
                <w:bCs/>
                <w:sz w:val="16"/>
                <w:szCs w:val="16"/>
              </w:rPr>
              <w:t>12.545</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49C180" w14:textId="77777777" w:rsidR="009D60D5" w:rsidRPr="00D64438" w:rsidRDefault="009D60D5" w:rsidP="00C4167C">
            <w:pPr>
              <w:spacing w:line="360" w:lineRule="auto"/>
              <w:rPr>
                <w:rFonts w:cs="Arial"/>
                <w:bCs/>
                <w:sz w:val="16"/>
                <w:szCs w:val="16"/>
              </w:rPr>
            </w:pPr>
            <w:r w:rsidRPr="00D64438">
              <w:rPr>
                <w:rFonts w:cs="Arial"/>
                <w:bCs/>
                <w:sz w:val="16"/>
                <w:szCs w:val="16"/>
              </w:rPr>
              <w:t>13.164</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13945" w14:textId="77777777" w:rsidR="009D60D5" w:rsidRPr="00D64438" w:rsidRDefault="009D60D5" w:rsidP="00C4167C">
            <w:pPr>
              <w:spacing w:line="360" w:lineRule="auto"/>
              <w:rPr>
                <w:rFonts w:cs="Arial"/>
                <w:bCs/>
                <w:sz w:val="16"/>
                <w:szCs w:val="16"/>
              </w:rPr>
            </w:pPr>
            <w:r w:rsidRPr="00D64438">
              <w:rPr>
                <w:rFonts w:cs="Arial"/>
                <w:bCs/>
                <w:sz w:val="16"/>
                <w:szCs w:val="16"/>
              </w:rPr>
              <w:t>13.165</w:t>
            </w:r>
          </w:p>
        </w:tc>
        <w:tc>
          <w:tcPr>
            <w:tcW w:w="658" w:type="dxa"/>
            <w:tcBorders>
              <w:top w:val="single" w:sz="4" w:space="0" w:color="auto"/>
              <w:left w:val="single" w:sz="4" w:space="0" w:color="auto"/>
              <w:bottom w:val="single" w:sz="4" w:space="0" w:color="auto"/>
              <w:right w:val="single" w:sz="4" w:space="0" w:color="auto"/>
            </w:tcBorders>
            <w:vAlign w:val="center"/>
          </w:tcPr>
          <w:p w14:paraId="494EE9E0" w14:textId="77777777" w:rsidR="009D60D5" w:rsidRPr="00D64438" w:rsidRDefault="009D60D5" w:rsidP="00C4167C">
            <w:pPr>
              <w:spacing w:line="360" w:lineRule="auto"/>
              <w:rPr>
                <w:rFonts w:cs="Arial"/>
                <w:bCs/>
                <w:sz w:val="16"/>
                <w:szCs w:val="16"/>
              </w:rPr>
            </w:pPr>
            <w:r w:rsidRPr="00D64438">
              <w:rPr>
                <w:rFonts w:cs="Arial"/>
                <w:bCs/>
                <w:sz w:val="16"/>
                <w:szCs w:val="16"/>
              </w:rPr>
              <w:t>13.939</w:t>
            </w:r>
          </w:p>
        </w:tc>
        <w:tc>
          <w:tcPr>
            <w:tcW w:w="658" w:type="dxa"/>
            <w:tcBorders>
              <w:top w:val="single" w:sz="4" w:space="0" w:color="auto"/>
              <w:left w:val="single" w:sz="4" w:space="0" w:color="auto"/>
              <w:bottom w:val="single" w:sz="4" w:space="0" w:color="auto"/>
              <w:right w:val="single" w:sz="4" w:space="0" w:color="auto"/>
            </w:tcBorders>
            <w:vAlign w:val="center"/>
          </w:tcPr>
          <w:p w14:paraId="736F2019" w14:textId="77777777" w:rsidR="009D60D5" w:rsidRPr="00D64438" w:rsidRDefault="009D60D5" w:rsidP="00C4167C">
            <w:pPr>
              <w:spacing w:line="360" w:lineRule="auto"/>
              <w:rPr>
                <w:rFonts w:cs="Arial"/>
                <w:bCs/>
                <w:sz w:val="16"/>
                <w:szCs w:val="16"/>
              </w:rPr>
            </w:pPr>
            <w:r w:rsidRPr="00D64438">
              <w:rPr>
                <w:rFonts w:cs="Arial"/>
                <w:bCs/>
                <w:sz w:val="16"/>
                <w:szCs w:val="16"/>
              </w:rPr>
              <w:t>13.975</w:t>
            </w:r>
          </w:p>
        </w:tc>
        <w:tc>
          <w:tcPr>
            <w:tcW w:w="658" w:type="dxa"/>
            <w:tcBorders>
              <w:top w:val="single" w:sz="4" w:space="0" w:color="auto"/>
              <w:left w:val="single" w:sz="4" w:space="0" w:color="auto"/>
              <w:bottom w:val="single" w:sz="4" w:space="0" w:color="auto"/>
              <w:right w:val="single" w:sz="4" w:space="0" w:color="auto"/>
            </w:tcBorders>
            <w:vAlign w:val="center"/>
          </w:tcPr>
          <w:p w14:paraId="092F443D" w14:textId="77777777" w:rsidR="009D60D5" w:rsidRPr="00D64438" w:rsidRDefault="009D60D5" w:rsidP="00C4167C">
            <w:pPr>
              <w:spacing w:line="360" w:lineRule="auto"/>
              <w:rPr>
                <w:rFonts w:cs="Arial"/>
                <w:bCs/>
                <w:sz w:val="16"/>
                <w:szCs w:val="16"/>
              </w:rPr>
            </w:pPr>
            <w:r w:rsidRPr="00D64438">
              <w:rPr>
                <w:rFonts w:cs="Arial"/>
                <w:bCs/>
                <w:sz w:val="16"/>
                <w:szCs w:val="16"/>
              </w:rPr>
              <w:t>13.982</w:t>
            </w:r>
          </w:p>
        </w:tc>
        <w:tc>
          <w:tcPr>
            <w:tcW w:w="659" w:type="dxa"/>
            <w:tcBorders>
              <w:top w:val="single" w:sz="4" w:space="0" w:color="auto"/>
              <w:left w:val="single" w:sz="4" w:space="0" w:color="auto"/>
              <w:bottom w:val="single" w:sz="4" w:space="0" w:color="auto"/>
              <w:right w:val="single" w:sz="4" w:space="0" w:color="auto"/>
            </w:tcBorders>
            <w:vAlign w:val="center"/>
          </w:tcPr>
          <w:p w14:paraId="75599406" w14:textId="77777777" w:rsidR="009D60D5" w:rsidRDefault="009D60D5" w:rsidP="00C4167C">
            <w:pPr>
              <w:spacing w:line="360" w:lineRule="auto"/>
              <w:rPr>
                <w:rFonts w:cs="Arial"/>
                <w:bCs/>
                <w:sz w:val="16"/>
                <w:szCs w:val="16"/>
              </w:rPr>
            </w:pPr>
            <w:r>
              <w:rPr>
                <w:rFonts w:cs="Arial"/>
                <w:bCs/>
                <w:sz w:val="16"/>
                <w:szCs w:val="16"/>
              </w:rPr>
              <w:t>15.036</w:t>
            </w:r>
          </w:p>
        </w:tc>
      </w:tr>
      <w:tr w:rsidR="009D60D5" w:rsidRPr="00673630" w14:paraId="10684747" w14:textId="77777777" w:rsidTr="00C4167C">
        <w:trPr>
          <w:trHeight w:val="407"/>
        </w:trPr>
        <w:tc>
          <w:tcPr>
            <w:tcW w:w="1089" w:type="dxa"/>
            <w:tcBorders>
              <w:top w:val="single" w:sz="4" w:space="0" w:color="auto"/>
              <w:left w:val="single" w:sz="4" w:space="0" w:color="auto"/>
              <w:bottom w:val="single" w:sz="4" w:space="0" w:color="auto"/>
              <w:right w:val="single" w:sz="4" w:space="0" w:color="auto"/>
            </w:tcBorders>
            <w:shd w:val="clear" w:color="auto" w:fill="auto"/>
            <w:vAlign w:val="center"/>
          </w:tcPr>
          <w:p w14:paraId="31A5DAC2" w14:textId="77777777" w:rsidR="009D60D5" w:rsidRPr="00D64438" w:rsidRDefault="009D60D5" w:rsidP="00C4167C">
            <w:pPr>
              <w:spacing w:line="360" w:lineRule="auto"/>
              <w:rPr>
                <w:rFonts w:cs="Arial"/>
                <w:sz w:val="16"/>
                <w:szCs w:val="16"/>
              </w:rPr>
            </w:pPr>
            <w:r w:rsidRPr="00D64438">
              <w:rPr>
                <w:rFonts w:cs="Arial"/>
                <w:sz w:val="16"/>
                <w:szCs w:val="16"/>
              </w:rPr>
              <w:t>Število čebeljih družin</w:t>
            </w:r>
          </w:p>
        </w:tc>
        <w:tc>
          <w:tcPr>
            <w:tcW w:w="659" w:type="dxa"/>
            <w:tcBorders>
              <w:top w:val="single" w:sz="4" w:space="0" w:color="auto"/>
              <w:left w:val="single" w:sz="4" w:space="0" w:color="auto"/>
              <w:bottom w:val="single" w:sz="4" w:space="0" w:color="auto"/>
              <w:right w:val="single" w:sz="4" w:space="0" w:color="auto"/>
            </w:tcBorders>
            <w:vAlign w:val="center"/>
          </w:tcPr>
          <w:p w14:paraId="42C6243C" w14:textId="77777777" w:rsidR="009D60D5" w:rsidRPr="005718B1" w:rsidRDefault="009D60D5" w:rsidP="00C4167C">
            <w:pPr>
              <w:spacing w:line="360" w:lineRule="auto"/>
              <w:rPr>
                <w:rFonts w:cs="Arial"/>
                <w:bCs/>
                <w:sz w:val="14"/>
                <w:szCs w:val="14"/>
              </w:rPr>
            </w:pPr>
            <w:r w:rsidRPr="005718B1">
              <w:rPr>
                <w:rFonts w:cs="Arial"/>
                <w:sz w:val="14"/>
                <w:szCs w:val="14"/>
              </w:rPr>
              <w:t>137.211</w:t>
            </w: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68F0E1" w14:textId="77777777" w:rsidR="009D60D5" w:rsidRPr="005718B1" w:rsidRDefault="009D60D5" w:rsidP="00C4167C">
            <w:pPr>
              <w:spacing w:line="360" w:lineRule="auto"/>
              <w:rPr>
                <w:rFonts w:cs="Arial"/>
                <w:bCs/>
                <w:sz w:val="14"/>
                <w:szCs w:val="14"/>
              </w:rPr>
            </w:pPr>
            <w:r w:rsidRPr="005718B1">
              <w:rPr>
                <w:rFonts w:cs="Arial"/>
                <w:sz w:val="14"/>
                <w:szCs w:val="14"/>
              </w:rPr>
              <w:t>142.751</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DD4D6" w14:textId="77777777" w:rsidR="009D60D5" w:rsidRPr="005718B1" w:rsidRDefault="009D60D5" w:rsidP="00C4167C">
            <w:pPr>
              <w:snapToGrid w:val="0"/>
              <w:spacing w:line="360" w:lineRule="auto"/>
              <w:rPr>
                <w:rFonts w:cs="Arial"/>
                <w:sz w:val="14"/>
                <w:szCs w:val="14"/>
              </w:rPr>
            </w:pPr>
            <w:r w:rsidRPr="005718B1">
              <w:rPr>
                <w:rFonts w:cs="Arial"/>
                <w:sz w:val="14"/>
                <w:szCs w:val="14"/>
              </w:rPr>
              <w:t>150.000</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ADB34" w14:textId="77777777" w:rsidR="009D60D5" w:rsidRPr="005718B1" w:rsidRDefault="009D60D5" w:rsidP="00C4167C">
            <w:pPr>
              <w:spacing w:line="360" w:lineRule="auto"/>
              <w:rPr>
                <w:rFonts w:cs="Arial"/>
                <w:bCs/>
                <w:sz w:val="14"/>
                <w:szCs w:val="14"/>
              </w:rPr>
            </w:pPr>
            <w:r w:rsidRPr="005718B1">
              <w:rPr>
                <w:rFonts w:cs="Arial"/>
                <w:sz w:val="14"/>
                <w:szCs w:val="14"/>
              </w:rPr>
              <w:t>167.750</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81BFA" w14:textId="77777777" w:rsidR="009D60D5" w:rsidRPr="005718B1" w:rsidRDefault="009D60D5" w:rsidP="00C4167C">
            <w:pPr>
              <w:spacing w:line="360" w:lineRule="auto"/>
              <w:rPr>
                <w:rFonts w:cs="Arial"/>
                <w:bCs/>
                <w:sz w:val="14"/>
                <w:szCs w:val="14"/>
              </w:rPr>
            </w:pPr>
            <w:r w:rsidRPr="005718B1">
              <w:rPr>
                <w:rFonts w:cs="Arial"/>
                <w:sz w:val="14"/>
                <w:szCs w:val="14"/>
              </w:rPr>
              <w:t>167.000</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6279A" w14:textId="77777777" w:rsidR="009D60D5" w:rsidRPr="005718B1" w:rsidRDefault="009D60D5" w:rsidP="00C4167C">
            <w:pPr>
              <w:spacing w:line="360" w:lineRule="auto"/>
              <w:rPr>
                <w:rFonts w:cs="Arial"/>
                <w:bCs/>
                <w:sz w:val="14"/>
                <w:szCs w:val="14"/>
              </w:rPr>
            </w:pPr>
            <w:r w:rsidRPr="005718B1">
              <w:rPr>
                <w:rFonts w:cs="Arial"/>
                <w:sz w:val="14"/>
                <w:szCs w:val="14"/>
              </w:rPr>
              <w:t>147.882</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4A1A6E" w14:textId="77777777" w:rsidR="009D60D5" w:rsidRPr="005718B1" w:rsidRDefault="009D60D5" w:rsidP="00C4167C">
            <w:pPr>
              <w:spacing w:line="360" w:lineRule="auto"/>
              <w:rPr>
                <w:rFonts w:cs="Arial"/>
                <w:bCs/>
                <w:sz w:val="14"/>
                <w:szCs w:val="14"/>
              </w:rPr>
            </w:pPr>
            <w:r w:rsidRPr="005718B1">
              <w:rPr>
                <w:rFonts w:cs="Arial"/>
                <w:sz w:val="14"/>
                <w:szCs w:val="14"/>
              </w:rPr>
              <w:t>176.436</w:t>
            </w:r>
          </w:p>
        </w:tc>
        <w:tc>
          <w:tcPr>
            <w:tcW w:w="6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4E5D9" w14:textId="77777777" w:rsidR="009D60D5" w:rsidRPr="005718B1" w:rsidRDefault="009D60D5" w:rsidP="00C4167C">
            <w:pPr>
              <w:spacing w:line="360" w:lineRule="auto"/>
              <w:rPr>
                <w:rFonts w:cs="Arial"/>
                <w:bCs/>
                <w:sz w:val="14"/>
                <w:szCs w:val="14"/>
              </w:rPr>
            </w:pPr>
            <w:r w:rsidRPr="005718B1">
              <w:rPr>
                <w:rFonts w:cs="Arial"/>
                <w:sz w:val="14"/>
                <w:szCs w:val="14"/>
              </w:rPr>
              <w:t>168.869</w:t>
            </w:r>
          </w:p>
        </w:tc>
        <w:tc>
          <w:tcPr>
            <w:tcW w:w="658" w:type="dxa"/>
            <w:tcBorders>
              <w:top w:val="single" w:sz="4" w:space="0" w:color="auto"/>
              <w:left w:val="single" w:sz="4" w:space="0" w:color="auto"/>
              <w:bottom w:val="single" w:sz="4" w:space="0" w:color="auto"/>
              <w:right w:val="single" w:sz="4" w:space="0" w:color="auto"/>
            </w:tcBorders>
            <w:vAlign w:val="center"/>
          </w:tcPr>
          <w:p w14:paraId="62528148" w14:textId="77777777" w:rsidR="009D60D5" w:rsidRPr="005718B1" w:rsidRDefault="009D60D5" w:rsidP="00C4167C">
            <w:pPr>
              <w:spacing w:line="360" w:lineRule="auto"/>
              <w:rPr>
                <w:rFonts w:cs="Arial"/>
                <w:bCs/>
                <w:sz w:val="14"/>
                <w:szCs w:val="14"/>
              </w:rPr>
            </w:pPr>
            <w:r w:rsidRPr="005718B1">
              <w:rPr>
                <w:rFonts w:cs="Arial"/>
                <w:bCs/>
                <w:sz w:val="14"/>
                <w:szCs w:val="14"/>
              </w:rPr>
              <w:t>181.480</w:t>
            </w:r>
          </w:p>
        </w:tc>
        <w:tc>
          <w:tcPr>
            <w:tcW w:w="658" w:type="dxa"/>
            <w:tcBorders>
              <w:top w:val="single" w:sz="4" w:space="0" w:color="auto"/>
              <w:left w:val="single" w:sz="4" w:space="0" w:color="auto"/>
              <w:bottom w:val="single" w:sz="4" w:space="0" w:color="auto"/>
              <w:right w:val="single" w:sz="4" w:space="0" w:color="auto"/>
            </w:tcBorders>
            <w:vAlign w:val="center"/>
          </w:tcPr>
          <w:p w14:paraId="1236A3FD" w14:textId="77777777" w:rsidR="009D60D5" w:rsidRPr="005718B1" w:rsidRDefault="009D60D5" w:rsidP="00C4167C">
            <w:pPr>
              <w:spacing w:line="360" w:lineRule="auto"/>
              <w:rPr>
                <w:rFonts w:cs="Arial"/>
                <w:bCs/>
                <w:sz w:val="14"/>
                <w:szCs w:val="14"/>
              </w:rPr>
            </w:pPr>
            <w:r w:rsidRPr="005718B1">
              <w:rPr>
                <w:rFonts w:cs="Arial"/>
                <w:bCs/>
                <w:sz w:val="14"/>
                <w:szCs w:val="14"/>
              </w:rPr>
              <w:t>195.259</w:t>
            </w:r>
          </w:p>
        </w:tc>
        <w:tc>
          <w:tcPr>
            <w:tcW w:w="658" w:type="dxa"/>
            <w:tcBorders>
              <w:top w:val="single" w:sz="4" w:space="0" w:color="auto"/>
              <w:left w:val="single" w:sz="4" w:space="0" w:color="auto"/>
              <w:bottom w:val="single" w:sz="4" w:space="0" w:color="auto"/>
              <w:right w:val="single" w:sz="4" w:space="0" w:color="auto"/>
            </w:tcBorders>
            <w:vAlign w:val="center"/>
          </w:tcPr>
          <w:p w14:paraId="553DEBEA" w14:textId="77777777" w:rsidR="009D60D5" w:rsidRPr="005718B1" w:rsidRDefault="009D60D5" w:rsidP="00C4167C">
            <w:pPr>
              <w:spacing w:line="360" w:lineRule="auto"/>
              <w:rPr>
                <w:rFonts w:cs="Arial"/>
                <w:bCs/>
                <w:sz w:val="14"/>
                <w:szCs w:val="14"/>
              </w:rPr>
            </w:pPr>
            <w:r w:rsidRPr="005718B1">
              <w:rPr>
                <w:rFonts w:cs="Arial"/>
                <w:bCs/>
                <w:sz w:val="14"/>
                <w:szCs w:val="14"/>
              </w:rPr>
              <w:t>204.736</w:t>
            </w:r>
          </w:p>
        </w:tc>
        <w:tc>
          <w:tcPr>
            <w:tcW w:w="659" w:type="dxa"/>
            <w:tcBorders>
              <w:top w:val="single" w:sz="4" w:space="0" w:color="auto"/>
              <w:left w:val="single" w:sz="4" w:space="0" w:color="auto"/>
              <w:bottom w:val="single" w:sz="4" w:space="0" w:color="auto"/>
              <w:right w:val="single" w:sz="4" w:space="0" w:color="auto"/>
            </w:tcBorders>
            <w:vAlign w:val="center"/>
          </w:tcPr>
          <w:p w14:paraId="43904307" w14:textId="77777777" w:rsidR="009D60D5" w:rsidRPr="005718B1" w:rsidRDefault="009D60D5" w:rsidP="00C4167C">
            <w:pPr>
              <w:spacing w:line="360" w:lineRule="auto"/>
              <w:rPr>
                <w:rFonts w:cs="Arial"/>
                <w:bCs/>
                <w:sz w:val="14"/>
                <w:szCs w:val="14"/>
              </w:rPr>
            </w:pPr>
            <w:r w:rsidRPr="005718B1">
              <w:rPr>
                <w:rFonts w:cs="Arial"/>
                <w:bCs/>
                <w:sz w:val="14"/>
                <w:szCs w:val="14"/>
              </w:rPr>
              <w:t>208.260</w:t>
            </w:r>
          </w:p>
        </w:tc>
      </w:tr>
      <w:tr w:rsidR="009D60D5" w:rsidRPr="00673630" w14:paraId="67AFD10C" w14:textId="77777777" w:rsidTr="00C4167C">
        <w:trPr>
          <w:trHeight w:val="407"/>
        </w:trPr>
        <w:tc>
          <w:tcPr>
            <w:tcW w:w="1089" w:type="dxa"/>
            <w:tcBorders>
              <w:top w:val="single" w:sz="4" w:space="0" w:color="auto"/>
              <w:left w:val="single" w:sz="4" w:space="0" w:color="auto"/>
              <w:bottom w:val="single" w:sz="12" w:space="0" w:color="76923C"/>
              <w:right w:val="single" w:sz="4" w:space="0" w:color="auto"/>
            </w:tcBorders>
            <w:shd w:val="clear" w:color="auto" w:fill="auto"/>
            <w:vAlign w:val="center"/>
          </w:tcPr>
          <w:p w14:paraId="0B831935" w14:textId="77777777" w:rsidR="009D60D5" w:rsidRPr="00D64438" w:rsidRDefault="009D60D5" w:rsidP="00C4167C">
            <w:pPr>
              <w:spacing w:line="360" w:lineRule="auto"/>
              <w:rPr>
                <w:rFonts w:cs="Arial"/>
                <w:sz w:val="16"/>
                <w:szCs w:val="16"/>
              </w:rPr>
            </w:pPr>
            <w:r>
              <w:rPr>
                <w:rFonts w:cs="Arial"/>
                <w:sz w:val="16"/>
                <w:szCs w:val="16"/>
              </w:rPr>
              <w:t>Pridelek</w:t>
            </w:r>
            <w:r w:rsidRPr="00D64438">
              <w:rPr>
                <w:rFonts w:cs="Arial"/>
                <w:sz w:val="16"/>
                <w:szCs w:val="16"/>
              </w:rPr>
              <w:t xml:space="preserve"> v 1000 kg</w:t>
            </w:r>
          </w:p>
        </w:tc>
        <w:tc>
          <w:tcPr>
            <w:tcW w:w="659" w:type="dxa"/>
            <w:tcBorders>
              <w:top w:val="single" w:sz="4" w:space="0" w:color="auto"/>
              <w:left w:val="single" w:sz="4" w:space="0" w:color="auto"/>
              <w:bottom w:val="single" w:sz="12" w:space="0" w:color="76923C"/>
              <w:right w:val="single" w:sz="4" w:space="0" w:color="auto"/>
            </w:tcBorders>
            <w:vAlign w:val="center"/>
          </w:tcPr>
          <w:p w14:paraId="3F6AB263" w14:textId="77777777" w:rsidR="009D60D5" w:rsidRPr="00D64438" w:rsidRDefault="009D60D5" w:rsidP="00C4167C">
            <w:pPr>
              <w:spacing w:line="360" w:lineRule="auto"/>
              <w:rPr>
                <w:rFonts w:cs="Arial"/>
                <w:bCs/>
                <w:sz w:val="16"/>
                <w:szCs w:val="16"/>
              </w:rPr>
            </w:pPr>
            <w:r w:rsidRPr="00D64438">
              <w:rPr>
                <w:rFonts w:cs="Arial"/>
                <w:bCs/>
                <w:sz w:val="16"/>
                <w:szCs w:val="16"/>
              </w:rPr>
              <w:t>1.580</w:t>
            </w:r>
          </w:p>
        </w:tc>
        <w:tc>
          <w:tcPr>
            <w:tcW w:w="659" w:type="dxa"/>
            <w:tcBorders>
              <w:top w:val="single" w:sz="4" w:space="0" w:color="auto"/>
              <w:left w:val="single" w:sz="4" w:space="0" w:color="auto"/>
              <w:bottom w:val="single" w:sz="12" w:space="0" w:color="76923C"/>
              <w:right w:val="single" w:sz="4" w:space="0" w:color="auto"/>
            </w:tcBorders>
            <w:shd w:val="clear" w:color="auto" w:fill="auto"/>
            <w:noWrap/>
            <w:vAlign w:val="center"/>
          </w:tcPr>
          <w:p w14:paraId="7B4A5947" w14:textId="77777777" w:rsidR="009D60D5" w:rsidRPr="00D64438" w:rsidRDefault="009D60D5" w:rsidP="00C4167C">
            <w:pPr>
              <w:spacing w:line="360" w:lineRule="auto"/>
              <w:rPr>
                <w:rFonts w:cs="Arial"/>
                <w:bCs/>
                <w:sz w:val="16"/>
                <w:szCs w:val="16"/>
              </w:rPr>
            </w:pPr>
            <w:r w:rsidRPr="00D64438">
              <w:rPr>
                <w:rFonts w:cs="Arial"/>
                <w:bCs/>
                <w:sz w:val="16"/>
                <w:szCs w:val="16"/>
              </w:rPr>
              <w:t>1.910</w:t>
            </w:r>
          </w:p>
        </w:tc>
        <w:tc>
          <w:tcPr>
            <w:tcW w:w="658" w:type="dxa"/>
            <w:tcBorders>
              <w:top w:val="single" w:sz="4" w:space="0" w:color="auto"/>
              <w:left w:val="single" w:sz="4" w:space="0" w:color="auto"/>
              <w:bottom w:val="single" w:sz="12" w:space="0" w:color="76923C"/>
              <w:right w:val="single" w:sz="4" w:space="0" w:color="auto"/>
            </w:tcBorders>
            <w:shd w:val="clear" w:color="auto" w:fill="auto"/>
            <w:noWrap/>
            <w:vAlign w:val="center"/>
          </w:tcPr>
          <w:p w14:paraId="6E4FE669" w14:textId="77777777" w:rsidR="009D60D5" w:rsidRPr="00D64438" w:rsidRDefault="009D60D5" w:rsidP="00C4167C">
            <w:pPr>
              <w:spacing w:line="360" w:lineRule="auto"/>
              <w:rPr>
                <w:rFonts w:cs="Arial"/>
                <w:bCs/>
                <w:sz w:val="16"/>
                <w:szCs w:val="16"/>
              </w:rPr>
            </w:pPr>
            <w:r w:rsidRPr="00D64438">
              <w:rPr>
                <w:rFonts w:cs="Arial"/>
                <w:bCs/>
                <w:sz w:val="16"/>
                <w:szCs w:val="16"/>
              </w:rPr>
              <w:t>1.673</w:t>
            </w:r>
          </w:p>
        </w:tc>
        <w:tc>
          <w:tcPr>
            <w:tcW w:w="658" w:type="dxa"/>
            <w:tcBorders>
              <w:top w:val="single" w:sz="4" w:space="0" w:color="auto"/>
              <w:left w:val="single" w:sz="4" w:space="0" w:color="auto"/>
              <w:bottom w:val="single" w:sz="12" w:space="0" w:color="76923C"/>
              <w:right w:val="single" w:sz="4" w:space="0" w:color="auto"/>
            </w:tcBorders>
            <w:shd w:val="clear" w:color="auto" w:fill="auto"/>
            <w:noWrap/>
            <w:vAlign w:val="center"/>
          </w:tcPr>
          <w:p w14:paraId="0A474076" w14:textId="77777777" w:rsidR="009D60D5" w:rsidRPr="00D64438" w:rsidRDefault="009D60D5" w:rsidP="00C4167C">
            <w:pPr>
              <w:spacing w:line="360" w:lineRule="auto"/>
              <w:rPr>
                <w:rFonts w:cs="Arial"/>
                <w:bCs/>
                <w:sz w:val="16"/>
                <w:szCs w:val="16"/>
              </w:rPr>
            </w:pPr>
            <w:r w:rsidRPr="00D64438">
              <w:rPr>
                <w:rFonts w:cs="Arial"/>
                <w:bCs/>
                <w:sz w:val="16"/>
                <w:szCs w:val="16"/>
              </w:rPr>
              <w:t>2.472</w:t>
            </w:r>
          </w:p>
        </w:tc>
        <w:tc>
          <w:tcPr>
            <w:tcW w:w="658" w:type="dxa"/>
            <w:tcBorders>
              <w:top w:val="single" w:sz="4" w:space="0" w:color="auto"/>
              <w:left w:val="single" w:sz="4" w:space="0" w:color="auto"/>
              <w:bottom w:val="single" w:sz="12" w:space="0" w:color="76923C"/>
              <w:right w:val="single" w:sz="4" w:space="0" w:color="auto"/>
            </w:tcBorders>
            <w:shd w:val="clear" w:color="auto" w:fill="auto"/>
            <w:noWrap/>
            <w:vAlign w:val="center"/>
          </w:tcPr>
          <w:p w14:paraId="6A809B26" w14:textId="77777777" w:rsidR="009D60D5" w:rsidRPr="00D64438" w:rsidRDefault="009D60D5" w:rsidP="00C4167C">
            <w:pPr>
              <w:spacing w:line="360" w:lineRule="auto"/>
              <w:rPr>
                <w:rFonts w:cs="Arial"/>
                <w:bCs/>
                <w:sz w:val="16"/>
                <w:szCs w:val="16"/>
              </w:rPr>
            </w:pPr>
            <w:r w:rsidRPr="00D64438">
              <w:rPr>
                <w:rFonts w:cs="Arial"/>
                <w:bCs/>
                <w:sz w:val="16"/>
                <w:szCs w:val="16"/>
              </w:rPr>
              <w:t>1.031</w:t>
            </w:r>
          </w:p>
        </w:tc>
        <w:tc>
          <w:tcPr>
            <w:tcW w:w="658" w:type="dxa"/>
            <w:tcBorders>
              <w:top w:val="single" w:sz="4" w:space="0" w:color="auto"/>
              <w:left w:val="single" w:sz="4" w:space="0" w:color="auto"/>
              <w:bottom w:val="single" w:sz="12" w:space="0" w:color="76923C"/>
              <w:right w:val="single" w:sz="4" w:space="0" w:color="auto"/>
            </w:tcBorders>
            <w:shd w:val="clear" w:color="auto" w:fill="auto"/>
            <w:noWrap/>
            <w:vAlign w:val="center"/>
          </w:tcPr>
          <w:p w14:paraId="62CCE80E" w14:textId="77777777" w:rsidR="009D60D5" w:rsidRPr="00D64438" w:rsidRDefault="009D60D5" w:rsidP="00C4167C">
            <w:pPr>
              <w:spacing w:line="360" w:lineRule="auto"/>
              <w:rPr>
                <w:rFonts w:cs="Arial"/>
                <w:bCs/>
                <w:sz w:val="16"/>
                <w:szCs w:val="16"/>
              </w:rPr>
            </w:pPr>
            <w:r w:rsidRPr="00D64438">
              <w:rPr>
                <w:rFonts w:cs="Arial"/>
                <w:bCs/>
                <w:sz w:val="16"/>
                <w:szCs w:val="16"/>
              </w:rPr>
              <w:t>2.400</w:t>
            </w:r>
          </w:p>
        </w:tc>
        <w:tc>
          <w:tcPr>
            <w:tcW w:w="658" w:type="dxa"/>
            <w:tcBorders>
              <w:top w:val="single" w:sz="4" w:space="0" w:color="auto"/>
              <w:left w:val="single" w:sz="4" w:space="0" w:color="auto"/>
              <w:bottom w:val="single" w:sz="12" w:space="0" w:color="76923C"/>
              <w:right w:val="single" w:sz="4" w:space="0" w:color="auto"/>
            </w:tcBorders>
            <w:shd w:val="clear" w:color="auto" w:fill="auto"/>
            <w:noWrap/>
            <w:vAlign w:val="center"/>
          </w:tcPr>
          <w:p w14:paraId="69EF4676" w14:textId="77777777" w:rsidR="009D60D5" w:rsidRPr="00D64438" w:rsidRDefault="009D60D5" w:rsidP="00C4167C">
            <w:pPr>
              <w:spacing w:line="360" w:lineRule="auto"/>
              <w:rPr>
                <w:rFonts w:cs="Arial"/>
                <w:bCs/>
                <w:sz w:val="16"/>
                <w:szCs w:val="16"/>
              </w:rPr>
            </w:pPr>
            <w:r w:rsidRPr="00D64438">
              <w:rPr>
                <w:rFonts w:cs="Arial"/>
                <w:bCs/>
                <w:sz w:val="16"/>
                <w:szCs w:val="16"/>
              </w:rPr>
              <w:t>470</w:t>
            </w:r>
          </w:p>
        </w:tc>
        <w:tc>
          <w:tcPr>
            <w:tcW w:w="658" w:type="dxa"/>
            <w:tcBorders>
              <w:top w:val="single" w:sz="4" w:space="0" w:color="auto"/>
              <w:left w:val="single" w:sz="4" w:space="0" w:color="auto"/>
              <w:bottom w:val="single" w:sz="12" w:space="0" w:color="76923C"/>
              <w:right w:val="single" w:sz="4" w:space="0" w:color="auto"/>
            </w:tcBorders>
            <w:shd w:val="clear" w:color="auto" w:fill="auto"/>
            <w:noWrap/>
            <w:vAlign w:val="center"/>
          </w:tcPr>
          <w:p w14:paraId="1B6F13DB" w14:textId="77777777" w:rsidR="009D60D5" w:rsidRPr="00D64438" w:rsidRDefault="009D60D5" w:rsidP="00C4167C">
            <w:pPr>
              <w:spacing w:line="360" w:lineRule="auto"/>
              <w:rPr>
                <w:rFonts w:cs="Arial"/>
                <w:bCs/>
                <w:sz w:val="16"/>
                <w:szCs w:val="16"/>
              </w:rPr>
            </w:pPr>
            <w:r w:rsidRPr="00D64438">
              <w:rPr>
                <w:rFonts w:cs="Arial"/>
                <w:bCs/>
                <w:sz w:val="16"/>
                <w:szCs w:val="16"/>
              </w:rPr>
              <w:t>2.047</w:t>
            </w:r>
          </w:p>
        </w:tc>
        <w:tc>
          <w:tcPr>
            <w:tcW w:w="658" w:type="dxa"/>
            <w:tcBorders>
              <w:top w:val="single" w:sz="4" w:space="0" w:color="auto"/>
              <w:left w:val="single" w:sz="4" w:space="0" w:color="auto"/>
              <w:bottom w:val="single" w:sz="12" w:space="0" w:color="76923C"/>
              <w:right w:val="single" w:sz="4" w:space="0" w:color="auto"/>
            </w:tcBorders>
            <w:vAlign w:val="center"/>
          </w:tcPr>
          <w:p w14:paraId="0F597D1F" w14:textId="77777777" w:rsidR="009D60D5" w:rsidRPr="00D64438" w:rsidRDefault="009D60D5" w:rsidP="00C4167C">
            <w:pPr>
              <w:spacing w:line="360" w:lineRule="auto"/>
              <w:rPr>
                <w:rFonts w:cs="Arial"/>
                <w:bCs/>
                <w:sz w:val="16"/>
                <w:szCs w:val="16"/>
              </w:rPr>
            </w:pPr>
            <w:r w:rsidRPr="00D64438">
              <w:rPr>
                <w:rFonts w:cs="Arial"/>
                <w:bCs/>
                <w:sz w:val="16"/>
                <w:szCs w:val="16"/>
              </w:rPr>
              <w:t>1.298</w:t>
            </w:r>
          </w:p>
        </w:tc>
        <w:tc>
          <w:tcPr>
            <w:tcW w:w="658" w:type="dxa"/>
            <w:tcBorders>
              <w:top w:val="single" w:sz="4" w:space="0" w:color="auto"/>
              <w:left w:val="single" w:sz="4" w:space="0" w:color="auto"/>
              <w:bottom w:val="single" w:sz="12" w:space="0" w:color="76923C"/>
              <w:right w:val="single" w:sz="4" w:space="0" w:color="auto"/>
            </w:tcBorders>
            <w:vAlign w:val="center"/>
          </w:tcPr>
          <w:p w14:paraId="7721C974" w14:textId="77777777" w:rsidR="009D60D5" w:rsidRPr="00D64438" w:rsidRDefault="009D60D5" w:rsidP="00C4167C">
            <w:pPr>
              <w:spacing w:line="360" w:lineRule="auto"/>
              <w:rPr>
                <w:rFonts w:cs="Arial"/>
                <w:bCs/>
                <w:sz w:val="16"/>
                <w:szCs w:val="16"/>
              </w:rPr>
            </w:pPr>
            <w:r w:rsidRPr="00D64438">
              <w:rPr>
                <w:rFonts w:cs="Arial"/>
                <w:bCs/>
                <w:sz w:val="16"/>
                <w:szCs w:val="16"/>
              </w:rPr>
              <w:t>804</w:t>
            </w:r>
          </w:p>
        </w:tc>
        <w:tc>
          <w:tcPr>
            <w:tcW w:w="658" w:type="dxa"/>
            <w:tcBorders>
              <w:top w:val="single" w:sz="4" w:space="0" w:color="auto"/>
              <w:left w:val="single" w:sz="4" w:space="0" w:color="auto"/>
              <w:bottom w:val="single" w:sz="12" w:space="0" w:color="76923C"/>
              <w:right w:val="single" w:sz="4" w:space="0" w:color="auto"/>
            </w:tcBorders>
            <w:vAlign w:val="center"/>
          </w:tcPr>
          <w:p w14:paraId="663A5402" w14:textId="77777777" w:rsidR="009D60D5" w:rsidRPr="00D64438" w:rsidRDefault="009D60D5" w:rsidP="00C4167C">
            <w:pPr>
              <w:spacing w:line="360" w:lineRule="auto"/>
              <w:rPr>
                <w:rFonts w:cs="Arial"/>
                <w:bCs/>
                <w:sz w:val="16"/>
                <w:szCs w:val="16"/>
              </w:rPr>
            </w:pPr>
            <w:r w:rsidRPr="00D64438">
              <w:rPr>
                <w:rFonts w:cs="Arial"/>
                <w:bCs/>
                <w:sz w:val="16"/>
                <w:szCs w:val="16"/>
              </w:rPr>
              <w:t>1.746</w:t>
            </w:r>
          </w:p>
        </w:tc>
        <w:tc>
          <w:tcPr>
            <w:tcW w:w="659" w:type="dxa"/>
            <w:tcBorders>
              <w:top w:val="single" w:sz="4" w:space="0" w:color="auto"/>
              <w:left w:val="single" w:sz="4" w:space="0" w:color="auto"/>
              <w:bottom w:val="single" w:sz="12" w:space="0" w:color="76923C"/>
              <w:right w:val="single" w:sz="4" w:space="0" w:color="auto"/>
            </w:tcBorders>
            <w:vAlign w:val="center"/>
          </w:tcPr>
          <w:p w14:paraId="66B5CE14" w14:textId="77777777" w:rsidR="009D60D5" w:rsidRDefault="009D60D5" w:rsidP="00C4167C">
            <w:pPr>
              <w:spacing w:line="360" w:lineRule="auto"/>
              <w:rPr>
                <w:rFonts w:cs="Arial"/>
                <w:bCs/>
                <w:sz w:val="16"/>
                <w:szCs w:val="16"/>
              </w:rPr>
            </w:pPr>
            <w:r>
              <w:rPr>
                <w:rFonts w:cs="Arial"/>
                <w:bCs/>
                <w:sz w:val="16"/>
                <w:szCs w:val="16"/>
              </w:rPr>
              <w:t>653</w:t>
            </w:r>
          </w:p>
        </w:tc>
      </w:tr>
    </w:tbl>
    <w:p w14:paraId="5EF395E5" w14:textId="77777777" w:rsidR="009D60D5" w:rsidRPr="005718B1" w:rsidRDefault="009D60D5" w:rsidP="009D60D5">
      <w:pPr>
        <w:widowControl w:val="0"/>
        <w:spacing w:before="120" w:after="0" w:line="360" w:lineRule="auto"/>
        <w:ind w:left="170" w:hanging="170"/>
        <w:rPr>
          <w:rFonts w:eastAsia="Times New Roman"/>
          <w:sz w:val="16"/>
          <w:szCs w:val="16"/>
        </w:rPr>
      </w:pPr>
      <w:r w:rsidRPr="005718B1">
        <w:rPr>
          <w:rFonts w:eastAsia="Times New Roman"/>
          <w:sz w:val="16"/>
          <w:szCs w:val="16"/>
        </w:rPr>
        <w:t>VIR: UVHVVR-2020</w:t>
      </w:r>
    </w:p>
    <w:p w14:paraId="41CA588B" w14:textId="77777777" w:rsidR="009D60D5" w:rsidRPr="00C4167C" w:rsidRDefault="009D60D5" w:rsidP="00C4167C">
      <w:pPr>
        <w:spacing w:before="200" w:line="360" w:lineRule="auto"/>
        <w:jc w:val="both"/>
        <w:rPr>
          <w:rFonts w:eastAsia="Times New Roman" w:cs="Arial"/>
          <w:bCs/>
          <w:szCs w:val="20"/>
          <w:lang w:eastAsia="en-GB"/>
        </w:rPr>
      </w:pPr>
      <w:r w:rsidRPr="00C4167C">
        <w:rPr>
          <w:rFonts w:eastAsia="Times New Roman" w:cs="Arial"/>
          <w:bCs/>
          <w:szCs w:val="20"/>
          <w:lang w:eastAsia="en-GB"/>
        </w:rPr>
        <w:t>Poraba medu na prebivalca se je v Sloveniji gibala okoli 1 kilograma, največja poraba medu z 1,4 kilograma je bila v letih 2011, 2013 in 2015. Od leta 2015 poraba medu pada in leta 2019 je z 0,8 kilograma znašala najmanj v zadnjih desetih letih. Stopnja samooskrbe niha, giblje se med 44 in 79 %. Slovenski čebelarji prodajo neposredno na domu več kot 80 % pridelanega medu. V letu 2010 se je na tržnicah prodalo 137 ton medu, v letu 2019 pa le 56 ton medu. Odkupne cene vseh vrst medu v Sloveniji so v zadnjih letih narasle. V letih med 2010 in 2019 so cene narasle iz 3,2 do 5,1 EUR/kg.</w:t>
      </w:r>
    </w:p>
    <w:p w14:paraId="0AB3AAFC" w14:textId="77777777" w:rsidR="009D60D5" w:rsidRPr="00C4167C" w:rsidRDefault="009D60D5" w:rsidP="00C4167C">
      <w:pPr>
        <w:spacing w:before="200" w:line="360" w:lineRule="auto"/>
        <w:jc w:val="both"/>
        <w:rPr>
          <w:rFonts w:eastAsia="Times New Roman" w:cs="Arial"/>
          <w:bCs/>
          <w:szCs w:val="20"/>
          <w:lang w:eastAsia="en-GB"/>
        </w:rPr>
      </w:pPr>
      <w:r w:rsidRPr="00C4167C">
        <w:rPr>
          <w:rFonts w:eastAsia="Times New Roman" w:cs="Arial"/>
          <w:bCs/>
          <w:szCs w:val="20"/>
          <w:lang w:eastAsia="en-GB"/>
        </w:rPr>
        <w:t>Precej višjo ceno čebelarji dosegajo pri prodaji na tržnicah. Odkupna cena medu na tržnicah se je od leta 2010 do leta 2019 povečala za 76 % na 9,99 EUR/kg medu.</w:t>
      </w:r>
      <w:r w:rsidRPr="00C4167C">
        <w:rPr>
          <w:rFonts w:eastAsia="TimesNewRoman" w:cs="Arial"/>
          <w:bCs/>
          <w:szCs w:val="20"/>
          <w:lang w:eastAsia="en-GB"/>
        </w:rPr>
        <w:t xml:space="preserve"> </w:t>
      </w:r>
      <w:r w:rsidRPr="00C4167C">
        <w:rPr>
          <w:rFonts w:eastAsia="Times New Roman" w:cs="Arial"/>
          <w:bCs/>
          <w:szCs w:val="20"/>
          <w:lang w:eastAsia="en-GB"/>
        </w:rPr>
        <w:t>Lastna cena končnega proizvoda je visoka</w:t>
      </w:r>
      <w:r w:rsidRPr="00C4167C">
        <w:rPr>
          <w:rFonts w:cs="Arial"/>
          <w:bCs/>
          <w:szCs w:val="20"/>
          <w:lang w:eastAsia="en-GB"/>
        </w:rPr>
        <w:t xml:space="preserve"> zaradi visokih stroškov, na to pa vplivajo številni </w:t>
      </w:r>
      <w:r w:rsidRPr="00C4167C">
        <w:rPr>
          <w:rFonts w:eastAsia="Calibri" w:cs="Arial"/>
          <w:bCs/>
          <w:szCs w:val="20"/>
          <w:lang w:eastAsia="en-GB"/>
        </w:rPr>
        <w:t>dejavniki (podnebne spremembe, zimske izgube čebeljih družin, izgube zaradi bolezni čebel, zastrupitev, požar, veter, poplave ter oblika čebelarjenja, ki je lahko stacionarna ali prevozna, usmerjena v proizvodnjo medu ali matic oziroma čebeljih družin,</w:t>
      </w:r>
      <w:r w:rsidRPr="00C4167C">
        <w:rPr>
          <w:rFonts w:cs="Arial"/>
          <w:bCs/>
          <w:szCs w:val="20"/>
          <w:lang w:eastAsia="en-GB"/>
        </w:rPr>
        <w:t xml:space="preserve"> čebelarjenje v tradicionalnih AŽ panjih</w:t>
      </w:r>
      <w:r w:rsidRPr="00C4167C">
        <w:rPr>
          <w:rFonts w:eastAsia="Calibri" w:cs="Arial"/>
          <w:bCs/>
          <w:szCs w:val="20"/>
          <w:lang w:eastAsia="en-GB"/>
        </w:rPr>
        <w:t>).</w:t>
      </w:r>
    </w:p>
    <w:p w14:paraId="29B33AE6" w14:textId="77777777" w:rsidR="009D60D5" w:rsidRPr="00C4167C" w:rsidRDefault="009D60D5" w:rsidP="00C4167C">
      <w:pPr>
        <w:spacing w:before="200" w:line="360" w:lineRule="auto"/>
        <w:jc w:val="both"/>
        <w:rPr>
          <w:rFonts w:eastAsia="Times New Roman"/>
          <w:bCs/>
          <w:lang w:eastAsia="en-GB"/>
        </w:rPr>
      </w:pPr>
      <w:r w:rsidRPr="00C4167C">
        <w:rPr>
          <w:rFonts w:eastAsia="Times New Roman"/>
          <w:bCs/>
          <w:lang w:eastAsia="en-GB"/>
        </w:rPr>
        <w:t>Izvoz medu se je v obdobju 2011-2018 povečeval (od 32 t na 378 t), v letu 2019 pa z 332 tonami nekoliko zmanjšal. Na drugi strani pa se je uvoz medu povečeval do leta 2014 (1.425 t) ter zmanjševal v letih 2015-2016. Po ponovni rasti v letu 2017 se uvoz medu zmanjšuje; v letu 2019 je bilo uvoženo 983 t medu.</w:t>
      </w:r>
    </w:p>
    <w:p w14:paraId="5BE7499E" w14:textId="77777777" w:rsidR="009D60D5" w:rsidRPr="00C4167C" w:rsidRDefault="009D60D5" w:rsidP="00C4167C">
      <w:pPr>
        <w:pStyle w:val="odstavek"/>
        <w:spacing w:before="200" w:beforeAutospacing="0" w:after="200" w:afterAutospacing="0" w:line="360" w:lineRule="auto"/>
        <w:jc w:val="both"/>
        <w:rPr>
          <w:bCs/>
          <w:lang w:eastAsia="en-GB"/>
        </w:rPr>
      </w:pPr>
      <w:r w:rsidRPr="00C4167C">
        <w:rPr>
          <w:rFonts w:ascii="Arial" w:hAnsi="Arial" w:cs="Arial"/>
          <w:bCs/>
          <w:sz w:val="20"/>
          <w:szCs w:val="20"/>
          <w:lang w:eastAsia="en-GB"/>
        </w:rPr>
        <w:t>Zelo pomembno nalogo pri ohranjanju kranjske čebele imajo tudi vzrejevalci čebeljih matic. V Sloveniji je</w:t>
      </w:r>
      <w:r w:rsidRPr="00C4167C">
        <w:rPr>
          <w:rFonts w:ascii="Arial" w:hAnsi="Arial"/>
          <w:bCs/>
          <w:sz w:val="20"/>
          <w:lang w:eastAsia="en-GB"/>
        </w:rPr>
        <w:t xml:space="preserve"> eno registrirano vzrejališče rodovniških matic (Rog Ponikve) z letno vzrejo približno 450 matic. Poleg </w:t>
      </w:r>
      <w:r w:rsidRPr="00C4167C">
        <w:rPr>
          <w:rFonts w:ascii="Arial" w:hAnsi="Arial"/>
          <w:bCs/>
          <w:sz w:val="20"/>
          <w:lang w:eastAsia="en-GB"/>
        </w:rPr>
        <w:lastRenderedPageBreak/>
        <w:t>tega okrog 35 odobrenih vzrejališč čebeljih matic letno vzredi okrog 40.000 gospodarskih matic. Povpraševanje po maticah kranjske čebele se vsako leto povečuje in vpliva na večjo vzrejo matic.</w:t>
      </w:r>
    </w:p>
    <w:p w14:paraId="530017DA" w14:textId="77777777" w:rsidR="009D60D5" w:rsidRPr="00C4167C" w:rsidRDefault="009D60D5" w:rsidP="00C4167C">
      <w:pPr>
        <w:spacing w:before="200" w:line="360" w:lineRule="auto"/>
        <w:jc w:val="both"/>
        <w:rPr>
          <w:bCs/>
          <w:color w:val="000000"/>
        </w:rPr>
      </w:pPr>
      <w:r w:rsidRPr="00C4167C">
        <w:rPr>
          <w:rFonts w:eastAsia="TimesNewRoman" w:cs="Arial"/>
          <w:bCs/>
          <w:szCs w:val="20"/>
        </w:rPr>
        <w:t>Čebele in divji opraševalci imajo pozitivne učinke na celoten ekosistem in na ohranjanje biotske raznovrstnosti.</w:t>
      </w:r>
      <w:r w:rsidRPr="00C4167C">
        <w:rPr>
          <w:rFonts w:eastAsia="TimesNewRoman"/>
          <w:bCs/>
        </w:rPr>
        <w:t xml:space="preserve"> Od opraševanja je odvisnih več kot 80 % glavnih poljščinah, ki se gojijo za prehrano ljudi v Evropi oziroma več kot 70 % na svetovni ravni. V sadjarstvu so čebele ključnega pomena, saj spomladi, v obdobju največjega cvetenja, preostali možni opraševalci (npr. čmrlji, metulji) po navadi le malo prispevajo k uspešnosti opraševanja. </w:t>
      </w:r>
      <w:r w:rsidRPr="00C4167C">
        <w:rPr>
          <w:bCs/>
          <w:color w:val="000000"/>
        </w:rPr>
        <w:t>Za ohranitev medonosnih čebel in ostalih opraševalcev je potrebno zagotoviti ustrezne prehranske vire čez celo leto s setvijo</w:t>
      </w:r>
      <w:r w:rsidRPr="00C4167C">
        <w:rPr>
          <w:rFonts w:eastAsia="TimesNewRoman"/>
          <w:bCs/>
        </w:rPr>
        <w:t xml:space="preserve"> medonosnih rastlin, večanjem obsega cvetočih travnikov in </w:t>
      </w:r>
      <w:r w:rsidRPr="00C4167C">
        <w:rPr>
          <w:bCs/>
        </w:rPr>
        <w:t>območij, ki so primerna za ekološko čebelarjenje.</w:t>
      </w:r>
      <w:r w:rsidRPr="00C4167C">
        <w:rPr>
          <w:rFonts w:eastAsia="TimesNewRoman"/>
          <w:bCs/>
        </w:rPr>
        <w:t xml:space="preserve"> Čebelarje je potrebno vključevati v promocijo biotske raznovrstnosti ter ozaveščati širšo javnost o pomenu opraševalcev. </w:t>
      </w:r>
      <w:r w:rsidRPr="00C4167C">
        <w:rPr>
          <w:bCs/>
          <w:color w:val="000000"/>
        </w:rPr>
        <w:t>Poleg tega je potrebno javnost ozaveščati o uporabi fitofarmacevtskih sredstev, uvajanju integriranega varstva rastlin.</w:t>
      </w:r>
    </w:p>
    <w:p w14:paraId="459FDDC9" w14:textId="77777777" w:rsidR="009D60D5" w:rsidRPr="00C4167C" w:rsidRDefault="009D60D5" w:rsidP="00C4167C">
      <w:pPr>
        <w:spacing w:before="200" w:line="360" w:lineRule="auto"/>
        <w:jc w:val="both"/>
        <w:rPr>
          <w:rFonts w:eastAsia="Times New Roman"/>
          <w:bCs/>
          <w:lang w:eastAsia="en-GB"/>
        </w:rPr>
      </w:pPr>
      <w:r w:rsidRPr="00C4167C">
        <w:rPr>
          <w:rFonts w:eastAsia="Calibri" w:cs="Arial"/>
          <w:bCs/>
          <w:szCs w:val="20"/>
          <w:lang w:eastAsia="en-GB"/>
        </w:rPr>
        <w:t xml:space="preserve">V primerjavi z zahodnimi državami je v Sloveniji pestrost opraševalcev zaradi naravnih danosti še zelo velika. </w:t>
      </w:r>
      <w:r w:rsidRPr="00C4167C">
        <w:rPr>
          <w:rFonts w:eastAsia="Calibri"/>
          <w:bCs/>
          <w:lang w:eastAsia="en-GB"/>
        </w:rPr>
        <w:t xml:space="preserve">V zadnjih desetletjih so se močno poslabšale razmere s čebeljo pašo, težavna je preskrba čebelje družine v poletnem in poznopoletnem obdobju. Zaradi tega bo potrebno posebno pozornost posvetiti predvsem gozdni paši in mokriščem ter tujerodnim invazivnim rastlinam (orjaška in kanadska zlata rozga, japonski dresnik, žlezasta nedotika), ki so lahko zelo medonosne, a predstavljajo grožnjo avtohtonemu rastlinju. Še bolj kot medonosne čebele, so zaradi teh dejavnikov ogroženi divji opraševalci. </w:t>
      </w:r>
    </w:p>
    <w:p w14:paraId="210C4ED3" w14:textId="77777777" w:rsidR="009D60D5" w:rsidRPr="00C4167C" w:rsidRDefault="009D60D5" w:rsidP="00C4167C">
      <w:pPr>
        <w:spacing w:before="200" w:line="360" w:lineRule="auto"/>
        <w:jc w:val="both"/>
        <w:rPr>
          <w:rFonts w:eastAsia="Times New Roman" w:cs="Arial"/>
          <w:bCs/>
          <w:szCs w:val="20"/>
          <w:lang w:eastAsia="en-GB"/>
        </w:rPr>
      </w:pPr>
      <w:r w:rsidRPr="00C4167C">
        <w:rPr>
          <w:rFonts w:eastAsia="Times New Roman" w:cs="Arial"/>
          <w:bCs/>
          <w:szCs w:val="20"/>
          <w:lang w:eastAsia="en-GB"/>
        </w:rPr>
        <w:t>Povprečna starost čebelarja je po podatkih iz registra čebelnjakov 58,3 let. Starost se v zadnjih desetih letih ni bistveno spreminjala.</w:t>
      </w:r>
    </w:p>
    <w:p w14:paraId="7038B038" w14:textId="77777777" w:rsidR="009D60D5" w:rsidRPr="00C4167C" w:rsidRDefault="009D60D5" w:rsidP="00C4167C">
      <w:pPr>
        <w:autoSpaceDE w:val="0"/>
        <w:autoSpaceDN w:val="0"/>
        <w:adjustRightInd w:val="0"/>
        <w:spacing w:before="200" w:line="360" w:lineRule="auto"/>
        <w:jc w:val="both"/>
        <w:rPr>
          <w:rFonts w:cs="Arial"/>
          <w:bCs/>
          <w:szCs w:val="20"/>
        </w:rPr>
      </w:pPr>
      <w:r w:rsidRPr="00C4167C">
        <w:rPr>
          <w:rFonts w:cs="Arial"/>
          <w:bCs/>
          <w:szCs w:val="20"/>
        </w:rPr>
        <w:t>Zaradi majhnosti naše države nismo konkurenčni po količini pridelanega medu, vendar si zato čebelarji še toliko skrbneje prizadevajo za višjo kakovost in prepoznavnost medu, pridelanega v Sloveniji. Za lažje nastopanje na trgu slovenski čebelarji vstopajo v različne sheme kakovosti, ki proizvajalcem daje prepoznavnost in omogoča boljšo konkurenčnost.</w:t>
      </w:r>
    </w:p>
    <w:p w14:paraId="49CD3DB1" w14:textId="77777777" w:rsidR="009D60D5" w:rsidRPr="00C4167C" w:rsidRDefault="009D60D5" w:rsidP="00C4167C">
      <w:pPr>
        <w:autoSpaceDE w:val="0"/>
        <w:autoSpaceDN w:val="0"/>
        <w:adjustRightInd w:val="0"/>
        <w:spacing w:before="200" w:line="360" w:lineRule="auto"/>
        <w:jc w:val="both"/>
        <w:rPr>
          <w:rFonts w:eastAsia="Times New Roman" w:cs="Arial"/>
          <w:bCs/>
          <w:szCs w:val="20"/>
          <w:lang w:eastAsia="en-GB"/>
        </w:rPr>
      </w:pPr>
      <w:r w:rsidRPr="00C4167C">
        <w:rPr>
          <w:rFonts w:cs="Arial"/>
          <w:bCs/>
          <w:szCs w:val="20"/>
        </w:rPr>
        <w:t>Največji izziv predstavlja obvladovanje različnih bolezni čebel, predvsem varoze in zagotavljanje zadostne in raznolike prehranjenosti čebeljih družin. Precejšnje težave predstavljajo pogoste neugodne vremenske razmere.</w:t>
      </w:r>
    </w:p>
    <w:p w14:paraId="61C49820" w14:textId="77777777" w:rsidR="009D60D5" w:rsidRPr="00C4167C" w:rsidRDefault="009D60D5" w:rsidP="00C4167C">
      <w:pPr>
        <w:autoSpaceDE w:val="0"/>
        <w:autoSpaceDN w:val="0"/>
        <w:adjustRightInd w:val="0"/>
        <w:spacing w:before="200" w:line="360" w:lineRule="auto"/>
        <w:jc w:val="both"/>
        <w:rPr>
          <w:bCs/>
        </w:rPr>
      </w:pPr>
      <w:r w:rsidRPr="00C4167C">
        <w:rPr>
          <w:bCs/>
        </w:rPr>
        <w:t>Č</w:t>
      </w:r>
      <w:r w:rsidRPr="00C4167C">
        <w:rPr>
          <w:bCs/>
          <w:color w:val="000000"/>
        </w:rPr>
        <w:t xml:space="preserve">ebelarstvo omogoča nova </w:t>
      </w:r>
      <w:r w:rsidRPr="00C4167C">
        <w:rPr>
          <w:rFonts w:cs="Arial"/>
          <w:bCs/>
          <w:color w:val="000000"/>
          <w:szCs w:val="20"/>
        </w:rPr>
        <w:t>zelena delovna mesta in</w:t>
      </w:r>
      <w:r w:rsidRPr="00C4167C">
        <w:rPr>
          <w:bCs/>
          <w:color w:val="000000"/>
        </w:rPr>
        <w:t xml:space="preserve"> nove priložnosti, ki se nudijo čebelarskim družinam oziroma kmetijam, na primer razvoj čebelarskega turizma, razvoj izdelkov z dodano vrednostjo.</w:t>
      </w:r>
      <w:r w:rsidRPr="00C4167C">
        <w:rPr>
          <w:bCs/>
        </w:rPr>
        <w:t xml:space="preserve"> </w:t>
      </w:r>
      <w:r w:rsidRPr="00C4167C">
        <w:rPr>
          <w:rFonts w:cs="Arial"/>
          <w:bCs/>
          <w:szCs w:val="20"/>
        </w:rPr>
        <w:t>Dopolnilne dejavnosti povezane s predelavo čebeljih proizvodov in čebelarskim turizmom so se pričele razvijati šele v zadnjih letih, kakor tudi uvedba prilagojenih čebelnjakov v čebelarstvo za vključitev invalidov</w:t>
      </w:r>
      <w:r w:rsidRPr="00C4167C">
        <w:rPr>
          <w:bCs/>
        </w:rPr>
        <w:t xml:space="preserve"> na invalidskih vozičkih</w:t>
      </w:r>
      <w:r w:rsidRPr="00C4167C">
        <w:rPr>
          <w:rFonts w:cs="Arial"/>
          <w:bCs/>
          <w:szCs w:val="20"/>
        </w:rPr>
        <w:t>.</w:t>
      </w:r>
    </w:p>
    <w:p w14:paraId="4E0CE1E2" w14:textId="77777777" w:rsidR="009D60D5" w:rsidRPr="00C4167C" w:rsidRDefault="009D60D5" w:rsidP="00C4167C">
      <w:pPr>
        <w:spacing w:before="200" w:line="360" w:lineRule="auto"/>
        <w:jc w:val="both"/>
        <w:rPr>
          <w:rFonts w:eastAsia="Times New Roman"/>
          <w:bCs/>
          <w:lang w:eastAsia="en-GB"/>
        </w:rPr>
      </w:pPr>
      <w:r w:rsidRPr="00C4167C">
        <w:rPr>
          <w:bCs/>
        </w:rPr>
        <w:lastRenderedPageBreak/>
        <w:t xml:space="preserve">Čebelarstvo je del </w:t>
      </w:r>
      <w:r w:rsidRPr="00C4167C">
        <w:rPr>
          <w:rFonts w:cs="Arial"/>
          <w:bCs/>
          <w:szCs w:val="20"/>
        </w:rPr>
        <w:t>bogate zgodovinske in kulturne dediščine Slovenije</w:t>
      </w:r>
      <w:r w:rsidRPr="00C4167C">
        <w:rPr>
          <w:bCs/>
        </w:rPr>
        <w:t>. Čebele imajo velik pomen za narodno zavest, kranjska čebela je eden od nacionalnih simbolov. Posebnost slovenskega čebelarjenja in edinstven element slovenske kulturne krajine so čebelnjaki z vanje zloženimi Albert-Žnidaršičevimi panji (AŽ-panji)</w:t>
      </w:r>
      <w:r w:rsidRPr="00C4167C">
        <w:rPr>
          <w:rFonts w:cs="Arial"/>
          <w:bCs/>
          <w:szCs w:val="20"/>
        </w:rPr>
        <w:t xml:space="preserve">. </w:t>
      </w:r>
      <w:r w:rsidRPr="00C4167C">
        <w:rPr>
          <w:bCs/>
        </w:rPr>
        <w:t>Čebelnjaki se po pokrajinah sicer razlikujejo, vendar pa ima t. i. slovenski čebelnjak že nekaj stoletij svojo značilno obliko.</w:t>
      </w:r>
    </w:p>
    <w:p w14:paraId="5F428845" w14:textId="77777777" w:rsidR="009D60D5" w:rsidRPr="00C4167C" w:rsidRDefault="009D60D5" w:rsidP="00C4167C">
      <w:pPr>
        <w:spacing w:before="200" w:line="360" w:lineRule="auto"/>
        <w:jc w:val="both"/>
        <w:rPr>
          <w:rFonts w:eastAsia="Times New Roman"/>
          <w:bCs/>
          <w:lang w:eastAsia="en-GB"/>
        </w:rPr>
      </w:pPr>
      <w:r w:rsidRPr="00C4167C">
        <w:rPr>
          <w:rFonts w:eastAsia="Times New Roman" w:cs="Arial"/>
          <w:bCs/>
          <w:szCs w:val="20"/>
          <w:lang w:eastAsia="en-GB"/>
        </w:rPr>
        <w:t>Skupna tržna ureditev v okviru SKP daje tudi čebelarjem možnost uveljavljanja različnih ukrepov. Vsaka d</w:t>
      </w:r>
      <w:r w:rsidRPr="00C4167C">
        <w:rPr>
          <w:rFonts w:eastAsia="Times New Roman"/>
          <w:bCs/>
          <w:lang w:eastAsia="en-GB"/>
        </w:rPr>
        <w:t>ržava članica lahko pripravi nacionalni program na področju čebelarstva, ki ga v 50 odstotnem deležu sofinancira Evropska unija. V okviru EU programa je čebelarjem preko osmih posebnih ukrepov omogočeno posodabljanje čebelarske opreme, izobraževanje in usposabljanje na področju čebelarstva, brezplačne analize medu in ostalih čebeljih pridelkov,</w:t>
      </w:r>
      <w:r w:rsidRPr="00C4167C">
        <w:rPr>
          <w:rFonts w:eastAsia="Calibri"/>
          <w:bCs/>
          <w:lang w:eastAsia="en-GB"/>
        </w:rPr>
        <w:t xml:space="preserve"> ohranjanje čebeljega fonda ter izvajanje aplikativnih raziskav. </w:t>
      </w:r>
      <w:r w:rsidRPr="00C4167C">
        <w:rPr>
          <w:rFonts w:eastAsia="Times New Roman"/>
          <w:bCs/>
          <w:lang w:eastAsia="en-GB"/>
        </w:rPr>
        <w:t>V Sloveniji izvajamo že šesti triletni program ukrepov na področju čebelarstva, za kar letno namenimo okvirno 760.000 EUR. V okviru tega programa smo v programskem obdobju 2017 - 2019 izvajali ukrepe Tehnična pomoč čebelarjem in organizacijam čebelarjev, Zatiranje škodljivcev in bolezni čebel, zlasti varoze, Podpora laboratorijem za analizo čebelarskih pridelkov, Racionalizacija sezonske selitve panjev, Podpora pri obnovi čebeljega fonda ter aplikativne raziskave na področju čebelarstva. Enak izbor ukrepov izvajamo tudi v programskem obdobju 2020-2022.</w:t>
      </w:r>
    </w:p>
    <w:p w14:paraId="1672B1DC" w14:textId="77777777" w:rsidR="009D60D5" w:rsidRPr="00C4167C" w:rsidRDefault="009D60D5" w:rsidP="00C4167C">
      <w:pPr>
        <w:spacing w:before="200" w:line="360" w:lineRule="auto"/>
        <w:jc w:val="both"/>
        <w:rPr>
          <w:rFonts w:eastAsia="Times New Roman"/>
          <w:bCs/>
          <w:lang w:eastAsia="en-GB"/>
        </w:rPr>
      </w:pPr>
      <w:r w:rsidRPr="00C4167C">
        <w:rPr>
          <w:rFonts w:eastAsia="Arial" w:cs="Arial"/>
          <w:bCs/>
          <w:lang w:eastAsia="en-GB"/>
        </w:rPr>
        <w:t xml:space="preserve">V okviru Programa razvoja podeželja 2014-2020 se izvajajo različni ukrepi za spodbujanje čebelarstva in ohranjanje števila opraševalcev. V okviru ukrepa M04.2 Podpora za naložbe v predelavo/trženje in/ali razvoj kmetijskih proizvodov se čebelarjem omogoča posodobitev čebelarske opreme. V okviru KOPOP se izvajajo ukrepi, ki so namenjeni varovanju travnikov. Opraševalci se podpirajo tudi preko </w:t>
      </w:r>
      <w:proofErr w:type="spellStart"/>
      <w:r w:rsidRPr="00C4167C">
        <w:rPr>
          <w:rFonts w:eastAsia="Arial" w:cs="Arial"/>
          <w:bCs/>
          <w:lang w:eastAsia="en-GB"/>
        </w:rPr>
        <w:t>Neprezimnih</w:t>
      </w:r>
      <w:proofErr w:type="spellEnd"/>
      <w:r w:rsidRPr="00C4167C">
        <w:rPr>
          <w:rFonts w:eastAsia="Arial" w:cs="Arial"/>
          <w:bCs/>
          <w:lang w:eastAsia="en-GB"/>
        </w:rPr>
        <w:t xml:space="preserve"> medonosnih posevkov v okviru operacij Poljedelstvo in zelenjadarstvo ter Vodni viri, preko katerih se spodbuja setev medonosnih rastlin in podaljšuje pašna sezona za čebele v pozno jesen. K ohranjanju opraševalcev posredno prispevajo tudi druge operacije in zahteve ukrepa KOPOP, ki omejujejo ali prepovedujejo uporabo gnojil in fitofarmacevtskih sredstev. Tudi v večini LAS projektov se izvajajo teme iz področja čebel in opraševalcev (čebelarske učne poti, učne delavnice za otroke, priprava zloženk, vrtovi medonosnih rastlin,…). Z ukrepom Ekološko kmetovanje MKGP podpira ekološko čebelarjenje s podporami na čebeljo družino. Ta ukrep posredno prispeva k ohranjanju opraševalcev, ker omejuje ali prepoveduje uporabo gnojil in fitofarmacevtskih sredstev.</w:t>
      </w:r>
    </w:p>
    <w:p w14:paraId="491E02E3" w14:textId="77777777" w:rsidR="009D60D5" w:rsidRPr="00C4167C" w:rsidRDefault="009D60D5" w:rsidP="00C4167C">
      <w:pPr>
        <w:spacing w:before="200" w:line="360" w:lineRule="auto"/>
        <w:jc w:val="both"/>
        <w:rPr>
          <w:bCs/>
        </w:rPr>
      </w:pPr>
      <w:r w:rsidRPr="00C4167C">
        <w:rPr>
          <w:rFonts w:eastAsia="Arial"/>
          <w:bCs/>
        </w:rPr>
        <w:t>V Sloveniji tudi na področju čebelarstva</w:t>
      </w:r>
      <w:r w:rsidRPr="00C4167C">
        <w:rPr>
          <w:rFonts w:eastAsia="Arial" w:cs="Arial"/>
          <w:bCs/>
          <w:szCs w:val="20"/>
        </w:rPr>
        <w:t xml:space="preserve"> za prenos znanja deluje</w:t>
      </w:r>
      <w:r w:rsidRPr="00C4167C">
        <w:rPr>
          <w:rFonts w:eastAsia="Arial"/>
          <w:bCs/>
        </w:rPr>
        <w:t xml:space="preserve"> javna služba strokovnih nalog v živinoreji. Namen izvajanja te javne službe je izboljševanje proizvodnih in neproizvodnih lastnosti kranjske čebele, izboljševanje oziroma ohranjanje njenega genetskega napredka, zagotavljanje plemenskega materiala, povečevanje števila plemenskih živali, ki so vpisane v rodovniške knjige. </w:t>
      </w:r>
      <w:r w:rsidRPr="00C4167C">
        <w:rPr>
          <w:rFonts w:eastAsia="Arial"/>
          <w:bCs/>
          <w:color w:val="000000" w:themeColor="text1"/>
        </w:rPr>
        <w:t>Strokovno delo v čebelarstvu izvajajo sodelavci Čebelarske zveze Slovenije in Kmetijskega inštituta Slovenije.</w:t>
      </w:r>
    </w:p>
    <w:p w14:paraId="1F61A0A0" w14:textId="77777777" w:rsidR="009D60D5" w:rsidRPr="00C4167C" w:rsidRDefault="009D60D5" w:rsidP="00C4167C">
      <w:pPr>
        <w:pStyle w:val="odstavek"/>
        <w:spacing w:before="200" w:beforeAutospacing="0" w:after="200" w:afterAutospacing="0" w:line="360" w:lineRule="auto"/>
        <w:jc w:val="both"/>
        <w:rPr>
          <w:rFonts w:eastAsia="Arial"/>
          <w:bCs/>
        </w:rPr>
      </w:pPr>
      <w:r w:rsidRPr="00C4167C">
        <w:rPr>
          <w:rFonts w:ascii="Arial" w:eastAsia="Arial" w:hAnsi="Arial" w:cs="Arial"/>
          <w:bCs/>
          <w:sz w:val="20"/>
          <w:szCs w:val="20"/>
        </w:rPr>
        <w:t>Čebelarjem je svetovanje zagotovljeno preko javne svetovalne službe v čebelarstvu, ki jo na podlagi večletne koncesije izvaja ČZS in financira proračun RS.</w:t>
      </w:r>
      <w:r w:rsidRPr="00C4167C">
        <w:rPr>
          <w:rFonts w:ascii="Arial" w:eastAsia="Arial" w:hAnsi="Arial" w:cs="Arial"/>
          <w:bCs/>
          <w:color w:val="000000" w:themeColor="text1"/>
          <w:sz w:val="20"/>
          <w:szCs w:val="20"/>
        </w:rPr>
        <w:t xml:space="preserve"> Služba pokriva območje celotne Slovenije, </w:t>
      </w:r>
      <w:r w:rsidRPr="00C4167C">
        <w:rPr>
          <w:rFonts w:ascii="Arial" w:eastAsia="Arial" w:hAnsi="Arial" w:cs="Arial"/>
          <w:bCs/>
          <w:color w:val="000000" w:themeColor="text1"/>
          <w:sz w:val="20"/>
          <w:szCs w:val="20"/>
        </w:rPr>
        <w:lastRenderedPageBreak/>
        <w:t>čebelarjem je na voljo brezplačen specialistični nasvet oziroma nasvet terenskih svetovalcev glede tehnologije čebelarjenja. Za povečevanje števila mlajših čebelarjev delujejo na osnovnih in srednjih šolah čebelarski krožki, ki jih vodijo čebelarji in učitelji. Za čebelarje je organiziranih mnogo usposabljanj, ki se nanašajo na posamezne teme iz tehnologije in ekonomike čebelarjenja ter varne hrane. Služba skrbi za ozaveščanje in obveščanje splošne javnosti in potrošnikov o pomenu in vlogi čebelarstva in čebel, zato vsako leto izdaja izobraževalna in promocijska gradiva, organizira različne medene dneve in izobraževalne akcije, objavlja članke, sodeluje v radijskih in televizijskih oddajah ter opravlja še druge dejavnosti.</w:t>
      </w:r>
    </w:p>
    <w:p w14:paraId="7F5BCBA6" w14:textId="77777777" w:rsidR="009D60D5" w:rsidRPr="00C4167C" w:rsidRDefault="009D60D5" w:rsidP="00C4167C">
      <w:pPr>
        <w:spacing w:before="200" w:line="360" w:lineRule="auto"/>
        <w:jc w:val="both"/>
        <w:rPr>
          <w:rFonts w:eastAsia="Arial"/>
          <w:bCs/>
          <w:color w:val="000000" w:themeColor="text1"/>
        </w:rPr>
      </w:pPr>
      <w:r w:rsidRPr="00C4167C">
        <w:rPr>
          <w:rFonts w:eastAsia="Arial" w:cs="Arial"/>
          <w:bCs/>
          <w:color w:val="000000" w:themeColor="text1"/>
        </w:rPr>
        <w:t>Javna specialistična veterinarska služba za zdravstveno varstvo čebel deluje v Sloveniji že več kot 30 let, od leta 2002 je organizirana na Nacionalnem veterinarskem inštitutu Veterinarske fakultete Univerze v Ljubljani. V strokovno in raziskovalno delo se stalno vključujejo tudi raziskovalci in učitelji drugih raziskovalnih in izobraževalnih ustanov v Sloveniji.</w:t>
      </w:r>
      <w:r w:rsidRPr="00C4167C">
        <w:rPr>
          <w:rFonts w:eastAsia="Arial" w:cs="Arial"/>
          <w:bCs/>
          <w:lang w:eastAsia="en-GB"/>
        </w:rPr>
        <w:t xml:space="preserve"> Ta služba, deluje tudi na področju izobraževanja čebelarjev.</w:t>
      </w:r>
    </w:p>
    <w:p w14:paraId="7FA0A1FA" w14:textId="77777777" w:rsidR="009D60D5" w:rsidRPr="00C4167C" w:rsidRDefault="009D60D5" w:rsidP="00C4167C">
      <w:pPr>
        <w:spacing w:before="200" w:line="360" w:lineRule="auto"/>
        <w:jc w:val="both"/>
        <w:rPr>
          <w:rFonts w:eastAsia="TimesNewRoman" w:cs="Arial"/>
          <w:bCs/>
          <w:szCs w:val="20"/>
        </w:rPr>
      </w:pPr>
      <w:r w:rsidRPr="00C4167C">
        <w:rPr>
          <w:rFonts w:eastAsia="Arial"/>
          <w:bCs/>
          <w:color w:val="000000" w:themeColor="text1"/>
        </w:rPr>
        <w:t>Z</w:t>
      </w:r>
      <w:r w:rsidRPr="00C4167C">
        <w:rPr>
          <w:rFonts w:eastAsia="Arial" w:cs="Arial"/>
          <w:bCs/>
          <w:color w:val="000000" w:themeColor="text1"/>
          <w:szCs w:val="20"/>
        </w:rPr>
        <w:t>a</w:t>
      </w:r>
      <w:r w:rsidRPr="00C4167C">
        <w:rPr>
          <w:rFonts w:eastAsia="Arial"/>
          <w:bCs/>
          <w:color w:val="000000" w:themeColor="text1"/>
        </w:rPr>
        <w:t xml:space="preserve"> področje prenosa znanja v prakso v domačem in mednarodnem okolju, je bila ustanovljena Slovenska čebelarska akademija, ki deluje kot notranja organizacijska enota Kmetijskega inštituta Slovenije. Akademija deluje na trgu in predvsem tujim interesentom ponuja izobraževalne storitve v panogi. </w:t>
      </w:r>
    </w:p>
    <w:p w14:paraId="5072EBA1" w14:textId="77777777" w:rsidR="009D60D5" w:rsidRPr="00C4167C" w:rsidRDefault="009D60D5" w:rsidP="00C4167C">
      <w:pPr>
        <w:spacing w:before="200" w:line="360" w:lineRule="auto"/>
        <w:jc w:val="both"/>
        <w:rPr>
          <w:rFonts w:eastAsia="Arial"/>
          <w:bCs/>
          <w:color w:val="000000" w:themeColor="text1"/>
        </w:rPr>
      </w:pPr>
      <w:r w:rsidRPr="00C4167C">
        <w:rPr>
          <w:rFonts w:eastAsia="Arial"/>
          <w:bCs/>
          <w:color w:val="000000" w:themeColor="text1"/>
        </w:rPr>
        <w:t xml:space="preserve">V letih od 2010 do 2018 je bilo izbranih deset CRP projektov iz področja čebelarstva za izboljšanje tehnologije čebelarjenja in kakovosti čebeljih pridelkov. Da bi se poleg čebel lahko tudi učinkovito spoprijeli z izboljšanjem in ohranitvijo habitatov divjih opraševalcev, je MKGP skupaj z MOP financiralo CRP projekte za proučevanje stanja divjih opraševalcev v Sloveniji, izboljšanje tehnologije čebelarjenja in proučevanje vpliva podnebnih sprememb na opraševalce. V okviru projektov ERA NET </w:t>
      </w:r>
      <w:proofErr w:type="spellStart"/>
      <w:r w:rsidRPr="00C4167C">
        <w:rPr>
          <w:rFonts w:eastAsia="Arial"/>
          <w:bCs/>
          <w:color w:val="000000" w:themeColor="text1"/>
        </w:rPr>
        <w:t>SusAn</w:t>
      </w:r>
      <w:proofErr w:type="spellEnd"/>
      <w:r w:rsidRPr="00C4167C">
        <w:rPr>
          <w:rFonts w:eastAsia="Arial"/>
          <w:bCs/>
          <w:color w:val="000000" w:themeColor="text1"/>
        </w:rPr>
        <w:t xml:space="preserve"> je leta 2016 potekal projekt BPRACTICES izboljšanje zdravstvenega stanja čebel v obdobju malega panjskega hrošča (</w:t>
      </w:r>
      <w:proofErr w:type="spellStart"/>
      <w:r w:rsidRPr="00C4167C">
        <w:rPr>
          <w:rFonts w:eastAsia="Arial"/>
          <w:bCs/>
          <w:color w:val="000000" w:themeColor="text1"/>
        </w:rPr>
        <w:t>Aethina</w:t>
      </w:r>
      <w:proofErr w:type="spellEnd"/>
      <w:r w:rsidRPr="00C4167C">
        <w:rPr>
          <w:rFonts w:eastAsia="Arial"/>
          <w:bCs/>
          <w:color w:val="000000" w:themeColor="text1"/>
        </w:rPr>
        <w:t xml:space="preserve"> </w:t>
      </w:r>
      <w:proofErr w:type="spellStart"/>
      <w:r w:rsidRPr="00C4167C">
        <w:rPr>
          <w:rFonts w:eastAsia="Arial"/>
          <w:bCs/>
          <w:color w:val="000000" w:themeColor="text1"/>
        </w:rPr>
        <w:t>tumida</w:t>
      </w:r>
      <w:proofErr w:type="spellEnd"/>
      <w:r w:rsidRPr="00C4167C">
        <w:rPr>
          <w:rFonts w:eastAsia="Arial"/>
          <w:bCs/>
          <w:color w:val="000000" w:themeColor="text1"/>
        </w:rPr>
        <w:t>) v Evropi), v okviru Aplikativnih projektov ARRS je potekal projekt za vzpostavitev čebeljih celičnih linij in standardiziranih in vitro testov za oceno škodljivih učinkov strupov in okužb na čebele.</w:t>
      </w:r>
    </w:p>
    <w:p w14:paraId="63C66A69" w14:textId="77777777" w:rsidR="009D60D5" w:rsidRPr="00C4167C" w:rsidRDefault="009D60D5" w:rsidP="00C4167C">
      <w:pPr>
        <w:autoSpaceDE w:val="0"/>
        <w:autoSpaceDN w:val="0"/>
        <w:adjustRightInd w:val="0"/>
        <w:spacing w:before="200" w:line="360" w:lineRule="auto"/>
        <w:jc w:val="both"/>
        <w:rPr>
          <w:rFonts w:eastAsia="Arial"/>
          <w:bCs/>
          <w:color w:val="000000" w:themeColor="text1"/>
        </w:rPr>
      </w:pPr>
      <w:r w:rsidRPr="00C4167C">
        <w:rPr>
          <w:rFonts w:eastAsia="Arial"/>
          <w:bCs/>
          <w:color w:val="000000" w:themeColor="text1"/>
        </w:rPr>
        <w:t>V okviru prvega javnega razpisa ukrepa Sodelovanje v okviru PRP 2014-2020, so bili odobreni trije projekti s področja čebelarstva, in sicer projekt EIP z naslovom Sadjarji za opraševalce in opraševalci za sadjarje, v okviru ukrepa Diverzifikacije kmetijskih dejavnosti pa projekta z naslovom Diverzifikacija dejavnosti pri čebelarstvu Lovrić in Diverzifikacija dejavnosti pri čebelarstvu Gramc.</w:t>
      </w:r>
    </w:p>
    <w:p w14:paraId="4DED1FB3" w14:textId="77777777" w:rsidR="009D60D5" w:rsidRPr="00C4167C" w:rsidRDefault="009D60D5" w:rsidP="00C4167C">
      <w:pPr>
        <w:spacing w:before="200" w:line="360" w:lineRule="auto"/>
        <w:jc w:val="both"/>
        <w:rPr>
          <w:rFonts w:eastAsia="TimesNewRoman"/>
          <w:bCs/>
        </w:rPr>
      </w:pPr>
      <w:r w:rsidRPr="00C4167C">
        <w:rPr>
          <w:rFonts w:eastAsia="TimesNewRoman" w:cs="Arial"/>
          <w:bCs/>
          <w:szCs w:val="20"/>
        </w:rPr>
        <w:t>Na področju izmenjave znanja in inovacij so bile na področju čebelarstva zaznane naslednje</w:t>
      </w:r>
      <w:r w:rsidRPr="00C4167C">
        <w:rPr>
          <w:rFonts w:eastAsia="TimesNewRoman"/>
          <w:bCs/>
        </w:rPr>
        <w:t xml:space="preserve"> potrebe:</w:t>
      </w:r>
    </w:p>
    <w:p w14:paraId="20C691EC" w14:textId="5B797E01" w:rsidR="009D60D5" w:rsidRPr="009D60D5" w:rsidRDefault="009D60D5" w:rsidP="00C4167C">
      <w:pPr>
        <w:spacing w:before="200" w:line="360" w:lineRule="auto"/>
        <w:jc w:val="both"/>
      </w:pPr>
      <w:r w:rsidRPr="00C4167C">
        <w:rPr>
          <w:bCs/>
        </w:rPr>
        <w:t xml:space="preserve">okrepitev raziskav na področju novejših tehnologij in omogočanje pretoka znanja do končnega uporabnika, okrepitev izobraževanja za čebelarje na področju specialnega znanja, povečanje raziskav na področju tehnologije pridelave in predelave medu, izboljšanje pretoka strokovno - znanstvenega znanja do končnega uporabnika, uvedba predmeta čebelarstvo v izobraževalni program kmetijskih šol, </w:t>
      </w:r>
      <w:r w:rsidRPr="00C4167C">
        <w:rPr>
          <w:bCs/>
        </w:rPr>
        <w:lastRenderedPageBreak/>
        <w:t>okrepitev izobraževanja o zdravstvenem varstvu čebel, krepitev prenosa znanja med vsemi deležniki v pridelovalni verigi.</w:t>
      </w:r>
    </w:p>
    <w:p w14:paraId="4F10213B" w14:textId="5EE3E2AC" w:rsidR="00CF3CC6" w:rsidRPr="00C4167C" w:rsidRDefault="00CF3CC6" w:rsidP="00C4167C">
      <w:pPr>
        <w:pStyle w:val="Naslov3"/>
      </w:pPr>
      <w:bookmarkStart w:id="183" w:name="_Toc55912213"/>
      <w:r w:rsidRPr="00C4167C">
        <w:t>Ključne ugotovitve</w:t>
      </w:r>
      <w:bookmarkEnd w:id="183"/>
    </w:p>
    <w:p w14:paraId="460E2A73" w14:textId="77777777" w:rsidR="00C4167C" w:rsidRPr="007A1880" w:rsidRDefault="00C4167C" w:rsidP="000A650F">
      <w:pPr>
        <w:numPr>
          <w:ilvl w:val="0"/>
          <w:numId w:val="39"/>
        </w:numPr>
        <w:spacing w:before="120" w:after="120" w:line="360" w:lineRule="auto"/>
        <w:ind w:left="357" w:hanging="357"/>
        <w:jc w:val="both"/>
        <w:rPr>
          <w:rFonts w:eastAsia="Times New Roman"/>
          <w:lang w:eastAsia="en-GB"/>
        </w:rPr>
      </w:pPr>
      <w:r w:rsidRPr="00ED3A15">
        <w:rPr>
          <w:rFonts w:eastAsia="Arial" w:cs="Arial"/>
          <w:lang w:eastAsia="en-GB"/>
        </w:rPr>
        <w:t xml:space="preserve">V zadnjih desetih letih v Sloveniji narašča število čebelarjev in število čebeljih družin. </w:t>
      </w:r>
      <w:r>
        <w:rPr>
          <w:rFonts w:eastAsia="Arial" w:cs="Arial"/>
          <w:lang w:eastAsia="en-GB"/>
        </w:rPr>
        <w:t>Zaradi pre</w:t>
      </w:r>
      <w:r w:rsidRPr="00ED3A15">
        <w:rPr>
          <w:rFonts w:eastAsia="Arial" w:cs="Arial"/>
          <w:lang w:eastAsia="en-GB"/>
        </w:rPr>
        <w:t>velike gostote čebeljih družin</w:t>
      </w:r>
      <w:r>
        <w:rPr>
          <w:rFonts w:eastAsia="Arial" w:cs="Arial"/>
          <w:lang w:eastAsia="en-GB"/>
        </w:rPr>
        <w:t xml:space="preserve"> na določenih območjih </w:t>
      </w:r>
      <w:r w:rsidRPr="00ED3A15">
        <w:rPr>
          <w:rFonts w:eastAsia="Arial" w:cs="Arial"/>
          <w:lang w:eastAsia="en-GB"/>
        </w:rPr>
        <w:t>je</w:t>
      </w:r>
      <w:r>
        <w:rPr>
          <w:rFonts w:eastAsia="Arial" w:cs="Arial"/>
          <w:lang w:eastAsia="en-GB"/>
        </w:rPr>
        <w:t xml:space="preserve"> </w:t>
      </w:r>
      <w:r w:rsidRPr="00ED3A15">
        <w:rPr>
          <w:rFonts w:eastAsia="Arial" w:cs="Arial"/>
          <w:lang w:eastAsia="en-GB"/>
        </w:rPr>
        <w:t xml:space="preserve">potrebno </w:t>
      </w:r>
      <w:r>
        <w:rPr>
          <w:rFonts w:eastAsia="Arial" w:cs="Arial"/>
          <w:lang w:eastAsia="en-GB"/>
        </w:rPr>
        <w:t xml:space="preserve">predvsem </w:t>
      </w:r>
      <w:r w:rsidRPr="00ED3A15">
        <w:rPr>
          <w:rFonts w:eastAsia="Arial" w:cs="Arial"/>
        </w:rPr>
        <w:t>omogočiti kar največje izkoriščanje čebeljih paš</w:t>
      </w:r>
      <w:r>
        <w:rPr>
          <w:rFonts w:eastAsia="Arial" w:cs="Arial"/>
        </w:rPr>
        <w:t xml:space="preserve"> in</w:t>
      </w:r>
      <w:r w:rsidRPr="00ED3A15">
        <w:rPr>
          <w:rFonts w:eastAsia="Arial" w:cs="Arial"/>
        </w:rPr>
        <w:t xml:space="preserve"> zmanjšati izgube čebeljih družin zaradi bolezni</w:t>
      </w:r>
      <w:r>
        <w:rPr>
          <w:rFonts w:eastAsia="Arial" w:cs="Arial"/>
        </w:rPr>
        <w:t>.</w:t>
      </w:r>
    </w:p>
    <w:p w14:paraId="287F664E" w14:textId="77777777" w:rsidR="00C4167C" w:rsidRPr="00DF3BFA" w:rsidRDefault="00C4167C" w:rsidP="000A650F">
      <w:pPr>
        <w:numPr>
          <w:ilvl w:val="0"/>
          <w:numId w:val="39"/>
        </w:numPr>
        <w:spacing w:before="120" w:after="120" w:line="360" w:lineRule="auto"/>
        <w:ind w:left="357" w:hanging="357"/>
        <w:jc w:val="both"/>
        <w:rPr>
          <w:rFonts w:eastAsia="Times New Roman" w:cs="Arial"/>
          <w:szCs w:val="20"/>
          <w:lang w:eastAsia="en-GB"/>
        </w:rPr>
      </w:pPr>
      <w:r w:rsidRPr="007A1880">
        <w:rPr>
          <w:rFonts w:eastAsia="Times New Roman"/>
          <w:lang w:eastAsia="en-GB"/>
        </w:rPr>
        <w:t>Le manjšemu številu čebelarjev je čebelarstvo glavna panoga, večinoma se s čebelarjenjem ukvarjajo osebe v prostem času.</w:t>
      </w:r>
      <w:r w:rsidRPr="007A1880">
        <w:rPr>
          <w:rFonts w:eastAsia="Times New Roman" w:cs="Arial"/>
          <w:szCs w:val="20"/>
          <w:lang w:eastAsia="en-GB"/>
        </w:rPr>
        <w:t xml:space="preserve"> </w:t>
      </w:r>
      <w:r>
        <w:rPr>
          <w:rFonts w:eastAsia="Times New Roman"/>
          <w:lang w:eastAsia="en-GB"/>
        </w:rPr>
        <w:t>E</w:t>
      </w:r>
      <w:r w:rsidRPr="007A1880">
        <w:rPr>
          <w:rFonts w:eastAsia="Times New Roman"/>
          <w:lang w:eastAsia="en-GB"/>
        </w:rPr>
        <w:t xml:space="preserve">konomska uspešnost in dohodkovna učinkovitost čebelarjenja še ni zadovoljiva. </w:t>
      </w:r>
      <w:r w:rsidRPr="00DF3BFA">
        <w:rPr>
          <w:rFonts w:eastAsia="Times New Roman" w:cs="Arial"/>
          <w:szCs w:val="20"/>
          <w:lang w:eastAsia="en-GB"/>
        </w:rPr>
        <w:t>Za povečanje donosa medu je potrebno okrepiti naložbe v sodobnejše tehnologije in spodbujati povezovanje čebelarjev.</w:t>
      </w:r>
    </w:p>
    <w:p w14:paraId="3A8480B9" w14:textId="77777777" w:rsidR="00C4167C" w:rsidRPr="007A1880" w:rsidRDefault="00C4167C" w:rsidP="000A650F">
      <w:pPr>
        <w:numPr>
          <w:ilvl w:val="0"/>
          <w:numId w:val="39"/>
        </w:numPr>
        <w:spacing w:before="120" w:after="120" w:line="360" w:lineRule="auto"/>
        <w:ind w:left="357" w:hanging="357"/>
        <w:jc w:val="both"/>
        <w:rPr>
          <w:rFonts w:eastAsia="Times New Roman"/>
          <w:lang w:eastAsia="en-GB"/>
        </w:rPr>
      </w:pPr>
      <w:r w:rsidRPr="00ED3A15">
        <w:rPr>
          <w:rFonts w:eastAsia="Arial" w:cs="Arial"/>
          <w:lang w:eastAsia="en-GB"/>
        </w:rPr>
        <w:t>Za zmanjšanje dohodkovnega in proizvodnega tveganja bi bilo potrebno uvesti sofinanciranje zavarovanja oziroma vzpostaviti posebni sklad za tveganja.</w:t>
      </w:r>
    </w:p>
    <w:p w14:paraId="084B1081" w14:textId="77777777" w:rsidR="00C4167C" w:rsidRPr="0025226F" w:rsidRDefault="00C4167C" w:rsidP="000A650F">
      <w:pPr>
        <w:numPr>
          <w:ilvl w:val="0"/>
          <w:numId w:val="39"/>
        </w:numPr>
        <w:spacing w:before="120" w:after="120" w:line="360" w:lineRule="auto"/>
        <w:ind w:left="357" w:hanging="357"/>
        <w:jc w:val="both"/>
        <w:rPr>
          <w:rFonts w:eastAsia="Times New Roman"/>
          <w:lang w:eastAsia="en-GB"/>
        </w:rPr>
      </w:pPr>
      <w:r w:rsidRPr="00ED3A15">
        <w:rPr>
          <w:rFonts w:eastAsia="Arial" w:cs="Arial"/>
          <w:lang w:eastAsia="en-GB"/>
        </w:rPr>
        <w:t xml:space="preserve">V zadnjih letih se je položaj čebelarstva izboljšal, vključno z večjim zanimanjem mladih za čebelarjenje in dobro ozaveščenostjo javnosti o pomenu čebel in vlogi čebelarstva. </w:t>
      </w:r>
    </w:p>
    <w:p w14:paraId="42C4C96E" w14:textId="77777777" w:rsidR="00C4167C" w:rsidRPr="00DF67C0" w:rsidRDefault="00C4167C" w:rsidP="000A650F">
      <w:pPr>
        <w:numPr>
          <w:ilvl w:val="0"/>
          <w:numId w:val="39"/>
        </w:numPr>
        <w:spacing w:before="120" w:after="120" w:line="360" w:lineRule="auto"/>
        <w:ind w:left="357" w:hanging="357"/>
        <w:jc w:val="both"/>
        <w:rPr>
          <w:rFonts w:eastAsia="Times New Roman" w:cs="Arial"/>
          <w:i/>
          <w:szCs w:val="20"/>
          <w:lang w:eastAsia="en-GB"/>
        </w:rPr>
      </w:pPr>
      <w:r w:rsidRPr="00ED3A15">
        <w:rPr>
          <w:rFonts w:eastAsia="Arial" w:cs="Arial"/>
          <w:lang w:eastAsia="en-GB"/>
        </w:rPr>
        <w:t>Čebelarstvo omogoča nova zelena delovna mesta in nove priložnosti za sektor, kot je na primer razvoj čebelarskega turizma ter razvoj čebelarskih izdelkov z dodano vrednostjo, zato je potrebno še naprej spodbujati investicije in povezovanje, predvsem pa nadaljevati s promocijskimi aktivnostmi.</w:t>
      </w:r>
    </w:p>
    <w:p w14:paraId="677BD96B" w14:textId="77777777" w:rsidR="00C4167C" w:rsidRPr="00C4167C" w:rsidRDefault="00C4167C" w:rsidP="00C4167C"/>
    <w:bookmarkEnd w:id="165"/>
    <w:p w14:paraId="30CCE963" w14:textId="3D1C762D" w:rsidR="00CF3CC6" w:rsidRPr="000E474E" w:rsidRDefault="007A077E" w:rsidP="000E474E">
      <w:pPr>
        <w:pStyle w:val="Naslov2"/>
        <w:ind w:left="578" w:hanging="578"/>
        <w:jc w:val="left"/>
      </w:pPr>
      <w:r w:rsidRPr="000E474E">
        <w:fldChar w:fldCharType="begin"/>
      </w:r>
      <w:r w:rsidRPr="000E474E">
        <w:instrText xml:space="preserve"> HYPERLINK "https://www.gov.si/teme/konjereja/" </w:instrText>
      </w:r>
      <w:r w:rsidRPr="000E474E">
        <w:fldChar w:fldCharType="separate"/>
      </w:r>
      <w:bookmarkStart w:id="184" w:name="_Toc55912214"/>
      <w:r w:rsidR="00CF3CC6" w:rsidRPr="000E474E">
        <w:t>Konjereja</w:t>
      </w:r>
      <w:bookmarkEnd w:id="184"/>
      <w:r w:rsidRPr="000E474E">
        <w:fldChar w:fldCharType="end"/>
      </w:r>
    </w:p>
    <w:p w14:paraId="70E5C354" w14:textId="77777777" w:rsidR="00C4167C" w:rsidRPr="00C4167C" w:rsidRDefault="00C4167C" w:rsidP="00C4167C">
      <w:pPr>
        <w:spacing w:before="200" w:line="360" w:lineRule="auto"/>
        <w:jc w:val="both"/>
        <w:rPr>
          <w:rFonts w:cs="Arial"/>
          <w:szCs w:val="20"/>
        </w:rPr>
      </w:pPr>
      <w:r w:rsidRPr="00C4167C">
        <w:rPr>
          <w:rFonts w:cs="Arial"/>
          <w:szCs w:val="20"/>
        </w:rPr>
        <w:t>Vrednost konjereje kot delež celotne kmetijske proizvodnje v Sloveniji v povprečju zadnjega desetletja znaša okoli 0,6 % kot delež živinoreje pa okoli 0,3 %.</w:t>
      </w:r>
      <w:r w:rsidRPr="00C4167C">
        <w:rPr>
          <w:rFonts w:eastAsia="TimesNewRoman" w:cs="Arial"/>
          <w:szCs w:val="20"/>
        </w:rPr>
        <w:t xml:space="preserve"> Število kmetijskih gospodarstev, na katerih redijo konje se je po statističnih podatkih od leta 2007 do 2016 povečalo iz dobrih 5000 na nekaj manj kot 5800 kmetijskih gospodarstev, ki redijo največkrat do dva</w:t>
      </w:r>
      <w:r w:rsidRPr="00C4167C">
        <w:rPr>
          <w:rFonts w:cs="Arial"/>
          <w:szCs w:val="20"/>
        </w:rPr>
        <w:t xml:space="preserve"> konja (63 %). Specializiranih konjerejskih kmetijskih gospodarstev je v Sloveniji zelo malo</w:t>
      </w:r>
      <w:r w:rsidRPr="00C4167C">
        <w:rPr>
          <w:rFonts w:eastAsia="TimesNewRoman" w:cs="Arial"/>
          <w:szCs w:val="20"/>
        </w:rPr>
        <w:t>.</w:t>
      </w:r>
    </w:p>
    <w:p w14:paraId="398368D9" w14:textId="77777777" w:rsidR="00C4167C" w:rsidRPr="00C4167C" w:rsidRDefault="00C4167C" w:rsidP="00C4167C">
      <w:pPr>
        <w:spacing w:before="200" w:line="360" w:lineRule="auto"/>
        <w:jc w:val="both"/>
        <w:rPr>
          <w:rFonts w:eastAsia="TimesNewRoman" w:cs="Arial"/>
        </w:rPr>
      </w:pPr>
      <w:r w:rsidRPr="00C4167C">
        <w:rPr>
          <w:rFonts w:cs="Arial"/>
          <w:szCs w:val="20"/>
        </w:rPr>
        <w:t>Po statističnih podatkih se število konj v Sloveniji od leta 2005 do 2016 ni bistveno spremenilo in znaša nekoliko več kot 19.000 konj. V letu 2016 se je največ konjev (približno 5400) redilo na kmetijskih gospodarstvih, ki spadajo v velikostni razred do 2 konja, najmanj konjev (približno 3000) pa so redila kmetijska gospodarstva iz velikostnega razreda od 10 do 19 konjev ter velikostnega razreda 20 ali več konjev.</w:t>
      </w:r>
    </w:p>
    <w:p w14:paraId="015A2613" w14:textId="77777777" w:rsidR="00C4167C" w:rsidRPr="00C4167C" w:rsidRDefault="00C4167C" w:rsidP="00C4167C">
      <w:pPr>
        <w:pStyle w:val="Pripombabesedilo"/>
        <w:spacing w:before="200" w:after="200" w:line="360" w:lineRule="auto"/>
        <w:rPr>
          <w:rFonts w:ascii="Arial" w:hAnsi="Arial"/>
        </w:rPr>
      </w:pPr>
      <w:r w:rsidRPr="00C4167C">
        <w:rPr>
          <w:rFonts w:ascii="Arial" w:eastAsia="TimesNewRoman" w:hAnsi="Arial"/>
        </w:rPr>
        <w:t xml:space="preserve">Domača prireja mesa je v letih 2007-2019 bila od 500 do 740 ton. Domača poraba konjskega mesa znaša v letu 2019 le približno 270 ton. </w:t>
      </w:r>
    </w:p>
    <w:p w14:paraId="7A736730" w14:textId="77777777" w:rsidR="00C4167C" w:rsidRPr="00C4167C" w:rsidRDefault="00C4167C" w:rsidP="00C4167C">
      <w:pPr>
        <w:pStyle w:val="Pripombabesedilo"/>
        <w:spacing w:before="200" w:after="200" w:line="360" w:lineRule="auto"/>
        <w:rPr>
          <w:rFonts w:ascii="Arial" w:hAnsi="Arial"/>
        </w:rPr>
      </w:pPr>
      <w:r w:rsidRPr="00C4167C">
        <w:rPr>
          <w:rFonts w:ascii="Arial" w:eastAsia="TimesNewRoman" w:hAnsi="Arial"/>
        </w:rPr>
        <w:lastRenderedPageBreak/>
        <w:t xml:space="preserve">V Sloveniji smo s konjskim mesom že vrsto let več kot samozadostni saj nismo tradicionalni potrošniki konjskega mesa. V obdobju 2007 – 2019 se je samooskrba s konjskim mesom gibala med 142 % (v letu 2010) in približno 250 % (v letu 2019). </w:t>
      </w:r>
      <w:r w:rsidRPr="00C4167C">
        <w:rPr>
          <w:rFonts w:ascii="Arial" w:hAnsi="Arial"/>
        </w:rPr>
        <w:t>Podatki kažejo velik presežek izvoza nad uvozom živih živali za zakol.</w:t>
      </w:r>
    </w:p>
    <w:p w14:paraId="384A96CC" w14:textId="77777777" w:rsidR="00C4167C" w:rsidRPr="00C4167C" w:rsidRDefault="00C4167C" w:rsidP="00C4167C">
      <w:pPr>
        <w:spacing w:before="200" w:line="360" w:lineRule="auto"/>
        <w:jc w:val="both"/>
        <w:rPr>
          <w:rFonts w:eastAsia="TimesNewRoman" w:cs="Arial"/>
          <w:szCs w:val="20"/>
        </w:rPr>
      </w:pPr>
      <w:r w:rsidRPr="00C4167C">
        <w:rPr>
          <w:rFonts w:eastAsia="TimesNewRoman" w:cs="Arial"/>
          <w:szCs w:val="20"/>
        </w:rPr>
        <w:t xml:space="preserve">Odkupne cene konj za zakol so se v letih 2007 – 2019 gibale med 1574 EUR/t žive mase in 2058 EUR/t žive mase (v letu 2019). </w:t>
      </w:r>
    </w:p>
    <w:p w14:paraId="2087E6F4" w14:textId="77777777" w:rsidR="00C4167C" w:rsidRPr="00C4167C" w:rsidRDefault="00C4167C" w:rsidP="00C4167C">
      <w:pPr>
        <w:spacing w:before="200" w:line="360" w:lineRule="auto"/>
        <w:jc w:val="both"/>
        <w:rPr>
          <w:rFonts w:eastAsia="TimesNewRoman" w:cs="Arial"/>
          <w:szCs w:val="20"/>
        </w:rPr>
      </w:pPr>
      <w:r w:rsidRPr="00C4167C">
        <w:rPr>
          <w:rFonts w:cs="Arial"/>
        </w:rPr>
        <w:t xml:space="preserve">Po statističnih podatkih se je v obdobju 2010 – 2019, število ekološko rejenih kopitarjev, med </w:t>
      </w:r>
      <w:r w:rsidRPr="00C4167C">
        <w:rPr>
          <w:rFonts w:cs="Arial"/>
          <w:szCs w:val="20"/>
        </w:rPr>
        <w:t>katere spadajo tudi konji, povečalo iz 3081 na 4095 kopitarjev (povečanje za tretjino). Število ekološko rejenih živali se je povečevalo predvsem v obdobju 2011 – 2014 in nekoliko še do leta 2016.</w:t>
      </w:r>
      <w:r w:rsidRPr="00C4167C">
        <w:rPr>
          <w:rFonts w:cs="Arial"/>
        </w:rPr>
        <w:t xml:space="preserve"> </w:t>
      </w:r>
      <w:r w:rsidRPr="00C4167C">
        <w:rPr>
          <w:rFonts w:eastAsia="TimesNewRoman" w:cs="Arial"/>
          <w:szCs w:val="20"/>
        </w:rPr>
        <w:t>Od leta 2012 do leta 2019 se je, kljub povečevanju števila ekološko rejenih kopitarjev, prireja ekološkega mesa kopitarjev, povsem prenehala. V letu 2012 je bila prireja tovrstnega mesa 1,84 ton, nakar se je v letu 2013 povečala na 4,66 ton in v nadaljnjih letih postopoma zmanjševala tako, da v letu 2018 in 2019 ni bilo več zaznati ekološko prirejenega mesa kopitarjev.</w:t>
      </w:r>
    </w:p>
    <w:p w14:paraId="18B3E620" w14:textId="77777777" w:rsidR="00C4167C" w:rsidRPr="00C4167C" w:rsidRDefault="00C4167C" w:rsidP="00C4167C">
      <w:pPr>
        <w:spacing w:before="200" w:line="360" w:lineRule="auto"/>
        <w:jc w:val="both"/>
        <w:rPr>
          <w:rFonts w:eastAsia="TimesNewRoman" w:cs="Arial"/>
          <w:szCs w:val="20"/>
        </w:rPr>
      </w:pPr>
      <w:r w:rsidRPr="00C4167C">
        <w:rPr>
          <w:rFonts w:eastAsia="TimesNewRoman" w:cs="Arial"/>
          <w:szCs w:val="20"/>
        </w:rPr>
        <w:t>Slabost panoge je v izvozu živih živali za zakol, razdrobljenosti kmetijskih površin in odsotnosti ponudbe ekoloških proizvodov.</w:t>
      </w:r>
    </w:p>
    <w:p w14:paraId="4890180A" w14:textId="77777777" w:rsidR="00C4167C" w:rsidRPr="00C4167C" w:rsidRDefault="00C4167C" w:rsidP="00C4167C">
      <w:pPr>
        <w:pStyle w:val="ZPtekst"/>
        <w:spacing w:before="200" w:after="200" w:line="360" w:lineRule="auto"/>
        <w:rPr>
          <w:rFonts w:eastAsia="TimesNewRoman"/>
        </w:rPr>
      </w:pPr>
      <w:r w:rsidRPr="00C4167C">
        <w:rPr>
          <w:rFonts w:eastAsia="TimesNewRoman"/>
          <w:szCs w:val="20"/>
        </w:rPr>
        <w:t>Izpusti metana so v konjereji praktično zanemarljivi. Iz prebavil konj in drobnice so bili izpusti metana v letu 2014 v primerjavi z letom 1986 sicer večji medtem, ko izpustov iz skladiščenja živinskih gnojil konji in drobnice praktično ni bilo. Konjereja v absolutnem smislu ne predstavlja velikega onesnaženja z izpusti amonijaka. Tako je konjereja skupaj z drobnico leta 2014, predstavljal le 4,2 % vseh izpustov amonijaka v kmetijstvu. Od leta 1990 do leta 2014 so se izpusti amonijaka na področju konjereje in drobnice sicer povečali.</w:t>
      </w:r>
    </w:p>
    <w:p w14:paraId="5AF71D3C" w14:textId="77777777" w:rsidR="00C4167C" w:rsidRPr="00C4167C" w:rsidRDefault="00C4167C" w:rsidP="00C4167C">
      <w:pPr>
        <w:spacing w:before="200" w:line="360" w:lineRule="auto"/>
        <w:jc w:val="both"/>
        <w:rPr>
          <w:rFonts w:eastAsia="TimesNewRoman" w:cs="Arial"/>
          <w:szCs w:val="20"/>
        </w:rPr>
      </w:pPr>
      <w:r w:rsidRPr="00C4167C">
        <w:rPr>
          <w:rFonts w:eastAsia="TimesNewRoman" w:cs="Arial"/>
          <w:szCs w:val="20"/>
        </w:rPr>
        <w:t>Priložnosti, ki bi pozitivno vplivale na okolje in bi prispevale k blažitvi podnebnih sprememb oz. prilagajanje nanje se kažejo v trženju lokalnih proizvodov, vsestranski uporabi in trženju konjskega gnoja, uporabi infrastrukture za postavitev sončnih elektrarn, trajnostnem upravljanju zavarovanih območij ter uporabi konj v zavarovanih območjih, uvajanju blagovnih znamk.</w:t>
      </w:r>
    </w:p>
    <w:p w14:paraId="55296C53" w14:textId="77777777" w:rsidR="00C4167C" w:rsidRPr="00C4167C" w:rsidRDefault="00C4167C" w:rsidP="00C4167C">
      <w:pPr>
        <w:spacing w:before="200" w:line="360" w:lineRule="auto"/>
        <w:jc w:val="both"/>
        <w:rPr>
          <w:rFonts w:eastAsia="TimesNewRoman" w:cs="Arial"/>
          <w:szCs w:val="20"/>
        </w:rPr>
      </w:pPr>
      <w:r w:rsidRPr="00C4167C">
        <w:rPr>
          <w:rFonts w:eastAsia="TimesNewRoman" w:cs="Arial"/>
          <w:szCs w:val="20"/>
        </w:rPr>
        <w:t xml:space="preserve">V Sloveniji imamo v primerjavi z drugimi vrstami </w:t>
      </w:r>
      <w:proofErr w:type="spellStart"/>
      <w:r w:rsidRPr="00C4167C">
        <w:rPr>
          <w:rFonts w:eastAsia="TimesNewRoman" w:cs="Arial"/>
          <w:szCs w:val="20"/>
        </w:rPr>
        <w:t>rejnih</w:t>
      </w:r>
      <w:proofErr w:type="spellEnd"/>
      <w:r w:rsidRPr="00C4167C">
        <w:rPr>
          <w:rFonts w:eastAsia="TimesNewRoman" w:cs="Arial"/>
          <w:szCs w:val="20"/>
        </w:rPr>
        <w:t xml:space="preserve"> živali, relativno veliko število avtohtonih in tradicionalnih pasem konj. Veliko pasem je ogroženih, poleg tega se kot slabosti kažejo tudi povečana tveganja reje na območjih pojavljanja velikih zveri ter pomanjkanje podatkov in aplikativnih raziskav. Priložnosti v okviru varstva biotske raznovrstnosti se kažejo predvsem v uvajanju blagovnih znamk in trajnostnem upravljanju zavarovanih območij.</w:t>
      </w:r>
    </w:p>
    <w:p w14:paraId="312D8AB7" w14:textId="77777777" w:rsidR="00C4167C" w:rsidRPr="00C4167C" w:rsidRDefault="00C4167C" w:rsidP="00C4167C">
      <w:pPr>
        <w:spacing w:before="200" w:line="360" w:lineRule="auto"/>
        <w:jc w:val="both"/>
        <w:rPr>
          <w:rFonts w:eastAsia="TimesNewRoman" w:cs="Arial"/>
          <w:szCs w:val="20"/>
        </w:rPr>
      </w:pPr>
      <w:r w:rsidRPr="00C4167C">
        <w:rPr>
          <w:rFonts w:eastAsia="TimesNewRoman" w:cs="Arial"/>
          <w:szCs w:val="20"/>
        </w:rPr>
        <w:t xml:space="preserve">Ključne priložnosti razvoja podeželja se kažejo v organizaciji prireditev, ki vključujejo konje, povezovanju med deležniki v verigi, proizvodnji in trženju </w:t>
      </w:r>
      <w:proofErr w:type="spellStart"/>
      <w:r w:rsidRPr="00C4167C">
        <w:rPr>
          <w:rFonts w:eastAsia="TimesNewRoman" w:cs="Arial"/>
          <w:szCs w:val="20"/>
        </w:rPr>
        <w:t>nišnih</w:t>
      </w:r>
      <w:proofErr w:type="spellEnd"/>
      <w:r w:rsidRPr="00C4167C">
        <w:rPr>
          <w:rFonts w:eastAsia="TimesNewRoman" w:cs="Arial"/>
          <w:szCs w:val="20"/>
        </w:rPr>
        <w:t xml:space="preserve"> proizvodov, uvajanju blagovnih znamk, proizvodnji specialne opreme za konjerejo, uporabi konj v terapevtske in rekreacijske namene in večji diverzifikaciji sektorja. Problematična pa so: visoka začetna vlaganja v dejavnost, razdrobljenost kmetijskih površin, </w:t>
      </w:r>
      <w:r w:rsidRPr="00C4167C">
        <w:rPr>
          <w:rFonts w:eastAsia="TimesNewRoman" w:cs="Arial"/>
          <w:szCs w:val="20"/>
        </w:rPr>
        <w:lastRenderedPageBreak/>
        <w:t>administrativno zahtevni postopki, pomanjkljiv sistem prenosa znanja in usposabljanja na področju konjereje in konjeništva, malo urejenih in organiziranih jahalnih poti in druge infrastrukture ter slaba vključenost konjeništva v turistično dejavnost</w:t>
      </w:r>
      <w:r w:rsidRPr="00C4167C">
        <w:rPr>
          <w:rFonts w:cs="Arial"/>
          <w:szCs w:val="20"/>
        </w:rPr>
        <w:t>.</w:t>
      </w:r>
    </w:p>
    <w:p w14:paraId="3B2F4ACC" w14:textId="77777777" w:rsidR="00C4167C" w:rsidRPr="00C4167C" w:rsidRDefault="00C4167C" w:rsidP="00C4167C">
      <w:pPr>
        <w:spacing w:before="200" w:line="360" w:lineRule="auto"/>
        <w:jc w:val="both"/>
        <w:rPr>
          <w:rFonts w:eastAsia="TimesNewRoman" w:cs="Arial"/>
          <w:szCs w:val="20"/>
        </w:rPr>
      </w:pPr>
      <w:r w:rsidRPr="00C4167C">
        <w:rPr>
          <w:rFonts w:eastAsia="TimesNewRoman" w:cs="Arial"/>
          <w:szCs w:val="20"/>
        </w:rPr>
        <w:t>Splošna javnost želi, da se dobrobit živali okrepi na vseh področjih, tudi na področju konjereje in konjeništva, ki je medijsko bolj izpostavljeno. Nevarnosti, ki pretijo sektorju so predvsem širjenje bolezni in negativen odnos dela javnosti do konjereje (za splošno uporabo konj, za prirejo mesa…) in na splošno živinoreje.</w:t>
      </w:r>
    </w:p>
    <w:p w14:paraId="2055566B" w14:textId="77777777" w:rsidR="00C4167C" w:rsidRPr="00C4167C" w:rsidRDefault="00C4167C" w:rsidP="00C4167C">
      <w:pPr>
        <w:spacing w:before="200" w:line="360" w:lineRule="auto"/>
        <w:jc w:val="both"/>
        <w:rPr>
          <w:rFonts w:eastAsia="TimesNewRoman" w:cs="Arial"/>
          <w:szCs w:val="20"/>
        </w:rPr>
      </w:pPr>
      <w:r w:rsidRPr="00C4167C">
        <w:rPr>
          <w:rFonts w:eastAsia="TimesNewRoman" w:cs="Arial"/>
          <w:szCs w:val="20"/>
        </w:rPr>
        <w:t xml:space="preserve">Dosedanje podpore SKP 2014-2020 za sektor konjereje izhajajo iz splošnih ukrepov, ki so vezani na površine in različnih ukrepov PRP 2014-2020 (M04 Naložbe v osnovna sredstva, M06 Razvoj kmetij in podjetij  itd.). Do dne 31. 8. 2019 je bilo v okviru </w:t>
      </w:r>
      <w:proofErr w:type="spellStart"/>
      <w:r w:rsidRPr="00C4167C">
        <w:rPr>
          <w:rFonts w:eastAsia="TimesNewRoman" w:cs="Arial"/>
          <w:szCs w:val="20"/>
        </w:rPr>
        <w:t>podukrepa</w:t>
      </w:r>
      <w:proofErr w:type="spellEnd"/>
      <w:r w:rsidRPr="00C4167C">
        <w:rPr>
          <w:rFonts w:eastAsia="TimesNewRoman" w:cs="Arial"/>
          <w:szCs w:val="20"/>
        </w:rPr>
        <w:t xml:space="preserve"> M04.1 Podpora za naložbe v kmetijska gospodarstva izplačano približno 107.000 EUR, v okviru </w:t>
      </w:r>
      <w:proofErr w:type="spellStart"/>
      <w:r w:rsidRPr="00C4167C">
        <w:rPr>
          <w:rFonts w:eastAsia="TimesNewRoman" w:cs="Arial"/>
          <w:szCs w:val="20"/>
        </w:rPr>
        <w:t>podukrepa</w:t>
      </w:r>
      <w:proofErr w:type="spellEnd"/>
      <w:r w:rsidRPr="00C4167C">
        <w:rPr>
          <w:rFonts w:eastAsia="TimesNewRoman" w:cs="Arial"/>
          <w:szCs w:val="20"/>
        </w:rPr>
        <w:t xml:space="preserve"> M06.1 Pomoč za zagon dejavnosti za mlade kmete, kjer je sektor konjereje glede na število upravičencev (pod 1 %) eden izmed najmanj zastopanih sektorjev pa je bilo izplačano približno 76.000 EUR. V okviru </w:t>
      </w:r>
      <w:proofErr w:type="spellStart"/>
      <w:r w:rsidRPr="00C4167C">
        <w:rPr>
          <w:rFonts w:eastAsia="TimesNewRoman" w:cs="Arial"/>
          <w:szCs w:val="20"/>
        </w:rPr>
        <w:t>podukrepa</w:t>
      </w:r>
      <w:proofErr w:type="spellEnd"/>
      <w:r w:rsidRPr="00C4167C">
        <w:rPr>
          <w:rFonts w:eastAsia="TimesNewRoman" w:cs="Arial"/>
          <w:szCs w:val="20"/>
        </w:rPr>
        <w:t xml:space="preserve"> M06.3 Pomoč za zagon dejavnosti, namenjene razvoju majhnih </w:t>
      </w:r>
      <w:proofErr w:type="spellStart"/>
      <w:r w:rsidRPr="00C4167C">
        <w:rPr>
          <w:rFonts w:eastAsia="TimesNewRoman" w:cs="Arial"/>
          <w:szCs w:val="20"/>
        </w:rPr>
        <w:t>kmetijje</w:t>
      </w:r>
      <w:proofErr w:type="spellEnd"/>
      <w:r w:rsidRPr="00C4167C">
        <w:rPr>
          <w:rFonts w:eastAsia="TimesNewRoman" w:cs="Arial"/>
          <w:szCs w:val="20"/>
        </w:rPr>
        <w:t xml:space="preserve"> bilo izplačano dobrih 300.000 EUR.</w:t>
      </w:r>
    </w:p>
    <w:p w14:paraId="04E10657" w14:textId="77777777" w:rsidR="00C4167C" w:rsidRPr="00C4167C" w:rsidRDefault="00C4167C" w:rsidP="00C4167C">
      <w:pPr>
        <w:spacing w:before="200" w:line="360" w:lineRule="auto"/>
        <w:jc w:val="both"/>
        <w:rPr>
          <w:rFonts w:eastAsia="Arial" w:cs="Arial"/>
          <w:szCs w:val="20"/>
        </w:rPr>
      </w:pPr>
      <w:r w:rsidRPr="00C4167C">
        <w:rPr>
          <w:rFonts w:eastAsia="TimesNewRoman" w:cs="Arial"/>
          <w:szCs w:val="20"/>
        </w:rPr>
        <w:t>V okviru priprav Strateškega načrta SKPpo2020 so deležniki kot ključno slabost izpostavili tudi dejstvo, da v programskem obdobju 2014-2020 ni bilo ukrepa dobrobiti živali za konjerejo. V prihodnjem programskem obdobju so izvajanje ukrepa dobrobit živali prepoznali tudi kot priložnost za razvoj panoge.</w:t>
      </w:r>
    </w:p>
    <w:p w14:paraId="47BCE550" w14:textId="77777777" w:rsidR="00C4167C" w:rsidRPr="00C4167C" w:rsidRDefault="00C4167C" w:rsidP="00C4167C">
      <w:pPr>
        <w:spacing w:before="200" w:line="360" w:lineRule="auto"/>
        <w:jc w:val="both"/>
        <w:rPr>
          <w:rFonts w:eastAsia="Arial" w:cs="Arial"/>
          <w:szCs w:val="20"/>
        </w:rPr>
      </w:pPr>
      <w:r w:rsidRPr="00C4167C">
        <w:rPr>
          <w:rFonts w:eastAsia="Arial" w:cs="Arial"/>
          <w:szCs w:val="20"/>
        </w:rPr>
        <w:t xml:space="preserve">V javno službo strokovnih nalog na področju konjereje so vključene naslednje pasme: </w:t>
      </w:r>
      <w:r w:rsidRPr="00C4167C">
        <w:rPr>
          <w:rFonts w:eastAsia="Arial" w:cs="Arial"/>
          <w:color w:val="000000" w:themeColor="text1"/>
          <w:szCs w:val="20"/>
        </w:rPr>
        <w:t xml:space="preserve">slovenska hladnokrvna pasma, posavski konj, lipicanski konj, </w:t>
      </w:r>
      <w:proofErr w:type="spellStart"/>
      <w:r w:rsidRPr="00C4167C">
        <w:rPr>
          <w:rFonts w:eastAsia="Arial" w:cs="Arial"/>
          <w:color w:val="000000" w:themeColor="text1"/>
          <w:szCs w:val="20"/>
        </w:rPr>
        <w:t>haflinški</w:t>
      </w:r>
      <w:proofErr w:type="spellEnd"/>
      <w:r w:rsidRPr="00C4167C">
        <w:rPr>
          <w:rFonts w:eastAsia="Arial" w:cs="Arial"/>
          <w:color w:val="000000" w:themeColor="text1"/>
          <w:szCs w:val="20"/>
        </w:rPr>
        <w:t xml:space="preserve"> konj, arabski konj, arabski polnokrvni konj, angleški polnokrvni konj, islandski konj in </w:t>
      </w:r>
      <w:proofErr w:type="spellStart"/>
      <w:r w:rsidRPr="00C4167C">
        <w:rPr>
          <w:rFonts w:eastAsia="Arial" w:cs="Arial"/>
          <w:color w:val="000000" w:themeColor="text1"/>
          <w:szCs w:val="20"/>
        </w:rPr>
        <w:t>šetlandski</w:t>
      </w:r>
      <w:proofErr w:type="spellEnd"/>
      <w:r w:rsidRPr="00C4167C">
        <w:rPr>
          <w:rFonts w:eastAsia="Arial" w:cs="Arial"/>
          <w:color w:val="000000" w:themeColor="text1"/>
          <w:szCs w:val="20"/>
        </w:rPr>
        <w:t xml:space="preserve"> poni, slovenski toplokrvni konj, kasaški konj in ljutomerski kasač</w:t>
      </w:r>
      <w:r w:rsidRPr="00C4167C">
        <w:rPr>
          <w:rFonts w:eastAsia="Arial" w:cs="Arial"/>
          <w:szCs w:val="20"/>
        </w:rPr>
        <w:t>. Rejcem konj je svetovanje zagotovljeno preko javne kmetijske svetovalne službe.</w:t>
      </w:r>
    </w:p>
    <w:p w14:paraId="34B60043" w14:textId="77777777" w:rsidR="00C4167C" w:rsidRPr="00C4167C" w:rsidRDefault="00C4167C" w:rsidP="00C4167C">
      <w:pPr>
        <w:spacing w:before="200" w:line="360" w:lineRule="auto"/>
        <w:jc w:val="both"/>
        <w:rPr>
          <w:rFonts w:cs="Arial"/>
          <w:szCs w:val="20"/>
        </w:rPr>
      </w:pPr>
      <w:r w:rsidRPr="00C4167C">
        <w:rPr>
          <w:rFonts w:eastAsia="TimesNewRoman" w:cs="Arial"/>
          <w:szCs w:val="20"/>
        </w:rPr>
        <w:t xml:space="preserve">V okviru javne službe nalog genske banke v živinoreji se varujejo/ohranjajo tri avtohtone pasme konj: lipicanski, slovenski hladnokrvni in posavski ter dve tradicionalni pasmi: </w:t>
      </w:r>
      <w:proofErr w:type="spellStart"/>
      <w:r w:rsidRPr="00C4167C">
        <w:rPr>
          <w:rFonts w:eastAsia="TimesNewRoman" w:cs="Arial"/>
          <w:szCs w:val="20"/>
        </w:rPr>
        <w:t>haflinški</w:t>
      </w:r>
      <w:proofErr w:type="spellEnd"/>
      <w:r w:rsidRPr="00C4167C">
        <w:rPr>
          <w:rFonts w:eastAsia="TimesNewRoman" w:cs="Arial"/>
          <w:szCs w:val="20"/>
        </w:rPr>
        <w:t xml:space="preserve"> in ljutomerski kasač. V letu 2019 se je Register pasem z zootehniško oceno vodil za naslednje pasme konj: lipicanski, posavski, slovenski hladnokrvni, ljutomerski kasač, </w:t>
      </w:r>
      <w:proofErr w:type="spellStart"/>
      <w:r w:rsidRPr="00C4167C">
        <w:rPr>
          <w:rFonts w:eastAsia="TimesNewRoman" w:cs="Arial"/>
          <w:szCs w:val="20"/>
        </w:rPr>
        <w:t>haflinški</w:t>
      </w:r>
      <w:proofErr w:type="spellEnd"/>
      <w:r w:rsidRPr="00C4167C">
        <w:rPr>
          <w:rFonts w:eastAsia="TimesNewRoman" w:cs="Arial"/>
          <w:szCs w:val="20"/>
        </w:rPr>
        <w:t>, kasaški, arabski, arabski polnokrvni, islandski, angleški polnokrvni, slovenski toplokrvni in bosanski planinski. Javna služba opravlja naloge na področjih spremljanja stanja in karakterizacije pasem, mehanizmih trajnostne rabe in razvoja, oblik ohranjanja živalskih genskih virov ter politik upravljanja živalskih genskih virov.</w:t>
      </w:r>
    </w:p>
    <w:p w14:paraId="07EE7B83" w14:textId="77777777" w:rsidR="00C4167C" w:rsidRPr="00C4167C" w:rsidRDefault="00C4167C" w:rsidP="00C4167C"/>
    <w:p w14:paraId="6ECC77D0" w14:textId="494BAF19" w:rsidR="00CF3CC6" w:rsidRDefault="00CF3CC6" w:rsidP="003F360D">
      <w:pPr>
        <w:pStyle w:val="Naslov3"/>
        <w:rPr>
          <w:rFonts w:eastAsia="Calibri"/>
        </w:rPr>
      </w:pPr>
      <w:bookmarkStart w:id="185" w:name="_Toc55912215"/>
      <w:r w:rsidRPr="004314EF">
        <w:rPr>
          <w:rFonts w:eastAsia="Calibri"/>
        </w:rPr>
        <w:t>Ključna ugotovitev</w:t>
      </w:r>
      <w:bookmarkEnd w:id="185"/>
    </w:p>
    <w:p w14:paraId="33D8BDA2" w14:textId="199F0108" w:rsidR="00E2688B" w:rsidRPr="003E5B4D" w:rsidRDefault="00E2688B" w:rsidP="000A650F">
      <w:pPr>
        <w:pStyle w:val="Odstavekseznama"/>
        <w:numPr>
          <w:ilvl w:val="0"/>
          <w:numId w:val="40"/>
        </w:numPr>
        <w:spacing w:before="120" w:after="120" w:line="360" w:lineRule="auto"/>
        <w:ind w:left="357" w:hanging="357"/>
        <w:contextualSpacing w:val="0"/>
        <w:jc w:val="both"/>
        <w:rPr>
          <w:rFonts w:cs="Arial"/>
          <w:szCs w:val="20"/>
        </w:rPr>
      </w:pPr>
      <w:r>
        <w:rPr>
          <w:rFonts w:cs="Arial"/>
          <w:szCs w:val="20"/>
        </w:rPr>
        <w:t>Konjereja je</w:t>
      </w:r>
      <w:r w:rsidRPr="008C1E7A">
        <w:rPr>
          <w:rFonts w:cs="Arial"/>
          <w:szCs w:val="20"/>
        </w:rPr>
        <w:t xml:space="preserve"> panoga z neizkoriščenim potencialom, tako v smislu proizvodnje kot tudi zaradi </w:t>
      </w:r>
      <w:r>
        <w:rPr>
          <w:rFonts w:cs="Arial"/>
          <w:szCs w:val="20"/>
        </w:rPr>
        <w:t>vpliva na okolje in ohranjanja</w:t>
      </w:r>
      <w:r w:rsidRPr="008C1E7A">
        <w:rPr>
          <w:rFonts w:cs="Arial"/>
          <w:szCs w:val="20"/>
        </w:rPr>
        <w:t xml:space="preserve"> bio</w:t>
      </w:r>
      <w:r>
        <w:rPr>
          <w:rFonts w:cs="Arial"/>
          <w:szCs w:val="20"/>
        </w:rPr>
        <w:t xml:space="preserve">tske raznovrstnosti </w:t>
      </w:r>
      <w:r w:rsidRPr="008C1E7A">
        <w:rPr>
          <w:rFonts w:cs="Arial"/>
          <w:szCs w:val="20"/>
        </w:rPr>
        <w:t>in tradicionalnih praks na podeželskih območjih.</w:t>
      </w:r>
    </w:p>
    <w:p w14:paraId="1CEFB5E9" w14:textId="77777777" w:rsidR="00E2688B" w:rsidRPr="003E5B4D" w:rsidRDefault="00E2688B" w:rsidP="000A650F">
      <w:pPr>
        <w:pStyle w:val="Odstavekseznama"/>
        <w:numPr>
          <w:ilvl w:val="0"/>
          <w:numId w:val="40"/>
        </w:numPr>
        <w:spacing w:before="120" w:after="120" w:line="360" w:lineRule="auto"/>
        <w:ind w:left="357" w:hanging="357"/>
        <w:contextualSpacing w:val="0"/>
        <w:jc w:val="both"/>
        <w:rPr>
          <w:rFonts w:cs="Arial"/>
          <w:szCs w:val="20"/>
        </w:rPr>
      </w:pPr>
      <w:r>
        <w:rPr>
          <w:rFonts w:cs="Arial"/>
          <w:szCs w:val="20"/>
        </w:rPr>
        <w:lastRenderedPageBreak/>
        <w:t>Število ekološko rejenih kopitarjev se je v obdobju 2010 – 2019 povečalo medtem, ko se je prireja ekološkega konjskega mesa povsem ustavila.</w:t>
      </w:r>
      <w:r w:rsidRPr="002F5603">
        <w:rPr>
          <w:rFonts w:cs="Arial"/>
          <w:szCs w:val="20"/>
        </w:rPr>
        <w:t xml:space="preserve"> </w:t>
      </w:r>
      <w:r>
        <w:rPr>
          <w:rFonts w:cs="Arial"/>
          <w:szCs w:val="20"/>
        </w:rPr>
        <w:t>Sektor ni vključen v ukrep dobrobit živali.</w:t>
      </w:r>
    </w:p>
    <w:p w14:paraId="33227F1E" w14:textId="77777777" w:rsidR="00E2688B" w:rsidRPr="003E5B4D" w:rsidRDefault="00E2688B" w:rsidP="000A650F">
      <w:pPr>
        <w:pStyle w:val="Odstavekseznama"/>
        <w:numPr>
          <w:ilvl w:val="0"/>
          <w:numId w:val="40"/>
        </w:numPr>
        <w:spacing w:before="120" w:after="120" w:line="360" w:lineRule="auto"/>
        <w:ind w:left="357" w:hanging="357"/>
        <w:contextualSpacing w:val="0"/>
        <w:jc w:val="both"/>
        <w:rPr>
          <w:rFonts w:cs="Arial"/>
          <w:szCs w:val="20"/>
        </w:rPr>
      </w:pPr>
      <w:r>
        <w:rPr>
          <w:rFonts w:cs="Arial"/>
          <w:szCs w:val="20"/>
        </w:rPr>
        <w:t>Avtohtone in tradicionalne pasme konj so zelo ogrožene, zato bi bilo potrebno okrepiti njihovo zaščito.</w:t>
      </w:r>
    </w:p>
    <w:p w14:paraId="4D7362B6" w14:textId="77777777" w:rsidR="00E2688B" w:rsidRPr="003E5B4D" w:rsidRDefault="00E2688B" w:rsidP="000A650F">
      <w:pPr>
        <w:pStyle w:val="Odstavekseznama"/>
        <w:numPr>
          <w:ilvl w:val="0"/>
          <w:numId w:val="40"/>
        </w:numPr>
        <w:spacing w:before="120" w:after="120" w:line="360" w:lineRule="auto"/>
        <w:ind w:left="357" w:hanging="357"/>
        <w:contextualSpacing w:val="0"/>
        <w:jc w:val="both"/>
        <w:rPr>
          <w:rFonts w:cs="Arial"/>
          <w:szCs w:val="20"/>
        </w:rPr>
      </w:pPr>
      <w:r w:rsidRPr="00A316D7">
        <w:rPr>
          <w:rFonts w:cs="Arial"/>
          <w:szCs w:val="20"/>
        </w:rPr>
        <w:t xml:space="preserve">V konjereji so priložnosti v trženju lokalnih proizvodov in storitev, </w:t>
      </w:r>
      <w:r>
        <w:rPr>
          <w:rFonts w:cs="Arial"/>
          <w:szCs w:val="20"/>
        </w:rPr>
        <w:t>vendar je potrebno okrepiti promocijo.</w:t>
      </w:r>
    </w:p>
    <w:p w14:paraId="77892686" w14:textId="77777777" w:rsidR="00E2688B" w:rsidRPr="00E2688B" w:rsidRDefault="00E2688B" w:rsidP="00E2688B"/>
    <w:p w14:paraId="553D0B5B" w14:textId="31C74911" w:rsidR="00CF3CC6" w:rsidRDefault="00E2688B" w:rsidP="000E474E">
      <w:pPr>
        <w:pStyle w:val="Naslov2"/>
        <w:ind w:left="578" w:hanging="578"/>
        <w:jc w:val="left"/>
      </w:pPr>
      <w:bookmarkStart w:id="186" w:name="_Toc40959288"/>
      <w:bookmarkStart w:id="187" w:name="_Toc55912216"/>
      <w:r>
        <w:t>Z</w:t>
      </w:r>
      <w:r w:rsidR="00CF3CC6" w:rsidRPr="004314EF">
        <w:t>elenja</w:t>
      </w:r>
      <w:r>
        <w:t>darstvo</w:t>
      </w:r>
      <w:bookmarkEnd w:id="186"/>
      <w:bookmarkEnd w:id="187"/>
    </w:p>
    <w:p w14:paraId="73AE9509" w14:textId="77777777" w:rsidR="00E2688B" w:rsidRPr="003B2B91" w:rsidRDefault="00E2688B" w:rsidP="00E2688B">
      <w:pPr>
        <w:spacing w:before="200" w:line="360" w:lineRule="auto"/>
        <w:jc w:val="both"/>
        <w:rPr>
          <w:rFonts w:eastAsia="Times New Roman" w:cs="Arial"/>
          <w:szCs w:val="20"/>
          <w:lang w:eastAsia="en-GB"/>
        </w:rPr>
      </w:pPr>
      <w:r w:rsidRPr="003B2B91">
        <w:rPr>
          <w:rFonts w:eastAsia="Times New Roman" w:cs="Arial"/>
          <w:szCs w:val="20"/>
          <w:lang w:eastAsia="en-GB"/>
        </w:rPr>
        <w:t xml:space="preserve">V Sloveniji so za tržno pridelavo </w:t>
      </w:r>
      <w:r w:rsidRPr="0025226F">
        <w:rPr>
          <w:rFonts w:eastAsia="Times New Roman" w:cs="Arial"/>
          <w:szCs w:val="20"/>
          <w:lang w:eastAsia="en-GB"/>
        </w:rPr>
        <w:t xml:space="preserve">zelenjave značilne majhne pridelovalne površine na posamezno kmetijsko gospodarstvo, ki pa so intenzivno obdelane. Pridelava je zelo odvisna od vremenskih razmer, saj </w:t>
      </w:r>
      <w:r w:rsidRPr="0025226F">
        <w:rPr>
          <w:rFonts w:cs="Arial"/>
          <w:szCs w:val="20"/>
        </w:rPr>
        <w:t xml:space="preserve">imamo kar 96 % osnovnih površin, </w:t>
      </w:r>
      <w:r w:rsidRPr="0025226F">
        <w:t xml:space="preserve">ki so namenjene pridelavi zelenjave, na prostem. Slovenija v povprečju uvozi 160.000 ton sveže zelenjave na leto, izvozi pa cca. 15.000 ton, kar kaže na velik potencial </w:t>
      </w:r>
      <w:proofErr w:type="spellStart"/>
      <w:r w:rsidRPr="0025226F">
        <w:t>panoge</w:t>
      </w:r>
      <w:r w:rsidRPr="0025226F">
        <w:rPr>
          <w:rFonts w:cs="Arial"/>
          <w:szCs w:val="20"/>
        </w:rPr>
        <w:t>Za</w:t>
      </w:r>
      <w:proofErr w:type="spellEnd"/>
      <w:r w:rsidRPr="0025226F">
        <w:rPr>
          <w:rFonts w:cs="Arial"/>
          <w:szCs w:val="20"/>
        </w:rPr>
        <w:t xml:space="preserve"> boljše zagotavljanje prehranske varnosti države je pomembno, da bi čim večji del uvoza nadomestili z lastno pridelavo, še posebno v časih izrednih razmer – npr. pandemije, </w:t>
      </w:r>
      <w:r w:rsidRPr="0025226F">
        <w:rPr>
          <w:rFonts w:eastAsia="Times New Roman" w:cs="Arial"/>
          <w:szCs w:val="20"/>
          <w:lang w:eastAsia="en-GB"/>
        </w:rPr>
        <w:t>ter za ohranjanje in ustvarjanje novih delovnih mest na podeželju.</w:t>
      </w:r>
    </w:p>
    <w:p w14:paraId="1BD38FD7" w14:textId="77777777" w:rsidR="00CF3CC6" w:rsidRPr="004314EF" w:rsidRDefault="00CF3CC6" w:rsidP="004314EF">
      <w:pPr>
        <w:pStyle w:val="Naslov3"/>
        <w:rPr>
          <w:rFonts w:eastAsia="Calibri"/>
        </w:rPr>
      </w:pPr>
      <w:bookmarkStart w:id="188" w:name="_Toc55912217"/>
      <w:r w:rsidRPr="004314EF">
        <w:rPr>
          <w:rFonts w:eastAsia="Calibri"/>
        </w:rPr>
        <w:t>Stanje v sektorju in osnovni ekonomski kazalniki</w:t>
      </w:r>
      <w:bookmarkEnd w:id="188"/>
    </w:p>
    <w:p w14:paraId="093AADA0" w14:textId="77777777" w:rsidR="00E2688B" w:rsidRPr="003B2B91" w:rsidRDefault="00E2688B" w:rsidP="00E2688B">
      <w:pPr>
        <w:spacing w:before="200" w:line="360" w:lineRule="auto"/>
        <w:jc w:val="both"/>
        <w:rPr>
          <w:rFonts w:eastAsia="Calibri" w:cs="Arial"/>
          <w:szCs w:val="20"/>
          <w:lang w:eastAsia="en-GB"/>
        </w:rPr>
      </w:pPr>
      <w:r w:rsidRPr="003B2B91">
        <w:rPr>
          <w:rFonts w:eastAsia="Calibri" w:cs="Arial"/>
          <w:szCs w:val="20"/>
          <w:lang w:eastAsia="en-GB"/>
        </w:rPr>
        <w:t xml:space="preserve">Število kmetijskih gospodarstev, ki se ukvarjajo s tržno pridelavo zelenjave, se je po podatkih SURS povečalo. Leta 2010 se je s tržno pridelavo zelenjave ukvarjalo 1.192 kmetijskih gospodarstev, medtem ko v letu 2019 32 % več (1.584 pridelovalcev). Povprečni tržni pridelovalec je leta 2000 zelenjavo prideloval na 1,02 ha osnovne površine, v letu 2019 pa na 1,78 ha osnovne površine (+ 74 %). Povečuje se tudi pridelava zelenjave v zavarovanih prostorih, s povprečno površino 0,28 ha/KMG v letu 2019. Glavnina tržne pridelave zelenjadnic poteka na prostem (96 %). </w:t>
      </w:r>
    </w:p>
    <w:p w14:paraId="4CF73FE4" w14:textId="4C387CF4" w:rsidR="00E2688B" w:rsidRDefault="00E2688B" w:rsidP="00E2688B">
      <w:pPr>
        <w:pStyle w:val="SCPreglednica"/>
      </w:pPr>
      <w:bookmarkStart w:id="189" w:name="_Toc55913745"/>
      <w:r>
        <w:t xml:space="preserve">Tabela </w:t>
      </w:r>
      <w:r>
        <w:fldChar w:fldCharType="begin"/>
      </w:r>
      <w:r>
        <w:instrText xml:space="preserve"> SEQ Tabela \* ARABIC </w:instrText>
      </w:r>
      <w:r>
        <w:fldChar w:fldCharType="separate"/>
      </w:r>
      <w:r w:rsidR="00DF0D48">
        <w:rPr>
          <w:noProof/>
        </w:rPr>
        <w:t>34</w:t>
      </w:r>
      <w:r>
        <w:fldChar w:fldCharType="end"/>
      </w:r>
      <w:r>
        <w:t xml:space="preserve">: </w:t>
      </w:r>
      <w:r w:rsidRPr="00E2688B">
        <w:t>Število kmetijskih gospodarstev ter osnovna in pridelovalna površina zelenjadnic pri tržnih pridelovalcih za leta 2010, 2013, 2016 in 2019</w:t>
      </w:r>
      <w:bookmarkEnd w:id="189"/>
    </w:p>
    <w:p w14:paraId="0FE95159" w14:textId="77777777" w:rsidR="00E2688B" w:rsidRPr="003B2B91" w:rsidRDefault="00E2688B" w:rsidP="00E2688B">
      <w:pPr>
        <w:spacing w:after="0" w:line="360" w:lineRule="auto"/>
        <w:rPr>
          <w:rFonts w:eastAsia="Calibri" w:cs="Arial"/>
          <w:szCs w:val="20"/>
          <w:lang w:eastAsia="en-GB"/>
        </w:rPr>
      </w:pPr>
      <w:r w:rsidRPr="003B2B91">
        <w:rPr>
          <w:rFonts w:cs="Arial"/>
          <w:noProof/>
          <w:szCs w:val="20"/>
        </w:rPr>
        <w:drawing>
          <wp:inline distT="0" distB="0" distL="0" distR="0" wp14:anchorId="62EA2FE8" wp14:editId="4D3CC50D">
            <wp:extent cx="5760720" cy="1064260"/>
            <wp:effectExtent l="0" t="0" r="0" b="254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1064260"/>
                    </a:xfrm>
                    <a:prstGeom prst="rect">
                      <a:avLst/>
                    </a:prstGeom>
                    <a:noFill/>
                    <a:ln>
                      <a:noFill/>
                    </a:ln>
                  </pic:spPr>
                </pic:pic>
              </a:graphicData>
            </a:graphic>
          </wp:inline>
        </w:drawing>
      </w:r>
    </w:p>
    <w:p w14:paraId="04E28AD1" w14:textId="77777777" w:rsidR="00E2688B" w:rsidRPr="003B2B91" w:rsidRDefault="00E2688B" w:rsidP="00E2688B">
      <w:pPr>
        <w:spacing w:after="0" w:line="360" w:lineRule="auto"/>
        <w:rPr>
          <w:rFonts w:eastAsia="Calibri" w:cs="Arial"/>
          <w:szCs w:val="20"/>
          <w:lang w:eastAsia="en-GB"/>
        </w:rPr>
      </w:pPr>
      <w:r w:rsidRPr="005718B1">
        <w:rPr>
          <w:rFonts w:eastAsia="Calibri" w:cs="Arial"/>
          <w:sz w:val="16"/>
          <w:szCs w:val="16"/>
          <w:lang w:eastAsia="en-GB"/>
        </w:rPr>
        <w:t>Vir: SURS</w:t>
      </w:r>
      <w:r w:rsidRPr="003E5B4D">
        <w:rPr>
          <w:rFonts w:eastAsia="Calibri" w:cs="Arial"/>
          <w:sz w:val="16"/>
          <w:szCs w:val="16"/>
          <w:lang w:eastAsia="en-GB"/>
        </w:rPr>
        <w:t xml:space="preserve"> (popisi tržnega vrtnarstva</w:t>
      </w:r>
      <w:r w:rsidRPr="002C6682">
        <w:rPr>
          <w:rFonts w:eastAsia="Calibri" w:cs="Arial"/>
          <w:sz w:val="16"/>
          <w:szCs w:val="16"/>
          <w:lang w:eastAsia="en-GB"/>
        </w:rPr>
        <w:t>) /</w:t>
      </w:r>
      <w:r w:rsidRPr="005718B1">
        <w:rPr>
          <w:rFonts w:eastAsia="Calibri" w:cs="Arial"/>
          <w:sz w:val="16"/>
          <w:szCs w:val="16"/>
          <w:lang w:eastAsia="en-GB"/>
        </w:rPr>
        <w:t xml:space="preserve"> ZP-2019 </w:t>
      </w:r>
      <w:bookmarkStart w:id="190" w:name="_Toc40959388"/>
    </w:p>
    <w:p w14:paraId="01F43258" w14:textId="77777777" w:rsidR="00E2688B" w:rsidRDefault="00E2688B" w:rsidP="00E2688B">
      <w:pPr>
        <w:spacing w:before="200" w:line="360" w:lineRule="auto"/>
        <w:jc w:val="both"/>
        <w:rPr>
          <w:rFonts w:eastAsia="Calibri" w:cs="Arial"/>
          <w:szCs w:val="20"/>
          <w:lang w:eastAsia="en-GB"/>
        </w:rPr>
      </w:pPr>
      <w:r w:rsidRPr="003B2B91">
        <w:rPr>
          <w:rFonts w:eastAsia="Calibri" w:cs="Arial"/>
          <w:szCs w:val="20"/>
          <w:lang w:eastAsia="en-GB"/>
        </w:rPr>
        <w:t xml:space="preserve">V strukturi rabe njiv in vrtov so osnovne površine zelenjadnic (za tržne namene in za lastno pridelavo) v povprečju zadnjih petih let (2014–2018) zavzemale 2,5 %, v letu 2019 pa 3,1 % kmetijskih površin. Skupna pridelovalna površina zelenjadnic je navadno za skoraj četrtino večja od osnovne površine in je v obdobju 2007–2018 obsegala od 2.803 do 5.517 ha. Leta 2019 so bile zelenjadnice pospravljene s </w:t>
      </w:r>
      <w:r w:rsidRPr="003B2B91">
        <w:rPr>
          <w:rFonts w:eastAsia="Calibri" w:cs="Arial"/>
          <w:szCs w:val="20"/>
          <w:lang w:eastAsia="en-GB"/>
        </w:rPr>
        <w:lastRenderedPageBreak/>
        <w:t>6,4 tisoč hektarjev njiv, kar je za 22 % več kot leto prej in prav toliko nad povprečjem zadnjih petih let. Na rekordno površino zelenjadnic je vplivalo močno povečanje površin namenjenih tržni pridelavi zelenjadnic (+55 %), ki so jih ugotovili s popisom v letu 2019.</w:t>
      </w:r>
    </w:p>
    <w:p w14:paraId="12220D95" w14:textId="432FA7E7" w:rsidR="00E2688B" w:rsidRDefault="00E2688B" w:rsidP="00E2688B">
      <w:pPr>
        <w:pStyle w:val="SCPreglednica"/>
        <w:keepNext/>
        <w:keepLines/>
      </w:pPr>
      <w:bookmarkStart w:id="191" w:name="_Toc55913784"/>
      <w:bookmarkEnd w:id="190"/>
      <w:r>
        <w:t xml:space="preserve">Slika </w:t>
      </w:r>
      <w:r>
        <w:fldChar w:fldCharType="begin"/>
      </w:r>
      <w:r>
        <w:instrText xml:space="preserve"> SEQ Slika \* ARABIC </w:instrText>
      </w:r>
      <w:r>
        <w:fldChar w:fldCharType="separate"/>
      </w:r>
      <w:r w:rsidR="0040635C">
        <w:rPr>
          <w:noProof/>
        </w:rPr>
        <w:t>35</w:t>
      </w:r>
      <w:r>
        <w:fldChar w:fldCharType="end"/>
      </w:r>
      <w:r>
        <w:t xml:space="preserve">: </w:t>
      </w:r>
      <w:r w:rsidRPr="00E2688B">
        <w:t>Površina zelenjadnic (ha) za tržne in netržne pridelovalce (2007-2019)</w:t>
      </w:r>
      <w:bookmarkEnd w:id="191"/>
    </w:p>
    <w:p w14:paraId="6C9FEBC8" w14:textId="77777777" w:rsidR="00E2688B" w:rsidRPr="003B2B91" w:rsidRDefault="00E2688B" w:rsidP="00E2688B">
      <w:pPr>
        <w:spacing w:after="0" w:line="360" w:lineRule="auto"/>
        <w:rPr>
          <w:rFonts w:eastAsia="Calibri" w:cs="Arial"/>
          <w:szCs w:val="20"/>
          <w:lang w:eastAsia="en-GB"/>
        </w:rPr>
      </w:pPr>
      <w:r w:rsidRPr="003B2B91">
        <w:rPr>
          <w:rFonts w:cs="Arial"/>
          <w:noProof/>
          <w:szCs w:val="20"/>
        </w:rPr>
        <w:drawing>
          <wp:inline distT="0" distB="0" distL="0" distR="0" wp14:anchorId="2F606189" wp14:editId="1F8A8822">
            <wp:extent cx="3733800" cy="2028825"/>
            <wp:effectExtent l="0" t="0" r="0" b="9525"/>
            <wp:docPr id="13" name="Grafikon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E254D38" w14:textId="77777777" w:rsidR="00E2688B" w:rsidRPr="003B2B91" w:rsidRDefault="00E2688B" w:rsidP="00E2688B">
      <w:pPr>
        <w:spacing w:after="0" w:line="360" w:lineRule="auto"/>
        <w:rPr>
          <w:rFonts w:eastAsia="Calibri" w:cs="Arial"/>
          <w:szCs w:val="20"/>
          <w:lang w:eastAsia="en-GB"/>
        </w:rPr>
      </w:pPr>
      <w:r w:rsidRPr="005718B1">
        <w:rPr>
          <w:rFonts w:eastAsia="Arial,Calibri" w:cs="Arial"/>
          <w:sz w:val="16"/>
          <w:szCs w:val="16"/>
          <w:lang w:eastAsia="en-GB"/>
        </w:rPr>
        <w:t xml:space="preserve">Vir: </w:t>
      </w:r>
      <w:r>
        <w:rPr>
          <w:rFonts w:eastAsia="Arial,Calibri" w:cs="Arial"/>
          <w:sz w:val="16"/>
          <w:szCs w:val="16"/>
          <w:lang w:eastAsia="en-GB"/>
        </w:rPr>
        <w:t>SURS (</w:t>
      </w:r>
      <w:r w:rsidRPr="005718B1">
        <w:rPr>
          <w:rFonts w:eastAsia="Arial,Calibri" w:cs="Arial"/>
          <w:sz w:val="16"/>
          <w:szCs w:val="16"/>
          <w:lang w:eastAsia="en-GB"/>
        </w:rPr>
        <w:t>ZP-2019</w:t>
      </w:r>
      <w:r>
        <w:rPr>
          <w:rFonts w:eastAsia="Arial,Calibri" w:cs="Arial"/>
          <w:sz w:val="16"/>
          <w:szCs w:val="16"/>
          <w:lang w:eastAsia="en-GB"/>
        </w:rPr>
        <w:t>)</w:t>
      </w:r>
    </w:p>
    <w:p w14:paraId="08103709" w14:textId="77777777" w:rsidR="00E2688B" w:rsidRPr="003B2B91" w:rsidRDefault="00E2688B" w:rsidP="00E2688B">
      <w:pPr>
        <w:spacing w:before="200" w:line="360" w:lineRule="auto"/>
        <w:jc w:val="both"/>
        <w:rPr>
          <w:rFonts w:eastAsia="Calibri" w:cs="Arial"/>
          <w:szCs w:val="20"/>
          <w:lang w:eastAsia="en-GB"/>
        </w:rPr>
      </w:pPr>
      <w:r w:rsidRPr="003B2B91">
        <w:rPr>
          <w:rFonts w:eastAsia="Calibri" w:cs="Arial"/>
          <w:szCs w:val="20"/>
          <w:lang w:eastAsia="en-GB"/>
        </w:rPr>
        <w:t>Ker večina pridelave zelenjadnic poteka na prostem, na pridelek močno vplivajo vremenski dejavniki, ki tudi v letu 2019 niso bili zelo naklonjeni pridelavi zelenjadnic. Povprečni hektarski pridelek zelenjadnic je bil za 2 % manjši kot v dokaj ugodnem letu 2018, pri čemer so bili pridelki zelenjadnic pri nekaterih vrstah nižji (npr. zelje, solata, paradižnik, paprika, bučke, kumare, nizki fižol za stročje) pri drugih pa višji (npr. endivija, radič, korenček, visoki fižol, grah). Povprečni hektarski pridelek zelenjadnic je bil blizu povprečja zadnjih petih let.</w:t>
      </w:r>
    </w:p>
    <w:p w14:paraId="20C1A253" w14:textId="2D6C5276" w:rsidR="00E2688B" w:rsidRDefault="00E2688B" w:rsidP="00E2688B">
      <w:pPr>
        <w:pStyle w:val="SCPreglednica"/>
        <w:keepNext/>
        <w:keepLines/>
      </w:pPr>
      <w:bookmarkStart w:id="192" w:name="_Toc55913785"/>
      <w:r>
        <w:t xml:space="preserve">Slika </w:t>
      </w:r>
      <w:r>
        <w:fldChar w:fldCharType="begin"/>
      </w:r>
      <w:r>
        <w:instrText xml:space="preserve"> SEQ Slika \* ARABIC </w:instrText>
      </w:r>
      <w:r>
        <w:fldChar w:fldCharType="separate"/>
      </w:r>
      <w:r w:rsidR="0040635C">
        <w:rPr>
          <w:noProof/>
        </w:rPr>
        <w:t>36</w:t>
      </w:r>
      <w:r>
        <w:fldChar w:fldCharType="end"/>
      </w:r>
      <w:r>
        <w:t xml:space="preserve">: </w:t>
      </w:r>
      <w:r w:rsidRPr="00E2688B">
        <w:t>Pridelek zelenjadnic (t) pri tržnih in netržnih pridelovalcih (2007-2019)</w:t>
      </w:r>
      <w:bookmarkEnd w:id="192"/>
    </w:p>
    <w:p w14:paraId="5DD1BFFE" w14:textId="77777777" w:rsidR="00E2688B" w:rsidRPr="003B2B91" w:rsidRDefault="00E2688B" w:rsidP="00E2688B">
      <w:pPr>
        <w:spacing w:after="0" w:line="360" w:lineRule="auto"/>
        <w:rPr>
          <w:rFonts w:eastAsia="Calibri" w:cs="Arial"/>
          <w:szCs w:val="20"/>
          <w:lang w:eastAsia="en-GB"/>
        </w:rPr>
      </w:pPr>
      <w:r w:rsidRPr="003B2B91">
        <w:rPr>
          <w:rFonts w:cs="Arial"/>
          <w:noProof/>
          <w:szCs w:val="20"/>
        </w:rPr>
        <w:drawing>
          <wp:inline distT="0" distB="0" distL="0" distR="0" wp14:anchorId="20953F25" wp14:editId="18A42A29">
            <wp:extent cx="4143375" cy="1924050"/>
            <wp:effectExtent l="0" t="0" r="9525" b="0"/>
            <wp:docPr id="14" name="Grafikon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2BF6730" w14:textId="77777777" w:rsidR="00E2688B" w:rsidRPr="003B2B91" w:rsidRDefault="00E2688B" w:rsidP="00E2688B">
      <w:pPr>
        <w:spacing w:after="0" w:line="360" w:lineRule="auto"/>
        <w:rPr>
          <w:rFonts w:eastAsia="Calibri" w:cs="Arial"/>
          <w:szCs w:val="20"/>
          <w:lang w:eastAsia="en-GB"/>
        </w:rPr>
      </w:pPr>
      <w:r w:rsidRPr="005718B1">
        <w:rPr>
          <w:rFonts w:eastAsia="Arial,Calibri" w:cs="Arial"/>
          <w:sz w:val="16"/>
          <w:szCs w:val="16"/>
          <w:lang w:eastAsia="en-GB"/>
        </w:rPr>
        <w:t xml:space="preserve">Vir: </w:t>
      </w:r>
      <w:r>
        <w:rPr>
          <w:rFonts w:eastAsia="Arial,Calibri" w:cs="Arial"/>
          <w:sz w:val="16"/>
          <w:szCs w:val="16"/>
          <w:lang w:eastAsia="en-GB"/>
        </w:rPr>
        <w:t>SURS (</w:t>
      </w:r>
      <w:r w:rsidRPr="005718B1">
        <w:rPr>
          <w:rFonts w:eastAsia="Arial,Calibri" w:cs="Arial"/>
          <w:sz w:val="16"/>
          <w:szCs w:val="16"/>
          <w:lang w:eastAsia="en-GB"/>
        </w:rPr>
        <w:t>ZP-2019</w:t>
      </w:r>
      <w:r>
        <w:rPr>
          <w:rFonts w:eastAsia="Arial,Calibri" w:cs="Arial"/>
          <w:sz w:val="16"/>
          <w:szCs w:val="16"/>
          <w:lang w:eastAsia="en-GB"/>
        </w:rPr>
        <w:t>)</w:t>
      </w:r>
    </w:p>
    <w:p w14:paraId="13E67634" w14:textId="77777777" w:rsidR="00E2688B" w:rsidRPr="003B2B91" w:rsidRDefault="00E2688B" w:rsidP="00E2688B">
      <w:pPr>
        <w:spacing w:before="200" w:line="360" w:lineRule="auto"/>
        <w:jc w:val="both"/>
        <w:rPr>
          <w:rFonts w:eastAsia="Calibri" w:cs="Arial"/>
          <w:szCs w:val="20"/>
          <w:lang w:eastAsia="en-GB"/>
        </w:rPr>
      </w:pPr>
      <w:r w:rsidRPr="003B2B91">
        <w:rPr>
          <w:rFonts w:eastAsia="Arial,Calibri" w:cs="Arial"/>
          <w:szCs w:val="20"/>
          <w:lang w:eastAsia="en-GB"/>
        </w:rPr>
        <w:t>V</w:t>
      </w:r>
      <w:r w:rsidRPr="003B2B91">
        <w:rPr>
          <w:rFonts w:eastAsia="Arial" w:cs="Arial"/>
          <w:szCs w:val="20"/>
          <w:lang w:eastAsia="en-GB"/>
        </w:rPr>
        <w:t xml:space="preserve"> Sloveniji so kmetijska gospodarstva leta 2019 na 6.425 ha površin </w:t>
      </w:r>
      <w:proofErr w:type="spellStart"/>
      <w:r w:rsidRPr="003B2B91">
        <w:rPr>
          <w:rFonts w:eastAsia="Arial" w:cs="Arial"/>
          <w:szCs w:val="20"/>
          <w:lang w:eastAsia="en-GB"/>
        </w:rPr>
        <w:t>pridelalali</w:t>
      </w:r>
      <w:proofErr w:type="spellEnd"/>
      <w:r w:rsidRPr="003B2B91">
        <w:rPr>
          <w:rFonts w:eastAsia="Arial" w:cs="Arial"/>
          <w:szCs w:val="20"/>
          <w:lang w:eastAsia="en-GB"/>
        </w:rPr>
        <w:t xml:space="preserve"> 120.120 ton zelenjave, od tega na 3.487 ha površin 80.359 ton za prodajo. Glede na leto 2007 se je tržni pridelek zelenjadnic za enkrat povečal (108 %). Povprečni hektarski pridelki posameznih tržnih zelenjadnic zaostajajo za povprečnimi hektarskimi pridelki v državah članicah Evropske unije (EU). V pridelovalni strukturi tržnih </w:t>
      </w:r>
      <w:r w:rsidRPr="003B2B91">
        <w:rPr>
          <w:rFonts w:eastAsia="Arial" w:cs="Arial"/>
          <w:szCs w:val="20"/>
          <w:lang w:eastAsia="en-GB"/>
        </w:rPr>
        <w:lastRenderedPageBreak/>
        <w:t>zelenjadnic, so bile leta 2019 po količini najpomembnejše zelenjadnice zelje, čebula, paradižnik, solata, korenček, paprika, rdeča pesa in bučka.</w:t>
      </w:r>
    </w:p>
    <w:p w14:paraId="0B517399" w14:textId="77777777" w:rsidR="00E2688B" w:rsidRDefault="00E2688B" w:rsidP="00E2688B">
      <w:pPr>
        <w:pStyle w:val="ZPtekst"/>
        <w:spacing w:before="200" w:after="200" w:line="360" w:lineRule="auto"/>
        <w:rPr>
          <w:rFonts w:eastAsia="Arial"/>
          <w:szCs w:val="20"/>
        </w:rPr>
      </w:pPr>
      <w:r w:rsidRPr="003B2B91">
        <w:rPr>
          <w:rFonts w:eastAsia="Arial"/>
          <w:szCs w:val="20"/>
        </w:rPr>
        <w:t>V letu 2019 smo pridelali za 19 % več zelenjadnic kot leta 2018. Količina pridelanih zelenjadnic v letu 2019 po naših ocenah ter na podlagi analize podatkov zadnjega tržnega popisa vrtnarstva verjetno vključuje tudi pridelek zelenjadnic, ki ni bil v celoti namenjen prehrani ljudi (npr. repa, redkev, grah, bučke).</w:t>
      </w:r>
    </w:p>
    <w:p w14:paraId="44ECBD60" w14:textId="66E83415" w:rsidR="00E2688B" w:rsidRDefault="00E2688B" w:rsidP="00E2688B">
      <w:pPr>
        <w:pStyle w:val="SCPreglednica"/>
        <w:keepNext/>
        <w:keepLines/>
      </w:pPr>
      <w:bookmarkStart w:id="193" w:name="_Toc55913786"/>
      <w:r>
        <w:t xml:space="preserve">Slika </w:t>
      </w:r>
      <w:r>
        <w:fldChar w:fldCharType="begin"/>
      </w:r>
      <w:r>
        <w:instrText xml:space="preserve"> SEQ Slika \* ARABIC </w:instrText>
      </w:r>
      <w:r>
        <w:fldChar w:fldCharType="separate"/>
      </w:r>
      <w:r w:rsidR="0040635C">
        <w:rPr>
          <w:noProof/>
        </w:rPr>
        <w:t>37</w:t>
      </w:r>
      <w:r>
        <w:fldChar w:fldCharType="end"/>
      </w:r>
      <w:r>
        <w:t xml:space="preserve">: </w:t>
      </w:r>
      <w:r w:rsidRPr="005718B1">
        <w:rPr>
          <w:rFonts w:eastAsia="Calibri"/>
          <w:szCs w:val="20"/>
          <w:lang w:eastAsia="en-GB"/>
        </w:rPr>
        <w:t>Pridelava in poraba zelenjave</w:t>
      </w:r>
      <w:r>
        <w:rPr>
          <w:rFonts w:eastAsia="Calibri"/>
          <w:szCs w:val="20"/>
          <w:lang w:eastAsia="en-GB"/>
        </w:rPr>
        <w:t xml:space="preserve"> (v 1000 t, ekvivalent sveže zelenjave)</w:t>
      </w:r>
      <w:bookmarkEnd w:id="193"/>
    </w:p>
    <w:p w14:paraId="134DB2CA" w14:textId="77777777" w:rsidR="00E2688B" w:rsidRPr="003B2B91" w:rsidRDefault="00E2688B" w:rsidP="00E2688B">
      <w:pPr>
        <w:pStyle w:val="ZPtekst"/>
        <w:spacing w:before="0" w:line="360" w:lineRule="auto"/>
        <w:rPr>
          <w:rFonts w:eastAsia="Calibri"/>
          <w:szCs w:val="20"/>
        </w:rPr>
      </w:pPr>
      <w:r w:rsidRPr="003B2B91">
        <w:rPr>
          <w:noProof/>
          <w:szCs w:val="20"/>
          <w:lang w:eastAsia="sl-SI"/>
        </w:rPr>
        <w:drawing>
          <wp:inline distT="0" distB="0" distL="0" distR="0" wp14:anchorId="6CF237D1" wp14:editId="23542D5C">
            <wp:extent cx="3920150" cy="2068717"/>
            <wp:effectExtent l="0" t="0" r="23495" b="27305"/>
            <wp:docPr id="24169600" name="Grafikon 241696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6D0984C" w14:textId="77777777" w:rsidR="00E2688B" w:rsidRPr="005718B1" w:rsidRDefault="00E2688B" w:rsidP="00E2688B">
      <w:pPr>
        <w:spacing w:after="0" w:line="360" w:lineRule="auto"/>
        <w:rPr>
          <w:rFonts w:eastAsia="Calibri" w:cs="Arial"/>
          <w:sz w:val="16"/>
          <w:szCs w:val="16"/>
          <w:lang w:eastAsia="en-GB"/>
        </w:rPr>
      </w:pPr>
      <w:r w:rsidRPr="005718B1">
        <w:rPr>
          <w:rFonts w:eastAsia="Calibri" w:cs="Arial"/>
          <w:sz w:val="16"/>
          <w:szCs w:val="16"/>
          <w:lang w:eastAsia="en-GB"/>
        </w:rPr>
        <w:t xml:space="preserve">Vir: </w:t>
      </w:r>
      <w:r>
        <w:rPr>
          <w:rFonts w:eastAsia="Calibri" w:cs="Arial"/>
          <w:sz w:val="16"/>
          <w:szCs w:val="16"/>
          <w:lang w:eastAsia="en-GB"/>
        </w:rPr>
        <w:t>SURS, KIS (</w:t>
      </w:r>
      <w:r w:rsidRPr="005718B1">
        <w:rPr>
          <w:rFonts w:eastAsia="Calibri" w:cs="Arial"/>
          <w:sz w:val="16"/>
          <w:szCs w:val="16"/>
          <w:lang w:eastAsia="en-GB"/>
        </w:rPr>
        <w:t>ZP-2019</w:t>
      </w:r>
      <w:r>
        <w:rPr>
          <w:rFonts w:eastAsia="Calibri" w:cs="Arial"/>
          <w:sz w:val="16"/>
          <w:szCs w:val="16"/>
          <w:lang w:eastAsia="en-GB"/>
        </w:rPr>
        <w:t>)</w:t>
      </w:r>
    </w:p>
    <w:p w14:paraId="2B6F55D5" w14:textId="77777777" w:rsidR="00E2688B" w:rsidRPr="00E2688B" w:rsidRDefault="00E2688B" w:rsidP="00E2688B">
      <w:pPr>
        <w:spacing w:before="200" w:line="360" w:lineRule="auto"/>
        <w:jc w:val="both"/>
        <w:rPr>
          <w:rFonts w:eastAsia="Times New Roman" w:cs="Arial"/>
          <w:szCs w:val="20"/>
        </w:rPr>
      </w:pPr>
      <w:r w:rsidRPr="00E2688B">
        <w:rPr>
          <w:rFonts w:eastAsia="Times New Roman" w:cs="Arial"/>
          <w:szCs w:val="20"/>
          <w:lang w:eastAsia="en-GB"/>
        </w:rPr>
        <w:t xml:space="preserve">Površine vključene v ekološko pridelavo zelenjadnic, tako na prostem kot v zaščitenem prostoru, naraščajo. V letu 2010 je bilo v ekološko pridelavo vključenih 122 ha površin z zelenjadnicami, medtem ko so se v letu 2019 površine povečale za 168 % (328 ha).  </w:t>
      </w:r>
    </w:p>
    <w:p w14:paraId="10868D37" w14:textId="6431E237" w:rsidR="00E2688B" w:rsidRDefault="00E2688B" w:rsidP="00E2688B">
      <w:pPr>
        <w:pStyle w:val="SCPreglednica"/>
        <w:keepNext/>
        <w:keepLines/>
      </w:pPr>
      <w:bookmarkStart w:id="194" w:name="_Toc55913787"/>
      <w:r>
        <w:t xml:space="preserve">Slika </w:t>
      </w:r>
      <w:r>
        <w:fldChar w:fldCharType="begin"/>
      </w:r>
      <w:r>
        <w:instrText xml:space="preserve"> SEQ Slika \* ARABIC </w:instrText>
      </w:r>
      <w:r>
        <w:fldChar w:fldCharType="separate"/>
      </w:r>
      <w:r w:rsidR="0040635C">
        <w:rPr>
          <w:noProof/>
        </w:rPr>
        <w:t>38</w:t>
      </w:r>
      <w:r>
        <w:fldChar w:fldCharType="end"/>
      </w:r>
      <w:r>
        <w:t xml:space="preserve">: </w:t>
      </w:r>
      <w:r>
        <w:rPr>
          <w:rFonts w:eastAsia="Times New Roman" w:cs="Arial"/>
          <w:szCs w:val="20"/>
        </w:rPr>
        <w:t xml:space="preserve">Površine (ha) </w:t>
      </w:r>
      <w:r w:rsidRPr="005718B1">
        <w:rPr>
          <w:rFonts w:eastAsia="Times New Roman" w:cs="Arial"/>
          <w:szCs w:val="20"/>
        </w:rPr>
        <w:t xml:space="preserve">vrtnin na prostem in v zaščitenem prostoru </w:t>
      </w:r>
      <w:r>
        <w:rPr>
          <w:rFonts w:eastAsia="Times New Roman" w:cs="Arial"/>
          <w:szCs w:val="20"/>
        </w:rPr>
        <w:t>vključene v ekološko pridelavo</w:t>
      </w:r>
      <w:bookmarkEnd w:id="194"/>
    </w:p>
    <w:p w14:paraId="51C81D4E" w14:textId="77777777" w:rsidR="00E2688B" w:rsidRPr="003B2B91" w:rsidRDefault="00E2688B" w:rsidP="00E2688B">
      <w:pPr>
        <w:spacing w:after="0" w:line="360" w:lineRule="auto"/>
        <w:rPr>
          <w:rFonts w:eastAsia="Times New Roman" w:cs="Arial"/>
          <w:szCs w:val="20"/>
        </w:rPr>
      </w:pPr>
      <w:r w:rsidRPr="003B2B91">
        <w:rPr>
          <w:rFonts w:cs="Arial"/>
          <w:noProof/>
          <w:szCs w:val="20"/>
        </w:rPr>
        <w:drawing>
          <wp:inline distT="0" distB="0" distL="0" distR="0" wp14:anchorId="6F5CF391" wp14:editId="5BF8F703">
            <wp:extent cx="3540556" cy="2051685"/>
            <wp:effectExtent l="0" t="0" r="3175" b="5715"/>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5192948" w14:textId="77777777" w:rsidR="00E2688B" w:rsidRPr="003B2B91" w:rsidRDefault="00E2688B" w:rsidP="00E2688B">
      <w:pPr>
        <w:spacing w:after="0" w:line="360" w:lineRule="auto"/>
        <w:rPr>
          <w:rFonts w:eastAsia="Times New Roman" w:cs="Arial"/>
          <w:szCs w:val="20"/>
        </w:rPr>
      </w:pPr>
      <w:r w:rsidRPr="005718B1">
        <w:rPr>
          <w:rFonts w:eastAsia="Arial,Times New Roman" w:cs="Arial"/>
          <w:sz w:val="16"/>
          <w:szCs w:val="16"/>
        </w:rPr>
        <w:t>V</w:t>
      </w:r>
      <w:r>
        <w:rPr>
          <w:rFonts w:eastAsia="Arial,Times New Roman" w:cs="Arial"/>
          <w:sz w:val="16"/>
          <w:szCs w:val="16"/>
        </w:rPr>
        <w:t>ir</w:t>
      </w:r>
      <w:r w:rsidRPr="005718B1">
        <w:rPr>
          <w:rFonts w:eastAsia="Arial,Times New Roman" w:cs="Arial"/>
          <w:sz w:val="16"/>
          <w:szCs w:val="16"/>
        </w:rPr>
        <w:t>: MKGP</w:t>
      </w:r>
      <w:r>
        <w:rPr>
          <w:rFonts w:eastAsia="Arial,Times New Roman" w:cs="Arial"/>
          <w:sz w:val="16"/>
          <w:szCs w:val="16"/>
        </w:rPr>
        <w:t>-2020</w:t>
      </w:r>
    </w:p>
    <w:p w14:paraId="315170DF" w14:textId="77777777" w:rsidR="00E2688B" w:rsidRPr="00E2688B" w:rsidRDefault="00E2688B" w:rsidP="00E2688B">
      <w:pPr>
        <w:spacing w:before="200" w:line="360" w:lineRule="auto"/>
        <w:jc w:val="both"/>
        <w:rPr>
          <w:rFonts w:eastAsia="Times New Roman" w:cs="Arial"/>
          <w:szCs w:val="20"/>
        </w:rPr>
      </w:pPr>
      <w:r w:rsidRPr="00E2688B">
        <w:rPr>
          <w:rFonts w:eastAsia="Times New Roman" w:cs="Arial"/>
          <w:szCs w:val="20"/>
        </w:rPr>
        <w:t xml:space="preserve">Površine tržne pridelave zelenjadnic, ki so vključene v integrirano pridelavo, so se v letu 2019 zmanjšale za 52 % glede na leto 2010. Površine, vključene v kontrolo integrirane pridelave, po letu </w:t>
      </w:r>
    </w:p>
    <w:p w14:paraId="1C63D9F4" w14:textId="23393D85" w:rsidR="00E2688B" w:rsidRPr="003B2B91" w:rsidRDefault="00E2688B" w:rsidP="00E2688B">
      <w:pPr>
        <w:spacing w:after="0" w:line="360" w:lineRule="auto"/>
        <w:rPr>
          <w:rFonts w:eastAsia="Times New Roman" w:cs="Arial"/>
          <w:szCs w:val="20"/>
        </w:rPr>
      </w:pPr>
    </w:p>
    <w:p w14:paraId="3C4F2AC7" w14:textId="26F5B7C3" w:rsidR="00E2688B" w:rsidRDefault="00E2688B" w:rsidP="00E2688B">
      <w:pPr>
        <w:pStyle w:val="SCPreglednica"/>
        <w:keepNext/>
        <w:keepLines/>
      </w:pPr>
      <w:bookmarkStart w:id="195" w:name="_Toc55913788"/>
      <w:r>
        <w:t xml:space="preserve">Slika </w:t>
      </w:r>
      <w:r>
        <w:fldChar w:fldCharType="begin"/>
      </w:r>
      <w:r>
        <w:instrText xml:space="preserve"> SEQ Slika \* ARABIC </w:instrText>
      </w:r>
      <w:r>
        <w:fldChar w:fldCharType="separate"/>
      </w:r>
      <w:r w:rsidR="0040635C">
        <w:rPr>
          <w:noProof/>
        </w:rPr>
        <w:t>39</w:t>
      </w:r>
      <w:r>
        <w:fldChar w:fldCharType="end"/>
      </w:r>
      <w:r>
        <w:t xml:space="preserve">: </w:t>
      </w:r>
      <w:r w:rsidRPr="00E2688B">
        <w:t>Površine (ha) vključene v integrirano pridelavo zelenjadnic na prostem in v zaščitenem prostoru</w:t>
      </w:r>
      <w:bookmarkEnd w:id="195"/>
    </w:p>
    <w:p w14:paraId="3DAD2F4C" w14:textId="77777777" w:rsidR="00E2688B" w:rsidRPr="003B2B91" w:rsidRDefault="00E2688B" w:rsidP="00E2688B">
      <w:pPr>
        <w:spacing w:after="0" w:line="360" w:lineRule="auto"/>
        <w:rPr>
          <w:rFonts w:eastAsia="Times New Roman" w:cs="Arial"/>
          <w:szCs w:val="20"/>
        </w:rPr>
      </w:pPr>
      <w:r w:rsidRPr="003B2B91">
        <w:rPr>
          <w:rFonts w:cs="Arial"/>
          <w:noProof/>
          <w:szCs w:val="20"/>
        </w:rPr>
        <w:drawing>
          <wp:inline distT="0" distB="0" distL="0" distR="0" wp14:anchorId="7929194F" wp14:editId="38BCE921">
            <wp:extent cx="3562502" cy="1876425"/>
            <wp:effectExtent l="0" t="0" r="0" b="9525"/>
            <wp:docPr id="24169601" name="Grafikon 241696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7FC3F4A" w14:textId="77777777" w:rsidR="00E2688B" w:rsidRPr="005718B1" w:rsidRDefault="00E2688B" w:rsidP="00E2688B">
      <w:pPr>
        <w:spacing w:after="0" w:line="360" w:lineRule="auto"/>
        <w:rPr>
          <w:rFonts w:cs="Arial"/>
          <w:sz w:val="16"/>
          <w:szCs w:val="16"/>
        </w:rPr>
      </w:pPr>
      <w:r w:rsidRPr="005718B1">
        <w:rPr>
          <w:rFonts w:eastAsia="Arial,Times New Roman" w:cs="Arial"/>
          <w:sz w:val="16"/>
          <w:szCs w:val="16"/>
        </w:rPr>
        <w:t>V</w:t>
      </w:r>
      <w:r>
        <w:rPr>
          <w:rFonts w:eastAsia="Arial,Times New Roman" w:cs="Arial"/>
          <w:sz w:val="16"/>
          <w:szCs w:val="16"/>
        </w:rPr>
        <w:t>ir</w:t>
      </w:r>
      <w:r w:rsidRPr="005718B1">
        <w:rPr>
          <w:rFonts w:eastAsia="Arial,Times New Roman" w:cs="Arial"/>
          <w:sz w:val="16"/>
          <w:szCs w:val="16"/>
        </w:rPr>
        <w:t>: MKGP</w:t>
      </w:r>
      <w:r>
        <w:rPr>
          <w:rFonts w:eastAsia="Arial,Times New Roman" w:cs="Arial"/>
          <w:sz w:val="16"/>
          <w:szCs w:val="16"/>
        </w:rPr>
        <w:t>-2020</w:t>
      </w:r>
    </w:p>
    <w:p w14:paraId="6314DB10" w14:textId="77777777" w:rsidR="00E2688B" w:rsidRPr="00E2688B" w:rsidRDefault="00E2688B" w:rsidP="00E2688B">
      <w:pPr>
        <w:spacing w:before="200" w:line="360" w:lineRule="auto"/>
        <w:jc w:val="both"/>
        <w:rPr>
          <w:rFonts w:eastAsia="Calibri" w:cs="Arial"/>
          <w:bCs/>
          <w:szCs w:val="20"/>
          <w:lang w:eastAsia="en-GB"/>
        </w:rPr>
      </w:pPr>
      <w:r w:rsidRPr="00E2688B">
        <w:rPr>
          <w:rFonts w:eastAsia="Times New Roman" w:cs="Arial"/>
          <w:bCs/>
          <w:szCs w:val="20"/>
        </w:rPr>
        <w:t xml:space="preserve">Stopnja samooskrbe z zelenjavo je nizka, kljub temu, da klimatske, hidrološke in pedološke danosti ter možnost zagotavljanja obnovljivih virov energije v Republiki Sloveniji omogočajo pridelavo vseh kontinentalnih vrst zelenjave na prostem, v primeru pridelave v zavarovanih prostorih pa je mogoče tudi podaljšanje sezone pridelave ali pri posameznih zelenjadnicah celo celoletna pridelava. V letu 2019 je samooskrba z zelenjavo dosegla 44 %, s svežo zelenjavo pa 57% (Vir: ZP-2019). Glavni razlogi za nizko stopnjo samooskrbe so nekonkurenčnost po ceni in količini z drugimi EU državami, nepovezanost pridelovalcev, neurejene pogodbe odkupa ter premalo pridelave zelenjave v zavarovanih prostorih. </w:t>
      </w:r>
      <w:r w:rsidRPr="00E2688B">
        <w:rPr>
          <w:rFonts w:eastAsia="Calibri" w:cs="Arial"/>
          <w:bCs/>
          <w:szCs w:val="20"/>
          <w:lang w:eastAsia="en-GB"/>
        </w:rPr>
        <w:t>Pomemben delež zelenjave v Republiki Sloveniji tradicionalno pridelajo tudi ljubiteljski vrtnarji (vrtičkarji) za lastno oskrbo gospodinjstev, vendar podatki o teh pridelkih niso vključeni v uradni izračun samooskrbe z zelenjavo.</w:t>
      </w:r>
    </w:p>
    <w:p w14:paraId="3224E535" w14:textId="77777777" w:rsidR="00E2688B" w:rsidRPr="00E2688B" w:rsidRDefault="00E2688B" w:rsidP="00E2688B">
      <w:pPr>
        <w:spacing w:before="200" w:line="360" w:lineRule="auto"/>
        <w:jc w:val="both"/>
        <w:rPr>
          <w:rFonts w:eastAsia="Times New Roman" w:cs="Arial"/>
          <w:bCs/>
          <w:i/>
          <w:szCs w:val="20"/>
        </w:rPr>
      </w:pPr>
      <w:r w:rsidRPr="00E2688B">
        <w:rPr>
          <w:rFonts w:eastAsia="Times New Roman" w:cs="Arial"/>
          <w:bCs/>
          <w:szCs w:val="20"/>
          <w:lang w:eastAsia="en-GB"/>
        </w:rPr>
        <w:t xml:space="preserve">Ker pridelava zelenjave že dolgo ne sledi več povpraševanju, se dolgoročno povečuje uvoz iz notranjega trga EU in tretjih držav. </w:t>
      </w:r>
      <w:r w:rsidRPr="00E2688B">
        <w:rPr>
          <w:bCs/>
        </w:rPr>
        <w:t>Skupni uvoz zelenjave je leta 2019 znašal 177 tisoč ton, od tega 60 % sveže zelenjave. V primerjavi z letom 2009, ko se je uvozilo 150 tisoč ton zelenjave, se je uvoz do leta 2019 povečal za 18 %. Izvoz zelenjave v obsegu približno 23 tisoč ton</w:t>
      </w:r>
      <w:r w:rsidRPr="00E2688B">
        <w:rPr>
          <w:rFonts w:eastAsia="Times New Roman" w:cs="Arial"/>
          <w:bCs/>
          <w:szCs w:val="20"/>
          <w:lang w:eastAsia="en-GB"/>
        </w:rPr>
        <w:t xml:space="preserve"> (od tega je bilo slabih 80 % sveže zelenjave), se je leta 2019 v primerjavi z letom 2009 povečal za 116 %, v letu 2009 je znašal približno 10 tisoč ton. V količinski strukturi zunanje trgovine sveže zelenjave so najpomembnejše zelenjadnice: paradižnik, čebula, paprika, solata, lubenica ter melona, kumara in zelje. </w:t>
      </w:r>
    </w:p>
    <w:p w14:paraId="4C79E76A" w14:textId="77777777" w:rsidR="00E2688B" w:rsidRPr="00E2688B" w:rsidRDefault="00E2688B" w:rsidP="00E2688B">
      <w:pPr>
        <w:spacing w:before="200" w:line="360" w:lineRule="auto"/>
        <w:jc w:val="both"/>
        <w:rPr>
          <w:rFonts w:eastAsia="Calibri" w:cs="Arial"/>
          <w:bCs/>
          <w:szCs w:val="20"/>
          <w:lang w:eastAsia="en-GB"/>
        </w:rPr>
      </w:pPr>
      <w:r w:rsidRPr="00E2688B">
        <w:rPr>
          <w:rFonts w:eastAsia="Calibri" w:cs="Arial"/>
          <w:bCs/>
          <w:szCs w:val="20"/>
          <w:lang w:eastAsia="en-GB"/>
        </w:rPr>
        <w:t>V obdobju 2007–2018 je vrednost pridelave zelenjave po osnovnih cenah naraščala in je znašala med 39 mio EUR leta 2010 in 93 mio EUR leta 2018.</w:t>
      </w:r>
      <w:r w:rsidRPr="00E2688B" w:rsidDel="002A6767">
        <w:rPr>
          <w:rFonts w:eastAsia="Calibri" w:cs="Arial"/>
          <w:bCs/>
          <w:szCs w:val="20"/>
          <w:lang w:eastAsia="en-GB"/>
        </w:rPr>
        <w:t xml:space="preserve"> </w:t>
      </w:r>
      <w:r w:rsidRPr="00E2688B">
        <w:rPr>
          <w:rFonts w:eastAsia="Calibri" w:cs="Arial"/>
          <w:bCs/>
          <w:szCs w:val="20"/>
          <w:lang w:eastAsia="en-GB"/>
        </w:rPr>
        <w:t xml:space="preserve"> Pridelava zelenjadnic je v obdobju 2007–2018 k skupni vrednosti kmetijske proizvodnje prispevala od 3,5 % do 7,1 %, k vrednosti rastlinske pridelave pa od 6,7 % do 14,1 %. Leta 2019 so imele zelenjadnice v skupni vrednosti kmetijske proizvodnje 8,4 %, v vrednosti rastlinske pridelave pa 15,2 %, kar je največ do zdaj.</w:t>
      </w:r>
    </w:p>
    <w:p w14:paraId="7BAF9A15" w14:textId="77777777" w:rsidR="00E2688B" w:rsidRPr="00E2688B" w:rsidRDefault="00E2688B" w:rsidP="00E2688B">
      <w:pPr>
        <w:spacing w:before="200" w:line="360" w:lineRule="auto"/>
        <w:jc w:val="both"/>
        <w:rPr>
          <w:rFonts w:eastAsia="Calibri" w:cs="Arial"/>
          <w:bCs/>
          <w:szCs w:val="20"/>
          <w:lang w:eastAsia="en-GB"/>
        </w:rPr>
      </w:pPr>
      <w:r w:rsidRPr="00E2688B">
        <w:rPr>
          <w:rFonts w:eastAsia="Calibri" w:cs="Arial"/>
          <w:bCs/>
          <w:szCs w:val="20"/>
          <w:lang w:eastAsia="en-GB"/>
        </w:rPr>
        <w:t xml:space="preserve">V letu 2016 je bilo v Sloveniji po tipu kmetovanja vrtnarskih 440 kmetij (vsaj 2/3 prihodkov iz vrtnarstva) ali 0.6 % vseh KMG (17 % manj kot v 2010), ki so obdelovala 1.690 ha KZU ali 0,3 % vseh KZU in </w:t>
      </w:r>
      <w:r w:rsidRPr="00E2688B">
        <w:rPr>
          <w:rFonts w:eastAsia="Calibri" w:cs="Arial"/>
          <w:bCs/>
          <w:szCs w:val="20"/>
          <w:lang w:eastAsia="en-GB"/>
        </w:rPr>
        <w:lastRenderedPageBreak/>
        <w:t>dosegla 27,6 mio EUR ali 2,4 % standardnega prihodka. V enakem obdobju je bilo v EU-28 po tipu kmetovanja vrtnarskih kmetij 2 %, obdelovale so 0,7 % vseh KZU in dosegle 8 % standardnega prihodka.</w:t>
      </w:r>
    </w:p>
    <w:p w14:paraId="1AB709E6" w14:textId="77777777" w:rsidR="00E2688B" w:rsidRPr="00E2688B" w:rsidRDefault="00E2688B" w:rsidP="00E2688B">
      <w:pPr>
        <w:spacing w:before="200" w:line="360" w:lineRule="auto"/>
        <w:jc w:val="both"/>
        <w:rPr>
          <w:rFonts w:eastAsia="Times New Roman" w:cs="Arial"/>
          <w:bCs/>
          <w:szCs w:val="20"/>
        </w:rPr>
      </w:pPr>
      <w:r w:rsidRPr="00E2688B">
        <w:rPr>
          <w:rFonts w:eastAsia="Times New Roman" w:cs="Arial"/>
          <w:bCs/>
          <w:szCs w:val="20"/>
        </w:rPr>
        <w:t xml:space="preserve">Pridelava tržne zelenjave v Republiki Sloveniji je zelo razdrobljena – majhna povprečna osnovna površina z zelenjadnicami na kmetijsko gospodarstvo, pri čemer se v povprečju na teh površinah prideluje več različnih vrst zelenjadnic (po podatkih iz zbirne vloge za proizvodno vezano plačilo za zelenjadnice, brez repe, se je leta 2019 na kmetijskem gospodarstvu v povprečju pridelovalo 3 vrste zelenjadnic). Predvsem zaradi razdrobljene strukture pridelave in visokih stroškov dela, so stroški pridelave večine zelenjadnic v Republiki Sloveniji višji kot v državah članicah EU, iz katerih se uvozi glavnina zelenjave, ki vstopa v slovensko verigo oskrbe z zelenjavo. Dodatno cenovno nekonkurenčnost slovenske tržne pridelave zelenjave poslabšujejo tehnološki zaostanek, visoki stroški reprodukcijskega materiala in nedostopnost učinkovitih fitofarmacevtskih sredstev ter sredstev za biotično varstvo (neustrezna cona, visoki stroški registracije). </w:t>
      </w:r>
    </w:p>
    <w:p w14:paraId="7B03702D" w14:textId="77777777" w:rsidR="00E2688B" w:rsidRPr="00E2688B" w:rsidRDefault="00E2688B" w:rsidP="00E2688B">
      <w:pPr>
        <w:spacing w:before="200" w:line="360" w:lineRule="auto"/>
        <w:jc w:val="both"/>
        <w:rPr>
          <w:rFonts w:eastAsia="Times New Roman" w:cs="Arial"/>
          <w:bCs/>
          <w:szCs w:val="20"/>
          <w:lang w:eastAsia="en-GB"/>
        </w:rPr>
      </w:pPr>
      <w:r w:rsidRPr="00E2688B">
        <w:rPr>
          <w:rFonts w:eastAsia="Times New Roman" w:cs="Arial"/>
          <w:bCs/>
          <w:szCs w:val="20"/>
        </w:rPr>
        <w:t>Po oceni SURS se evidentirana prodaja zelenjave (odkup in prodaja zelenjave na tržnicah) zadnja štiri leta povečuje. Leta 2019 je znašala 20.975 ton (14 % več kot leta 2018), a je še vedno</w:t>
      </w:r>
      <w:r w:rsidRPr="00E2688B" w:rsidDel="0031182F">
        <w:rPr>
          <w:rFonts w:eastAsia="Times New Roman" w:cs="Arial"/>
          <w:bCs/>
          <w:szCs w:val="20"/>
        </w:rPr>
        <w:t xml:space="preserve"> </w:t>
      </w:r>
      <w:r w:rsidRPr="00E2688B">
        <w:rPr>
          <w:rFonts w:eastAsia="Times New Roman" w:cs="Arial"/>
          <w:bCs/>
          <w:szCs w:val="20"/>
        </w:rPr>
        <w:t xml:space="preserve">predstavljala le 26 % skupnega pridelka tržnih pridelovalcev zelenjave. </w:t>
      </w:r>
    </w:p>
    <w:p w14:paraId="4DF37452" w14:textId="77777777" w:rsidR="00E2688B" w:rsidRPr="00E2688B" w:rsidRDefault="00E2688B" w:rsidP="00E2688B">
      <w:pPr>
        <w:spacing w:before="200" w:line="360" w:lineRule="auto"/>
        <w:jc w:val="both"/>
        <w:rPr>
          <w:rFonts w:eastAsia="Times New Roman" w:cs="Arial"/>
          <w:bCs/>
          <w:szCs w:val="20"/>
        </w:rPr>
      </w:pPr>
      <w:r w:rsidRPr="00E2688B">
        <w:rPr>
          <w:rFonts w:eastAsia="Times New Roman" w:cs="Arial"/>
          <w:bCs/>
          <w:szCs w:val="20"/>
        </w:rPr>
        <w:t xml:space="preserve">V Sloveniji še ni priznana nobena organizacije proizvajalcev, ki bi združevala tudi pridelovalce zelenjave. Kmetijske zadruge in gospodarske družbe, ki že tradicionalno združujejo slovenske pridelovalce zelenjave, imajo možnost za priznanje od leta 2014. Konec leta 2019 je bil sicer opazen napredek pri organiziranju v evropsko primerljive oblike, saj so bile v sektorju sadje in zelenjava priznane tri skupine proizvajalcev za skupno trženje in ena organizacija proizvajalcev za sadje. </w:t>
      </w:r>
    </w:p>
    <w:p w14:paraId="0FC23EF1" w14:textId="77777777" w:rsidR="00E2688B" w:rsidRPr="00E2688B" w:rsidDel="00B73D20" w:rsidRDefault="00E2688B" w:rsidP="00E2688B">
      <w:pPr>
        <w:spacing w:before="200" w:line="360" w:lineRule="auto"/>
        <w:jc w:val="both"/>
        <w:rPr>
          <w:rFonts w:eastAsia="Times New Roman" w:cs="Arial"/>
          <w:bCs/>
          <w:szCs w:val="20"/>
        </w:rPr>
      </w:pPr>
      <w:r w:rsidRPr="00E2688B">
        <w:rPr>
          <w:rFonts w:eastAsia="Arial" w:cs="Arial"/>
          <w:bCs/>
          <w:szCs w:val="20"/>
        </w:rPr>
        <w:t xml:space="preserve">V spremenjenih podnebnih razmerah so pridelovalci zelenjave zaradi majhnega deleža pridelave v zavarovanih prostorih (4 %) zelo odvisni od vremena v rastni dobi. Ker skoraj vsako leto beležimo ekstremne vremenske razmere (suša, toča, zmrzali, itd.), je potrebno povečati delež pokritih površin namenjenih pridelavi zelenjave, povečati delež namakalnih sistemov, protitočnih mrež, sistemov za </w:t>
      </w:r>
      <w:proofErr w:type="spellStart"/>
      <w:r w:rsidRPr="00E2688B">
        <w:rPr>
          <w:rFonts w:eastAsia="Arial" w:cs="Arial"/>
          <w:bCs/>
          <w:szCs w:val="20"/>
        </w:rPr>
        <w:t>oroševanje</w:t>
      </w:r>
      <w:proofErr w:type="spellEnd"/>
      <w:r w:rsidRPr="00E2688B">
        <w:rPr>
          <w:rFonts w:eastAsia="Arial" w:cs="Arial"/>
          <w:bCs/>
          <w:szCs w:val="20"/>
        </w:rPr>
        <w:t xml:space="preserve"> ter spodbujati uporabo specialne mehanizacije, ki bo bistveno prispeva k ohranjanju okolja (npr. manjša raba FFS). V celotni oskrbi z zelenjavo bi bilo potrebno zamenjati plastiko in nerazgradljive materiale z razgradljivimi.  </w:t>
      </w:r>
    </w:p>
    <w:p w14:paraId="29F54C2A" w14:textId="77777777" w:rsidR="00E2688B" w:rsidRPr="00E2688B" w:rsidRDefault="00E2688B" w:rsidP="00E2688B">
      <w:pPr>
        <w:spacing w:before="200" w:line="360" w:lineRule="auto"/>
        <w:jc w:val="both"/>
        <w:rPr>
          <w:rFonts w:eastAsia="Times New Roman" w:cs="Arial"/>
          <w:bCs/>
          <w:szCs w:val="20"/>
        </w:rPr>
      </w:pPr>
      <w:r w:rsidRPr="00E2688B">
        <w:rPr>
          <w:rFonts w:eastAsia="Arial" w:cs="Arial"/>
          <w:bCs/>
          <w:szCs w:val="20"/>
        </w:rPr>
        <w:t>V Sloveniji želimo povečati delež samooskrbe z zelenjadnicami na podeželju, kar bi vodilo tudi k spodbujanju zaposlovanja na podeželju, predvsem mladih kmetov ter ohranjanju kulturne krajine in biotski raznovrstnosti. Za ta namen, bi bilo potrebno olajšati dostop do primernih kmetijskih zemljišč za proizvodnjo zelenjave ter prilagoditi pridelavo na območjih z varstvenimi režimi (NATURA, VVO, itd.) ter spodbujati ekološko pridelavo zelenjadnic.</w:t>
      </w:r>
    </w:p>
    <w:p w14:paraId="4277ABF8" w14:textId="77777777" w:rsidR="00E2688B" w:rsidRPr="00E2688B" w:rsidRDefault="00E2688B" w:rsidP="00E2688B">
      <w:pPr>
        <w:spacing w:before="200" w:line="360" w:lineRule="auto"/>
        <w:jc w:val="both"/>
        <w:rPr>
          <w:rFonts w:eastAsia="Times New Roman" w:cs="Arial"/>
          <w:bCs/>
          <w:szCs w:val="20"/>
        </w:rPr>
      </w:pPr>
      <w:r w:rsidRPr="00E2688B">
        <w:rPr>
          <w:rFonts w:eastAsia="Arial" w:cs="Arial"/>
          <w:bCs/>
          <w:szCs w:val="20"/>
        </w:rPr>
        <w:t xml:space="preserve">V programskem obdobju PRP 2014–2020 so lahko pridelovalci zelenjadnic na podlagi plačilnih pravic iz sheme neposrednih plačil pridobili osnovno plačilo in plačilo za zeleno komponento. Pridelovalci zelenjadnic so poleg tega upravičeni tudi do proizvodno vezanih plačil, katerih višina v posameznem </w:t>
      </w:r>
      <w:r w:rsidRPr="00E2688B">
        <w:rPr>
          <w:rFonts w:eastAsia="Arial" w:cs="Arial"/>
          <w:bCs/>
          <w:szCs w:val="20"/>
        </w:rPr>
        <w:lastRenderedPageBreak/>
        <w:t xml:space="preserve">letu je odvisna od števila upravičenih hektarjev in višine ovojnice za to shemo. V letih 2015–2019 je bilo shemi za zelenjadnice namenjeno 1,5 % ovojnice za neposredna plačila, povprečno proizvodno vezano plačilo pa je bilo v letu 2019 nižje kot v letu prej in je znašalo 699 EUR/ha (–38 %). Tudi pri zavarovanju zelenjadnic je bilo leta 2019 mogoče uveljaviti regres v vrednosti 50 % zavarovalne premije (v letu 2018: 40 % in v letih 2015–2017: 20 %). </w:t>
      </w:r>
      <w:r w:rsidRPr="00E2688B">
        <w:rPr>
          <w:rFonts w:eastAsia="Arial" w:cs="Arial"/>
          <w:bCs/>
          <w:szCs w:val="20"/>
          <w:lang w:eastAsia="en-GB"/>
        </w:rPr>
        <w:t>V ukrep je bilo leta 2018 vključenih 230 kmetijskih gospodarstev s 188 ha ali 10 % osnovnih površin zelenjadnic. Pridelovalci lahko uveljavljajo tudi pravico do vračila dela trošarine za gorivo, porabljeno v kmetijstvu (70 %).</w:t>
      </w:r>
    </w:p>
    <w:p w14:paraId="040D123A" w14:textId="77777777" w:rsidR="00E2688B" w:rsidRPr="00E2688B" w:rsidRDefault="00E2688B" w:rsidP="00E2688B">
      <w:pPr>
        <w:spacing w:before="200" w:line="360" w:lineRule="auto"/>
        <w:jc w:val="both"/>
        <w:rPr>
          <w:rFonts w:eastAsia="Times New Roman" w:cs="Arial"/>
          <w:bCs/>
          <w:szCs w:val="20"/>
          <w:lang w:eastAsia="en-GB"/>
        </w:rPr>
      </w:pPr>
      <w:r w:rsidRPr="00E2688B">
        <w:rPr>
          <w:rFonts w:eastAsia="Arial" w:cs="Arial"/>
          <w:bCs/>
          <w:szCs w:val="20"/>
          <w:lang w:eastAsia="en-GB"/>
        </w:rPr>
        <w:t xml:space="preserve">V okviru ukrepov PRP 2014–2020 je bilo s stanjem na dan 31. 8. 2019 za sektor zelenjave odobrenih 62 vlog v skupnem znesku podpore 5,6 milijona EUR, od tega za ukrep M04.1 Podpore za naložbe v kmetijska gospodarstva 35 vlog v skupnem znesku 3,7 milijona EUR in za ukrep M04.2 Podpora za naložbe v predelavo/trženje in/ali razvoj kmetijskih proizvodov 7 vlog v skupnem znesku podpore 1,2 milijona EUR. </w:t>
      </w:r>
    </w:p>
    <w:p w14:paraId="747D6886" w14:textId="3B2D36E1" w:rsidR="00CF3CC6" w:rsidRPr="00CF3CC6" w:rsidRDefault="00E2688B" w:rsidP="00E2688B">
      <w:pPr>
        <w:spacing w:before="200" w:line="360" w:lineRule="auto"/>
        <w:jc w:val="both"/>
        <w:rPr>
          <w:rFonts w:eastAsia="Calibri" w:cs="Arial"/>
          <w:b/>
          <w:szCs w:val="20"/>
        </w:rPr>
      </w:pPr>
      <w:r w:rsidRPr="00E2688B">
        <w:rPr>
          <w:rFonts w:eastAsia="Arial" w:cs="Arial"/>
          <w:bCs/>
          <w:szCs w:val="20"/>
          <w:lang w:eastAsia="en-GB"/>
        </w:rPr>
        <w:t xml:space="preserve">V Sloveniji je vzpostavljena Javna služba na področju vrtnarstva, v okviru katere se izvajajo naloge: selekcija zelišč, žlahtnjenje zelenjadnic, introdukcija zelenjadnic in ugotavljanje njihove vrednosti za predelavo, introdukcija in ekološko </w:t>
      </w:r>
      <w:proofErr w:type="spellStart"/>
      <w:r w:rsidRPr="00E2688B">
        <w:rPr>
          <w:rFonts w:eastAsia="Arial" w:cs="Arial"/>
          <w:bCs/>
          <w:szCs w:val="20"/>
          <w:lang w:eastAsia="en-GB"/>
        </w:rPr>
        <w:t>rajonizacijo</w:t>
      </w:r>
      <w:proofErr w:type="spellEnd"/>
      <w:r w:rsidRPr="00E2688B">
        <w:rPr>
          <w:rFonts w:eastAsia="Arial" w:cs="Arial"/>
          <w:bCs/>
          <w:szCs w:val="20"/>
          <w:lang w:eastAsia="en-GB"/>
        </w:rPr>
        <w:t xml:space="preserve"> zelišč ter ugotavljanje njihove vrednosti za predelavo, tehnologije pridelave zelenjadnic, tehnologije pridelave zelišč in strokovno-tehnična koordinacija v vrtnarstvu. Slednja je zelo pomembna za prenos znanja in rezultatov nalog javne službe, ki potekajo v sodelovanju z javno službo kmetijskega svetovanja.</w:t>
      </w:r>
      <w:r w:rsidRPr="00E2688B">
        <w:rPr>
          <w:rFonts w:eastAsia="Times New Roman" w:cs="Arial"/>
          <w:bCs/>
          <w:szCs w:val="20"/>
        </w:rPr>
        <w:t xml:space="preserve"> Ohranjanje rastlinskih genskih virov zelenjadnic poteka v okviru javne službe nalog rastlinske genske banke, kjer je shra</w:t>
      </w:r>
      <w:r>
        <w:rPr>
          <w:rFonts w:eastAsia="Times New Roman" w:cs="Arial"/>
          <w:bCs/>
          <w:szCs w:val="20"/>
        </w:rPr>
        <w:t>n</w:t>
      </w:r>
      <w:r w:rsidRPr="00E2688B">
        <w:rPr>
          <w:rFonts w:eastAsia="Times New Roman" w:cs="Arial"/>
          <w:bCs/>
          <w:szCs w:val="20"/>
        </w:rPr>
        <w:t>jenih 1466 akcesij.</w:t>
      </w:r>
    </w:p>
    <w:p w14:paraId="0A1FC5A8" w14:textId="1FA1E23C" w:rsidR="00CF3CC6" w:rsidRDefault="00CF3CC6" w:rsidP="004314EF">
      <w:pPr>
        <w:pStyle w:val="Naslov3"/>
        <w:rPr>
          <w:rFonts w:eastAsia="Calibri"/>
        </w:rPr>
      </w:pPr>
      <w:bookmarkStart w:id="196" w:name="_Toc55912218"/>
      <w:r w:rsidRPr="004314EF">
        <w:rPr>
          <w:rFonts w:eastAsia="Calibri"/>
        </w:rPr>
        <w:t>Ključne ugotovitve</w:t>
      </w:r>
      <w:bookmarkEnd w:id="196"/>
    </w:p>
    <w:p w14:paraId="7370633F" w14:textId="77777777" w:rsidR="00E2688B" w:rsidRPr="003B2B91" w:rsidRDefault="00E2688B" w:rsidP="000A650F">
      <w:pPr>
        <w:numPr>
          <w:ilvl w:val="0"/>
          <w:numId w:val="41"/>
        </w:numPr>
        <w:spacing w:before="120" w:after="120" w:line="360" w:lineRule="auto"/>
        <w:ind w:left="357" w:hanging="357"/>
        <w:jc w:val="both"/>
        <w:rPr>
          <w:rFonts w:eastAsia="Times New Roman" w:cs="Arial"/>
          <w:szCs w:val="20"/>
          <w:lang w:eastAsia="en-GB"/>
        </w:rPr>
      </w:pPr>
      <w:r w:rsidRPr="003B2B91">
        <w:rPr>
          <w:rFonts w:eastAsia="Arial" w:cs="Arial"/>
          <w:szCs w:val="20"/>
          <w:lang w:eastAsia="en-GB"/>
        </w:rPr>
        <w:t xml:space="preserve">Slovenija ima ugodne naravne danosti za zelenjadarstvo, vendar kljub temu ne dosega pridelovalnega in tržnega potenciala, zlasti zaradi razdrobljene strukture pridelave in tehnološkega zaostanka, visokih stroškov dela, pa tudi zaradi </w:t>
      </w:r>
      <w:r>
        <w:rPr>
          <w:rFonts w:eastAsia="Arial" w:cs="Arial"/>
          <w:szCs w:val="20"/>
          <w:lang w:eastAsia="en-GB"/>
        </w:rPr>
        <w:t xml:space="preserve">zelo majhne </w:t>
      </w:r>
      <w:r w:rsidRPr="003B2B91">
        <w:rPr>
          <w:rFonts w:eastAsia="Arial" w:cs="Arial"/>
          <w:szCs w:val="20"/>
          <w:lang w:eastAsia="en-GB"/>
        </w:rPr>
        <w:t>povezanosti pridelovalcev.</w:t>
      </w:r>
    </w:p>
    <w:p w14:paraId="399C5E20" w14:textId="77777777" w:rsidR="00E2688B" w:rsidRPr="003B2B91" w:rsidRDefault="00E2688B" w:rsidP="000A650F">
      <w:pPr>
        <w:numPr>
          <w:ilvl w:val="0"/>
          <w:numId w:val="41"/>
        </w:numPr>
        <w:spacing w:before="120" w:after="120" w:line="360" w:lineRule="auto"/>
        <w:ind w:left="357" w:hanging="357"/>
        <w:jc w:val="both"/>
        <w:rPr>
          <w:rFonts w:eastAsia="Times New Roman" w:cs="Arial"/>
          <w:szCs w:val="20"/>
          <w:lang w:eastAsia="en-GB"/>
        </w:rPr>
      </w:pPr>
      <w:r w:rsidRPr="003B2B91">
        <w:rPr>
          <w:rFonts w:eastAsia="Arial" w:cs="Arial"/>
          <w:szCs w:val="20"/>
          <w:lang w:eastAsia="en-GB"/>
        </w:rPr>
        <w:t>Obseg proizvodnje zelenjadnic pri tržnih pridelovalcih se povečuje, enako tudi povprečna površina na kateri kmetijska gospodarstva pridelujejo zelenjadnice, vendar struktura pridelave še zmeraj ostaja razdrobljena.</w:t>
      </w:r>
    </w:p>
    <w:p w14:paraId="3ED3BD61" w14:textId="77777777" w:rsidR="00E2688B" w:rsidRPr="003B2B91" w:rsidRDefault="00E2688B" w:rsidP="000A650F">
      <w:pPr>
        <w:numPr>
          <w:ilvl w:val="0"/>
          <w:numId w:val="41"/>
        </w:numPr>
        <w:spacing w:before="120" w:after="120" w:line="360" w:lineRule="auto"/>
        <w:ind w:left="357" w:hanging="357"/>
        <w:jc w:val="both"/>
        <w:rPr>
          <w:rFonts w:eastAsia="Times New Roman" w:cs="Arial"/>
          <w:szCs w:val="20"/>
          <w:lang w:eastAsia="en-GB"/>
        </w:rPr>
      </w:pPr>
      <w:r w:rsidRPr="003B2B91">
        <w:rPr>
          <w:rFonts w:eastAsia="Arial" w:cs="Arial"/>
          <w:szCs w:val="20"/>
          <w:lang w:eastAsia="en-GB"/>
        </w:rPr>
        <w:t xml:space="preserve">Ker pridelava zelenjadnic v Republiki Sloveniji večinoma poteka na prostem (dobrih 94 % vseh tržnih površin), je pridelek zelenjave tako količinsko kot po kakovosti nestabilen in močno odvisen od vremenskih dejavnikov. </w:t>
      </w:r>
    </w:p>
    <w:p w14:paraId="5C14FE37" w14:textId="77777777" w:rsidR="00E2688B" w:rsidRPr="003B2B91" w:rsidRDefault="00E2688B" w:rsidP="000A650F">
      <w:pPr>
        <w:numPr>
          <w:ilvl w:val="0"/>
          <w:numId w:val="41"/>
        </w:numPr>
        <w:spacing w:before="120" w:after="120" w:line="360" w:lineRule="auto"/>
        <w:ind w:left="357" w:hanging="357"/>
        <w:jc w:val="both"/>
        <w:rPr>
          <w:rFonts w:eastAsia="Times New Roman" w:cs="Arial"/>
          <w:szCs w:val="20"/>
          <w:lang w:eastAsia="en-GB"/>
        </w:rPr>
      </w:pPr>
      <w:r w:rsidRPr="003B2B91">
        <w:rPr>
          <w:rFonts w:eastAsia="Arial" w:cs="Arial"/>
          <w:szCs w:val="20"/>
          <w:lang w:eastAsia="en-GB"/>
        </w:rPr>
        <w:t xml:space="preserve">Povprečni pridelki posameznih zelenjadnic so nizki. Sektor je v tehnološkem zaostanku tako pri pridelavi kot skladiščenju/hlajenju, pripravi zelenjave za trg ter distribuciji. V sektorju niso izkoriščene naravne danosti za podaljšanje sezone pridelave oziroma celoletno pridelavo in zmanjšanje tveganj povezanih z ekstremnimi vremenskimi pojavi in učinkovitostjo rabe virov, zaradi česar je cenovna konkurenčnost v primerjavi z uvoženo zelenjavo prenizka. </w:t>
      </w:r>
    </w:p>
    <w:p w14:paraId="2C6964DD" w14:textId="77777777" w:rsidR="00E2688B" w:rsidRPr="003B2B91" w:rsidRDefault="00E2688B" w:rsidP="000A650F">
      <w:pPr>
        <w:numPr>
          <w:ilvl w:val="0"/>
          <w:numId w:val="41"/>
        </w:numPr>
        <w:spacing w:before="120" w:after="120" w:line="360" w:lineRule="auto"/>
        <w:ind w:left="357" w:hanging="357"/>
        <w:jc w:val="both"/>
        <w:rPr>
          <w:rFonts w:eastAsia="Times New Roman" w:cs="Arial"/>
          <w:szCs w:val="20"/>
          <w:lang w:eastAsia="en-GB"/>
        </w:rPr>
      </w:pPr>
      <w:r w:rsidRPr="003B2B91">
        <w:rPr>
          <w:rFonts w:eastAsia="Arial" w:cs="Arial"/>
          <w:szCs w:val="20"/>
          <w:lang w:eastAsia="en-GB"/>
        </w:rPr>
        <w:lastRenderedPageBreak/>
        <w:t>Stroški pridelave na enoto pridelka</w:t>
      </w:r>
      <w:r>
        <w:rPr>
          <w:rFonts w:eastAsia="Arial" w:cs="Arial"/>
          <w:szCs w:val="20"/>
          <w:lang w:eastAsia="en-GB"/>
        </w:rPr>
        <w:t xml:space="preserve"> tudi zaradi tehnološkega zaostanka</w:t>
      </w:r>
      <w:r w:rsidRPr="003B2B91">
        <w:rPr>
          <w:rFonts w:eastAsia="Arial" w:cs="Arial"/>
          <w:szCs w:val="20"/>
          <w:lang w:eastAsia="en-GB"/>
        </w:rPr>
        <w:t>, z upoštevanjem subvencij, so pri večini zelenjadnic višji od odkupne cene in cene, po kateri zelenjadnice vstopajo v trgovinske sisteme.</w:t>
      </w:r>
    </w:p>
    <w:p w14:paraId="624F46CD" w14:textId="77777777" w:rsidR="00E2688B" w:rsidRPr="003B2B91" w:rsidRDefault="00E2688B" w:rsidP="000A650F">
      <w:pPr>
        <w:numPr>
          <w:ilvl w:val="0"/>
          <w:numId w:val="41"/>
        </w:numPr>
        <w:spacing w:before="120" w:after="120" w:line="360" w:lineRule="auto"/>
        <w:ind w:left="357" w:hanging="357"/>
        <w:jc w:val="both"/>
        <w:rPr>
          <w:rFonts w:eastAsia="Times New Roman" w:cs="Arial"/>
          <w:szCs w:val="20"/>
          <w:lang w:eastAsia="en-GB"/>
        </w:rPr>
      </w:pPr>
      <w:r w:rsidRPr="003B2B91">
        <w:rPr>
          <w:rFonts w:eastAsia="Arial" w:cs="Arial"/>
          <w:szCs w:val="20"/>
          <w:lang w:eastAsia="en-GB"/>
        </w:rPr>
        <w:t>Organiziranost pridelovalcev v evropsko primerljive oblike sodelovanja je nizka, tudi medpanožno sodelovanje v verigi vrednosti s strani deležnikov ni ustrezno prepoznano.</w:t>
      </w:r>
      <w:r w:rsidRPr="003B2B91" w:rsidDel="004C6035">
        <w:rPr>
          <w:rFonts w:eastAsia="Arial" w:cs="Arial"/>
          <w:szCs w:val="20"/>
          <w:lang w:eastAsia="en-GB"/>
        </w:rPr>
        <w:t xml:space="preserve"> </w:t>
      </w:r>
    </w:p>
    <w:p w14:paraId="165C227B" w14:textId="77777777" w:rsidR="00E2688B" w:rsidRPr="003B2B91" w:rsidRDefault="00E2688B" w:rsidP="000A650F">
      <w:pPr>
        <w:numPr>
          <w:ilvl w:val="0"/>
          <w:numId w:val="41"/>
        </w:numPr>
        <w:spacing w:before="120" w:after="120" w:line="360" w:lineRule="auto"/>
        <w:ind w:left="357" w:hanging="357"/>
        <w:jc w:val="both"/>
        <w:rPr>
          <w:rFonts w:eastAsia="Times New Roman" w:cs="Arial"/>
          <w:szCs w:val="20"/>
          <w:lang w:eastAsia="en-GB"/>
        </w:rPr>
      </w:pPr>
      <w:r w:rsidRPr="003B2B91">
        <w:rPr>
          <w:rFonts w:eastAsia="Arial" w:cs="Arial"/>
          <w:szCs w:val="20"/>
          <w:lang w:eastAsia="en-GB"/>
        </w:rPr>
        <w:t>Pogajalski položaj slovenskih pridelovalcev zelenjave v verigi oskrbe z zelenjavo je slab, ponudba zelenjave ni ustrezno načrtovana (časovno, količinsko in glede izenačenosti kakovosti).</w:t>
      </w:r>
    </w:p>
    <w:p w14:paraId="67A393C2" w14:textId="77777777" w:rsidR="00E2688B" w:rsidRPr="003B2B91" w:rsidRDefault="00E2688B" w:rsidP="000A650F">
      <w:pPr>
        <w:numPr>
          <w:ilvl w:val="0"/>
          <w:numId w:val="41"/>
        </w:numPr>
        <w:spacing w:before="120" w:after="120" w:line="360" w:lineRule="auto"/>
        <w:ind w:left="357" w:hanging="357"/>
        <w:jc w:val="both"/>
        <w:rPr>
          <w:rFonts w:eastAsia="Times New Roman" w:cs="Arial"/>
          <w:szCs w:val="20"/>
          <w:lang w:eastAsia="en-GB"/>
        </w:rPr>
      </w:pPr>
      <w:r>
        <w:rPr>
          <w:rFonts w:eastAsia="Arial" w:cs="Arial"/>
          <w:szCs w:val="20"/>
        </w:rPr>
        <w:t xml:space="preserve">V Sloveniji imamo premalo </w:t>
      </w:r>
      <w:proofErr w:type="spellStart"/>
      <w:r w:rsidRPr="003B2B91">
        <w:rPr>
          <w:rFonts w:eastAsia="Arial" w:cs="Arial"/>
          <w:szCs w:val="20"/>
        </w:rPr>
        <w:t>zbirn</w:t>
      </w:r>
      <w:r>
        <w:rPr>
          <w:rFonts w:eastAsia="Arial" w:cs="Arial"/>
          <w:szCs w:val="20"/>
        </w:rPr>
        <w:t>ih</w:t>
      </w:r>
      <w:r w:rsidRPr="003B2B91">
        <w:rPr>
          <w:rFonts w:eastAsia="Arial" w:cs="Arial"/>
          <w:szCs w:val="20"/>
        </w:rPr>
        <w:t>centr</w:t>
      </w:r>
      <w:r>
        <w:rPr>
          <w:rFonts w:eastAsia="Arial" w:cs="Arial"/>
          <w:szCs w:val="20"/>
        </w:rPr>
        <w:t>ov</w:t>
      </w:r>
      <w:proofErr w:type="spellEnd"/>
      <w:r w:rsidRPr="003B2B91">
        <w:rPr>
          <w:rFonts w:eastAsia="Arial" w:cs="Arial"/>
          <w:szCs w:val="20"/>
        </w:rPr>
        <w:t xml:space="preserve"> za pripravo blaga za trg (hladilne/skladiščne kapacitete, </w:t>
      </w:r>
      <w:proofErr w:type="spellStart"/>
      <w:r w:rsidRPr="003B2B91">
        <w:rPr>
          <w:rFonts w:eastAsia="Arial" w:cs="Arial"/>
          <w:szCs w:val="20"/>
        </w:rPr>
        <w:t>sortirne</w:t>
      </w:r>
      <w:proofErr w:type="spellEnd"/>
      <w:r w:rsidRPr="003B2B91">
        <w:rPr>
          <w:rFonts w:eastAsia="Arial" w:cs="Arial"/>
          <w:szCs w:val="20"/>
        </w:rPr>
        <w:t xml:space="preserve"> linije, pakirne linije) z ustrezno infrastrukturo, ki b</w:t>
      </w:r>
      <w:r>
        <w:rPr>
          <w:rFonts w:eastAsia="Arial" w:cs="Arial"/>
          <w:szCs w:val="20"/>
        </w:rPr>
        <w:t>i</w:t>
      </w:r>
      <w:r w:rsidRPr="003B2B91">
        <w:rPr>
          <w:rFonts w:eastAsia="Arial" w:cs="Arial"/>
          <w:szCs w:val="20"/>
        </w:rPr>
        <w:t xml:space="preserve"> </w:t>
      </w:r>
      <w:proofErr w:type="spellStart"/>
      <w:r w:rsidRPr="003B2B91">
        <w:rPr>
          <w:rFonts w:eastAsia="Arial" w:cs="Arial"/>
          <w:szCs w:val="20"/>
        </w:rPr>
        <w:t>omogoč</w:t>
      </w:r>
      <w:r>
        <w:rPr>
          <w:rFonts w:eastAsia="Arial" w:cs="Arial"/>
          <w:szCs w:val="20"/>
        </w:rPr>
        <w:t>alaa</w:t>
      </w:r>
      <w:proofErr w:type="spellEnd"/>
      <w:r w:rsidRPr="003B2B91">
        <w:rPr>
          <w:rFonts w:eastAsia="Arial" w:cs="Arial"/>
          <w:szCs w:val="20"/>
        </w:rPr>
        <w:t xml:space="preserve"> večjo dodano vrednost pridelave zelenjave v primarnem sektorju.</w:t>
      </w:r>
    </w:p>
    <w:p w14:paraId="096879D5" w14:textId="77777777" w:rsidR="00E2688B" w:rsidRPr="003B2B91" w:rsidRDefault="00E2688B" w:rsidP="000A650F">
      <w:pPr>
        <w:numPr>
          <w:ilvl w:val="0"/>
          <w:numId w:val="41"/>
        </w:numPr>
        <w:spacing w:before="120" w:after="120" w:line="360" w:lineRule="auto"/>
        <w:ind w:left="357" w:hanging="357"/>
        <w:jc w:val="both"/>
        <w:rPr>
          <w:rFonts w:eastAsia="Times New Roman" w:cs="Arial"/>
          <w:szCs w:val="20"/>
          <w:lang w:eastAsia="en-GB"/>
        </w:rPr>
      </w:pPr>
      <w:r w:rsidRPr="003B2B91">
        <w:rPr>
          <w:rFonts w:eastAsia="Arial" w:cs="Arial"/>
          <w:szCs w:val="20"/>
          <w:lang w:eastAsia="en-GB"/>
        </w:rPr>
        <w:t>Glede na nizko stopnjo samooskrbe pri posameznih zelenjadnicah imamo velike možnosti za povečanje obsega pridelave zelenjave, tako s povečanjem površin kot s povečanjem produktivnosti ter učinkovitosti rabe virov. Beležimo tudi spremembe prehranjevalnih navad v smer rastlinske prehrane.</w:t>
      </w:r>
    </w:p>
    <w:p w14:paraId="081699A1" w14:textId="77777777" w:rsidR="00E2688B" w:rsidRPr="003B2B91" w:rsidRDefault="00E2688B" w:rsidP="000A650F">
      <w:pPr>
        <w:numPr>
          <w:ilvl w:val="0"/>
          <w:numId w:val="41"/>
        </w:numPr>
        <w:spacing w:before="120" w:after="120" w:line="360" w:lineRule="auto"/>
        <w:ind w:left="357" w:hanging="357"/>
        <w:jc w:val="both"/>
        <w:rPr>
          <w:rFonts w:eastAsia="Times New Roman" w:cs="Arial"/>
          <w:szCs w:val="20"/>
          <w:lang w:eastAsia="en-GB"/>
        </w:rPr>
      </w:pPr>
      <w:r w:rsidRPr="003B2B91">
        <w:rPr>
          <w:rFonts w:eastAsia="Arial" w:cs="Arial"/>
          <w:szCs w:val="20"/>
          <w:lang w:eastAsia="en-GB"/>
        </w:rPr>
        <w:t>Shema kakovosti Izbrana kakovost v sektorju še ni vzpostavljena, delež površin zelenjadnic, vključenih v ostale sheme kakovosti je nizek in se zmanjšuje.</w:t>
      </w:r>
    </w:p>
    <w:p w14:paraId="0EAF095C" w14:textId="05E533CE" w:rsidR="00E2688B" w:rsidRDefault="00E2688B" w:rsidP="000E474E">
      <w:pPr>
        <w:pStyle w:val="Naslov2"/>
        <w:ind w:left="578" w:hanging="578"/>
      </w:pPr>
      <w:bookmarkStart w:id="197" w:name="_Toc55912219"/>
      <w:r>
        <w:t>Z</w:t>
      </w:r>
      <w:r w:rsidRPr="004314EF">
        <w:t>el</w:t>
      </w:r>
      <w:r>
        <w:t>išča</w:t>
      </w:r>
      <w:bookmarkEnd w:id="197"/>
    </w:p>
    <w:p w14:paraId="27FC6A49" w14:textId="77777777" w:rsidR="00E2688B" w:rsidRPr="003B2B91" w:rsidRDefault="00E2688B" w:rsidP="00E2688B">
      <w:pPr>
        <w:spacing w:before="200" w:line="360" w:lineRule="auto"/>
        <w:jc w:val="both"/>
        <w:rPr>
          <w:rFonts w:cs="Arial"/>
          <w:szCs w:val="20"/>
        </w:rPr>
      </w:pPr>
      <w:r w:rsidRPr="003B2B91">
        <w:rPr>
          <w:rFonts w:eastAsia="Arial" w:cs="Arial"/>
          <w:szCs w:val="20"/>
        </w:rPr>
        <w:t xml:space="preserve">Za Slovenijo je značilno tradicionalno nabiranje zdravilnih in aromatičnih rastlin v naravi, sušenje le-teh in zbiranje posušenih zelišč (znotraj odkupnih zbirališč/centrov) za potrebe prehranske (dišavnice) in farmacevtske industrije (zdravilna zelišča). Zelišča, ki so pridelana v nasadih ali na njivah in izvirajo iz poznanega genskega materiala s stalno in nadzorovano kakovostjo pa so pomemben potencial, saj je v Sloveniji vse večje povpraševanje po zeliščih ali zeliščnih polproizvodih (rastlinskih izvlečkov). </w:t>
      </w:r>
    </w:p>
    <w:p w14:paraId="19863F19" w14:textId="77777777" w:rsidR="00E2688B" w:rsidRPr="003B2B91" w:rsidRDefault="00E2688B" w:rsidP="00E2688B">
      <w:pPr>
        <w:spacing w:before="200" w:line="360" w:lineRule="auto"/>
        <w:jc w:val="both"/>
        <w:rPr>
          <w:rFonts w:cs="Arial"/>
          <w:szCs w:val="20"/>
        </w:rPr>
      </w:pPr>
      <w:r w:rsidRPr="003B2B91">
        <w:rPr>
          <w:rFonts w:eastAsia="Arial" w:cs="Arial"/>
          <w:szCs w:val="20"/>
        </w:rPr>
        <w:t>Pridelava</w:t>
      </w:r>
      <w:r w:rsidRPr="003B2B91">
        <w:rPr>
          <w:rFonts w:cs="Arial"/>
          <w:szCs w:val="20"/>
        </w:rPr>
        <w:t xml:space="preserve"> zdravilnih zelišč se na kmetijskih gospodarstvih lahko opravlja kot osnovna ali dopolnilna dejavnost (predelava zelišč, dišav in začimb in dejavnosti povezane s tradicionalnimi znanji na kmetiji, </w:t>
      </w:r>
      <w:proofErr w:type="spellStart"/>
      <w:r w:rsidRPr="003B2B91">
        <w:rPr>
          <w:rFonts w:cs="Arial"/>
          <w:szCs w:val="20"/>
        </w:rPr>
        <w:t>t.j</w:t>
      </w:r>
      <w:proofErr w:type="spellEnd"/>
      <w:r w:rsidRPr="003B2B91">
        <w:rPr>
          <w:rFonts w:cs="Arial"/>
          <w:szCs w:val="20"/>
        </w:rPr>
        <w:t>. tradicionalni izdelki iz zelišč in dišavnic).</w:t>
      </w:r>
    </w:p>
    <w:p w14:paraId="4E2F6DFC" w14:textId="77777777" w:rsidR="00E2688B" w:rsidRPr="003B2B91" w:rsidRDefault="00E2688B" w:rsidP="00E2688B">
      <w:pPr>
        <w:spacing w:before="200" w:line="360" w:lineRule="auto"/>
        <w:jc w:val="both"/>
        <w:rPr>
          <w:rFonts w:cs="Arial"/>
          <w:szCs w:val="20"/>
        </w:rPr>
      </w:pPr>
      <w:r w:rsidRPr="003B2B91">
        <w:rPr>
          <w:rFonts w:cs="Arial"/>
          <w:szCs w:val="20"/>
        </w:rPr>
        <w:t xml:space="preserve">Obseg pridelave njivskih zelišč v obdobju 2000 – 2019 izrazito narašča. Po podatkih </w:t>
      </w:r>
      <w:proofErr w:type="spellStart"/>
      <w:r w:rsidRPr="003B2B91">
        <w:rPr>
          <w:rFonts w:cs="Arial"/>
          <w:szCs w:val="20"/>
        </w:rPr>
        <w:t>SURSa</w:t>
      </w:r>
      <w:proofErr w:type="spellEnd"/>
      <w:r w:rsidRPr="003B2B91">
        <w:rPr>
          <w:rFonts w:cs="Arial"/>
          <w:szCs w:val="20"/>
        </w:rPr>
        <w:t xml:space="preserve"> je razvidno, da je zelišča leta 2000 pridelovalo 67 kmetijskih gospodarstev na 13,3 ha. Leta 2019 pa je zelišča pridelovalo 311 kmetijskih gospodarstev, od tega 71 v zavarovanih prostorih na skupno 150 ha. Iz tega izhaja, da se odvijajo pomembne strukturne spremembe, ki izhajajo iz večjega povpraševanja po zeliščih ali zeliščnih proizvodov na trgu.</w:t>
      </w:r>
    </w:p>
    <w:p w14:paraId="783F781C" w14:textId="5BD59067" w:rsidR="00E2688B" w:rsidRPr="00E2688B" w:rsidRDefault="00E2688B" w:rsidP="00E2688B">
      <w:pPr>
        <w:pStyle w:val="SCPreglednica"/>
        <w:keepNext/>
        <w:keepLines/>
      </w:pPr>
      <w:bookmarkStart w:id="198" w:name="_Toc55913789"/>
      <w:r>
        <w:lastRenderedPageBreak/>
        <w:t xml:space="preserve">Slika </w:t>
      </w:r>
      <w:r>
        <w:fldChar w:fldCharType="begin"/>
      </w:r>
      <w:r>
        <w:instrText xml:space="preserve"> SEQ Slika \* ARABIC </w:instrText>
      </w:r>
      <w:r>
        <w:fldChar w:fldCharType="separate"/>
      </w:r>
      <w:r w:rsidR="0040635C">
        <w:rPr>
          <w:noProof/>
        </w:rPr>
        <w:t>40</w:t>
      </w:r>
      <w:r>
        <w:fldChar w:fldCharType="end"/>
      </w:r>
      <w:r>
        <w:t>:</w:t>
      </w:r>
      <w:r w:rsidRPr="00E2688B">
        <w:t xml:space="preserve"> Pridelovalne površine z zelišči, dišavnicami in zdravilnimi rastlinam (2000-2019)</w:t>
      </w:r>
      <w:bookmarkEnd w:id="198"/>
    </w:p>
    <w:p w14:paraId="39852582" w14:textId="77777777" w:rsidR="00E2688B" w:rsidRPr="003B2B91" w:rsidRDefault="00E2688B" w:rsidP="00E2688B">
      <w:pPr>
        <w:keepNext/>
        <w:keepLines/>
        <w:spacing w:after="0" w:line="360" w:lineRule="auto"/>
        <w:rPr>
          <w:rFonts w:eastAsia="Times New Roman" w:cs="Arial"/>
          <w:szCs w:val="20"/>
        </w:rPr>
      </w:pPr>
      <w:r w:rsidRPr="003B2B91">
        <w:rPr>
          <w:rFonts w:cs="Arial"/>
          <w:noProof/>
          <w:szCs w:val="20"/>
        </w:rPr>
        <w:drawing>
          <wp:inline distT="0" distB="0" distL="0" distR="0" wp14:anchorId="4F53667C" wp14:editId="4D8F777E">
            <wp:extent cx="4133850" cy="2152650"/>
            <wp:effectExtent l="0" t="0" r="0" b="0"/>
            <wp:docPr id="24169602" name="Grafikon 241696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3FCC17F" w14:textId="77777777" w:rsidR="00E2688B" w:rsidRDefault="00E2688B" w:rsidP="00E2688B">
      <w:pPr>
        <w:keepNext/>
        <w:keepLines/>
        <w:spacing w:after="0" w:line="360" w:lineRule="auto"/>
        <w:rPr>
          <w:rFonts w:eastAsia="Times New Roman" w:cs="Arial"/>
          <w:szCs w:val="20"/>
        </w:rPr>
      </w:pPr>
      <w:r w:rsidRPr="005718B1">
        <w:rPr>
          <w:rFonts w:eastAsia="Arial" w:cs="Arial"/>
          <w:sz w:val="16"/>
          <w:szCs w:val="16"/>
        </w:rPr>
        <w:t>V</w:t>
      </w:r>
      <w:r>
        <w:rPr>
          <w:rFonts w:eastAsia="Arial" w:cs="Arial"/>
          <w:sz w:val="16"/>
          <w:szCs w:val="16"/>
        </w:rPr>
        <w:t>ir</w:t>
      </w:r>
      <w:r w:rsidRPr="005718B1">
        <w:rPr>
          <w:rFonts w:eastAsia="Arial" w:cs="Arial"/>
          <w:sz w:val="16"/>
          <w:szCs w:val="16"/>
        </w:rPr>
        <w:t>: SURS</w:t>
      </w:r>
      <w:r>
        <w:rPr>
          <w:rFonts w:eastAsia="Arial" w:cs="Arial"/>
          <w:sz w:val="16"/>
          <w:szCs w:val="16"/>
        </w:rPr>
        <w:t>-2020</w:t>
      </w:r>
    </w:p>
    <w:p w14:paraId="077188B7" w14:textId="77777777" w:rsidR="00E2688B" w:rsidRDefault="00E2688B" w:rsidP="00E2688B">
      <w:pPr>
        <w:pStyle w:val="Napis"/>
      </w:pPr>
    </w:p>
    <w:p w14:paraId="1828B402" w14:textId="53CF78EE" w:rsidR="00E2688B" w:rsidRDefault="00E2688B" w:rsidP="00E2688B">
      <w:pPr>
        <w:pStyle w:val="SCPreglednica"/>
        <w:keepNext/>
        <w:keepLines/>
      </w:pPr>
      <w:bookmarkStart w:id="199" w:name="_Toc55913790"/>
      <w:r>
        <w:t xml:space="preserve">Slika </w:t>
      </w:r>
      <w:r>
        <w:fldChar w:fldCharType="begin"/>
      </w:r>
      <w:r>
        <w:instrText xml:space="preserve"> SEQ Slika \* ARABIC </w:instrText>
      </w:r>
      <w:r>
        <w:fldChar w:fldCharType="separate"/>
      </w:r>
      <w:r w:rsidR="0040635C">
        <w:rPr>
          <w:noProof/>
        </w:rPr>
        <w:t>41</w:t>
      </w:r>
      <w:r>
        <w:fldChar w:fldCharType="end"/>
      </w:r>
      <w:r>
        <w:t xml:space="preserve">: </w:t>
      </w:r>
      <w:r w:rsidRPr="00E2688B">
        <w:t>Število kmetijskih gospodarstev (KMG), ki pridelujejo zelišča, dišavnice in zdravilne rastline</w:t>
      </w:r>
      <w:bookmarkEnd w:id="199"/>
    </w:p>
    <w:p w14:paraId="2A6E61E5" w14:textId="77777777" w:rsidR="00E2688B" w:rsidRPr="003B2B91" w:rsidRDefault="00E2688B" w:rsidP="00E2688B">
      <w:pPr>
        <w:spacing w:after="0" w:line="360" w:lineRule="auto"/>
        <w:rPr>
          <w:rFonts w:eastAsia="Times New Roman" w:cs="Arial"/>
          <w:szCs w:val="20"/>
        </w:rPr>
      </w:pPr>
      <w:r w:rsidRPr="003B2B91">
        <w:rPr>
          <w:rFonts w:cs="Arial"/>
          <w:noProof/>
          <w:szCs w:val="20"/>
        </w:rPr>
        <w:drawing>
          <wp:inline distT="0" distB="0" distL="0" distR="0" wp14:anchorId="13E7EB73" wp14:editId="434069FA">
            <wp:extent cx="4276725" cy="2457450"/>
            <wp:effectExtent l="0" t="0" r="9525" b="0"/>
            <wp:docPr id="24169603" name="Grafikon 241696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7AE4590" w14:textId="77777777" w:rsidR="00E2688B" w:rsidRPr="005718B1" w:rsidRDefault="00E2688B" w:rsidP="00E2688B">
      <w:pPr>
        <w:spacing w:after="0" w:line="360" w:lineRule="auto"/>
        <w:rPr>
          <w:rFonts w:cs="Arial"/>
          <w:sz w:val="16"/>
          <w:szCs w:val="16"/>
        </w:rPr>
      </w:pPr>
      <w:r w:rsidRPr="005718B1">
        <w:rPr>
          <w:rFonts w:eastAsia="Arial" w:cs="Arial"/>
          <w:sz w:val="16"/>
          <w:szCs w:val="16"/>
        </w:rPr>
        <w:t>V</w:t>
      </w:r>
      <w:r>
        <w:rPr>
          <w:rFonts w:eastAsia="Arial" w:cs="Arial"/>
          <w:sz w:val="16"/>
          <w:szCs w:val="16"/>
        </w:rPr>
        <w:t>ir</w:t>
      </w:r>
      <w:r w:rsidRPr="005718B1">
        <w:rPr>
          <w:rFonts w:eastAsia="Arial" w:cs="Arial"/>
          <w:sz w:val="16"/>
          <w:szCs w:val="16"/>
        </w:rPr>
        <w:t>: SURS</w:t>
      </w:r>
      <w:r>
        <w:rPr>
          <w:rFonts w:eastAsia="Arial" w:cs="Arial"/>
          <w:sz w:val="16"/>
          <w:szCs w:val="16"/>
        </w:rPr>
        <w:t>-2020</w:t>
      </w:r>
    </w:p>
    <w:p w14:paraId="23AF8812" w14:textId="46558AC5" w:rsidR="00E2688B" w:rsidRPr="003B2B91" w:rsidRDefault="00E2688B" w:rsidP="00E2688B">
      <w:pPr>
        <w:shd w:val="clear" w:color="auto" w:fill="FFFFFF"/>
        <w:spacing w:before="200" w:line="360" w:lineRule="auto"/>
        <w:jc w:val="both"/>
        <w:rPr>
          <w:rFonts w:eastAsia="Times New Roman" w:cs="Arial"/>
          <w:szCs w:val="20"/>
        </w:rPr>
      </w:pPr>
      <w:r w:rsidRPr="003B2B91">
        <w:rPr>
          <w:rFonts w:eastAsia="Times New Roman" w:cs="Arial"/>
          <w:szCs w:val="20"/>
          <w:lang w:eastAsia="en-GB"/>
        </w:rPr>
        <w:t xml:space="preserve">V okviru </w:t>
      </w:r>
      <w:r w:rsidRPr="003B2B91">
        <w:rPr>
          <w:rFonts w:eastAsia="Times New Roman" w:cs="Arial"/>
          <w:szCs w:val="20"/>
        </w:rPr>
        <w:t xml:space="preserve">Javne službe v vrtnarstvu se izvajajo tudi naloge na področju zelišč: selekcija zelišč, introdukcija in ekološka </w:t>
      </w:r>
      <w:proofErr w:type="spellStart"/>
      <w:r w:rsidRPr="003B2B91">
        <w:rPr>
          <w:rFonts w:eastAsia="Times New Roman" w:cs="Arial"/>
          <w:szCs w:val="20"/>
        </w:rPr>
        <w:t>rajonizacija</w:t>
      </w:r>
      <w:proofErr w:type="spellEnd"/>
      <w:r w:rsidRPr="003B2B91">
        <w:rPr>
          <w:rFonts w:eastAsia="Times New Roman" w:cs="Arial"/>
          <w:szCs w:val="20"/>
        </w:rPr>
        <w:t xml:space="preserve"> zelišč ter ugotavljanje njihove vrednosti za predelavo, tehnologije pridelave zelišč. Ohranjanje rastlinskih genskih virov zdravilnih in aromatičnih rastlin  poteka v okviru javne službe nalog rastlinske genske banke, kjer je shra</w:t>
      </w:r>
      <w:r w:rsidR="000E474E">
        <w:rPr>
          <w:rFonts w:eastAsia="Times New Roman" w:cs="Arial"/>
          <w:szCs w:val="20"/>
        </w:rPr>
        <w:t>n</w:t>
      </w:r>
      <w:r w:rsidRPr="003B2B91">
        <w:rPr>
          <w:rFonts w:eastAsia="Times New Roman" w:cs="Arial"/>
          <w:szCs w:val="20"/>
        </w:rPr>
        <w:t xml:space="preserve">jenih 251 akcesij </w:t>
      </w:r>
      <w:r w:rsidRPr="00631AB7">
        <w:rPr>
          <w:rFonts w:eastAsia="Times New Roman" w:cs="Arial"/>
          <w:szCs w:val="20"/>
        </w:rPr>
        <w:t>zdravilnih in aromatičnih rastlin</w:t>
      </w:r>
      <w:r w:rsidRPr="003B2B91">
        <w:rPr>
          <w:rFonts w:eastAsia="Times New Roman" w:cs="Arial"/>
          <w:szCs w:val="20"/>
        </w:rPr>
        <w:t>.</w:t>
      </w:r>
    </w:p>
    <w:p w14:paraId="2003DD74" w14:textId="3A6F140F" w:rsidR="00E2688B" w:rsidRDefault="00E2688B" w:rsidP="00E2688B">
      <w:pPr>
        <w:spacing w:before="200" w:line="360" w:lineRule="auto"/>
        <w:jc w:val="both"/>
        <w:rPr>
          <w:rFonts w:cs="Arial"/>
          <w:szCs w:val="20"/>
        </w:rPr>
      </w:pPr>
      <w:r w:rsidRPr="003B2B91">
        <w:rPr>
          <w:rFonts w:cs="Arial"/>
          <w:szCs w:val="20"/>
        </w:rPr>
        <w:t>Uvajanje pridelave zelišč je pomembno tudi s stališča ohranjanja naravnih rastišč samoniklih zelišč in s tem ohranjanja biotske raznovrstnosti. Preveliko povpraševanje po določenih zeliščih lahko vodi v nekontrolirano, prekomerno nabiranje le-teh, zaradi česar so naravna rastišča ogrožena. Samonikla zelišča iz naravnih rastišč so namreč lahko tudi izvorni material za raziskave in žlahtnjenje ter za razvoj populacij zelišč, primernih za njivsko pridelavo, kar je tudi ena od nalog Javne službe v vrt</w:t>
      </w:r>
      <w:r w:rsidR="000E474E">
        <w:rPr>
          <w:rFonts w:cs="Arial"/>
          <w:szCs w:val="20"/>
        </w:rPr>
        <w:t>n</w:t>
      </w:r>
      <w:r w:rsidRPr="003B2B91">
        <w:rPr>
          <w:rFonts w:cs="Arial"/>
          <w:szCs w:val="20"/>
        </w:rPr>
        <w:t>ar</w:t>
      </w:r>
      <w:r w:rsidR="000E474E">
        <w:rPr>
          <w:rFonts w:cs="Arial"/>
          <w:szCs w:val="20"/>
        </w:rPr>
        <w:t>s</w:t>
      </w:r>
      <w:r w:rsidRPr="003B2B91">
        <w:rPr>
          <w:rFonts w:cs="Arial"/>
          <w:szCs w:val="20"/>
        </w:rPr>
        <w:t>tvu.</w:t>
      </w:r>
    </w:p>
    <w:p w14:paraId="7BB7D7E3" w14:textId="77777777" w:rsidR="000E474E" w:rsidRDefault="000E474E" w:rsidP="000E474E">
      <w:pPr>
        <w:pStyle w:val="Naslov3"/>
        <w:rPr>
          <w:rFonts w:eastAsia="Calibri"/>
        </w:rPr>
      </w:pPr>
      <w:bookmarkStart w:id="200" w:name="_Toc55912220"/>
      <w:r w:rsidRPr="004314EF">
        <w:rPr>
          <w:rFonts w:eastAsia="Calibri"/>
        </w:rPr>
        <w:lastRenderedPageBreak/>
        <w:t>Ključne ugotovitve</w:t>
      </w:r>
      <w:bookmarkEnd w:id="200"/>
    </w:p>
    <w:p w14:paraId="3D58841C" w14:textId="0C7CA17B" w:rsidR="000E474E" w:rsidRDefault="000E474E" w:rsidP="000A650F">
      <w:pPr>
        <w:numPr>
          <w:ilvl w:val="0"/>
          <w:numId w:val="41"/>
        </w:numPr>
        <w:spacing w:before="120" w:after="120" w:line="360" w:lineRule="auto"/>
        <w:ind w:left="357" w:hanging="357"/>
        <w:jc w:val="both"/>
        <w:rPr>
          <w:rFonts w:eastAsia="Arial" w:cs="Arial"/>
          <w:szCs w:val="20"/>
          <w:lang w:eastAsia="en-GB"/>
        </w:rPr>
      </w:pPr>
      <w:r w:rsidRPr="000E474E">
        <w:rPr>
          <w:rFonts w:eastAsia="Arial" w:cs="Arial"/>
          <w:szCs w:val="20"/>
          <w:lang w:eastAsia="en-GB"/>
        </w:rPr>
        <w:t xml:space="preserve">Pomembnejši vzroki, ki zavirajo razvoj panoge so manjkajoča oz. razpršena in neurejena zakonodajna ureditev, ki zadeva več vladnih resorjev, nepovezanost pridelovalcev zdravilnih zelišč ter neurejenost odkupa, skladiščenja, sušenja, priprave in predelave ter kontrole zdravilnih zelišč. </w:t>
      </w:r>
    </w:p>
    <w:p w14:paraId="21DB03D9" w14:textId="47F34EEB" w:rsidR="00CF3CC6" w:rsidRPr="000A4C0A" w:rsidRDefault="00CF3CC6" w:rsidP="000E474E">
      <w:pPr>
        <w:pStyle w:val="Naslov2"/>
        <w:ind w:left="578" w:hanging="578"/>
      </w:pPr>
      <w:bookmarkStart w:id="201" w:name="_Toc40959289"/>
      <w:bookmarkStart w:id="202" w:name="_Toc55912221"/>
      <w:r w:rsidRPr="000A4C0A">
        <w:t>S</w:t>
      </w:r>
      <w:r w:rsidR="000E474E">
        <w:t>adjarstvo</w:t>
      </w:r>
      <w:bookmarkEnd w:id="201"/>
      <w:bookmarkEnd w:id="202"/>
    </w:p>
    <w:p w14:paraId="775857C3" w14:textId="77777777" w:rsidR="000E474E" w:rsidRPr="003B2B91" w:rsidRDefault="000E474E" w:rsidP="000E474E">
      <w:pPr>
        <w:spacing w:before="200" w:line="360" w:lineRule="auto"/>
        <w:jc w:val="both"/>
        <w:rPr>
          <w:rFonts w:eastAsia="Times New Roman" w:cs="Arial"/>
          <w:szCs w:val="20"/>
          <w:lang w:eastAsia="en-GB"/>
        </w:rPr>
      </w:pPr>
      <w:r w:rsidRPr="003B2B91">
        <w:rPr>
          <w:rFonts w:eastAsia="Times New Roman" w:cs="Arial"/>
          <w:szCs w:val="20"/>
          <w:lang w:eastAsia="en-GB"/>
        </w:rPr>
        <w:t>V Sloveniji ima s</w:t>
      </w:r>
      <w:r w:rsidRPr="003B2B91" w:rsidDel="00077748">
        <w:rPr>
          <w:rFonts w:eastAsia="Times New Roman" w:cs="Arial"/>
          <w:szCs w:val="20"/>
          <w:lang w:eastAsia="en-GB"/>
        </w:rPr>
        <w:t xml:space="preserve">adjarstvo </w:t>
      </w:r>
      <w:r w:rsidRPr="003B2B91">
        <w:rPr>
          <w:rFonts w:eastAsia="Times New Roman" w:cs="Arial"/>
          <w:szCs w:val="20"/>
          <w:lang w:eastAsia="en-GB"/>
        </w:rPr>
        <w:t xml:space="preserve">še precej neizkoriščenih možnosti za večji tehnološki napredek in nadaljnji razvoj, kar med drugim izvira iz naravnih danosti, tradicije, uveljavljenosti okolju prijaznih načinov pridelave, kakovostnega znanja, ugodne geografske lege ter velikih rezerv na področju porabe v prehrani, ki se kažejo v še vedno v prenizki stopnji samooskrbe s sadjem. </w:t>
      </w:r>
    </w:p>
    <w:p w14:paraId="132BCEE1" w14:textId="77777777" w:rsidR="000E474E" w:rsidRPr="003B2B91" w:rsidRDefault="000E474E" w:rsidP="000E474E">
      <w:pPr>
        <w:spacing w:before="200" w:line="360" w:lineRule="auto"/>
        <w:jc w:val="both"/>
        <w:rPr>
          <w:rFonts w:eastAsia="Times New Roman" w:cs="Arial"/>
          <w:szCs w:val="20"/>
          <w:lang w:eastAsia="en-GB"/>
        </w:rPr>
      </w:pPr>
      <w:r w:rsidRPr="003B2B91">
        <w:rPr>
          <w:rFonts w:eastAsia="Times New Roman" w:cs="Arial"/>
          <w:szCs w:val="20"/>
          <w:lang w:eastAsia="en-GB"/>
        </w:rPr>
        <w:t xml:space="preserve">Pri razvoju mednarodno konkurenčnega sadjarstva in ob upoštevanju zelo visokih okoljevarstvenih standardov ter izrazitega vpliva podnebnih sprememb v zadnjih letih, bo tudi v Sloveniji treba še več vlagati v nova znanja in iskanje novih tehnoloških rešitev.   </w:t>
      </w:r>
    </w:p>
    <w:p w14:paraId="754F99A2" w14:textId="2D174C2B" w:rsidR="00CF3CC6" w:rsidRPr="000A4C0A" w:rsidRDefault="000E474E" w:rsidP="000E474E">
      <w:pPr>
        <w:spacing w:before="200" w:line="360" w:lineRule="auto"/>
        <w:jc w:val="both"/>
        <w:rPr>
          <w:rFonts w:eastAsia="Calibri" w:cs="Arial"/>
          <w:szCs w:val="20"/>
        </w:rPr>
      </w:pPr>
      <w:r w:rsidRPr="003B2B91">
        <w:rPr>
          <w:rFonts w:eastAsia="TimesNewRoman" w:cs="Arial"/>
          <w:szCs w:val="20"/>
        </w:rPr>
        <w:t>Temeljni cilji razvoja slovenskega sadjarstva so povečanje obsega pridelanega sadja, izboljšanje konkurenčnosti in kakovosti pridelanega sadja ter povečanje porabe sadja.</w:t>
      </w:r>
    </w:p>
    <w:p w14:paraId="03649BC5" w14:textId="71D1CBBC" w:rsidR="00CF3CC6" w:rsidRDefault="00CF3CC6" w:rsidP="000A4C0A">
      <w:pPr>
        <w:pStyle w:val="Naslov3"/>
        <w:rPr>
          <w:rFonts w:eastAsia="Calibri"/>
        </w:rPr>
      </w:pPr>
      <w:bookmarkStart w:id="203" w:name="_Toc55912222"/>
      <w:r w:rsidRPr="000A4C0A">
        <w:rPr>
          <w:rFonts w:eastAsia="Calibri"/>
        </w:rPr>
        <w:t>Stanje v sektorju in osnovni ekonomski kazalniki</w:t>
      </w:r>
      <w:bookmarkEnd w:id="203"/>
    </w:p>
    <w:p w14:paraId="414A18CE" w14:textId="77777777" w:rsidR="000E474E" w:rsidRPr="00F14D7D" w:rsidRDefault="000E474E" w:rsidP="00F14D7D">
      <w:pPr>
        <w:spacing w:before="200" w:line="360" w:lineRule="auto"/>
        <w:jc w:val="both"/>
        <w:rPr>
          <w:rFonts w:eastAsia="Calibri" w:cs="Arial"/>
          <w:szCs w:val="20"/>
          <w:lang w:eastAsia="en-GB"/>
        </w:rPr>
      </w:pPr>
      <w:r w:rsidRPr="00F14D7D">
        <w:rPr>
          <w:rFonts w:eastAsia="Calibri" w:cs="Arial"/>
          <w:szCs w:val="20"/>
          <w:lang w:eastAsia="en-GB"/>
        </w:rPr>
        <w:t>K skupni vrednosti kmetijske proizvodnje po osnovnih cenah je v obdobju 2010–2019 pridelava sadja prispevala med 4,1 % in 8,4 %, k vrednosti rastlinske proizvodnje pa med 7,4 % in 16,3 %.</w:t>
      </w:r>
    </w:p>
    <w:p w14:paraId="52A67ADD" w14:textId="77777777" w:rsidR="000E474E" w:rsidRPr="00F14D7D" w:rsidRDefault="000E474E" w:rsidP="00F14D7D">
      <w:pPr>
        <w:spacing w:before="200" w:line="360" w:lineRule="auto"/>
        <w:jc w:val="both"/>
        <w:rPr>
          <w:rFonts w:eastAsia="Times New Roman" w:cs="Arial"/>
          <w:szCs w:val="20"/>
          <w:lang w:eastAsia="en-GB"/>
        </w:rPr>
      </w:pPr>
      <w:r w:rsidRPr="00F14D7D">
        <w:rPr>
          <w:rFonts w:eastAsia="Calibri" w:cs="Arial"/>
          <w:szCs w:val="20"/>
          <w:lang w:eastAsia="en-GB"/>
        </w:rPr>
        <w:t xml:space="preserve">Površine sadovnjakov, ki vključujejo površine ekstenzivnih sadovnjakov in površine intenzivnih sadovnjakov vključno z jagodami in namiznim grozdjem, zavzemajo približno 2 % kmetijskih zemljišč v uporabi. Leta 2019 so obsegale 10,8 tisoč hektarjev in so bile v primerjavi z zadnjim desetletnim obdobjem (2009-2018) večje za 17 %. Ekstenzivni sadovnjaki so obsegali 6,5 tisoč hektarjev ali 60 % vseh sadovnjakov (površina se je v obdobju 2001–2009 postopno zmanjševala, v zadnjih letih pa je opazno njeno povečevanje), intenzivni sadovnjaki so obsegali 4,3 tisoč hektarjev in so tudi v trendu povečevanja. </w:t>
      </w:r>
    </w:p>
    <w:p w14:paraId="57C45CEE" w14:textId="77777777" w:rsidR="000E474E" w:rsidRPr="00F14D7D" w:rsidRDefault="000E474E" w:rsidP="00F14D7D">
      <w:pPr>
        <w:spacing w:before="200" w:line="360" w:lineRule="auto"/>
        <w:jc w:val="both"/>
        <w:rPr>
          <w:rFonts w:eastAsia="Times New Roman" w:cs="Arial"/>
          <w:szCs w:val="20"/>
          <w:lang w:eastAsia="en-GB"/>
        </w:rPr>
      </w:pPr>
      <w:r w:rsidRPr="00F14D7D">
        <w:rPr>
          <w:rFonts w:eastAsia="Calibri" w:cs="Arial"/>
          <w:szCs w:val="20"/>
          <w:lang w:eastAsia="en-GB"/>
        </w:rPr>
        <w:t xml:space="preserve">Struktura sadnih vrst v intenzivnih sadovnjakih se je v obdobju 2009-2019 nekoliko spremenila. Površine jablan z 2.267 ha še vedno močno prevladujejo (53 %), vendar je njihov delež v strukturi bruto površine v trendu zmanjševanja. Zmanjšuje se tudi delež drugih v preteklosti najbolj razširjenih sadnih vrst kot so hruške, breskve in nektarine. Glede na leto 2012 se povečuje zastopanost lupinarjev, jagod in drugega jagodičja, nekaterih </w:t>
      </w:r>
      <w:proofErr w:type="spellStart"/>
      <w:r w:rsidRPr="00F14D7D">
        <w:rPr>
          <w:rFonts w:eastAsia="Calibri" w:cs="Arial"/>
          <w:szCs w:val="20"/>
          <w:lang w:eastAsia="en-GB"/>
        </w:rPr>
        <w:t>koščičarjev</w:t>
      </w:r>
      <w:proofErr w:type="spellEnd"/>
      <w:r w:rsidRPr="00F14D7D">
        <w:rPr>
          <w:rFonts w:eastAsia="Calibri" w:cs="Arial"/>
          <w:szCs w:val="20"/>
          <w:lang w:eastAsia="en-GB"/>
        </w:rPr>
        <w:t xml:space="preserve">, zlasti češenj, in drugih sadnih vrst. V letu 2019 so se v intenzivnih sadovnjakih za 210 ha povečale tudi površine z novimi sadnimi vrstami. </w:t>
      </w:r>
      <w:r w:rsidRPr="00F14D7D">
        <w:rPr>
          <w:rFonts w:eastAsia="Times New Roman" w:cs="Arial"/>
          <w:szCs w:val="20"/>
          <w:lang w:eastAsia="en-GB"/>
        </w:rPr>
        <w:t>V pridelavi intenzivnih sadovnjakov je značilna velika posestna razdrobljenost, kar 60% sadjarjev obdeluje pod 0,5 ha sadovnjakov, velikost do 1 ha sadovnjaka pa zajame kar 76% vseh pridelovalcev.</w:t>
      </w:r>
    </w:p>
    <w:p w14:paraId="232DFED7" w14:textId="77777777" w:rsidR="000E474E" w:rsidRPr="00F14D7D" w:rsidRDefault="000E474E" w:rsidP="00F14D7D">
      <w:pPr>
        <w:spacing w:before="200" w:line="360" w:lineRule="auto"/>
        <w:jc w:val="both"/>
        <w:rPr>
          <w:rFonts w:eastAsia="Times New Roman" w:cs="Arial"/>
          <w:szCs w:val="20"/>
          <w:lang w:eastAsia="en-GB"/>
        </w:rPr>
      </w:pPr>
      <w:r w:rsidRPr="00F14D7D">
        <w:rPr>
          <w:rFonts w:eastAsia="Calibri" w:cs="Arial"/>
          <w:szCs w:val="20"/>
          <w:lang w:eastAsia="en-GB"/>
        </w:rPr>
        <w:lastRenderedPageBreak/>
        <w:t>Skupna pridelava sadja v ekstenzivnih in intenzivnih sadovnjakih je bila v letu 2019 89 tisoč ton, kar je za 30 % manj od desetletnega povprečja obdobja 2009-2018. Hektarski pridelek jablan v intenzivnih nasadih je bil 23,9 t/ha kar je za 6% manj od povprečja obdobja 2009-2018.</w:t>
      </w:r>
      <w:r w:rsidRPr="00F14D7D">
        <w:rPr>
          <w:rFonts w:eastAsia="Calibri" w:cs="Arial"/>
          <w:i/>
          <w:szCs w:val="20"/>
          <w:lang w:eastAsia="en-GB"/>
        </w:rPr>
        <w:t xml:space="preserve"> </w:t>
      </w:r>
    </w:p>
    <w:p w14:paraId="77CBCA62" w14:textId="09E1D3FC" w:rsidR="00F14D7D" w:rsidRDefault="00F14D7D" w:rsidP="00F14D7D">
      <w:pPr>
        <w:pStyle w:val="SCPreglednica"/>
        <w:keepNext/>
        <w:keepLines/>
      </w:pPr>
      <w:bookmarkStart w:id="204" w:name="_Toc55913791"/>
      <w:r>
        <w:t xml:space="preserve">Slika </w:t>
      </w:r>
      <w:r>
        <w:fldChar w:fldCharType="begin"/>
      </w:r>
      <w:r>
        <w:instrText xml:space="preserve"> SEQ Slika \* ARABIC </w:instrText>
      </w:r>
      <w:r>
        <w:fldChar w:fldCharType="separate"/>
      </w:r>
      <w:r w:rsidR="0040635C">
        <w:rPr>
          <w:noProof/>
        </w:rPr>
        <w:t>42</w:t>
      </w:r>
      <w:r>
        <w:fldChar w:fldCharType="end"/>
      </w:r>
      <w:r>
        <w:t xml:space="preserve">: </w:t>
      </w:r>
      <w:r w:rsidRPr="00F14D7D">
        <w:t>Površina in pridelek sadja (2007–2019)</w:t>
      </w:r>
      <w:bookmarkEnd w:id="204"/>
    </w:p>
    <w:p w14:paraId="3696328E" w14:textId="3234A2DE" w:rsidR="000E474E" w:rsidRPr="005718B1" w:rsidRDefault="000E474E" w:rsidP="000E474E">
      <w:pPr>
        <w:spacing w:after="0" w:line="360" w:lineRule="auto"/>
        <w:rPr>
          <w:color w:val="000000" w:themeColor="text1"/>
          <w:szCs w:val="20"/>
        </w:rPr>
      </w:pPr>
      <w:r w:rsidRPr="005718B1">
        <w:rPr>
          <w:i/>
          <w:noProof/>
          <w:color w:val="000000" w:themeColor="text1"/>
          <w:szCs w:val="20"/>
        </w:rPr>
        <w:drawing>
          <wp:inline distT="0" distB="0" distL="0" distR="0" wp14:anchorId="2991787E" wp14:editId="4CC830EC">
            <wp:extent cx="5760085" cy="1955922"/>
            <wp:effectExtent l="0" t="0" r="0" b="6350"/>
            <wp:docPr id="24169604" name="Slika 24169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85" cy="1955922"/>
                    </a:xfrm>
                    <a:prstGeom prst="rect">
                      <a:avLst/>
                    </a:prstGeom>
                    <a:noFill/>
                    <a:ln>
                      <a:noFill/>
                    </a:ln>
                  </pic:spPr>
                </pic:pic>
              </a:graphicData>
            </a:graphic>
          </wp:inline>
        </w:drawing>
      </w:r>
    </w:p>
    <w:p w14:paraId="3B1E511F" w14:textId="77777777" w:rsidR="000E474E" w:rsidRPr="005718B1" w:rsidRDefault="000E474E" w:rsidP="000E474E">
      <w:pPr>
        <w:widowControl w:val="0"/>
        <w:spacing w:after="0" w:line="360" w:lineRule="auto"/>
        <w:contextualSpacing/>
        <w:rPr>
          <w:rFonts w:eastAsia="Times New Roman" w:cs="Arial"/>
          <w:color w:val="000000" w:themeColor="text1"/>
          <w:szCs w:val="20"/>
          <w:lang w:eastAsia="en-GB"/>
        </w:rPr>
      </w:pPr>
      <w:r w:rsidRPr="005718B1">
        <w:rPr>
          <w:rFonts w:eastAsia="Calibri" w:cs="Arial"/>
          <w:color w:val="000000" w:themeColor="text1"/>
          <w:sz w:val="16"/>
          <w:szCs w:val="16"/>
          <w:lang w:eastAsia="en-GB"/>
        </w:rPr>
        <w:t xml:space="preserve">Vir: </w:t>
      </w:r>
      <w:r>
        <w:rPr>
          <w:rFonts w:eastAsia="Times New Roman" w:cs="Arial"/>
          <w:color w:val="000000" w:themeColor="text1"/>
          <w:sz w:val="16"/>
          <w:szCs w:val="16"/>
          <w:lang w:eastAsia="en-GB"/>
        </w:rPr>
        <w:t>SURS (ZP-2019)</w:t>
      </w:r>
    </w:p>
    <w:p w14:paraId="151ADC72" w14:textId="77777777" w:rsidR="000E474E" w:rsidRPr="00F14D7D" w:rsidRDefault="000E474E" w:rsidP="00F14D7D">
      <w:pPr>
        <w:spacing w:before="200" w:line="360" w:lineRule="auto"/>
        <w:jc w:val="both"/>
        <w:rPr>
          <w:rFonts w:eastAsia="Times New Roman" w:cs="Arial"/>
          <w:bCs/>
          <w:szCs w:val="20"/>
          <w:lang w:eastAsia="en-GB"/>
        </w:rPr>
      </w:pPr>
      <w:r w:rsidRPr="00F14D7D">
        <w:rPr>
          <w:rFonts w:eastAsia="Times New Roman" w:cs="Arial"/>
          <w:bCs/>
          <w:color w:val="000000" w:themeColor="text1"/>
          <w:szCs w:val="20"/>
          <w:lang w:eastAsia="en-GB"/>
        </w:rPr>
        <w:t xml:space="preserve">Delež </w:t>
      </w:r>
      <w:r w:rsidRPr="00F14D7D">
        <w:rPr>
          <w:rFonts w:eastAsia="Times New Roman" w:cs="Arial"/>
          <w:bCs/>
          <w:szCs w:val="20"/>
          <w:lang w:eastAsia="en-GB"/>
        </w:rPr>
        <w:t xml:space="preserve">nasadov z mrežami proti toči in namakalnimi sistemi je še vedno premajhen. V letu 2019 je bilo z </w:t>
      </w:r>
      <w:r w:rsidRPr="00F14D7D">
        <w:rPr>
          <w:rFonts w:eastAsia="Calibri" w:cs="Arial"/>
          <w:bCs/>
          <w:szCs w:val="20"/>
          <w:lang w:eastAsia="en-GB"/>
        </w:rPr>
        <w:t xml:space="preserve">mrežo proti toči pokritih 1.297 ha ali 30 % vseh intenzivnih sadovnjakov, od tega 1.171 ha ali 52 % vseh intenzivnih nasadov jablan, kar je še vedno premalo. Namakanih je bilo 812 ha ali 18,7 % intenzivnih sadovnjakov, od tega 360 ha ali 16 % intenzivnih nasadov jablan. </w:t>
      </w:r>
      <w:r w:rsidRPr="00F14D7D">
        <w:rPr>
          <w:rFonts w:eastAsia="Times New Roman" w:cs="Arial"/>
          <w:bCs/>
          <w:szCs w:val="20"/>
          <w:lang w:eastAsia="en-GB"/>
        </w:rPr>
        <w:t xml:space="preserve">Glede na strateške in razvojne cilje v sadjarstvu najbolj izstopa trend naraščanja površin z mrežami proti toči pri jablani, katerih cilj je 80 % pokritost površin jablan. </w:t>
      </w:r>
    </w:p>
    <w:p w14:paraId="69F1AFFF" w14:textId="7281717E" w:rsidR="00F14D7D" w:rsidRDefault="00F14D7D" w:rsidP="00F14D7D">
      <w:pPr>
        <w:spacing w:after="0" w:line="360" w:lineRule="auto"/>
      </w:pPr>
      <w:bookmarkStart w:id="205" w:name="_Toc55913792"/>
      <w:r>
        <w:t xml:space="preserve">Slika </w:t>
      </w:r>
      <w:r>
        <w:fldChar w:fldCharType="begin"/>
      </w:r>
      <w:r>
        <w:instrText xml:space="preserve"> SEQ Slika \* ARABIC </w:instrText>
      </w:r>
      <w:r>
        <w:fldChar w:fldCharType="separate"/>
      </w:r>
      <w:r w:rsidR="0040635C">
        <w:rPr>
          <w:noProof/>
        </w:rPr>
        <w:t>43</w:t>
      </w:r>
      <w:r>
        <w:fldChar w:fldCharType="end"/>
      </w:r>
      <w:r>
        <w:t xml:space="preserve">: </w:t>
      </w:r>
      <w:r w:rsidRPr="009F16BA">
        <w:rPr>
          <w:rFonts w:eastAsia="Times New Roman" w:cs="Arial"/>
          <w:szCs w:val="20"/>
          <w:lang w:eastAsia="en-GB"/>
        </w:rPr>
        <w:t xml:space="preserve">Deleži pokritosti sadovnjakov z mrežami proti </w:t>
      </w:r>
      <w:r w:rsidRPr="0085099A">
        <w:rPr>
          <w:rFonts w:eastAsia="Times New Roman" w:cs="Arial"/>
          <w:szCs w:val="20"/>
          <w:lang w:eastAsia="en-GB"/>
        </w:rPr>
        <w:t xml:space="preserve">toči oz. z namakalnimi sistemi </w:t>
      </w:r>
      <w:r>
        <w:rPr>
          <w:rFonts w:eastAsia="Times New Roman" w:cs="Arial"/>
          <w:szCs w:val="20"/>
          <w:lang w:eastAsia="en-GB"/>
        </w:rPr>
        <w:t>(v %)</w:t>
      </w:r>
      <w:bookmarkEnd w:id="205"/>
    </w:p>
    <w:p w14:paraId="6A30AC23" w14:textId="77777777" w:rsidR="000E474E" w:rsidRDefault="000E474E" w:rsidP="000E474E">
      <w:pPr>
        <w:spacing w:after="0" w:line="360" w:lineRule="auto"/>
        <w:rPr>
          <w:rFonts w:eastAsia="Times New Roman" w:cs="Arial"/>
          <w:szCs w:val="20"/>
          <w:lang w:eastAsia="en-GB"/>
        </w:rPr>
      </w:pPr>
      <w:r>
        <w:rPr>
          <w:noProof/>
        </w:rPr>
        <w:drawing>
          <wp:inline distT="0" distB="0" distL="0" distR="0" wp14:anchorId="37099B96" wp14:editId="06A298C5">
            <wp:extent cx="5759355" cy="2905760"/>
            <wp:effectExtent l="0" t="0" r="13335" b="8890"/>
            <wp:docPr id="30" name="Grafikon 3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848ADBA" w14:textId="77777777" w:rsidR="000E474E" w:rsidRPr="005718B1" w:rsidRDefault="000E474E" w:rsidP="000E474E">
      <w:pPr>
        <w:spacing w:after="0" w:line="360" w:lineRule="auto"/>
        <w:rPr>
          <w:rFonts w:eastAsia="Calibri" w:cs="Arial"/>
          <w:sz w:val="16"/>
          <w:szCs w:val="16"/>
          <w:lang w:eastAsia="en-GB"/>
        </w:rPr>
      </w:pPr>
      <w:r w:rsidRPr="005718B1">
        <w:rPr>
          <w:rFonts w:eastAsia="Times New Roman" w:cs="Arial"/>
          <w:sz w:val="16"/>
          <w:szCs w:val="16"/>
          <w:lang w:eastAsia="en-GB"/>
        </w:rPr>
        <w:t>Vir: RKG</w:t>
      </w:r>
      <w:r w:rsidRPr="0034156F">
        <w:rPr>
          <w:rFonts w:eastAsia="Times New Roman" w:cs="Arial"/>
          <w:sz w:val="16"/>
          <w:szCs w:val="16"/>
          <w:lang w:eastAsia="en-GB"/>
        </w:rPr>
        <w:t>-2020</w:t>
      </w:r>
    </w:p>
    <w:p w14:paraId="473DB1CE" w14:textId="77777777" w:rsidR="000E474E" w:rsidRPr="003B2B91" w:rsidRDefault="000E474E" w:rsidP="00F14D7D">
      <w:pPr>
        <w:spacing w:before="200" w:line="360" w:lineRule="auto"/>
        <w:jc w:val="both"/>
        <w:rPr>
          <w:rFonts w:eastAsia="Calibri" w:cs="Arial"/>
          <w:szCs w:val="20"/>
          <w:lang w:eastAsia="en-GB"/>
        </w:rPr>
      </w:pPr>
      <w:r w:rsidRPr="003B2B91">
        <w:rPr>
          <w:rFonts w:eastAsia="Calibri" w:cs="Arial"/>
          <w:szCs w:val="20"/>
          <w:lang w:eastAsia="en-GB"/>
        </w:rPr>
        <w:lastRenderedPageBreak/>
        <w:t xml:space="preserve">Zaradi neugodne starostne strukture intenzivnih sadovnjakov, bi bilo potrebno povečati delež obnovljenih intenzivnih sadovnjakov. Po podatkih RKG bi bila v letu 2019 za 2.808 ha oziroma 66 % intenzivnih sadovnjakov starih do 15 let in 1.464 ha oziroma 34 % starih več kot 15 let potrebna obnova </w:t>
      </w:r>
      <w:proofErr w:type="spellStart"/>
      <w:r w:rsidRPr="003B2B91">
        <w:rPr>
          <w:rFonts w:eastAsia="Calibri" w:cs="Arial"/>
          <w:szCs w:val="20"/>
          <w:lang w:eastAsia="en-GB"/>
        </w:rPr>
        <w:t>nadasov</w:t>
      </w:r>
      <w:proofErr w:type="spellEnd"/>
      <w:r w:rsidRPr="003B2B91">
        <w:rPr>
          <w:rFonts w:eastAsia="Calibri" w:cs="Arial"/>
          <w:szCs w:val="20"/>
          <w:lang w:eastAsia="en-GB"/>
        </w:rPr>
        <w:t>. Povprečna letna obnova v obdobju 2013–2019 je znašala 220 ha intenzivnih sadovnjakov na leto, od tega 50 ha nasadov jablan. Izmed intenzivnih jablanovih nasadov, ki je še vedno najbolj razširjena sadna vrsta, je bilo 377 ha ali 17 % starih do 5 let, 427 ha ali 19 % 6–10 let, 883 ha ali 39 % 11–20 let in 580 ha ali 25 % več kot 20 let.</w:t>
      </w:r>
    </w:p>
    <w:p w14:paraId="6F72CEC6" w14:textId="363FBDE3" w:rsidR="00F14D7D" w:rsidRDefault="00F14D7D" w:rsidP="00F14D7D">
      <w:pPr>
        <w:spacing w:after="0" w:line="360" w:lineRule="auto"/>
      </w:pPr>
      <w:bookmarkStart w:id="206" w:name="_Toc55913793"/>
      <w:r>
        <w:t xml:space="preserve">Slika </w:t>
      </w:r>
      <w:r>
        <w:fldChar w:fldCharType="begin"/>
      </w:r>
      <w:r>
        <w:instrText xml:space="preserve"> SEQ Slika \* ARABIC </w:instrText>
      </w:r>
      <w:r>
        <w:fldChar w:fldCharType="separate"/>
      </w:r>
      <w:r w:rsidR="0040635C">
        <w:rPr>
          <w:noProof/>
        </w:rPr>
        <w:t>44</w:t>
      </w:r>
      <w:r>
        <w:fldChar w:fldCharType="end"/>
      </w:r>
      <w:r>
        <w:t xml:space="preserve">: </w:t>
      </w:r>
      <w:r w:rsidRPr="009F16BA">
        <w:rPr>
          <w:rFonts w:cs="Arial"/>
          <w:szCs w:val="20"/>
        </w:rPr>
        <w:t xml:space="preserve">Starostna struktura sadovnjakov </w:t>
      </w:r>
      <w:r>
        <w:rPr>
          <w:rFonts w:cs="Arial"/>
          <w:szCs w:val="20"/>
        </w:rPr>
        <w:t xml:space="preserve">(ha) v letih </w:t>
      </w:r>
      <w:r w:rsidRPr="009F16BA">
        <w:rPr>
          <w:rFonts w:cs="Arial"/>
          <w:szCs w:val="20"/>
        </w:rPr>
        <w:t xml:space="preserve">(jablana, hruška, oreh, </w:t>
      </w:r>
      <w:r w:rsidRPr="00F14D7D">
        <w:t>češnja</w:t>
      </w:r>
      <w:r w:rsidRPr="009F16BA">
        <w:rPr>
          <w:rFonts w:cs="Arial"/>
          <w:szCs w:val="20"/>
        </w:rPr>
        <w:t>)</w:t>
      </w:r>
      <w:bookmarkEnd w:id="206"/>
    </w:p>
    <w:p w14:paraId="00DA5682" w14:textId="77777777" w:rsidR="000E474E" w:rsidRPr="003B2B91" w:rsidRDefault="000E474E" w:rsidP="000E474E">
      <w:pPr>
        <w:spacing w:after="0" w:line="360" w:lineRule="auto"/>
        <w:rPr>
          <w:rFonts w:cs="Arial"/>
          <w:szCs w:val="20"/>
        </w:rPr>
      </w:pPr>
      <w:r>
        <w:rPr>
          <w:noProof/>
        </w:rPr>
        <w:drawing>
          <wp:inline distT="0" distB="0" distL="0" distR="0" wp14:anchorId="26CB77CA" wp14:editId="66BF3907">
            <wp:extent cx="5554639" cy="3043451"/>
            <wp:effectExtent l="0" t="0" r="8255" b="5080"/>
            <wp:docPr id="31" name="Grafikon 31">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335649C" w14:textId="77777777" w:rsidR="000E474E" w:rsidRDefault="000E474E" w:rsidP="000E474E">
      <w:pPr>
        <w:spacing w:after="0" w:line="360" w:lineRule="auto"/>
        <w:rPr>
          <w:rFonts w:eastAsia="Calibri" w:cs="Arial"/>
          <w:szCs w:val="20"/>
          <w:lang w:eastAsia="en-GB"/>
        </w:rPr>
      </w:pPr>
      <w:r w:rsidRPr="005718B1">
        <w:rPr>
          <w:rFonts w:eastAsia="Calibri" w:cs="Arial"/>
          <w:sz w:val="16"/>
          <w:szCs w:val="16"/>
          <w:lang w:eastAsia="en-GB"/>
        </w:rPr>
        <w:t>Vir: RKG</w:t>
      </w:r>
      <w:r>
        <w:rPr>
          <w:rFonts w:eastAsia="Calibri" w:cs="Arial"/>
          <w:sz w:val="16"/>
          <w:szCs w:val="16"/>
          <w:lang w:eastAsia="en-GB"/>
        </w:rPr>
        <w:t>-2020</w:t>
      </w:r>
    </w:p>
    <w:p w14:paraId="42619508" w14:textId="77777777" w:rsidR="000E474E" w:rsidRPr="00F14D7D" w:rsidRDefault="000E474E" w:rsidP="00F14D7D">
      <w:pPr>
        <w:spacing w:before="200" w:line="360" w:lineRule="auto"/>
        <w:jc w:val="both"/>
        <w:rPr>
          <w:rFonts w:eastAsia="Times New Roman" w:cs="Arial"/>
          <w:szCs w:val="20"/>
          <w:lang w:eastAsia="en-GB"/>
        </w:rPr>
      </w:pPr>
      <w:r w:rsidRPr="00F14D7D">
        <w:rPr>
          <w:rFonts w:eastAsia="Calibri" w:cs="Arial"/>
          <w:szCs w:val="20"/>
          <w:lang w:eastAsia="en-GB"/>
        </w:rPr>
        <w:t xml:space="preserve">Pri sadju so opazna precejšnja medletna nihanja stopenj samooskrbe in porabe, ki so predvsem posledica bolj ali manj obilnih letin. V letu 2019 je bila nizka stopnja samooskrbe s sadjem (sveže in predelano) in je znašala 29,6%, najvišja stopnja samooskrbe v zadnjem desetletnem obdobju je bila v letu 2018 z 48 %. Pri stopnji samooskrbe s svežim sadjem 43,7 % je bila poraba na prebivalca 76 kg, v vseh oblikah sadja pa 129 kg na prebivalca. </w:t>
      </w:r>
    </w:p>
    <w:p w14:paraId="349F297A" w14:textId="77777777" w:rsidR="000E474E" w:rsidRPr="00F14D7D" w:rsidRDefault="000E474E" w:rsidP="00F14D7D">
      <w:pPr>
        <w:spacing w:before="200" w:line="360" w:lineRule="auto"/>
        <w:jc w:val="both"/>
        <w:rPr>
          <w:rFonts w:eastAsia="Calibri" w:cs="Arial"/>
          <w:szCs w:val="20"/>
          <w:lang w:eastAsia="en-GB"/>
        </w:rPr>
      </w:pPr>
      <w:r w:rsidRPr="00F14D7D">
        <w:rPr>
          <w:rFonts w:cs="Arial"/>
          <w:szCs w:val="20"/>
        </w:rPr>
        <w:t>V obdobju 2015–2019 je zunanja trgovina z užitnim sadjem obsegala od 323 do 379 tisoč ton oziroma vrednostno od 259 do 302 tisoč EUR na leto. Leta 2019 je bilo v zunanjetrgovinski menjavi prodanega vrednostno in količinsko več sadja kot leto prej. Zunanjetrgovinska bilanca z jabolki se je zaradi manjšega uvoza in povečanega izvoza povečala. V letu 2019 je bilo v sveži in predelani obliki (vključno s sokovi) porabljeno približno 301 tisoč ton sadja, kar je za 17 % več glede na povprečje obdobja 2009–2018.</w:t>
      </w:r>
    </w:p>
    <w:p w14:paraId="5906F16E" w14:textId="77777777" w:rsidR="000E474E" w:rsidRPr="00F14D7D" w:rsidRDefault="000E474E" w:rsidP="00F14D7D">
      <w:pPr>
        <w:pStyle w:val="ZPtekst"/>
        <w:spacing w:before="200" w:after="200" w:line="360" w:lineRule="auto"/>
        <w:rPr>
          <w:rFonts w:eastAsia="Calibri"/>
        </w:rPr>
      </w:pPr>
      <w:r w:rsidRPr="00F14D7D">
        <w:rPr>
          <w:rFonts w:eastAsia="Calibri"/>
          <w:szCs w:val="20"/>
        </w:rPr>
        <w:t xml:space="preserve">Ocene na podlagi letine in modelnih kalkulacij kažejo, da so se ekonomske razmere pri pridelavi sadja, kljub slabši letini v letu 2019, predvsem zaradi pomembno višjih odkupnih cen jabolk v letu 2019 </w:t>
      </w:r>
      <w:r w:rsidRPr="00F14D7D">
        <w:rPr>
          <w:rFonts w:eastAsia="Calibri"/>
          <w:szCs w:val="20"/>
        </w:rPr>
        <w:lastRenderedPageBreak/>
        <w:t xml:space="preserve">večinoma izboljšale. Odkupne cene namiznih jabolk in namiznih hrušk, pridelanih v letu 2019, so bile v času spravila višje za 45 % oziroma 19 %, odkupne cene namiznih breskev pa so bile nižje za 4 %. </w:t>
      </w:r>
    </w:p>
    <w:p w14:paraId="49C1FC70" w14:textId="3DB5FD78" w:rsidR="00F14D7D" w:rsidRDefault="00F14D7D" w:rsidP="00F14D7D">
      <w:pPr>
        <w:spacing w:after="0" w:line="360" w:lineRule="auto"/>
      </w:pPr>
      <w:bookmarkStart w:id="207" w:name="_Toc40959392"/>
      <w:bookmarkStart w:id="208" w:name="_Toc55913794"/>
      <w:r>
        <w:t xml:space="preserve">Slika </w:t>
      </w:r>
      <w:r>
        <w:fldChar w:fldCharType="begin"/>
      </w:r>
      <w:r>
        <w:instrText xml:space="preserve"> SEQ Slika \* ARABIC </w:instrText>
      </w:r>
      <w:r>
        <w:fldChar w:fldCharType="separate"/>
      </w:r>
      <w:r w:rsidR="0040635C">
        <w:rPr>
          <w:noProof/>
        </w:rPr>
        <w:t>45</w:t>
      </w:r>
      <w:r>
        <w:fldChar w:fldCharType="end"/>
      </w:r>
      <w:r>
        <w:t xml:space="preserve">: </w:t>
      </w:r>
      <w:r w:rsidRPr="00F14D7D">
        <w:t>Osnovni ekonomski kazalci pri pridelavi jabolk (indeks, povprečje 2014–2018 = 100)</w:t>
      </w:r>
      <w:bookmarkEnd w:id="208"/>
    </w:p>
    <w:p w14:paraId="25757CC6" w14:textId="77777777" w:rsidR="000E474E" w:rsidRPr="005718B1" w:rsidRDefault="000E474E" w:rsidP="000E474E">
      <w:pPr>
        <w:pStyle w:val="opomba"/>
        <w:keepNext/>
        <w:spacing w:line="360" w:lineRule="auto"/>
        <w:jc w:val="center"/>
        <w:rPr>
          <w:color w:val="000000" w:themeColor="text1"/>
          <w:sz w:val="20"/>
        </w:rPr>
      </w:pPr>
      <w:r w:rsidRPr="005718B1">
        <w:rPr>
          <w:noProof/>
          <w:color w:val="000000" w:themeColor="text1"/>
          <w:sz w:val="20"/>
        </w:rPr>
        <w:drawing>
          <wp:inline distT="0" distB="0" distL="0" distR="0" wp14:anchorId="50FBA7AB" wp14:editId="615C3B10">
            <wp:extent cx="5702300" cy="2191385"/>
            <wp:effectExtent l="0" t="0" r="0" b="0"/>
            <wp:docPr id="24169605" name="Slika 24169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02300" cy="2191385"/>
                    </a:xfrm>
                    <a:prstGeom prst="rect">
                      <a:avLst/>
                    </a:prstGeom>
                    <a:noFill/>
                    <a:ln>
                      <a:noFill/>
                    </a:ln>
                  </pic:spPr>
                </pic:pic>
              </a:graphicData>
            </a:graphic>
          </wp:inline>
        </w:drawing>
      </w:r>
    </w:p>
    <w:p w14:paraId="27408CAD" w14:textId="77777777" w:rsidR="000E474E" w:rsidRPr="005718B1" w:rsidRDefault="000E474E" w:rsidP="000E474E">
      <w:pPr>
        <w:spacing w:after="0" w:line="360" w:lineRule="auto"/>
        <w:rPr>
          <w:rFonts w:eastAsia="Times New Roman" w:cs="Arial"/>
          <w:color w:val="000000" w:themeColor="text1"/>
          <w:sz w:val="16"/>
          <w:szCs w:val="16"/>
          <w:lang w:eastAsia="en-GB"/>
        </w:rPr>
      </w:pPr>
      <w:r w:rsidRPr="005718B1">
        <w:rPr>
          <w:rFonts w:eastAsia="Times New Roman" w:cs="Arial"/>
          <w:color w:val="000000" w:themeColor="text1"/>
          <w:sz w:val="16"/>
          <w:szCs w:val="16"/>
          <w:lang w:eastAsia="en-GB"/>
        </w:rPr>
        <w:t>Vir:</w:t>
      </w:r>
      <w:r>
        <w:rPr>
          <w:rFonts w:eastAsia="Times New Roman" w:cs="Arial"/>
          <w:color w:val="000000" w:themeColor="text1"/>
          <w:sz w:val="16"/>
          <w:szCs w:val="16"/>
          <w:lang w:eastAsia="en-GB"/>
        </w:rPr>
        <w:t xml:space="preserve"> Modelne kalkulacije KIS (ZP-2019)</w:t>
      </w:r>
    </w:p>
    <w:bookmarkEnd w:id="207"/>
    <w:p w14:paraId="72618D08" w14:textId="77777777" w:rsidR="000E474E" w:rsidRPr="00F14D7D" w:rsidRDefault="000E474E" w:rsidP="00F14D7D">
      <w:pPr>
        <w:pStyle w:val="ZPtekst"/>
        <w:spacing w:before="200" w:after="200" w:line="360" w:lineRule="auto"/>
        <w:rPr>
          <w:rFonts w:eastAsiaTheme="minorEastAsia"/>
          <w:szCs w:val="20"/>
        </w:rPr>
      </w:pPr>
      <w:r w:rsidRPr="00F14D7D">
        <w:rPr>
          <w:rFonts w:eastAsiaTheme="minorEastAsia"/>
          <w:szCs w:val="20"/>
        </w:rPr>
        <w:t xml:space="preserve">V zadnjih letih je gibanje stroškov pridelave jabolk manj intenzivno od gibanja odkupnih cen. Cenovno-stroškovna pariteta, ki odraža le razmerje med spremembami cen </w:t>
      </w:r>
      <w:proofErr w:type="spellStart"/>
      <w:r w:rsidRPr="00F14D7D">
        <w:rPr>
          <w:rFonts w:eastAsiaTheme="minorEastAsia"/>
          <w:szCs w:val="20"/>
        </w:rPr>
        <w:t>inputov</w:t>
      </w:r>
      <w:proofErr w:type="spellEnd"/>
      <w:r w:rsidRPr="00F14D7D">
        <w:rPr>
          <w:rFonts w:eastAsiaTheme="minorEastAsia"/>
          <w:szCs w:val="20"/>
        </w:rPr>
        <w:t xml:space="preserve"> in spremembami odkupnih cen, je zato v zadnjih letih zelo spremenljiva. Ekonomski položaj pri pridelavi jabolk se je leta 2019, kljub slabi letini in nekoliko višjih stroških pridelave, zaradi znatnega povišanja odkupnih cen izboljšal in je med ugodnejšimi v zadnjih letih. </w:t>
      </w:r>
    </w:p>
    <w:p w14:paraId="236C50FD" w14:textId="77777777" w:rsidR="000E474E" w:rsidRPr="00F14D7D" w:rsidRDefault="000E474E" w:rsidP="00F14D7D">
      <w:pPr>
        <w:spacing w:before="200" w:line="360" w:lineRule="auto"/>
        <w:jc w:val="both"/>
        <w:rPr>
          <w:rFonts w:eastAsia="TimesNewRoman" w:cs="Arial"/>
          <w:szCs w:val="20"/>
        </w:rPr>
      </w:pPr>
      <w:r w:rsidRPr="00F14D7D">
        <w:rPr>
          <w:rFonts w:cs="Arial"/>
          <w:szCs w:val="20"/>
          <w:lang w:eastAsia="en-GB"/>
        </w:rPr>
        <w:t xml:space="preserve">Zaradi podnebnih sprememb je v Sloveniji pridelava sadja </w:t>
      </w:r>
      <w:r w:rsidRPr="00F14D7D">
        <w:rPr>
          <w:rFonts w:eastAsia="TimesNewRoman" w:cs="Arial"/>
          <w:szCs w:val="20"/>
        </w:rPr>
        <w:t xml:space="preserve">zelo odvisna od vremenskih razmer, s tem pa so povezana tudi velika tveganja na primer zmrzal in toča. </w:t>
      </w:r>
      <w:r w:rsidRPr="00F14D7D">
        <w:rPr>
          <w:rFonts w:cs="Arial"/>
          <w:szCs w:val="20"/>
          <w:lang w:eastAsia="en-GB"/>
        </w:rPr>
        <w:t xml:space="preserve">Za obvladovanje le-teh je z mrežami proti toči in drugimi vrstami mrež pokritih 30 % intenzivnih sadovnjakov ter več kot </w:t>
      </w:r>
      <w:r w:rsidRPr="00F14D7D">
        <w:rPr>
          <w:rFonts w:eastAsia="TimesNewRoman" w:cs="Arial"/>
          <w:szCs w:val="20"/>
        </w:rPr>
        <w:t xml:space="preserve">polovico intenzivnih nasadov jablan, pridelovalci so upravičeni do 50 % stopnje sofinanciranja zavarovalne premije. Bistveno premalo je vzpostavljenih namakalnih sistemov in vodnih zajetij, </w:t>
      </w:r>
      <w:r w:rsidRPr="00F14D7D">
        <w:rPr>
          <w:rFonts w:eastAsia="Calibri" w:cs="Arial"/>
          <w:szCs w:val="20"/>
          <w:lang w:eastAsia="en-GB"/>
        </w:rPr>
        <w:t xml:space="preserve">tudi glede na vedno večje potrebe </w:t>
      </w:r>
      <w:proofErr w:type="spellStart"/>
      <w:r w:rsidRPr="00F14D7D">
        <w:rPr>
          <w:rFonts w:eastAsia="Calibri" w:cs="Arial"/>
          <w:szCs w:val="20"/>
          <w:lang w:eastAsia="en-GB"/>
        </w:rPr>
        <w:t>protislanske</w:t>
      </w:r>
      <w:proofErr w:type="spellEnd"/>
      <w:r w:rsidRPr="00F14D7D">
        <w:rPr>
          <w:rFonts w:eastAsia="Calibri" w:cs="Arial"/>
          <w:szCs w:val="20"/>
          <w:lang w:eastAsia="en-GB"/>
        </w:rPr>
        <w:t xml:space="preserve"> zaščite sadovnjakov</w:t>
      </w:r>
      <w:r w:rsidRPr="00F14D7D">
        <w:rPr>
          <w:rFonts w:eastAsia="TimesNewRoman" w:cs="Arial"/>
          <w:szCs w:val="20"/>
        </w:rPr>
        <w:t>, ter drugih zaščitnih mrež, sodobnih hladilnih in skladiščnih kapacitet ter specialne mehanizacije in opreme. Za boljše obvladovanje podnebnih sprememb v panogi p</w:t>
      </w:r>
      <w:r w:rsidRPr="00F14D7D">
        <w:rPr>
          <w:rFonts w:cs="Arial"/>
          <w:szCs w:val="20"/>
          <w:lang w:eastAsia="en-GB"/>
        </w:rPr>
        <w:t xml:space="preserve">rimanjkuje </w:t>
      </w:r>
      <w:r w:rsidRPr="00F14D7D">
        <w:rPr>
          <w:rFonts w:eastAsia="TimesNewRoman" w:cs="Arial"/>
          <w:szCs w:val="20"/>
        </w:rPr>
        <w:t>specifičnega znanja.</w:t>
      </w:r>
    </w:p>
    <w:p w14:paraId="0D6BAEBD" w14:textId="77777777" w:rsidR="000E474E" w:rsidRPr="00F14D7D" w:rsidRDefault="000E474E" w:rsidP="00F14D7D">
      <w:pPr>
        <w:spacing w:before="200" w:line="360" w:lineRule="auto"/>
        <w:jc w:val="both"/>
        <w:rPr>
          <w:rFonts w:cs="Arial"/>
          <w:szCs w:val="20"/>
          <w:lang w:eastAsia="en-GB"/>
        </w:rPr>
      </w:pPr>
      <w:r w:rsidRPr="00F14D7D">
        <w:rPr>
          <w:rFonts w:eastAsia="TimesNewRoman" w:cs="Arial"/>
          <w:szCs w:val="20"/>
        </w:rPr>
        <w:t xml:space="preserve">Zaradi strukturnih sprememb se v pridelavo ponovno uvajajo sadne vrste, ki so se v preteklosti opustile, povečuje se tudi povpraševanje po ekološko pridelanemu sadju. Bolje bi lahko izkoristili dostopnost obnovljivih virov energije za pridelavo v zavarovanih prostorih in možnost podaljšanja sezone pridelave in celoletna pridelava (npr. jagode). Pridelava sadja je izpostavljena pojavu novih škodljivih organizmov (marmorirana smrdljivka, plodova vinska mušica…), za katere je na voljo vedno manj </w:t>
      </w:r>
      <w:proofErr w:type="spellStart"/>
      <w:r w:rsidRPr="00F14D7D">
        <w:rPr>
          <w:rFonts w:eastAsia="TimesNewRoman" w:cs="Arial"/>
          <w:szCs w:val="20"/>
        </w:rPr>
        <w:t>fitofarmacevstskih</w:t>
      </w:r>
      <w:proofErr w:type="spellEnd"/>
      <w:r w:rsidRPr="00F14D7D">
        <w:rPr>
          <w:rFonts w:eastAsia="TimesNewRoman" w:cs="Arial"/>
          <w:szCs w:val="20"/>
        </w:rPr>
        <w:t xml:space="preserve"> sredstev. </w:t>
      </w:r>
    </w:p>
    <w:p w14:paraId="771B3E4E" w14:textId="77777777" w:rsidR="000E474E" w:rsidRPr="00F14D7D" w:rsidRDefault="000E474E" w:rsidP="00F14D7D">
      <w:pPr>
        <w:spacing w:before="200" w:line="360" w:lineRule="auto"/>
        <w:jc w:val="both"/>
        <w:rPr>
          <w:rFonts w:eastAsia="Times New Roman" w:cs="Arial"/>
          <w:szCs w:val="20"/>
          <w:lang w:eastAsia="en-GB"/>
        </w:rPr>
      </w:pPr>
      <w:r w:rsidRPr="00F14D7D">
        <w:rPr>
          <w:rFonts w:eastAsia="TimesNewRoman" w:cs="Arial"/>
          <w:szCs w:val="20"/>
        </w:rPr>
        <w:lastRenderedPageBreak/>
        <w:t xml:space="preserve">Zaradi nepovezanosti pridelovalcev v organizirano obliko delovanja in razmer na trgu je njihova cenovna nekonkurenčnost še večja. </w:t>
      </w:r>
      <w:r w:rsidRPr="00F14D7D">
        <w:rPr>
          <w:rFonts w:eastAsia="Times New Roman" w:cs="Arial"/>
          <w:szCs w:val="20"/>
          <w:lang w:eastAsia="en-GB"/>
        </w:rPr>
        <w:t>V Sloveniji imamo priznano eno organizacijo proizvajalcev, ki pa še ne izvaja operativnega programa organizacije proizvajalcev in ne črpa sredstev iz naslova tega ukrepa.</w:t>
      </w:r>
    </w:p>
    <w:p w14:paraId="6B3238A2" w14:textId="77777777" w:rsidR="000E474E" w:rsidRPr="00F14D7D" w:rsidRDefault="000E474E" w:rsidP="00F14D7D">
      <w:pPr>
        <w:spacing w:before="200" w:line="360" w:lineRule="auto"/>
        <w:jc w:val="both"/>
        <w:rPr>
          <w:rFonts w:eastAsia="Times New Roman" w:cs="Arial"/>
          <w:szCs w:val="20"/>
        </w:rPr>
      </w:pPr>
      <w:r w:rsidRPr="00F14D7D">
        <w:rPr>
          <w:rFonts w:eastAsia="TimesNewRoman" w:cs="Arial"/>
          <w:szCs w:val="20"/>
        </w:rPr>
        <w:t xml:space="preserve">Za sodobnejše načine hlajenja in skladiščenja je premalo kapacitet pri pridelovalcih, neustrezna je tehnološka priprava pridelkov za trg (npr. zagotavljanje hladne linije, tehnologije za podaljšanje obstojnosti pridelka na prodajni polici). Z večjo vključitvijo slovenskega sadja v okviru obstoječe živilsko predelovalne industrije bi bilo potrebno povečati predelovalne kapacitete. </w:t>
      </w:r>
      <w:r w:rsidRPr="00F14D7D">
        <w:rPr>
          <w:rFonts w:eastAsia="Times New Roman" w:cs="Arial"/>
          <w:szCs w:val="20"/>
        </w:rPr>
        <w:t xml:space="preserve"> </w:t>
      </w:r>
    </w:p>
    <w:p w14:paraId="00B39A43" w14:textId="77777777" w:rsidR="000E474E" w:rsidRPr="00F14D7D" w:rsidRDefault="000E474E" w:rsidP="00F14D7D">
      <w:pPr>
        <w:spacing w:before="200" w:line="360" w:lineRule="auto"/>
        <w:jc w:val="both"/>
        <w:rPr>
          <w:rFonts w:eastAsia="TimesNewRoman" w:cs="Arial"/>
          <w:szCs w:val="20"/>
        </w:rPr>
      </w:pPr>
      <w:r w:rsidRPr="00F14D7D">
        <w:rPr>
          <w:rFonts w:eastAsia="Times New Roman" w:cs="Arial"/>
          <w:szCs w:val="20"/>
        </w:rPr>
        <w:t xml:space="preserve">V Sloveniji želimo s promocijo povečati </w:t>
      </w:r>
      <w:r w:rsidRPr="00F14D7D">
        <w:rPr>
          <w:rFonts w:eastAsia="TimesNewRoman" w:cs="Arial"/>
          <w:szCs w:val="20"/>
        </w:rPr>
        <w:t>uživanje sadja</w:t>
      </w:r>
      <w:r w:rsidRPr="00F14D7D">
        <w:rPr>
          <w:rFonts w:eastAsia="Times New Roman" w:cs="Arial"/>
          <w:szCs w:val="20"/>
        </w:rPr>
        <w:t xml:space="preserve">, saj je zaradi cenovnih razmer še vedno </w:t>
      </w:r>
      <w:r w:rsidRPr="00F14D7D">
        <w:rPr>
          <w:rFonts w:eastAsia="TimesNewRoman" w:cs="Arial"/>
          <w:szCs w:val="20"/>
        </w:rPr>
        <w:t xml:space="preserve">prenizko povpraševanje po slovenskem sadju. </w:t>
      </w:r>
    </w:p>
    <w:p w14:paraId="0531B61D" w14:textId="77777777" w:rsidR="000E474E" w:rsidRPr="00F14D7D" w:rsidRDefault="000E474E" w:rsidP="00F14D7D">
      <w:pPr>
        <w:spacing w:before="200" w:line="360" w:lineRule="auto"/>
        <w:jc w:val="both"/>
        <w:rPr>
          <w:rFonts w:eastAsia="TimesNewRoman" w:cs="Arial"/>
          <w:szCs w:val="20"/>
        </w:rPr>
      </w:pPr>
      <w:r w:rsidRPr="00F14D7D">
        <w:rPr>
          <w:rFonts w:eastAsia="TimesNewRoman" w:cs="Arial"/>
          <w:szCs w:val="20"/>
        </w:rPr>
        <w:t xml:space="preserve">Razdrobljena je lastniška in posestna struktura, neugodna je tudi starostna struktura sadovnjakov. </w:t>
      </w:r>
    </w:p>
    <w:p w14:paraId="5F242BBC" w14:textId="77777777" w:rsidR="000E474E" w:rsidRPr="00F14D7D" w:rsidRDefault="000E474E" w:rsidP="00F14D7D">
      <w:pPr>
        <w:spacing w:before="200" w:line="360" w:lineRule="auto"/>
        <w:jc w:val="both"/>
        <w:rPr>
          <w:rFonts w:eastAsia="Times New Roman" w:cs="Arial"/>
          <w:szCs w:val="20"/>
        </w:rPr>
      </w:pPr>
      <w:r w:rsidRPr="00F14D7D">
        <w:rPr>
          <w:rFonts w:eastAsia="TimesNewRoman" w:cs="Arial"/>
          <w:szCs w:val="20"/>
        </w:rPr>
        <w:t xml:space="preserve">Sadjarji so v letu 2019 vstopili v shemo Izbrana kakovost, vendar ugotavljamo, da je med potrošniki še vedno slaba prepoznavnost oznak iz shem kakovosti (ekološka pridelava, integrirana, izbrana kakovost, druge sheme kakovosti), čeprav so ankete pokazale, da je zvestoba slovenskih potrošnikov slovenskim blagovnim znamkam in slovenskim proizvodom velika. Podpore bi bile potrebne </w:t>
      </w:r>
      <w:r w:rsidRPr="00F14D7D">
        <w:rPr>
          <w:rFonts w:eastAsia="Times New Roman" w:cs="Arial"/>
          <w:szCs w:val="20"/>
        </w:rPr>
        <w:t xml:space="preserve">tudi za spodbujanje zaposlovanja na podeželju, predvsem mladih kmetov ter ohranjanju kulturne krajine in biotske raznovrstnosti, spodbuditi pa bi morali še </w:t>
      </w:r>
      <w:r w:rsidRPr="00F14D7D">
        <w:rPr>
          <w:rFonts w:eastAsia="TimesNewRoman" w:cs="Arial"/>
          <w:szCs w:val="20"/>
        </w:rPr>
        <w:t xml:space="preserve">socialno podjetništvo in zaposlovanje ranljivih skupin prebivalstva. </w:t>
      </w:r>
    </w:p>
    <w:p w14:paraId="09AEAF4A" w14:textId="77777777" w:rsidR="000E474E" w:rsidRPr="00F14D7D" w:rsidRDefault="000E474E" w:rsidP="00F14D7D">
      <w:pPr>
        <w:spacing w:before="200" w:line="360" w:lineRule="auto"/>
        <w:jc w:val="both"/>
        <w:rPr>
          <w:rFonts w:eastAsia="Times New Roman" w:cs="Arial"/>
          <w:szCs w:val="20"/>
          <w:lang w:eastAsia="en-GB"/>
        </w:rPr>
      </w:pPr>
      <w:r w:rsidRPr="00F14D7D">
        <w:rPr>
          <w:rFonts w:eastAsia="Times New Roman" w:cs="Arial"/>
          <w:szCs w:val="20"/>
          <w:lang w:eastAsia="en-GB"/>
        </w:rPr>
        <w:t xml:space="preserve">V programskem obdobju SKP 2014–2020 lahko pridelovalci sadja </w:t>
      </w:r>
      <w:r w:rsidRPr="00F14D7D" w:rsidDel="00CE351F">
        <w:rPr>
          <w:rFonts w:eastAsia="Times New Roman" w:cs="Arial"/>
          <w:szCs w:val="20"/>
          <w:lang w:eastAsia="en-GB"/>
        </w:rPr>
        <w:t xml:space="preserve">na podlagi plačilnih pravic </w:t>
      </w:r>
      <w:r w:rsidRPr="00F14D7D">
        <w:rPr>
          <w:rFonts w:eastAsia="Times New Roman" w:cs="Arial"/>
          <w:szCs w:val="20"/>
          <w:lang w:eastAsia="en-GB"/>
        </w:rPr>
        <w:t>iz sheme neposrednih plačil pridobijo osnovno plačilo in plačilo za zeleno komponento. Od leta 2006 so tudi sadjarji upravičeni do sofinanciranja zavarovanja, ki se je leta 2018 zvišalo iz 40 % na 50 % zavarovalne premije (leta 2018 je bilo v ukrep vključenih 455 KMG s 1.363 ha ali 32 % intenzivnih sadovnjakov), uveljavljajo pa lahko tudi pravico do vračila dela trošarine za gorivo, porabljeno v kmetijstvu (od leta 2009 70 %).</w:t>
      </w:r>
    </w:p>
    <w:p w14:paraId="0D8751E6" w14:textId="77777777" w:rsidR="000E474E" w:rsidRPr="00F14D7D" w:rsidRDefault="000E474E" w:rsidP="00F14D7D">
      <w:pPr>
        <w:spacing w:before="200" w:line="360" w:lineRule="auto"/>
        <w:jc w:val="both"/>
        <w:rPr>
          <w:rFonts w:eastAsia="Times New Roman" w:cs="Arial"/>
          <w:szCs w:val="20"/>
          <w:lang w:eastAsia="en-GB"/>
        </w:rPr>
      </w:pPr>
      <w:r w:rsidRPr="00F14D7D">
        <w:rPr>
          <w:rFonts w:eastAsia="Times New Roman" w:cs="Arial"/>
          <w:szCs w:val="20"/>
          <w:lang w:eastAsia="en-GB"/>
        </w:rPr>
        <w:t xml:space="preserve">V PRP 2014 – 2020 se podore sadjarstvu lahko izvajajo v okviru naslednjih ukrepov: prenos znanja in dejavnosti informiranja, podpora za pomoč pri uporabi storitev svetovanja, podpora za novo sodelovanje v shemah kakovosti, podpora za naložbe v kmetijska gospodarstva, podpora za naložbe v predelavo ali trženje kmetijskih proizvodov, naložbe v infrastrukturo, povezano z razvojem kmetijstva in gozdarstva, pomoč za zagon dejavnosti za mlade kmete, pomoč za zagon dejavnosti za razvoj majhnih kmetij, ustanavljanje skupin in organizacij proizvajalcev v kmetijskem sektorju, kmetijsko </w:t>
      </w:r>
      <w:proofErr w:type="spellStart"/>
      <w:r w:rsidRPr="00F14D7D">
        <w:rPr>
          <w:rFonts w:eastAsia="Times New Roman" w:cs="Arial"/>
          <w:szCs w:val="20"/>
          <w:lang w:eastAsia="en-GB"/>
        </w:rPr>
        <w:t>okoljsko</w:t>
      </w:r>
      <w:proofErr w:type="spellEnd"/>
      <w:r w:rsidRPr="00F14D7D">
        <w:rPr>
          <w:rFonts w:eastAsia="Times New Roman" w:cs="Arial"/>
          <w:szCs w:val="20"/>
          <w:lang w:eastAsia="en-GB"/>
        </w:rPr>
        <w:t xml:space="preserve"> podnebna plačila (KOPOP), ekološko kmetovanje, plačila območjem z naravnimi ali drugimi posebnimi omejitvami, sodelovanje. V tem obdobju so pridelovalci sadja iz ukrepov prejeli do 11 mio EUR, od tega smo podprli tudi 130 naložb v kmetijska gospodarstva v skupni višini 8,6 mio EUR. </w:t>
      </w:r>
    </w:p>
    <w:p w14:paraId="1B5D97E2" w14:textId="77777777" w:rsidR="000E474E" w:rsidRPr="00F14D7D" w:rsidRDefault="000E474E" w:rsidP="00F14D7D">
      <w:pPr>
        <w:spacing w:before="200" w:line="360" w:lineRule="auto"/>
        <w:jc w:val="both"/>
        <w:rPr>
          <w:rFonts w:eastAsia="Calibri" w:cs="Arial"/>
          <w:szCs w:val="20"/>
          <w:lang w:eastAsia="en-GB"/>
        </w:rPr>
      </w:pPr>
      <w:r w:rsidRPr="00F14D7D">
        <w:rPr>
          <w:rFonts w:eastAsia="Times New Roman" w:cs="Arial"/>
          <w:szCs w:val="20"/>
          <w:lang w:eastAsia="en-GB"/>
        </w:rPr>
        <w:t xml:space="preserve">V tehnologiji pridelave sadja prevladuje integriran način pridelave, v katero je bilo v letu 2014 vključenih 714 kmetijskih gospodarstev z 2.973 hektarji sadovnjakov, v letu 2017 pa le še 25 % oziroma 1030 </w:t>
      </w:r>
      <w:r w:rsidRPr="00F14D7D">
        <w:rPr>
          <w:rFonts w:eastAsia="Times New Roman" w:cs="Arial"/>
          <w:szCs w:val="20"/>
          <w:lang w:eastAsia="en-GB"/>
        </w:rPr>
        <w:lastRenderedPageBreak/>
        <w:t xml:space="preserve">hektarjev, saj se je podpora integrirani pridelavi v okviru kmetijsko </w:t>
      </w:r>
      <w:proofErr w:type="spellStart"/>
      <w:r w:rsidRPr="00F14D7D">
        <w:rPr>
          <w:rFonts w:eastAsia="Times New Roman" w:cs="Arial"/>
          <w:szCs w:val="20"/>
          <w:lang w:eastAsia="en-GB"/>
        </w:rPr>
        <w:t>okoljskih</w:t>
      </w:r>
      <w:proofErr w:type="spellEnd"/>
      <w:r w:rsidRPr="00F14D7D">
        <w:rPr>
          <w:rFonts w:eastAsia="Times New Roman" w:cs="Arial"/>
          <w:szCs w:val="20"/>
          <w:lang w:eastAsia="en-GB"/>
        </w:rPr>
        <w:t xml:space="preserve"> plačil z letom 2014 ukinila. Pri ekološkem načinu pridelave je v </w:t>
      </w:r>
      <w:r w:rsidRPr="00F14D7D">
        <w:rPr>
          <w:rFonts w:eastAsia="Calibri" w:cs="Arial"/>
          <w:szCs w:val="20"/>
          <w:lang w:eastAsia="en-GB"/>
        </w:rPr>
        <w:t xml:space="preserve">obdobju 2010-2019 </w:t>
      </w:r>
      <w:r w:rsidRPr="00F14D7D">
        <w:rPr>
          <w:rFonts w:eastAsia="Times New Roman" w:cs="Arial"/>
          <w:szCs w:val="20"/>
          <w:lang w:eastAsia="en-GB"/>
        </w:rPr>
        <w:t xml:space="preserve">zaznati trend povečevanja površin </w:t>
      </w:r>
      <w:r w:rsidRPr="00F14D7D">
        <w:rPr>
          <w:rFonts w:eastAsia="Calibri" w:cs="Arial"/>
          <w:szCs w:val="20"/>
          <w:lang w:eastAsia="en-GB"/>
        </w:rPr>
        <w:t xml:space="preserve">sadovnjakov, vključenih v sistem nadzora ekološke pridelave, in sicer so se površine sadovnjakov povečale iz 798 ha na 2.119 ha. </w:t>
      </w:r>
    </w:p>
    <w:p w14:paraId="70987CD6" w14:textId="77777777" w:rsidR="000E474E" w:rsidRPr="00F14D7D" w:rsidRDefault="000E474E" w:rsidP="00F14D7D">
      <w:pPr>
        <w:spacing w:before="200" w:line="360" w:lineRule="auto"/>
        <w:jc w:val="both"/>
        <w:rPr>
          <w:rFonts w:eastAsia="Times New Roman" w:cs="Arial"/>
          <w:szCs w:val="20"/>
          <w:lang w:eastAsia="en-GB"/>
        </w:rPr>
      </w:pPr>
      <w:r w:rsidRPr="00F14D7D">
        <w:rPr>
          <w:rFonts w:eastAsia="Times New Roman" w:cs="Arial"/>
          <w:szCs w:val="20"/>
          <w:lang w:eastAsia="en-GB"/>
        </w:rPr>
        <w:t>Zaradi prepovedi izvoza svežega sadja in zelenjave iz EU v Rusko Federacijo so posredne učinke na trgu v letu 2014 občutili tudi slovenski pridelovalci sadja. Za blažitev krize so bili na podlagi Uredbe o ureditvi kmetijskih trgov na ozemlju celotne EU vzpostavljeni začasni izredni ukrepi, do katerih so bili izjemoma upravičeni tudi pridelovalci, ki niso bili združeni v okviru organizacij proizvajalcev. V obdobju 2014–2016 je bilo v Sloveniji s trga umaknjenih 5.931 ton pridelka, za katerega so pridelovalci v okviru ukrepa prejeli 1,63 milijona EUR nadomestila.</w:t>
      </w:r>
    </w:p>
    <w:p w14:paraId="24F9FF60" w14:textId="77777777" w:rsidR="000E474E" w:rsidRPr="00F14D7D" w:rsidRDefault="000E474E" w:rsidP="00F14D7D">
      <w:pPr>
        <w:spacing w:before="200" w:line="360" w:lineRule="auto"/>
        <w:jc w:val="both"/>
        <w:rPr>
          <w:rFonts w:eastAsia="Times New Roman" w:cs="Arial"/>
          <w:szCs w:val="20"/>
          <w:lang w:eastAsia="en-GB"/>
        </w:rPr>
      </w:pPr>
      <w:r w:rsidRPr="00F14D7D">
        <w:rPr>
          <w:rFonts w:eastAsia="Times New Roman" w:cs="Arial"/>
          <w:szCs w:val="20"/>
          <w:lang w:eastAsia="en-GB"/>
        </w:rPr>
        <w:t xml:space="preserve">Za tehnološki napredek in izmenjavo znanja v panogi je pomembna Javna služba na področju sadjarstva, v okviru katere se izvajajo naloge selekcija in introdukcija sadnih rastlin in ugotavljanje njihove vrednosti za predelavo, preizkušanje tehnologij, </w:t>
      </w:r>
      <w:r w:rsidRPr="00F14D7D">
        <w:rPr>
          <w:rFonts w:cs="Arial"/>
          <w:szCs w:val="20"/>
        </w:rPr>
        <w:t>zagotavljanje izhodiščnega razmnoževalnega materiala</w:t>
      </w:r>
      <w:r w:rsidRPr="00F14D7D">
        <w:rPr>
          <w:rFonts w:eastAsia="Times New Roman" w:cs="Arial"/>
          <w:szCs w:val="20"/>
          <w:lang w:eastAsia="en-GB"/>
        </w:rPr>
        <w:t xml:space="preserve"> ter strokovno-tehnična koordinacija v sadjarstvu. Slednja je pomembna za prenos znanja in rezultatov nalog javne službe do kmetijskih pridelovalcev, ki potekajo v sodelovanju z javno službo kmetijskega svetovanja. Pomembna pa je tudi za ustrezen prenos znanja med raziskovalnimi, izobraževalnimi in svetovalnimi ustanovami. Rastlinske genske vire v sadjarstvu ohranjamo v okviru javne službe nalog rastlinske genske banke (JSRGB). Njihovo ohranjanje je pomembno iz različnih vidikov, med drugim tudi za to, ker so vir biotske raznovrstnosti kmetijskih rastlin za trajnostno kmetijstvo. Na področju sadjarstva ima JSRGB shranjenih 119 akcesij jablan in 48 akcesij hrušk.</w:t>
      </w:r>
    </w:p>
    <w:p w14:paraId="25C6D36D" w14:textId="77777777" w:rsidR="000E474E" w:rsidRPr="00F14D7D" w:rsidRDefault="000E474E" w:rsidP="00F14D7D">
      <w:pPr>
        <w:spacing w:before="200" w:line="360" w:lineRule="auto"/>
        <w:jc w:val="both"/>
        <w:rPr>
          <w:rFonts w:eastAsia="Times New Roman" w:cs="Arial"/>
          <w:szCs w:val="20"/>
          <w:lang w:eastAsia="en-GB"/>
        </w:rPr>
      </w:pPr>
      <w:r w:rsidRPr="00F14D7D">
        <w:rPr>
          <w:rFonts w:eastAsia="Times New Roman" w:cs="Arial"/>
          <w:szCs w:val="20"/>
          <w:lang w:eastAsia="en-GB"/>
        </w:rPr>
        <w:t xml:space="preserve">V okviru projektov ukrepa sodelovanja - Evropskega partnerstva za inovacije na področju kmetijske produktivnosti in trajnosti (EIP), so pridelovalci sadja v okviru različnih projektov (npr. </w:t>
      </w:r>
      <w:proofErr w:type="spellStart"/>
      <w:r w:rsidRPr="00F14D7D">
        <w:rPr>
          <w:rFonts w:eastAsia="Times New Roman" w:cs="Arial"/>
          <w:szCs w:val="20"/>
          <w:lang w:eastAsia="en-GB"/>
        </w:rPr>
        <w:t>visokostorilna</w:t>
      </w:r>
      <w:proofErr w:type="spellEnd"/>
      <w:r w:rsidRPr="00F14D7D">
        <w:rPr>
          <w:rFonts w:eastAsia="Times New Roman" w:cs="Arial"/>
          <w:szCs w:val="20"/>
          <w:lang w:eastAsia="en-GB"/>
        </w:rPr>
        <w:t xml:space="preserve"> trajnostna pridelava jabolk) vzpostavili partnerstvo za doseganje cilja trajnostne in konkurenčnejše pridelave sadja, zmanjševanje obremenitev okolja, zmanjševanje pridelovalnih tveganj zaradi podnebnih sprememb in doseganje najvišjih trženjskih standardov. V okviru ciljno raziskovalnih projektov so se preučevali specifični problemi v pridelavi sadja kot npr. tehnološki ukrepi z zmanjšano uporabo zaščitnih sredstev, tehnologije za konkurenčnejšo pridelavo jabolk, hrušk in češenj. </w:t>
      </w:r>
    </w:p>
    <w:p w14:paraId="57A9D65C" w14:textId="77777777" w:rsidR="000E474E" w:rsidRPr="00F14D7D" w:rsidRDefault="000E474E" w:rsidP="00F14D7D">
      <w:pPr>
        <w:spacing w:before="200" w:line="360" w:lineRule="auto"/>
        <w:jc w:val="both"/>
        <w:rPr>
          <w:rFonts w:cs="Arial"/>
          <w:szCs w:val="20"/>
          <w:lang w:eastAsia="en-GB"/>
        </w:rPr>
      </w:pPr>
      <w:r w:rsidRPr="00F14D7D">
        <w:rPr>
          <w:rFonts w:cs="Arial"/>
          <w:szCs w:val="20"/>
          <w:lang w:eastAsia="en-GB"/>
        </w:rPr>
        <w:t>Okrepiti bi morali</w:t>
      </w:r>
      <w:r w:rsidRPr="00F14D7D">
        <w:rPr>
          <w:rFonts w:eastAsia="TimesNewRoman" w:cs="Arial"/>
          <w:szCs w:val="20"/>
        </w:rPr>
        <w:t xml:space="preserve"> finančne podpore za razvoj novejših tehnologij in aplikativnih poskusov, zlasti na demonstracijsko poskusnih centrih, in v praksi neposredno uporabnih raziskovalnih in razvojnih nalog (javne službe, </w:t>
      </w:r>
      <w:proofErr w:type="spellStart"/>
      <w:r w:rsidRPr="00F14D7D">
        <w:rPr>
          <w:rFonts w:eastAsia="TimesNewRoman" w:cs="Arial"/>
          <w:szCs w:val="20"/>
        </w:rPr>
        <w:t>CRPi</w:t>
      </w:r>
      <w:proofErr w:type="spellEnd"/>
      <w:r w:rsidRPr="00F14D7D">
        <w:rPr>
          <w:rFonts w:eastAsia="TimesNewRoman" w:cs="Arial"/>
          <w:szCs w:val="20"/>
        </w:rPr>
        <w:t xml:space="preserve">, ARRS projekti), s čimer bi lahko zmanjšali tehnološko zaostalost v pridelavi in dosegali boljšo tržno kakovost in večje količine pridelanega sadja. Povezanost in sodelovanje strokovnih inštitucij še ni optimalna zato je pomemben cilj okrepljeno povezovanje strokovnih inštitucij v okviru delujočega sistema AKIS. </w:t>
      </w:r>
    </w:p>
    <w:p w14:paraId="1881DB64" w14:textId="77777777" w:rsidR="000E474E" w:rsidRPr="000E474E" w:rsidRDefault="000E474E" w:rsidP="000E474E"/>
    <w:p w14:paraId="2A8629AE" w14:textId="51694949" w:rsidR="00CF3CC6" w:rsidRDefault="00CF3CC6" w:rsidP="00A50A87">
      <w:pPr>
        <w:pStyle w:val="Naslov3"/>
        <w:rPr>
          <w:rFonts w:eastAsia="Calibri"/>
        </w:rPr>
      </w:pPr>
      <w:bookmarkStart w:id="209" w:name="_Toc55912223"/>
      <w:r w:rsidRPr="00A50A87">
        <w:rPr>
          <w:rFonts w:eastAsia="Calibri"/>
        </w:rPr>
        <w:lastRenderedPageBreak/>
        <w:t>Ključne ugotovitve</w:t>
      </w:r>
      <w:bookmarkEnd w:id="209"/>
    </w:p>
    <w:p w14:paraId="5267810F" w14:textId="77777777" w:rsidR="00F14D7D" w:rsidRPr="003B2B91" w:rsidRDefault="00F14D7D" w:rsidP="000A650F">
      <w:pPr>
        <w:pStyle w:val="Odstavekseznama"/>
        <w:numPr>
          <w:ilvl w:val="0"/>
          <w:numId w:val="42"/>
        </w:numPr>
        <w:tabs>
          <w:tab w:val="left" w:pos="2160"/>
        </w:tabs>
        <w:spacing w:before="120" w:after="120" w:line="360" w:lineRule="auto"/>
        <w:ind w:left="357" w:hanging="357"/>
        <w:contextualSpacing w:val="0"/>
        <w:jc w:val="both"/>
        <w:rPr>
          <w:rFonts w:cs="Arial"/>
          <w:szCs w:val="20"/>
          <w:u w:val="single"/>
        </w:rPr>
      </w:pPr>
      <w:r w:rsidRPr="003B2B91">
        <w:rPr>
          <w:rFonts w:eastAsia="Times New Roman" w:cs="Arial"/>
          <w:szCs w:val="20"/>
          <w:lang w:eastAsia="en-GB"/>
        </w:rPr>
        <w:t xml:space="preserve">Površine intenzivnih sadovnjakov rahlo naraščajo (do 2 % na leto), zmanjšujejo se površine najbolj razširjene sadne vrste jablane, ki obsegajo 52 % površin, nastajajo pa strukturne spremembe z večjo pestrostjo sadnih vrst. Neugodna je starostna struktura </w:t>
      </w:r>
      <w:r>
        <w:rPr>
          <w:rFonts w:eastAsia="Times New Roman" w:cs="Arial"/>
          <w:szCs w:val="20"/>
          <w:lang w:eastAsia="en-GB"/>
        </w:rPr>
        <w:t xml:space="preserve">intenzivnih </w:t>
      </w:r>
      <w:r w:rsidRPr="003B2B91">
        <w:rPr>
          <w:rFonts w:eastAsia="Times New Roman" w:cs="Arial"/>
          <w:szCs w:val="20"/>
          <w:lang w:eastAsia="en-GB"/>
        </w:rPr>
        <w:t xml:space="preserve">sadovnjakov, zato je potrebno okrepiti </w:t>
      </w:r>
      <w:r w:rsidRPr="003B2B91">
        <w:rPr>
          <w:rFonts w:cs="Arial"/>
          <w:szCs w:val="20"/>
        </w:rPr>
        <w:t>naložbe, zlasti v postavitev novih nasadov in obnove nasadov. Prevelika je posestna razdrobljenost.</w:t>
      </w:r>
    </w:p>
    <w:p w14:paraId="67CF0054" w14:textId="77777777" w:rsidR="00F14D7D" w:rsidRPr="003B2B91" w:rsidRDefault="00F14D7D" w:rsidP="000A650F">
      <w:pPr>
        <w:numPr>
          <w:ilvl w:val="0"/>
          <w:numId w:val="42"/>
        </w:numPr>
        <w:spacing w:before="120" w:after="120" w:line="360" w:lineRule="auto"/>
        <w:ind w:left="357" w:hanging="357"/>
        <w:jc w:val="both"/>
        <w:rPr>
          <w:rFonts w:eastAsia="Times New Roman" w:cs="Arial"/>
          <w:szCs w:val="20"/>
          <w:lang w:eastAsia="en-GB"/>
        </w:rPr>
      </w:pPr>
      <w:r w:rsidRPr="003B2B91">
        <w:rPr>
          <w:rFonts w:cs="Arial"/>
          <w:szCs w:val="20"/>
        </w:rPr>
        <w:t xml:space="preserve">Pridelovalci na trgu niso konkurenčni tako zaradi neustreznih tehnologij pridelave </w:t>
      </w:r>
      <w:r w:rsidRPr="003B2B91">
        <w:rPr>
          <w:rFonts w:eastAsia="Times New Roman" w:cs="Arial"/>
          <w:szCs w:val="20"/>
          <w:lang w:eastAsia="en-GB"/>
        </w:rPr>
        <w:t>(premajhen tržni delež I. kakovostnega razreda, prenizek hektarski pridelek)</w:t>
      </w:r>
      <w:r w:rsidRPr="003B2B91">
        <w:rPr>
          <w:rFonts w:cs="Arial"/>
          <w:szCs w:val="20"/>
        </w:rPr>
        <w:t xml:space="preserve">, neustreznega načina hlajenja in skladiščenja ter priprave za trg, </w:t>
      </w:r>
      <w:r w:rsidRPr="003B2B91">
        <w:rPr>
          <w:rFonts w:eastAsia="Times New Roman" w:cs="Arial"/>
          <w:szCs w:val="20"/>
          <w:lang w:eastAsia="en-GB"/>
        </w:rPr>
        <w:t>zaradi nizkih cen v Sloveniji oziroma visoke lastne cene v primerjavi z ostalimi konkurenčnimi državami, kot tudi zaradi nepovezanosti pridelovalcev ter preveč obdavčene delovne sile.</w:t>
      </w:r>
    </w:p>
    <w:p w14:paraId="0B4C753B" w14:textId="77777777" w:rsidR="00F14D7D" w:rsidRPr="003B2B91" w:rsidRDefault="00F14D7D" w:rsidP="000A650F">
      <w:pPr>
        <w:numPr>
          <w:ilvl w:val="0"/>
          <w:numId w:val="42"/>
        </w:numPr>
        <w:spacing w:before="120" w:after="120" w:line="360" w:lineRule="auto"/>
        <w:ind w:left="357" w:hanging="357"/>
        <w:jc w:val="both"/>
        <w:rPr>
          <w:rFonts w:eastAsia="Times New Roman" w:cs="Arial"/>
          <w:szCs w:val="20"/>
          <w:lang w:eastAsia="en-GB"/>
        </w:rPr>
      </w:pPr>
      <w:r w:rsidRPr="003B2B91">
        <w:rPr>
          <w:rFonts w:eastAsia="Times New Roman" w:cs="Arial"/>
          <w:szCs w:val="20"/>
          <w:lang w:eastAsia="en-GB"/>
        </w:rPr>
        <w:t xml:space="preserve">Spremenjene podnebne spremembe imajo na sadjarstvo v zadnji desetih letih izjemen vpliv, zato bo potrebna še boljša prilagoditev panoge s sodobnejšimi tehnologijami in dodatnimi naložbami, sofinanciranjem zavarovalnih premij in podobno. </w:t>
      </w:r>
    </w:p>
    <w:p w14:paraId="0F39FC54" w14:textId="77777777" w:rsidR="00F14D7D" w:rsidRPr="003B2B91" w:rsidRDefault="00F14D7D" w:rsidP="000A650F">
      <w:pPr>
        <w:numPr>
          <w:ilvl w:val="0"/>
          <w:numId w:val="42"/>
        </w:numPr>
        <w:spacing w:before="120" w:after="120" w:line="360" w:lineRule="auto"/>
        <w:ind w:left="357" w:hanging="357"/>
        <w:jc w:val="both"/>
        <w:rPr>
          <w:rFonts w:eastAsia="Times New Roman" w:cs="Arial"/>
          <w:szCs w:val="20"/>
          <w:lang w:eastAsia="en-GB"/>
        </w:rPr>
      </w:pPr>
      <w:r w:rsidRPr="003B2B91">
        <w:rPr>
          <w:rFonts w:eastAsia="Times New Roman" w:cs="Arial"/>
          <w:szCs w:val="20"/>
          <w:lang w:eastAsia="en-GB"/>
        </w:rPr>
        <w:t>Shema kakovosti Izbrana kakovost je v sektorju vzpostavljena od leta 2019, pri čemer bo potrebno še okrepiti promocijske dejavnosti.</w:t>
      </w:r>
    </w:p>
    <w:p w14:paraId="2ABB2485" w14:textId="5498AF48" w:rsidR="00CF3CC6" w:rsidRDefault="00CF3CC6" w:rsidP="00F14D7D">
      <w:pPr>
        <w:pStyle w:val="Naslov2"/>
        <w:ind w:left="578" w:hanging="578"/>
      </w:pPr>
      <w:bookmarkStart w:id="210" w:name="_Toc40959287"/>
      <w:bookmarkStart w:id="211" w:name="_Toc55912224"/>
      <w:r w:rsidRPr="00A50A87">
        <w:t>Sektor vina</w:t>
      </w:r>
      <w:bookmarkEnd w:id="210"/>
      <w:bookmarkEnd w:id="211"/>
    </w:p>
    <w:p w14:paraId="2B2B5FD6" w14:textId="77777777" w:rsidR="00F14D7D" w:rsidRPr="003B2B91" w:rsidRDefault="00F14D7D" w:rsidP="00F14D7D">
      <w:pPr>
        <w:spacing w:before="200" w:line="360" w:lineRule="auto"/>
        <w:jc w:val="both"/>
        <w:rPr>
          <w:rFonts w:eastAsia="Times New Roman" w:cs="Arial"/>
          <w:szCs w:val="20"/>
          <w:lang w:eastAsia="en-GB"/>
        </w:rPr>
      </w:pPr>
      <w:r w:rsidRPr="003B2B91">
        <w:rPr>
          <w:rFonts w:eastAsia="Times New Roman" w:cs="Arial"/>
          <w:szCs w:val="20"/>
          <w:lang w:eastAsia="en-GB"/>
        </w:rPr>
        <w:t>Vinogradništvo in vinarstvo v Sloveniji predstavljata pomembno kmetijsko panogo, ki ima tudi vidno gospodarsko vlogo in pomen pri ohranjanju kulturne krajine ter ohranjanju poseljenosti slovenskega podeželja. V vrednosti kmetijske proizvodnje</w:t>
      </w:r>
      <w:r w:rsidRPr="003B2B91" w:rsidDel="00A3569E">
        <w:rPr>
          <w:rFonts w:eastAsia="Times New Roman" w:cs="Arial"/>
          <w:szCs w:val="20"/>
          <w:lang w:eastAsia="en-GB"/>
        </w:rPr>
        <w:t xml:space="preserve"> </w:t>
      </w:r>
      <w:r w:rsidRPr="003B2B91">
        <w:rPr>
          <w:rFonts w:eastAsia="Times New Roman" w:cs="Arial"/>
          <w:szCs w:val="20"/>
          <w:lang w:eastAsia="en-GB"/>
        </w:rPr>
        <w:t>imata med rastlinskimi pridelki grozdje in vino skupaj največji delež.</w:t>
      </w:r>
    </w:p>
    <w:p w14:paraId="3A0852C9" w14:textId="77777777" w:rsidR="00F14D7D" w:rsidRPr="003B2B91" w:rsidRDefault="00F14D7D" w:rsidP="00F14D7D">
      <w:pPr>
        <w:spacing w:before="200" w:line="360" w:lineRule="auto"/>
        <w:jc w:val="both"/>
        <w:rPr>
          <w:rFonts w:cs="Arial"/>
          <w:szCs w:val="20"/>
          <w:lang w:eastAsia="en-GB"/>
        </w:rPr>
      </w:pPr>
      <w:r w:rsidRPr="003B2B91">
        <w:rPr>
          <w:rFonts w:eastAsia="Times New Roman" w:cs="Arial"/>
          <w:szCs w:val="20"/>
          <w:lang w:eastAsia="en-GB"/>
        </w:rPr>
        <w:t xml:space="preserve">Strateški cilji Slovenije na področju vinogradništva in vinarstva so predvsem ohranitev obsega obstoječih vinogradniških površin in izboljšanje velikostne strukture, povečanje produktivnosti in </w:t>
      </w:r>
      <w:r w:rsidRPr="003B2B91">
        <w:rPr>
          <w:rFonts w:cs="Arial"/>
          <w:szCs w:val="20"/>
          <w:lang w:eastAsia="en-GB"/>
        </w:rPr>
        <w:t>izboljšanje konkurenčnosti panoge, tudi preko povečanja prepoznavnosti slovenskih vin.</w:t>
      </w:r>
    </w:p>
    <w:p w14:paraId="7A4CC8EC" w14:textId="67F2916F" w:rsidR="00CF3CC6" w:rsidRDefault="00CF3CC6" w:rsidP="00A50A87">
      <w:pPr>
        <w:pStyle w:val="Naslov3"/>
        <w:rPr>
          <w:rFonts w:eastAsia="Calibri"/>
        </w:rPr>
      </w:pPr>
      <w:bookmarkStart w:id="212" w:name="_Toc55912225"/>
      <w:r w:rsidRPr="00A50A87">
        <w:rPr>
          <w:rFonts w:eastAsia="Calibri"/>
        </w:rPr>
        <w:t>Stanje v sektorju in osnovni ekonomski kazalniki</w:t>
      </w:r>
      <w:bookmarkEnd w:id="212"/>
    </w:p>
    <w:p w14:paraId="313499F1" w14:textId="77777777" w:rsidR="00F14D7D" w:rsidRPr="003B2B91" w:rsidRDefault="00F14D7D" w:rsidP="00F14D7D">
      <w:pPr>
        <w:spacing w:before="200" w:line="360" w:lineRule="auto"/>
        <w:jc w:val="both"/>
        <w:rPr>
          <w:rFonts w:eastAsia="Times New Roman" w:cs="Arial"/>
          <w:szCs w:val="20"/>
          <w:lang w:eastAsia="en-GB"/>
        </w:rPr>
      </w:pPr>
      <w:r w:rsidRPr="003B2B91">
        <w:rPr>
          <w:rFonts w:eastAsia="Times New Roman" w:cs="Arial"/>
          <w:szCs w:val="20"/>
          <w:lang w:eastAsia="en-GB"/>
        </w:rPr>
        <w:t>Po podatkih zajema rabe kmetijskih zemljišč v letu 2019 imamo v Sloveniji 18.113 ha vinogradov, v register kmetijskih gospodarstev (RKG, 2019) je vpisanih 15.437 ha (zavezani KMG z 0,05 ha in več vinogradov), pridelek se v register pridelovalcev grozdja in vina (RPGV) redno prijavlja iz 14.200 ha (zavezanci KMG z 0,1 ha in več). V primerjavi z letom 2010 je razvidno, da so se površine pod vinogradi po podatkih RKG zmanjšale za 5 %, po zajemu rabe kmetijskih zemljišč pa kar za 18 %, kar kaže na opuščanje predvsem manjših vinogradov. Povprečna površina vinogradov na KMG se nekoliko povečuje in znaša 0,55 ha.</w:t>
      </w:r>
    </w:p>
    <w:p w14:paraId="4A028E0A" w14:textId="77777777" w:rsidR="00F14D7D" w:rsidRPr="003B2B91" w:rsidRDefault="00F14D7D" w:rsidP="00F14D7D">
      <w:pPr>
        <w:spacing w:before="200" w:line="360" w:lineRule="auto"/>
        <w:jc w:val="both"/>
        <w:rPr>
          <w:rFonts w:eastAsia="Times New Roman" w:cs="Arial"/>
          <w:szCs w:val="20"/>
          <w:lang w:eastAsia="en-GB"/>
        </w:rPr>
      </w:pPr>
      <w:r w:rsidRPr="003B2B91">
        <w:rPr>
          <w:rFonts w:eastAsia="Times New Roman" w:cs="Arial"/>
          <w:szCs w:val="20"/>
          <w:lang w:eastAsia="en-GB"/>
        </w:rPr>
        <w:t xml:space="preserve">V RPGV je vpisanih skoraj 30.000 pridelovalcev grozdja in skoraj vsi so tudi pridelovalci vina, za stekleničenje je registriranih preko 2.300 pridelovalcev, od tega je 11 večjih (preko 500.000 litrov letno). </w:t>
      </w:r>
    </w:p>
    <w:p w14:paraId="5F0FE727" w14:textId="77777777" w:rsidR="00F14D7D" w:rsidRPr="003B2B91" w:rsidRDefault="00F14D7D" w:rsidP="00F14D7D">
      <w:pPr>
        <w:spacing w:before="200" w:line="360" w:lineRule="auto"/>
        <w:jc w:val="both"/>
        <w:rPr>
          <w:rFonts w:eastAsia="Times New Roman" w:cs="Arial"/>
          <w:szCs w:val="20"/>
          <w:lang w:eastAsia="en-GB"/>
        </w:rPr>
      </w:pPr>
      <w:r w:rsidRPr="003B2B91">
        <w:rPr>
          <w:rFonts w:eastAsia="Times New Roman" w:cs="Arial"/>
          <w:szCs w:val="20"/>
          <w:lang w:eastAsia="en-GB"/>
        </w:rPr>
        <w:lastRenderedPageBreak/>
        <w:t>Značilna je velika razdrobljenost vinogradov, kar 84 % vinogradnikov obdeluje pod 0,5 ha vinogradov, velikost do 1 ha vinogradov pa zajame kar 91 % vseh pridelovalcev. Največja razdrobljenost je na območjih Štajerske Slovenije, Prekmurja, Dolenjske, Bele krajine in Bizeljsko-Sremiča; manj kot 0,5 ha pa obdeluje večina pridelovalcev v vinorodnih območjih Prekmurje (95 %), Dolenjska (94 %) in Bela krajina (93 %).</w:t>
      </w:r>
    </w:p>
    <w:p w14:paraId="5947177A" w14:textId="71958C76" w:rsidR="00F14D7D" w:rsidRDefault="00F14D7D" w:rsidP="00F14D7D">
      <w:pPr>
        <w:pStyle w:val="SCPreglednica"/>
      </w:pPr>
      <w:bookmarkStart w:id="213" w:name="_Toc55913746"/>
      <w:r>
        <w:t xml:space="preserve">Tabela </w:t>
      </w:r>
      <w:r>
        <w:fldChar w:fldCharType="begin"/>
      </w:r>
      <w:r>
        <w:instrText xml:space="preserve"> SEQ Tabela \* ARABIC </w:instrText>
      </w:r>
      <w:r>
        <w:fldChar w:fldCharType="separate"/>
      </w:r>
      <w:r w:rsidR="00DF0D48">
        <w:rPr>
          <w:noProof/>
        </w:rPr>
        <w:t>35</w:t>
      </w:r>
      <w:r>
        <w:fldChar w:fldCharType="end"/>
      </w:r>
      <w:r>
        <w:t xml:space="preserve">: </w:t>
      </w:r>
      <w:r w:rsidRPr="00F14D7D">
        <w:t>Podatek o površinah vinogradov po letih (ha)</w:t>
      </w:r>
      <w:bookmarkEnd w:id="213"/>
    </w:p>
    <w:tbl>
      <w:tblPr>
        <w:tblW w:w="90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788"/>
        <w:gridCol w:w="789"/>
        <w:gridCol w:w="789"/>
        <w:gridCol w:w="789"/>
        <w:gridCol w:w="789"/>
        <w:gridCol w:w="789"/>
        <w:gridCol w:w="789"/>
        <w:gridCol w:w="789"/>
        <w:gridCol w:w="789"/>
        <w:gridCol w:w="789"/>
      </w:tblGrid>
      <w:tr w:rsidR="00F14D7D" w:rsidRPr="003B2B91" w14:paraId="539B5D4C" w14:textId="77777777" w:rsidTr="00D874C5">
        <w:trPr>
          <w:trHeight w:val="261"/>
        </w:trPr>
        <w:tc>
          <w:tcPr>
            <w:tcW w:w="1134" w:type="dxa"/>
            <w:shd w:val="clear" w:color="auto" w:fill="C6D9F1" w:themeFill="text2" w:themeFillTint="33"/>
          </w:tcPr>
          <w:p w14:paraId="74E2FE03" w14:textId="77777777" w:rsidR="00F14D7D" w:rsidRPr="003B2B91" w:rsidRDefault="00F14D7D" w:rsidP="00D874C5">
            <w:pPr>
              <w:spacing w:after="0" w:line="360" w:lineRule="auto"/>
              <w:rPr>
                <w:rFonts w:eastAsia="Times New Roman" w:cs="Arial"/>
                <w:szCs w:val="20"/>
                <w:lang w:eastAsia="en-GB"/>
              </w:rPr>
            </w:pPr>
          </w:p>
        </w:tc>
        <w:tc>
          <w:tcPr>
            <w:tcW w:w="788" w:type="dxa"/>
            <w:shd w:val="clear" w:color="auto" w:fill="C6D9F1" w:themeFill="text2" w:themeFillTint="33"/>
          </w:tcPr>
          <w:p w14:paraId="4337AA75" w14:textId="77777777" w:rsidR="00F14D7D" w:rsidRPr="003B2B91" w:rsidRDefault="00F14D7D" w:rsidP="00D874C5">
            <w:pPr>
              <w:spacing w:after="0" w:line="360" w:lineRule="auto"/>
              <w:rPr>
                <w:rFonts w:eastAsia="Times New Roman" w:cs="Arial"/>
                <w:szCs w:val="20"/>
                <w:lang w:eastAsia="en-GB"/>
              </w:rPr>
            </w:pPr>
            <w:r w:rsidRPr="003B2B91">
              <w:rPr>
                <w:rFonts w:eastAsia="Times New Roman" w:cs="Arial"/>
                <w:szCs w:val="20"/>
                <w:lang w:eastAsia="en-GB"/>
              </w:rPr>
              <w:t>2010</w:t>
            </w:r>
          </w:p>
        </w:tc>
        <w:tc>
          <w:tcPr>
            <w:tcW w:w="789" w:type="dxa"/>
            <w:shd w:val="clear" w:color="auto" w:fill="C6D9F1" w:themeFill="text2" w:themeFillTint="33"/>
          </w:tcPr>
          <w:p w14:paraId="49932BFC" w14:textId="77777777" w:rsidR="00F14D7D" w:rsidRPr="003B2B91" w:rsidRDefault="00F14D7D" w:rsidP="00D874C5">
            <w:pPr>
              <w:spacing w:after="0" w:line="360" w:lineRule="auto"/>
              <w:rPr>
                <w:rFonts w:eastAsia="Times New Roman" w:cs="Arial"/>
                <w:szCs w:val="20"/>
                <w:lang w:eastAsia="en-GB"/>
              </w:rPr>
            </w:pPr>
            <w:r w:rsidRPr="003B2B91">
              <w:rPr>
                <w:rFonts w:eastAsia="Times New Roman" w:cs="Arial"/>
                <w:szCs w:val="20"/>
                <w:lang w:eastAsia="en-GB"/>
              </w:rPr>
              <w:t>2011</w:t>
            </w:r>
          </w:p>
        </w:tc>
        <w:tc>
          <w:tcPr>
            <w:tcW w:w="789" w:type="dxa"/>
            <w:shd w:val="clear" w:color="auto" w:fill="C6D9F1" w:themeFill="text2" w:themeFillTint="33"/>
          </w:tcPr>
          <w:p w14:paraId="2E0B4873" w14:textId="77777777" w:rsidR="00F14D7D" w:rsidRPr="003B2B91" w:rsidRDefault="00F14D7D" w:rsidP="00D874C5">
            <w:pPr>
              <w:spacing w:after="0" w:line="360" w:lineRule="auto"/>
              <w:rPr>
                <w:rFonts w:eastAsia="Times New Roman" w:cs="Arial"/>
                <w:szCs w:val="20"/>
                <w:lang w:eastAsia="en-GB"/>
              </w:rPr>
            </w:pPr>
            <w:r w:rsidRPr="003B2B91">
              <w:rPr>
                <w:rFonts w:eastAsia="Times New Roman" w:cs="Arial"/>
                <w:szCs w:val="20"/>
                <w:lang w:eastAsia="en-GB"/>
              </w:rPr>
              <w:t>2012</w:t>
            </w:r>
          </w:p>
        </w:tc>
        <w:tc>
          <w:tcPr>
            <w:tcW w:w="789" w:type="dxa"/>
            <w:shd w:val="clear" w:color="auto" w:fill="C6D9F1" w:themeFill="text2" w:themeFillTint="33"/>
          </w:tcPr>
          <w:p w14:paraId="01E73ED2" w14:textId="77777777" w:rsidR="00F14D7D" w:rsidRPr="003B2B91" w:rsidRDefault="00F14D7D" w:rsidP="00D874C5">
            <w:pPr>
              <w:spacing w:after="0" w:line="360" w:lineRule="auto"/>
              <w:rPr>
                <w:rFonts w:eastAsia="Times New Roman" w:cs="Arial"/>
                <w:szCs w:val="20"/>
                <w:lang w:eastAsia="en-GB"/>
              </w:rPr>
            </w:pPr>
            <w:r w:rsidRPr="003B2B91">
              <w:rPr>
                <w:rFonts w:eastAsia="Times New Roman" w:cs="Arial"/>
                <w:szCs w:val="20"/>
                <w:lang w:eastAsia="en-GB"/>
              </w:rPr>
              <w:t>2013</w:t>
            </w:r>
          </w:p>
        </w:tc>
        <w:tc>
          <w:tcPr>
            <w:tcW w:w="789" w:type="dxa"/>
            <w:shd w:val="clear" w:color="auto" w:fill="C6D9F1" w:themeFill="text2" w:themeFillTint="33"/>
          </w:tcPr>
          <w:p w14:paraId="1F61A601" w14:textId="77777777" w:rsidR="00F14D7D" w:rsidRPr="003B2B91" w:rsidRDefault="00F14D7D" w:rsidP="00D874C5">
            <w:pPr>
              <w:spacing w:after="0" w:line="360" w:lineRule="auto"/>
              <w:rPr>
                <w:rFonts w:eastAsia="Times New Roman" w:cs="Arial"/>
                <w:szCs w:val="20"/>
                <w:lang w:eastAsia="en-GB"/>
              </w:rPr>
            </w:pPr>
            <w:r w:rsidRPr="003B2B91">
              <w:rPr>
                <w:rFonts w:eastAsia="Times New Roman" w:cs="Arial"/>
                <w:szCs w:val="20"/>
                <w:lang w:eastAsia="en-GB"/>
              </w:rPr>
              <w:t>2014</w:t>
            </w:r>
          </w:p>
        </w:tc>
        <w:tc>
          <w:tcPr>
            <w:tcW w:w="789" w:type="dxa"/>
            <w:shd w:val="clear" w:color="auto" w:fill="C6D9F1" w:themeFill="text2" w:themeFillTint="33"/>
          </w:tcPr>
          <w:p w14:paraId="002A3230" w14:textId="77777777" w:rsidR="00F14D7D" w:rsidRPr="003B2B91" w:rsidRDefault="00F14D7D" w:rsidP="00D874C5">
            <w:pPr>
              <w:spacing w:after="0" w:line="360" w:lineRule="auto"/>
              <w:rPr>
                <w:rFonts w:eastAsia="Times New Roman" w:cs="Arial"/>
                <w:szCs w:val="20"/>
                <w:lang w:eastAsia="en-GB"/>
              </w:rPr>
            </w:pPr>
            <w:r w:rsidRPr="003B2B91">
              <w:rPr>
                <w:rFonts w:eastAsia="Times New Roman" w:cs="Arial"/>
                <w:szCs w:val="20"/>
                <w:lang w:eastAsia="en-GB"/>
              </w:rPr>
              <w:t>2015</w:t>
            </w:r>
          </w:p>
        </w:tc>
        <w:tc>
          <w:tcPr>
            <w:tcW w:w="789" w:type="dxa"/>
            <w:shd w:val="clear" w:color="auto" w:fill="C6D9F1" w:themeFill="text2" w:themeFillTint="33"/>
          </w:tcPr>
          <w:p w14:paraId="6DD3F9EE" w14:textId="77777777" w:rsidR="00F14D7D" w:rsidRPr="003B2B91" w:rsidRDefault="00F14D7D" w:rsidP="00D874C5">
            <w:pPr>
              <w:spacing w:after="0" w:line="360" w:lineRule="auto"/>
              <w:rPr>
                <w:rFonts w:eastAsia="Times New Roman" w:cs="Arial"/>
                <w:szCs w:val="20"/>
                <w:lang w:eastAsia="en-GB"/>
              </w:rPr>
            </w:pPr>
            <w:r w:rsidRPr="003B2B91">
              <w:rPr>
                <w:rFonts w:eastAsia="Times New Roman" w:cs="Arial"/>
                <w:szCs w:val="20"/>
                <w:lang w:eastAsia="en-GB"/>
              </w:rPr>
              <w:t>2016</w:t>
            </w:r>
          </w:p>
        </w:tc>
        <w:tc>
          <w:tcPr>
            <w:tcW w:w="789" w:type="dxa"/>
            <w:shd w:val="clear" w:color="auto" w:fill="C6D9F1" w:themeFill="text2" w:themeFillTint="33"/>
          </w:tcPr>
          <w:p w14:paraId="78281CE4" w14:textId="77777777" w:rsidR="00F14D7D" w:rsidRPr="003B2B91" w:rsidRDefault="00F14D7D" w:rsidP="00D874C5">
            <w:pPr>
              <w:spacing w:after="0" w:line="360" w:lineRule="auto"/>
              <w:rPr>
                <w:rFonts w:eastAsia="Times New Roman" w:cs="Arial"/>
                <w:szCs w:val="20"/>
                <w:lang w:eastAsia="en-GB"/>
              </w:rPr>
            </w:pPr>
            <w:r w:rsidRPr="003B2B91">
              <w:rPr>
                <w:rFonts w:eastAsia="Times New Roman" w:cs="Arial"/>
                <w:szCs w:val="20"/>
                <w:lang w:eastAsia="en-GB"/>
              </w:rPr>
              <w:t>2017</w:t>
            </w:r>
          </w:p>
        </w:tc>
        <w:tc>
          <w:tcPr>
            <w:tcW w:w="789" w:type="dxa"/>
            <w:shd w:val="clear" w:color="auto" w:fill="C6D9F1" w:themeFill="text2" w:themeFillTint="33"/>
          </w:tcPr>
          <w:p w14:paraId="35E9419A" w14:textId="77777777" w:rsidR="00F14D7D" w:rsidRPr="003B2B91" w:rsidRDefault="00F14D7D" w:rsidP="00D874C5">
            <w:pPr>
              <w:spacing w:after="0" w:line="360" w:lineRule="auto"/>
              <w:rPr>
                <w:rFonts w:eastAsia="Times New Roman" w:cs="Arial"/>
                <w:szCs w:val="20"/>
                <w:lang w:eastAsia="en-GB"/>
              </w:rPr>
            </w:pPr>
            <w:r w:rsidRPr="003B2B91">
              <w:rPr>
                <w:rFonts w:eastAsia="Times New Roman" w:cs="Arial"/>
                <w:szCs w:val="20"/>
                <w:lang w:eastAsia="en-GB"/>
              </w:rPr>
              <w:t>2018</w:t>
            </w:r>
          </w:p>
        </w:tc>
        <w:tc>
          <w:tcPr>
            <w:tcW w:w="789" w:type="dxa"/>
            <w:shd w:val="clear" w:color="auto" w:fill="C6D9F1" w:themeFill="text2" w:themeFillTint="33"/>
          </w:tcPr>
          <w:p w14:paraId="508684A4" w14:textId="77777777" w:rsidR="00F14D7D" w:rsidRPr="003B2B91" w:rsidRDefault="00F14D7D" w:rsidP="00D874C5">
            <w:pPr>
              <w:spacing w:after="0" w:line="360" w:lineRule="auto"/>
              <w:rPr>
                <w:rFonts w:eastAsia="Times New Roman" w:cs="Arial"/>
                <w:szCs w:val="20"/>
                <w:lang w:eastAsia="en-GB"/>
              </w:rPr>
            </w:pPr>
            <w:r w:rsidRPr="003B2B91">
              <w:rPr>
                <w:rFonts w:eastAsia="Times New Roman" w:cs="Arial"/>
                <w:szCs w:val="20"/>
                <w:lang w:eastAsia="en-GB"/>
              </w:rPr>
              <w:t>2019</w:t>
            </w:r>
          </w:p>
        </w:tc>
      </w:tr>
      <w:tr w:rsidR="00F14D7D" w:rsidRPr="003B2B91" w14:paraId="171511FB" w14:textId="77777777" w:rsidTr="00D874C5">
        <w:trPr>
          <w:trHeight w:val="261"/>
        </w:trPr>
        <w:tc>
          <w:tcPr>
            <w:tcW w:w="1134" w:type="dxa"/>
          </w:tcPr>
          <w:p w14:paraId="0A56FEA9" w14:textId="77777777" w:rsidR="00F14D7D" w:rsidRPr="003B2B91" w:rsidRDefault="00F14D7D" w:rsidP="00D874C5">
            <w:pPr>
              <w:spacing w:after="0" w:line="360" w:lineRule="auto"/>
              <w:rPr>
                <w:rFonts w:eastAsia="Times New Roman" w:cs="Arial"/>
                <w:szCs w:val="20"/>
                <w:lang w:eastAsia="en-GB"/>
              </w:rPr>
            </w:pPr>
            <w:r w:rsidRPr="003B2B91">
              <w:rPr>
                <w:rFonts w:eastAsia="Times New Roman" w:cs="Arial"/>
                <w:szCs w:val="20"/>
                <w:lang w:eastAsia="en-GB"/>
              </w:rPr>
              <w:t>RKG</w:t>
            </w:r>
          </w:p>
        </w:tc>
        <w:tc>
          <w:tcPr>
            <w:tcW w:w="788" w:type="dxa"/>
          </w:tcPr>
          <w:p w14:paraId="467448E6" w14:textId="77777777" w:rsidR="00F14D7D" w:rsidRPr="005718B1" w:rsidRDefault="00F14D7D" w:rsidP="00D874C5">
            <w:pPr>
              <w:spacing w:after="0" w:line="360" w:lineRule="auto"/>
              <w:rPr>
                <w:rFonts w:eastAsia="Times New Roman" w:cs="Arial"/>
                <w:sz w:val="18"/>
                <w:szCs w:val="18"/>
                <w:lang w:eastAsia="en-GB"/>
              </w:rPr>
            </w:pPr>
            <w:r w:rsidRPr="005718B1">
              <w:rPr>
                <w:rFonts w:eastAsia="Times New Roman" w:cs="Arial"/>
                <w:sz w:val="18"/>
                <w:szCs w:val="18"/>
                <w:lang w:eastAsia="en-GB"/>
              </w:rPr>
              <w:t>16.214</w:t>
            </w:r>
          </w:p>
        </w:tc>
        <w:tc>
          <w:tcPr>
            <w:tcW w:w="789" w:type="dxa"/>
          </w:tcPr>
          <w:p w14:paraId="761D7F89" w14:textId="77777777" w:rsidR="00F14D7D" w:rsidRPr="005718B1" w:rsidRDefault="00F14D7D" w:rsidP="00D874C5">
            <w:pPr>
              <w:spacing w:after="0" w:line="360" w:lineRule="auto"/>
              <w:rPr>
                <w:rFonts w:eastAsia="Times New Roman" w:cs="Arial"/>
                <w:sz w:val="18"/>
                <w:szCs w:val="18"/>
                <w:lang w:eastAsia="en-GB"/>
              </w:rPr>
            </w:pPr>
            <w:r w:rsidRPr="005718B1">
              <w:rPr>
                <w:rFonts w:eastAsia="Times New Roman" w:cs="Arial"/>
                <w:sz w:val="18"/>
                <w:szCs w:val="18"/>
                <w:lang w:eastAsia="en-GB"/>
              </w:rPr>
              <w:t>16.082</w:t>
            </w:r>
          </w:p>
        </w:tc>
        <w:tc>
          <w:tcPr>
            <w:tcW w:w="789" w:type="dxa"/>
          </w:tcPr>
          <w:p w14:paraId="64B29EC2" w14:textId="77777777" w:rsidR="00F14D7D" w:rsidRPr="005718B1" w:rsidRDefault="00F14D7D" w:rsidP="00D874C5">
            <w:pPr>
              <w:spacing w:after="0" w:line="360" w:lineRule="auto"/>
              <w:rPr>
                <w:rFonts w:eastAsia="Times New Roman" w:cs="Arial"/>
                <w:sz w:val="18"/>
                <w:szCs w:val="18"/>
                <w:lang w:eastAsia="en-GB"/>
              </w:rPr>
            </w:pPr>
            <w:r w:rsidRPr="005718B1">
              <w:rPr>
                <w:rFonts w:eastAsia="Times New Roman" w:cs="Arial"/>
                <w:sz w:val="18"/>
                <w:szCs w:val="18"/>
                <w:lang w:eastAsia="en-GB"/>
              </w:rPr>
              <w:t>16.141</w:t>
            </w:r>
          </w:p>
        </w:tc>
        <w:tc>
          <w:tcPr>
            <w:tcW w:w="789" w:type="dxa"/>
          </w:tcPr>
          <w:p w14:paraId="33815936" w14:textId="77777777" w:rsidR="00F14D7D" w:rsidRPr="005718B1" w:rsidRDefault="00F14D7D" w:rsidP="00D874C5">
            <w:pPr>
              <w:spacing w:after="0" w:line="360" w:lineRule="auto"/>
              <w:rPr>
                <w:rFonts w:eastAsia="Times New Roman" w:cs="Arial"/>
                <w:sz w:val="18"/>
                <w:szCs w:val="18"/>
                <w:lang w:eastAsia="en-GB"/>
              </w:rPr>
            </w:pPr>
            <w:r w:rsidRPr="005718B1">
              <w:rPr>
                <w:rFonts w:eastAsia="Times New Roman" w:cs="Arial"/>
                <w:sz w:val="18"/>
                <w:szCs w:val="18"/>
                <w:lang w:eastAsia="en-GB"/>
              </w:rPr>
              <w:t>15.993</w:t>
            </w:r>
          </w:p>
        </w:tc>
        <w:tc>
          <w:tcPr>
            <w:tcW w:w="789" w:type="dxa"/>
          </w:tcPr>
          <w:p w14:paraId="04483334" w14:textId="77777777" w:rsidR="00F14D7D" w:rsidRPr="005718B1" w:rsidRDefault="00F14D7D" w:rsidP="00D874C5">
            <w:pPr>
              <w:spacing w:after="0" w:line="360" w:lineRule="auto"/>
              <w:rPr>
                <w:rFonts w:eastAsia="Times New Roman" w:cs="Arial"/>
                <w:sz w:val="18"/>
                <w:szCs w:val="18"/>
                <w:lang w:eastAsia="en-GB"/>
              </w:rPr>
            </w:pPr>
            <w:r w:rsidRPr="005718B1">
              <w:rPr>
                <w:rFonts w:eastAsia="Times New Roman" w:cs="Arial"/>
                <w:sz w:val="18"/>
                <w:szCs w:val="18"/>
                <w:lang w:eastAsia="en-GB"/>
              </w:rPr>
              <w:t>15.773</w:t>
            </w:r>
          </w:p>
        </w:tc>
        <w:tc>
          <w:tcPr>
            <w:tcW w:w="789" w:type="dxa"/>
          </w:tcPr>
          <w:p w14:paraId="60E10969" w14:textId="77777777" w:rsidR="00F14D7D" w:rsidRPr="005718B1" w:rsidRDefault="00F14D7D" w:rsidP="00D874C5">
            <w:pPr>
              <w:spacing w:after="0" w:line="360" w:lineRule="auto"/>
              <w:rPr>
                <w:rFonts w:eastAsia="Times New Roman" w:cs="Arial"/>
                <w:sz w:val="18"/>
                <w:szCs w:val="18"/>
                <w:lang w:eastAsia="en-GB"/>
              </w:rPr>
            </w:pPr>
            <w:r w:rsidRPr="005718B1">
              <w:rPr>
                <w:rFonts w:eastAsia="Times New Roman" w:cs="Arial"/>
                <w:sz w:val="18"/>
                <w:szCs w:val="18"/>
                <w:lang w:eastAsia="en-GB"/>
              </w:rPr>
              <w:t>15.694</w:t>
            </w:r>
          </w:p>
        </w:tc>
        <w:tc>
          <w:tcPr>
            <w:tcW w:w="789" w:type="dxa"/>
          </w:tcPr>
          <w:p w14:paraId="3432F1D6" w14:textId="77777777" w:rsidR="00F14D7D" w:rsidRPr="005718B1" w:rsidRDefault="00F14D7D" w:rsidP="00D874C5">
            <w:pPr>
              <w:spacing w:after="0" w:line="360" w:lineRule="auto"/>
              <w:rPr>
                <w:rFonts w:eastAsia="Times New Roman" w:cs="Arial"/>
                <w:sz w:val="18"/>
                <w:szCs w:val="18"/>
                <w:lang w:eastAsia="en-GB"/>
              </w:rPr>
            </w:pPr>
            <w:r w:rsidRPr="005718B1">
              <w:rPr>
                <w:rFonts w:eastAsia="Times New Roman" w:cs="Arial"/>
                <w:sz w:val="18"/>
                <w:szCs w:val="18"/>
                <w:lang w:eastAsia="en-GB"/>
              </w:rPr>
              <w:t>15.573</w:t>
            </w:r>
          </w:p>
        </w:tc>
        <w:tc>
          <w:tcPr>
            <w:tcW w:w="789" w:type="dxa"/>
          </w:tcPr>
          <w:p w14:paraId="21747FC7" w14:textId="77777777" w:rsidR="00F14D7D" w:rsidRPr="005718B1" w:rsidRDefault="00F14D7D" w:rsidP="00D874C5">
            <w:pPr>
              <w:spacing w:after="0" w:line="360" w:lineRule="auto"/>
              <w:rPr>
                <w:rFonts w:eastAsia="Times New Roman" w:cs="Arial"/>
                <w:sz w:val="18"/>
                <w:szCs w:val="18"/>
                <w:lang w:eastAsia="en-GB"/>
              </w:rPr>
            </w:pPr>
            <w:r w:rsidRPr="005718B1">
              <w:rPr>
                <w:rFonts w:eastAsia="Times New Roman" w:cs="Arial"/>
                <w:sz w:val="18"/>
                <w:szCs w:val="18"/>
                <w:lang w:eastAsia="en-GB"/>
              </w:rPr>
              <w:t>15.555</w:t>
            </w:r>
          </w:p>
        </w:tc>
        <w:tc>
          <w:tcPr>
            <w:tcW w:w="789" w:type="dxa"/>
          </w:tcPr>
          <w:p w14:paraId="0D56B164" w14:textId="77777777" w:rsidR="00F14D7D" w:rsidRPr="005718B1" w:rsidRDefault="00F14D7D" w:rsidP="00D874C5">
            <w:pPr>
              <w:spacing w:after="0" w:line="360" w:lineRule="auto"/>
              <w:rPr>
                <w:rFonts w:eastAsia="Times New Roman" w:cs="Arial"/>
                <w:sz w:val="18"/>
                <w:szCs w:val="18"/>
                <w:lang w:eastAsia="en-GB"/>
              </w:rPr>
            </w:pPr>
            <w:r w:rsidRPr="005718B1">
              <w:rPr>
                <w:rFonts w:eastAsia="Times New Roman" w:cs="Arial"/>
                <w:sz w:val="18"/>
                <w:szCs w:val="18"/>
                <w:lang w:eastAsia="en-GB"/>
              </w:rPr>
              <w:t>15.661</w:t>
            </w:r>
          </w:p>
        </w:tc>
        <w:tc>
          <w:tcPr>
            <w:tcW w:w="789" w:type="dxa"/>
          </w:tcPr>
          <w:p w14:paraId="51DFF05D" w14:textId="77777777" w:rsidR="00F14D7D" w:rsidRPr="005718B1" w:rsidRDefault="00F14D7D" w:rsidP="00D874C5">
            <w:pPr>
              <w:spacing w:after="0" w:line="360" w:lineRule="auto"/>
              <w:rPr>
                <w:rFonts w:eastAsia="Times New Roman" w:cs="Arial"/>
                <w:sz w:val="18"/>
                <w:szCs w:val="18"/>
                <w:lang w:eastAsia="en-GB"/>
              </w:rPr>
            </w:pPr>
            <w:r w:rsidRPr="005718B1">
              <w:rPr>
                <w:rFonts w:eastAsia="Times New Roman" w:cs="Arial"/>
                <w:sz w:val="18"/>
                <w:szCs w:val="18"/>
                <w:lang w:eastAsia="en-GB"/>
              </w:rPr>
              <w:t>15.437</w:t>
            </w:r>
          </w:p>
        </w:tc>
      </w:tr>
      <w:tr w:rsidR="00F14D7D" w:rsidRPr="003B2B91" w14:paraId="57A87E54" w14:textId="77777777" w:rsidTr="00D874C5">
        <w:trPr>
          <w:trHeight w:val="261"/>
        </w:trPr>
        <w:tc>
          <w:tcPr>
            <w:tcW w:w="1134" w:type="dxa"/>
          </w:tcPr>
          <w:p w14:paraId="1E5F76C5" w14:textId="77777777" w:rsidR="00F14D7D" w:rsidRPr="003B2B91" w:rsidRDefault="00F14D7D" w:rsidP="00D874C5">
            <w:pPr>
              <w:spacing w:after="0" w:line="360" w:lineRule="auto"/>
              <w:rPr>
                <w:rFonts w:eastAsia="Times New Roman" w:cs="Arial"/>
                <w:szCs w:val="20"/>
                <w:lang w:eastAsia="en-GB"/>
              </w:rPr>
            </w:pPr>
            <w:r w:rsidRPr="003B2B91">
              <w:rPr>
                <w:rFonts w:eastAsia="Times New Roman" w:cs="Arial"/>
                <w:szCs w:val="20"/>
                <w:lang w:eastAsia="en-GB"/>
              </w:rPr>
              <w:t>Raba kmetijskih zemljišč</w:t>
            </w:r>
          </w:p>
        </w:tc>
        <w:tc>
          <w:tcPr>
            <w:tcW w:w="788" w:type="dxa"/>
          </w:tcPr>
          <w:p w14:paraId="4F5C19F7" w14:textId="77777777" w:rsidR="00F14D7D" w:rsidRPr="005718B1" w:rsidRDefault="00F14D7D" w:rsidP="00D874C5">
            <w:pPr>
              <w:spacing w:after="0" w:line="360" w:lineRule="auto"/>
              <w:rPr>
                <w:rFonts w:eastAsia="Times New Roman" w:cs="Arial"/>
                <w:sz w:val="18"/>
                <w:szCs w:val="18"/>
                <w:lang w:eastAsia="en-GB"/>
              </w:rPr>
            </w:pPr>
            <w:r w:rsidRPr="005718B1">
              <w:rPr>
                <w:rFonts w:eastAsia="Times New Roman" w:cs="Arial"/>
                <w:sz w:val="18"/>
                <w:szCs w:val="18"/>
                <w:lang w:eastAsia="en-GB"/>
              </w:rPr>
              <w:t>22.201</w:t>
            </w:r>
          </w:p>
        </w:tc>
        <w:tc>
          <w:tcPr>
            <w:tcW w:w="789" w:type="dxa"/>
          </w:tcPr>
          <w:p w14:paraId="1B5CEDA0" w14:textId="77777777" w:rsidR="00F14D7D" w:rsidRPr="005718B1" w:rsidRDefault="00F14D7D" w:rsidP="00D874C5">
            <w:pPr>
              <w:spacing w:after="0" w:line="360" w:lineRule="auto"/>
              <w:rPr>
                <w:rFonts w:eastAsia="Times New Roman" w:cs="Arial"/>
                <w:sz w:val="18"/>
                <w:szCs w:val="18"/>
                <w:lang w:eastAsia="en-GB"/>
              </w:rPr>
            </w:pPr>
            <w:r w:rsidRPr="005718B1">
              <w:rPr>
                <w:rFonts w:eastAsia="Times New Roman" w:cs="Arial"/>
                <w:sz w:val="18"/>
                <w:szCs w:val="18"/>
                <w:lang w:eastAsia="en-GB"/>
              </w:rPr>
              <w:t>21.489</w:t>
            </w:r>
          </w:p>
        </w:tc>
        <w:tc>
          <w:tcPr>
            <w:tcW w:w="789" w:type="dxa"/>
          </w:tcPr>
          <w:p w14:paraId="5714E53F" w14:textId="77777777" w:rsidR="00F14D7D" w:rsidRPr="005718B1" w:rsidRDefault="00F14D7D" w:rsidP="00D874C5">
            <w:pPr>
              <w:spacing w:after="0" w:line="360" w:lineRule="auto"/>
              <w:rPr>
                <w:rFonts w:eastAsia="Times New Roman" w:cs="Arial"/>
                <w:sz w:val="18"/>
                <w:szCs w:val="18"/>
                <w:lang w:eastAsia="en-GB"/>
              </w:rPr>
            </w:pPr>
            <w:r w:rsidRPr="005718B1">
              <w:rPr>
                <w:rFonts w:eastAsia="Times New Roman" w:cs="Arial"/>
                <w:sz w:val="18"/>
                <w:szCs w:val="18"/>
                <w:lang w:eastAsia="en-GB"/>
              </w:rPr>
              <w:t>21.256</w:t>
            </w:r>
          </w:p>
        </w:tc>
        <w:tc>
          <w:tcPr>
            <w:tcW w:w="789" w:type="dxa"/>
          </w:tcPr>
          <w:p w14:paraId="57AB7EB9" w14:textId="77777777" w:rsidR="00F14D7D" w:rsidRPr="005718B1" w:rsidRDefault="00F14D7D" w:rsidP="00D874C5">
            <w:pPr>
              <w:spacing w:after="0" w:line="360" w:lineRule="auto"/>
              <w:rPr>
                <w:rFonts w:eastAsia="Times New Roman" w:cs="Arial"/>
                <w:sz w:val="18"/>
                <w:szCs w:val="18"/>
                <w:lang w:eastAsia="en-GB"/>
              </w:rPr>
            </w:pPr>
            <w:r w:rsidRPr="005718B1">
              <w:rPr>
                <w:rFonts w:eastAsia="Times New Roman" w:cs="Arial"/>
                <w:sz w:val="18"/>
                <w:szCs w:val="18"/>
                <w:lang w:eastAsia="en-GB"/>
              </w:rPr>
              <w:t>19.671</w:t>
            </w:r>
          </w:p>
        </w:tc>
        <w:tc>
          <w:tcPr>
            <w:tcW w:w="789" w:type="dxa"/>
          </w:tcPr>
          <w:p w14:paraId="69295B11" w14:textId="77777777" w:rsidR="00F14D7D" w:rsidRPr="005718B1" w:rsidRDefault="00F14D7D" w:rsidP="00D874C5">
            <w:pPr>
              <w:spacing w:after="0" w:line="360" w:lineRule="auto"/>
              <w:rPr>
                <w:rFonts w:eastAsia="Times New Roman" w:cs="Arial"/>
                <w:sz w:val="18"/>
                <w:szCs w:val="18"/>
                <w:lang w:eastAsia="en-GB"/>
              </w:rPr>
            </w:pPr>
            <w:r w:rsidRPr="005718B1">
              <w:rPr>
                <w:rFonts w:eastAsia="Times New Roman" w:cs="Arial"/>
                <w:sz w:val="18"/>
                <w:szCs w:val="18"/>
                <w:lang w:eastAsia="en-GB"/>
              </w:rPr>
              <w:t>19.312</w:t>
            </w:r>
          </w:p>
        </w:tc>
        <w:tc>
          <w:tcPr>
            <w:tcW w:w="789" w:type="dxa"/>
          </w:tcPr>
          <w:p w14:paraId="72978F89" w14:textId="77777777" w:rsidR="00F14D7D" w:rsidRPr="005718B1" w:rsidRDefault="00F14D7D" w:rsidP="00D874C5">
            <w:pPr>
              <w:spacing w:after="0" w:line="360" w:lineRule="auto"/>
              <w:rPr>
                <w:rFonts w:eastAsia="Times New Roman" w:cs="Arial"/>
                <w:sz w:val="18"/>
                <w:szCs w:val="18"/>
                <w:lang w:eastAsia="en-GB"/>
              </w:rPr>
            </w:pPr>
            <w:r w:rsidRPr="005718B1">
              <w:rPr>
                <w:rFonts w:eastAsia="Times New Roman" w:cs="Arial"/>
                <w:sz w:val="18"/>
                <w:szCs w:val="18"/>
                <w:lang w:eastAsia="en-GB"/>
              </w:rPr>
              <w:t>19.140</w:t>
            </w:r>
          </w:p>
        </w:tc>
        <w:tc>
          <w:tcPr>
            <w:tcW w:w="789" w:type="dxa"/>
          </w:tcPr>
          <w:p w14:paraId="3B6A7E58" w14:textId="77777777" w:rsidR="00F14D7D" w:rsidRPr="005718B1" w:rsidRDefault="00F14D7D" w:rsidP="00D874C5">
            <w:pPr>
              <w:spacing w:after="0" w:line="360" w:lineRule="auto"/>
              <w:rPr>
                <w:rFonts w:eastAsia="Times New Roman" w:cs="Arial"/>
                <w:sz w:val="18"/>
                <w:szCs w:val="18"/>
                <w:lang w:eastAsia="en-GB"/>
              </w:rPr>
            </w:pPr>
            <w:r w:rsidRPr="005718B1">
              <w:rPr>
                <w:rFonts w:eastAsia="Times New Roman" w:cs="Arial"/>
                <w:sz w:val="18"/>
                <w:szCs w:val="18"/>
                <w:lang w:eastAsia="en-GB"/>
              </w:rPr>
              <w:t>18.976</w:t>
            </w:r>
          </w:p>
        </w:tc>
        <w:tc>
          <w:tcPr>
            <w:tcW w:w="789" w:type="dxa"/>
          </w:tcPr>
          <w:p w14:paraId="7F7DCE4E" w14:textId="77777777" w:rsidR="00F14D7D" w:rsidRPr="005718B1" w:rsidRDefault="00F14D7D" w:rsidP="00D874C5">
            <w:pPr>
              <w:spacing w:after="0" w:line="360" w:lineRule="auto"/>
              <w:rPr>
                <w:rFonts w:eastAsia="Times New Roman" w:cs="Arial"/>
                <w:sz w:val="18"/>
                <w:szCs w:val="18"/>
                <w:lang w:eastAsia="en-GB"/>
              </w:rPr>
            </w:pPr>
            <w:r w:rsidRPr="005718B1">
              <w:rPr>
                <w:rFonts w:eastAsia="Times New Roman" w:cs="Arial"/>
                <w:sz w:val="18"/>
                <w:szCs w:val="18"/>
                <w:lang w:eastAsia="en-GB"/>
              </w:rPr>
              <w:t>18.696</w:t>
            </w:r>
          </w:p>
        </w:tc>
        <w:tc>
          <w:tcPr>
            <w:tcW w:w="789" w:type="dxa"/>
          </w:tcPr>
          <w:p w14:paraId="18608C76" w14:textId="77777777" w:rsidR="00F14D7D" w:rsidRPr="005718B1" w:rsidRDefault="00F14D7D" w:rsidP="00D874C5">
            <w:pPr>
              <w:spacing w:after="0" w:line="360" w:lineRule="auto"/>
              <w:rPr>
                <w:rFonts w:eastAsia="Times New Roman" w:cs="Arial"/>
                <w:sz w:val="18"/>
                <w:szCs w:val="18"/>
                <w:lang w:eastAsia="en-GB"/>
              </w:rPr>
            </w:pPr>
            <w:r w:rsidRPr="005718B1">
              <w:rPr>
                <w:rFonts w:eastAsia="Times New Roman" w:cs="Arial"/>
                <w:sz w:val="18"/>
                <w:szCs w:val="18"/>
                <w:lang w:eastAsia="en-GB"/>
              </w:rPr>
              <w:t>18.463</w:t>
            </w:r>
          </w:p>
        </w:tc>
        <w:tc>
          <w:tcPr>
            <w:tcW w:w="789" w:type="dxa"/>
          </w:tcPr>
          <w:p w14:paraId="4AF943BD" w14:textId="77777777" w:rsidR="00F14D7D" w:rsidRPr="005718B1" w:rsidRDefault="00F14D7D" w:rsidP="00D874C5">
            <w:pPr>
              <w:spacing w:after="0" w:line="360" w:lineRule="auto"/>
              <w:rPr>
                <w:rFonts w:eastAsia="Times New Roman" w:cs="Arial"/>
                <w:sz w:val="18"/>
                <w:szCs w:val="18"/>
                <w:lang w:eastAsia="en-GB"/>
              </w:rPr>
            </w:pPr>
            <w:r w:rsidRPr="005718B1">
              <w:rPr>
                <w:rFonts w:eastAsia="Times New Roman" w:cs="Arial"/>
                <w:sz w:val="18"/>
                <w:szCs w:val="18"/>
                <w:lang w:eastAsia="en-GB"/>
              </w:rPr>
              <w:t>18.113</w:t>
            </w:r>
          </w:p>
        </w:tc>
      </w:tr>
    </w:tbl>
    <w:p w14:paraId="76034018" w14:textId="77777777" w:rsidR="00F14D7D" w:rsidRPr="005718B1" w:rsidRDefault="00F14D7D" w:rsidP="00F14D7D">
      <w:pPr>
        <w:spacing w:before="120" w:after="0" w:line="360" w:lineRule="auto"/>
        <w:rPr>
          <w:rFonts w:eastAsia="Times New Roman" w:cs="Arial"/>
          <w:color w:val="000000" w:themeColor="text1"/>
          <w:sz w:val="16"/>
          <w:szCs w:val="16"/>
          <w:lang w:eastAsia="en-GB"/>
        </w:rPr>
      </w:pPr>
      <w:r w:rsidRPr="005718B1">
        <w:rPr>
          <w:rFonts w:eastAsia="Times New Roman" w:cs="Arial"/>
          <w:color w:val="000000" w:themeColor="text1"/>
          <w:sz w:val="16"/>
          <w:szCs w:val="16"/>
          <w:lang w:eastAsia="en-GB"/>
        </w:rPr>
        <w:t>Vir: RKG</w:t>
      </w:r>
      <w:r>
        <w:rPr>
          <w:rFonts w:eastAsia="Times New Roman" w:cs="Arial"/>
          <w:color w:val="000000" w:themeColor="text1"/>
          <w:sz w:val="16"/>
          <w:szCs w:val="16"/>
          <w:lang w:eastAsia="en-GB"/>
        </w:rPr>
        <w:t>-2020</w:t>
      </w:r>
    </w:p>
    <w:p w14:paraId="75BEC1EA" w14:textId="77777777" w:rsidR="00F14D7D" w:rsidRPr="00D874C5" w:rsidRDefault="00F14D7D" w:rsidP="00F14D7D">
      <w:pPr>
        <w:spacing w:before="200" w:line="360" w:lineRule="auto"/>
        <w:jc w:val="both"/>
        <w:rPr>
          <w:rFonts w:eastAsia="Times New Roman" w:cs="Arial"/>
          <w:szCs w:val="20"/>
          <w:lang w:eastAsia="en-GB"/>
        </w:rPr>
      </w:pPr>
      <w:r w:rsidRPr="00D874C5">
        <w:rPr>
          <w:rFonts w:eastAsia="Times New Roman" w:cs="Arial"/>
          <w:szCs w:val="20"/>
          <w:lang w:eastAsia="en-GB"/>
        </w:rPr>
        <w:t>Letno se obnovi ali na novo zasadi v povprečju dobrih 300 ha vinogradov, kar ne zadostuje za enostavno reprodukcijo. Posledično se slabša starostna struktura vinogradov: 12 % vinogradov je starejših od 40 let, medtem ko je bilo pred 15 leti takih le 4 %. Največji delež mladih vinogradov (do 25 let) je na Primorskem (70 %), medtem ko jih je v Podravju in Posavju le dobra polovica. Situacija se nekoliko izboljšuje v zadnjih treh letih, ko je bilo na novo zasajenih po skoraj 400 ha vinogradov letno.</w:t>
      </w:r>
    </w:p>
    <w:p w14:paraId="32222F1C" w14:textId="77777777" w:rsidR="00F14D7D" w:rsidRPr="00D874C5" w:rsidRDefault="00F14D7D" w:rsidP="00F14D7D">
      <w:pPr>
        <w:spacing w:before="200" w:line="360" w:lineRule="auto"/>
        <w:jc w:val="both"/>
        <w:rPr>
          <w:rFonts w:eastAsia="Times New Roman" w:cs="Arial"/>
          <w:szCs w:val="20"/>
          <w:lang w:eastAsia="en-GB"/>
        </w:rPr>
      </w:pPr>
      <w:r w:rsidRPr="00D874C5">
        <w:rPr>
          <w:rFonts w:eastAsia="Times New Roman" w:cs="Arial"/>
          <w:szCs w:val="20"/>
          <w:lang w:eastAsia="en-GB"/>
        </w:rPr>
        <w:t>Strmo narašča vključenost kmetijskih gospodarstev v ekološko pridelavo grozdja - v letu 2019 je bilo vključenih že 412 kmetijskih gospodarstev s 704 ha vinogradov, po drugi strani kot posledica ukinitve podpore za integrirano pridelavo upada vključenost v integrirano pridelavo grozdja.</w:t>
      </w:r>
    </w:p>
    <w:p w14:paraId="64761DCF" w14:textId="77777777" w:rsidR="00F14D7D" w:rsidRPr="00D874C5" w:rsidRDefault="00F14D7D" w:rsidP="00F14D7D">
      <w:pPr>
        <w:spacing w:before="200" w:line="360" w:lineRule="auto"/>
        <w:jc w:val="both"/>
        <w:rPr>
          <w:rFonts w:eastAsia="Times New Roman" w:cs="Arial"/>
          <w:szCs w:val="20"/>
          <w:lang w:eastAsia="en-GB"/>
        </w:rPr>
      </w:pPr>
      <w:r w:rsidRPr="00D874C5">
        <w:rPr>
          <w:rFonts w:eastAsia="Times New Roman" w:cs="Arial"/>
          <w:szCs w:val="20"/>
          <w:lang w:eastAsia="en-GB"/>
        </w:rPr>
        <w:t>Letno se pridela med 63 in 89 mio litri vina, pri čemer ga je cca. 20 % za samooskrbo – registrirane pridelave je tako 45-55 mio litrov letno. Glavnino pridelka predstavljajo kakovostna vina z zaščitenim geografskim poreklom (70 %). Večina grozdja se pridela na kmetijah (80 %), večje kleti – podjetja odkupijo znaten delež in pridelajo od tretjine do polovice letne količine vina.</w:t>
      </w:r>
    </w:p>
    <w:p w14:paraId="469B991C" w14:textId="4C8F227D" w:rsidR="00D874C5" w:rsidRDefault="00D874C5" w:rsidP="00D874C5">
      <w:pPr>
        <w:pStyle w:val="SCPreglednica"/>
      </w:pPr>
      <w:bookmarkStart w:id="214" w:name="_Toc55913747"/>
      <w:r>
        <w:t xml:space="preserve">Tabela </w:t>
      </w:r>
      <w:r>
        <w:fldChar w:fldCharType="begin"/>
      </w:r>
      <w:r>
        <w:instrText xml:space="preserve"> SEQ Tabela \* ARABIC </w:instrText>
      </w:r>
      <w:r>
        <w:fldChar w:fldCharType="separate"/>
      </w:r>
      <w:r w:rsidR="00DF0D48">
        <w:rPr>
          <w:noProof/>
        </w:rPr>
        <w:t>36</w:t>
      </w:r>
      <w:r>
        <w:fldChar w:fldCharType="end"/>
      </w:r>
      <w:r>
        <w:t xml:space="preserve">: </w:t>
      </w:r>
      <w:r w:rsidRPr="00D874C5">
        <w:t>Količina pridelka po letih, prijavljena v RPGV (v 1000 litrih)</w:t>
      </w:r>
      <w:bookmarkEnd w:id="214"/>
    </w:p>
    <w:tbl>
      <w:tblPr>
        <w:tblW w:w="98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21"/>
        <w:gridCol w:w="821"/>
        <w:gridCol w:w="820"/>
        <w:gridCol w:w="821"/>
        <w:gridCol w:w="820"/>
        <w:gridCol w:w="821"/>
        <w:gridCol w:w="820"/>
        <w:gridCol w:w="820"/>
        <w:gridCol w:w="821"/>
        <w:gridCol w:w="821"/>
        <w:gridCol w:w="870"/>
      </w:tblGrid>
      <w:tr w:rsidR="00D874C5" w:rsidRPr="003B2B91" w14:paraId="45C46A01" w14:textId="77777777" w:rsidTr="00D874C5">
        <w:trPr>
          <w:trHeight w:val="261"/>
        </w:trPr>
        <w:tc>
          <w:tcPr>
            <w:tcW w:w="817" w:type="dxa"/>
            <w:shd w:val="clear" w:color="auto" w:fill="C6D9F1" w:themeFill="text2" w:themeFillTint="33"/>
          </w:tcPr>
          <w:p w14:paraId="394E7EFB" w14:textId="77777777" w:rsidR="00D874C5" w:rsidRPr="003B2B91" w:rsidRDefault="00D874C5" w:rsidP="00D874C5">
            <w:pPr>
              <w:spacing w:after="0" w:line="360" w:lineRule="auto"/>
              <w:rPr>
                <w:rFonts w:eastAsia="Times New Roman" w:cs="Arial"/>
                <w:szCs w:val="20"/>
                <w:lang w:eastAsia="en-GB"/>
              </w:rPr>
            </w:pPr>
          </w:p>
        </w:tc>
        <w:tc>
          <w:tcPr>
            <w:tcW w:w="821" w:type="dxa"/>
            <w:shd w:val="clear" w:color="auto" w:fill="C6D9F1" w:themeFill="text2" w:themeFillTint="33"/>
          </w:tcPr>
          <w:p w14:paraId="64088605" w14:textId="77777777" w:rsidR="00D874C5" w:rsidRPr="003B2B91" w:rsidRDefault="00D874C5" w:rsidP="00D874C5">
            <w:pPr>
              <w:spacing w:after="0" w:line="360" w:lineRule="auto"/>
              <w:rPr>
                <w:rFonts w:eastAsia="Times New Roman" w:cs="Arial"/>
                <w:szCs w:val="20"/>
                <w:lang w:eastAsia="en-GB"/>
              </w:rPr>
            </w:pPr>
          </w:p>
        </w:tc>
        <w:tc>
          <w:tcPr>
            <w:tcW w:w="821" w:type="dxa"/>
            <w:shd w:val="clear" w:color="auto" w:fill="C6D9F1" w:themeFill="text2" w:themeFillTint="33"/>
          </w:tcPr>
          <w:p w14:paraId="136A2B6B" w14:textId="7EE64C42" w:rsidR="00D874C5" w:rsidRPr="003B2B91" w:rsidRDefault="00D874C5" w:rsidP="00D874C5">
            <w:pPr>
              <w:spacing w:after="0" w:line="360" w:lineRule="auto"/>
              <w:rPr>
                <w:rFonts w:eastAsia="Times New Roman" w:cs="Arial"/>
                <w:szCs w:val="20"/>
                <w:lang w:eastAsia="en-GB"/>
              </w:rPr>
            </w:pPr>
            <w:r w:rsidRPr="003B2B91">
              <w:rPr>
                <w:rFonts w:eastAsia="Times New Roman" w:cs="Arial"/>
                <w:szCs w:val="20"/>
                <w:lang w:eastAsia="en-GB"/>
              </w:rPr>
              <w:t>2010</w:t>
            </w:r>
          </w:p>
        </w:tc>
        <w:tc>
          <w:tcPr>
            <w:tcW w:w="820" w:type="dxa"/>
            <w:shd w:val="clear" w:color="auto" w:fill="C6D9F1" w:themeFill="text2" w:themeFillTint="33"/>
          </w:tcPr>
          <w:p w14:paraId="6B105F3E" w14:textId="77777777" w:rsidR="00D874C5" w:rsidRPr="003B2B91" w:rsidRDefault="00D874C5" w:rsidP="00D874C5">
            <w:pPr>
              <w:spacing w:after="0" w:line="360" w:lineRule="auto"/>
              <w:rPr>
                <w:rFonts w:eastAsia="Times New Roman" w:cs="Arial"/>
                <w:szCs w:val="20"/>
                <w:lang w:eastAsia="en-GB"/>
              </w:rPr>
            </w:pPr>
            <w:r w:rsidRPr="003B2B91">
              <w:rPr>
                <w:rFonts w:eastAsia="Times New Roman" w:cs="Arial"/>
                <w:szCs w:val="20"/>
                <w:lang w:eastAsia="en-GB"/>
              </w:rPr>
              <w:t>2011</w:t>
            </w:r>
          </w:p>
        </w:tc>
        <w:tc>
          <w:tcPr>
            <w:tcW w:w="821" w:type="dxa"/>
            <w:shd w:val="clear" w:color="auto" w:fill="C6D9F1" w:themeFill="text2" w:themeFillTint="33"/>
          </w:tcPr>
          <w:p w14:paraId="6E22B047" w14:textId="77777777" w:rsidR="00D874C5" w:rsidRPr="003B2B91" w:rsidRDefault="00D874C5" w:rsidP="00D874C5">
            <w:pPr>
              <w:spacing w:after="0" w:line="360" w:lineRule="auto"/>
              <w:rPr>
                <w:rFonts w:eastAsia="Times New Roman" w:cs="Arial"/>
                <w:szCs w:val="20"/>
                <w:lang w:eastAsia="en-GB"/>
              </w:rPr>
            </w:pPr>
            <w:r w:rsidRPr="003B2B91">
              <w:rPr>
                <w:rFonts w:eastAsia="Times New Roman" w:cs="Arial"/>
                <w:szCs w:val="20"/>
                <w:lang w:eastAsia="en-GB"/>
              </w:rPr>
              <w:t>2012</w:t>
            </w:r>
          </w:p>
        </w:tc>
        <w:tc>
          <w:tcPr>
            <w:tcW w:w="820" w:type="dxa"/>
            <w:shd w:val="clear" w:color="auto" w:fill="C6D9F1" w:themeFill="text2" w:themeFillTint="33"/>
          </w:tcPr>
          <w:p w14:paraId="43D17D38" w14:textId="77777777" w:rsidR="00D874C5" w:rsidRPr="003B2B91" w:rsidRDefault="00D874C5" w:rsidP="00D874C5">
            <w:pPr>
              <w:spacing w:after="0" w:line="360" w:lineRule="auto"/>
              <w:rPr>
                <w:rFonts w:eastAsia="Times New Roman" w:cs="Arial"/>
                <w:szCs w:val="20"/>
                <w:lang w:eastAsia="en-GB"/>
              </w:rPr>
            </w:pPr>
            <w:r w:rsidRPr="003B2B91">
              <w:rPr>
                <w:rFonts w:eastAsia="Times New Roman" w:cs="Arial"/>
                <w:szCs w:val="20"/>
                <w:lang w:eastAsia="en-GB"/>
              </w:rPr>
              <w:t>2013</w:t>
            </w:r>
          </w:p>
        </w:tc>
        <w:tc>
          <w:tcPr>
            <w:tcW w:w="821" w:type="dxa"/>
            <w:shd w:val="clear" w:color="auto" w:fill="C6D9F1" w:themeFill="text2" w:themeFillTint="33"/>
          </w:tcPr>
          <w:p w14:paraId="56BD96B3" w14:textId="77777777" w:rsidR="00D874C5" w:rsidRPr="003B2B91" w:rsidRDefault="00D874C5" w:rsidP="00D874C5">
            <w:pPr>
              <w:spacing w:after="0" w:line="360" w:lineRule="auto"/>
              <w:rPr>
                <w:rFonts w:eastAsia="Times New Roman" w:cs="Arial"/>
                <w:szCs w:val="20"/>
                <w:lang w:eastAsia="en-GB"/>
              </w:rPr>
            </w:pPr>
            <w:r w:rsidRPr="003B2B91">
              <w:rPr>
                <w:rFonts w:eastAsia="Times New Roman" w:cs="Arial"/>
                <w:szCs w:val="20"/>
                <w:lang w:eastAsia="en-GB"/>
              </w:rPr>
              <w:t>2014</w:t>
            </w:r>
          </w:p>
        </w:tc>
        <w:tc>
          <w:tcPr>
            <w:tcW w:w="820" w:type="dxa"/>
            <w:shd w:val="clear" w:color="auto" w:fill="C6D9F1" w:themeFill="text2" w:themeFillTint="33"/>
          </w:tcPr>
          <w:p w14:paraId="424B2433" w14:textId="77777777" w:rsidR="00D874C5" w:rsidRPr="003B2B91" w:rsidRDefault="00D874C5" w:rsidP="00D874C5">
            <w:pPr>
              <w:spacing w:after="0" w:line="360" w:lineRule="auto"/>
              <w:rPr>
                <w:rFonts w:eastAsia="Times New Roman" w:cs="Arial"/>
                <w:szCs w:val="20"/>
                <w:lang w:eastAsia="en-GB"/>
              </w:rPr>
            </w:pPr>
            <w:r w:rsidRPr="003B2B91">
              <w:rPr>
                <w:rFonts w:eastAsia="Times New Roman" w:cs="Arial"/>
                <w:szCs w:val="20"/>
                <w:lang w:eastAsia="en-GB"/>
              </w:rPr>
              <w:t>2015</w:t>
            </w:r>
          </w:p>
        </w:tc>
        <w:tc>
          <w:tcPr>
            <w:tcW w:w="820" w:type="dxa"/>
            <w:shd w:val="clear" w:color="auto" w:fill="C6D9F1" w:themeFill="text2" w:themeFillTint="33"/>
          </w:tcPr>
          <w:p w14:paraId="57B883D4" w14:textId="77777777" w:rsidR="00D874C5" w:rsidRPr="003B2B91" w:rsidRDefault="00D874C5" w:rsidP="00D874C5">
            <w:pPr>
              <w:spacing w:after="0" w:line="360" w:lineRule="auto"/>
              <w:rPr>
                <w:rFonts w:eastAsia="Times New Roman" w:cs="Arial"/>
                <w:szCs w:val="20"/>
                <w:lang w:eastAsia="en-GB"/>
              </w:rPr>
            </w:pPr>
            <w:r w:rsidRPr="003B2B91">
              <w:rPr>
                <w:rFonts w:eastAsia="Times New Roman" w:cs="Arial"/>
                <w:szCs w:val="20"/>
                <w:lang w:eastAsia="en-GB"/>
              </w:rPr>
              <w:t>2016</w:t>
            </w:r>
          </w:p>
        </w:tc>
        <w:tc>
          <w:tcPr>
            <w:tcW w:w="821" w:type="dxa"/>
            <w:shd w:val="clear" w:color="auto" w:fill="C6D9F1" w:themeFill="text2" w:themeFillTint="33"/>
          </w:tcPr>
          <w:p w14:paraId="5CA64AE8" w14:textId="77777777" w:rsidR="00D874C5" w:rsidRPr="003B2B91" w:rsidRDefault="00D874C5" w:rsidP="00D874C5">
            <w:pPr>
              <w:spacing w:after="0" w:line="360" w:lineRule="auto"/>
              <w:rPr>
                <w:rFonts w:eastAsia="Times New Roman" w:cs="Arial"/>
                <w:szCs w:val="20"/>
                <w:lang w:eastAsia="en-GB"/>
              </w:rPr>
            </w:pPr>
            <w:r w:rsidRPr="003B2B91">
              <w:rPr>
                <w:rFonts w:eastAsia="Times New Roman" w:cs="Arial"/>
                <w:szCs w:val="20"/>
                <w:lang w:eastAsia="en-GB"/>
              </w:rPr>
              <w:t>2017</w:t>
            </w:r>
          </w:p>
        </w:tc>
        <w:tc>
          <w:tcPr>
            <w:tcW w:w="821" w:type="dxa"/>
            <w:shd w:val="clear" w:color="auto" w:fill="C6D9F1" w:themeFill="text2" w:themeFillTint="33"/>
          </w:tcPr>
          <w:p w14:paraId="72949FE3" w14:textId="77777777" w:rsidR="00D874C5" w:rsidRPr="003B2B91" w:rsidRDefault="00D874C5" w:rsidP="00D874C5">
            <w:pPr>
              <w:spacing w:after="0" w:line="360" w:lineRule="auto"/>
              <w:rPr>
                <w:rFonts w:eastAsia="Times New Roman" w:cs="Arial"/>
                <w:szCs w:val="20"/>
                <w:lang w:eastAsia="en-GB"/>
              </w:rPr>
            </w:pPr>
            <w:r w:rsidRPr="003B2B91">
              <w:rPr>
                <w:rFonts w:eastAsia="Times New Roman" w:cs="Arial"/>
                <w:szCs w:val="20"/>
                <w:lang w:eastAsia="en-GB"/>
              </w:rPr>
              <w:t>2018</w:t>
            </w:r>
          </w:p>
        </w:tc>
        <w:tc>
          <w:tcPr>
            <w:tcW w:w="870" w:type="dxa"/>
            <w:shd w:val="clear" w:color="auto" w:fill="C6D9F1" w:themeFill="text2" w:themeFillTint="33"/>
          </w:tcPr>
          <w:p w14:paraId="4AC6C019" w14:textId="77777777" w:rsidR="00D874C5" w:rsidRPr="003B2B91" w:rsidRDefault="00D874C5" w:rsidP="00D874C5">
            <w:pPr>
              <w:spacing w:after="0" w:line="360" w:lineRule="auto"/>
              <w:rPr>
                <w:rFonts w:eastAsia="Times New Roman" w:cs="Arial"/>
                <w:szCs w:val="20"/>
                <w:lang w:eastAsia="en-GB"/>
              </w:rPr>
            </w:pPr>
            <w:r w:rsidRPr="003B2B91">
              <w:rPr>
                <w:rFonts w:eastAsia="Times New Roman" w:cs="Arial"/>
                <w:szCs w:val="20"/>
                <w:lang w:eastAsia="en-GB"/>
              </w:rPr>
              <w:t>2019</w:t>
            </w:r>
          </w:p>
        </w:tc>
      </w:tr>
      <w:tr w:rsidR="00D874C5" w:rsidRPr="003B2B91" w14:paraId="3BD6FB74" w14:textId="77777777" w:rsidTr="00D874C5">
        <w:trPr>
          <w:trHeight w:val="261"/>
        </w:trPr>
        <w:tc>
          <w:tcPr>
            <w:tcW w:w="817" w:type="dxa"/>
          </w:tcPr>
          <w:p w14:paraId="1B2389EC" w14:textId="77777777" w:rsidR="00D874C5" w:rsidRPr="005718B1" w:rsidRDefault="00D874C5" w:rsidP="00D874C5">
            <w:pPr>
              <w:spacing w:after="0" w:line="360" w:lineRule="auto"/>
              <w:rPr>
                <w:rFonts w:eastAsia="Times New Roman" w:cs="Arial"/>
                <w:sz w:val="16"/>
                <w:szCs w:val="16"/>
                <w:lang w:eastAsia="en-GB"/>
              </w:rPr>
            </w:pPr>
            <w:r w:rsidRPr="005718B1">
              <w:rPr>
                <w:rFonts w:eastAsia="Times New Roman" w:cs="Arial"/>
                <w:sz w:val="16"/>
                <w:szCs w:val="16"/>
                <w:lang w:eastAsia="en-GB"/>
              </w:rPr>
              <w:t>Pridelek</w:t>
            </w:r>
          </w:p>
        </w:tc>
        <w:tc>
          <w:tcPr>
            <w:tcW w:w="821" w:type="dxa"/>
          </w:tcPr>
          <w:p w14:paraId="48EC4A55" w14:textId="77777777" w:rsidR="00D874C5" w:rsidRPr="005718B1" w:rsidRDefault="00D874C5" w:rsidP="00D874C5">
            <w:pPr>
              <w:spacing w:after="0" w:line="360" w:lineRule="auto"/>
              <w:rPr>
                <w:rFonts w:eastAsia="Times New Roman" w:cs="Arial"/>
                <w:sz w:val="18"/>
                <w:szCs w:val="18"/>
                <w:lang w:eastAsia="en-GB"/>
              </w:rPr>
            </w:pPr>
          </w:p>
        </w:tc>
        <w:tc>
          <w:tcPr>
            <w:tcW w:w="821" w:type="dxa"/>
          </w:tcPr>
          <w:p w14:paraId="3D6EE93E" w14:textId="360A6C5F" w:rsidR="00D874C5" w:rsidRPr="005718B1" w:rsidRDefault="00D874C5" w:rsidP="00D874C5">
            <w:pPr>
              <w:spacing w:after="0" w:line="360" w:lineRule="auto"/>
              <w:rPr>
                <w:rFonts w:eastAsia="Times New Roman" w:cs="Arial"/>
                <w:sz w:val="18"/>
                <w:szCs w:val="18"/>
                <w:lang w:eastAsia="en-GB"/>
              </w:rPr>
            </w:pPr>
            <w:r w:rsidRPr="005718B1">
              <w:rPr>
                <w:rFonts w:eastAsia="Times New Roman" w:cs="Arial"/>
                <w:sz w:val="18"/>
                <w:szCs w:val="18"/>
                <w:lang w:eastAsia="en-GB"/>
              </w:rPr>
              <w:t>49.379</w:t>
            </w:r>
          </w:p>
        </w:tc>
        <w:tc>
          <w:tcPr>
            <w:tcW w:w="820" w:type="dxa"/>
          </w:tcPr>
          <w:p w14:paraId="62F6C670" w14:textId="77777777" w:rsidR="00D874C5" w:rsidRPr="005718B1" w:rsidRDefault="00D874C5" w:rsidP="00D874C5">
            <w:pPr>
              <w:spacing w:after="0" w:line="360" w:lineRule="auto"/>
              <w:rPr>
                <w:rFonts w:eastAsia="Times New Roman" w:cs="Arial"/>
                <w:sz w:val="18"/>
                <w:szCs w:val="18"/>
                <w:lang w:eastAsia="en-GB"/>
              </w:rPr>
            </w:pPr>
            <w:r w:rsidRPr="005718B1">
              <w:rPr>
                <w:rFonts w:eastAsia="Times New Roman" w:cs="Arial"/>
                <w:sz w:val="18"/>
                <w:szCs w:val="18"/>
                <w:lang w:eastAsia="en-GB"/>
              </w:rPr>
              <w:t>57.582</w:t>
            </w:r>
          </w:p>
        </w:tc>
        <w:tc>
          <w:tcPr>
            <w:tcW w:w="821" w:type="dxa"/>
          </w:tcPr>
          <w:p w14:paraId="3027AB81" w14:textId="77777777" w:rsidR="00D874C5" w:rsidRPr="005718B1" w:rsidRDefault="00D874C5" w:rsidP="00D874C5">
            <w:pPr>
              <w:spacing w:after="0" w:line="360" w:lineRule="auto"/>
              <w:rPr>
                <w:rFonts w:eastAsia="Times New Roman" w:cs="Arial"/>
                <w:sz w:val="18"/>
                <w:szCs w:val="18"/>
                <w:lang w:eastAsia="en-GB"/>
              </w:rPr>
            </w:pPr>
            <w:r w:rsidRPr="005718B1">
              <w:rPr>
                <w:rFonts w:eastAsia="Times New Roman" w:cs="Arial"/>
                <w:sz w:val="18"/>
                <w:szCs w:val="18"/>
                <w:lang w:eastAsia="en-GB"/>
              </w:rPr>
              <w:t>44.810</w:t>
            </w:r>
          </w:p>
        </w:tc>
        <w:tc>
          <w:tcPr>
            <w:tcW w:w="820" w:type="dxa"/>
          </w:tcPr>
          <w:p w14:paraId="7CEB2E27" w14:textId="77777777" w:rsidR="00D874C5" w:rsidRPr="005718B1" w:rsidRDefault="00D874C5" w:rsidP="00D874C5">
            <w:pPr>
              <w:spacing w:after="0" w:line="360" w:lineRule="auto"/>
              <w:rPr>
                <w:rFonts w:eastAsia="Times New Roman" w:cs="Arial"/>
                <w:sz w:val="18"/>
                <w:szCs w:val="18"/>
                <w:lang w:eastAsia="en-GB"/>
              </w:rPr>
            </w:pPr>
            <w:r w:rsidRPr="005718B1">
              <w:rPr>
                <w:rFonts w:eastAsia="Times New Roman" w:cs="Arial"/>
                <w:sz w:val="18"/>
                <w:szCs w:val="18"/>
                <w:lang w:eastAsia="en-GB"/>
              </w:rPr>
              <w:t>54.243</w:t>
            </w:r>
          </w:p>
        </w:tc>
        <w:tc>
          <w:tcPr>
            <w:tcW w:w="821" w:type="dxa"/>
          </w:tcPr>
          <w:p w14:paraId="65569A82" w14:textId="77777777" w:rsidR="00D874C5" w:rsidRPr="005718B1" w:rsidRDefault="00D874C5" w:rsidP="00D874C5">
            <w:pPr>
              <w:spacing w:after="0" w:line="360" w:lineRule="auto"/>
              <w:rPr>
                <w:rFonts w:eastAsia="Times New Roman" w:cs="Arial"/>
                <w:sz w:val="18"/>
                <w:szCs w:val="18"/>
                <w:lang w:eastAsia="en-GB"/>
              </w:rPr>
            </w:pPr>
            <w:r w:rsidRPr="005718B1">
              <w:rPr>
                <w:rFonts w:eastAsia="Times New Roman" w:cs="Arial"/>
                <w:sz w:val="18"/>
                <w:szCs w:val="18"/>
                <w:lang w:eastAsia="en-GB"/>
              </w:rPr>
              <w:t>47.827</w:t>
            </w:r>
          </w:p>
        </w:tc>
        <w:tc>
          <w:tcPr>
            <w:tcW w:w="820" w:type="dxa"/>
          </w:tcPr>
          <w:p w14:paraId="46724F4F" w14:textId="77777777" w:rsidR="00D874C5" w:rsidRPr="005718B1" w:rsidRDefault="00D874C5" w:rsidP="00D874C5">
            <w:pPr>
              <w:spacing w:after="0" w:line="360" w:lineRule="auto"/>
              <w:rPr>
                <w:rFonts w:eastAsia="Times New Roman" w:cs="Arial"/>
                <w:sz w:val="18"/>
                <w:szCs w:val="18"/>
                <w:lang w:eastAsia="en-GB"/>
              </w:rPr>
            </w:pPr>
            <w:r w:rsidRPr="005718B1">
              <w:rPr>
                <w:rFonts w:eastAsia="Times New Roman" w:cs="Arial"/>
                <w:sz w:val="18"/>
                <w:szCs w:val="18"/>
                <w:lang w:eastAsia="en-GB"/>
              </w:rPr>
              <w:t>62.285</w:t>
            </w:r>
          </w:p>
        </w:tc>
        <w:tc>
          <w:tcPr>
            <w:tcW w:w="820" w:type="dxa"/>
          </w:tcPr>
          <w:p w14:paraId="2A595AA0" w14:textId="77777777" w:rsidR="00D874C5" w:rsidRPr="005718B1" w:rsidRDefault="00D874C5" w:rsidP="00D874C5">
            <w:pPr>
              <w:spacing w:after="0" w:line="360" w:lineRule="auto"/>
              <w:rPr>
                <w:rFonts w:eastAsia="Times New Roman" w:cs="Arial"/>
                <w:sz w:val="18"/>
                <w:szCs w:val="18"/>
                <w:lang w:eastAsia="en-GB"/>
              </w:rPr>
            </w:pPr>
            <w:r w:rsidRPr="005718B1">
              <w:rPr>
                <w:rFonts w:eastAsia="Times New Roman" w:cs="Arial"/>
                <w:sz w:val="18"/>
                <w:szCs w:val="18"/>
                <w:lang w:eastAsia="en-GB"/>
              </w:rPr>
              <w:t>52.461</w:t>
            </w:r>
          </w:p>
        </w:tc>
        <w:tc>
          <w:tcPr>
            <w:tcW w:w="821" w:type="dxa"/>
          </w:tcPr>
          <w:p w14:paraId="40F66632" w14:textId="77777777" w:rsidR="00D874C5" w:rsidRPr="005718B1" w:rsidRDefault="00D874C5" w:rsidP="00D874C5">
            <w:pPr>
              <w:spacing w:after="0" w:line="360" w:lineRule="auto"/>
              <w:rPr>
                <w:rFonts w:eastAsia="Times New Roman" w:cs="Arial"/>
                <w:sz w:val="18"/>
                <w:szCs w:val="18"/>
                <w:lang w:eastAsia="en-GB"/>
              </w:rPr>
            </w:pPr>
            <w:r w:rsidRPr="005718B1">
              <w:rPr>
                <w:rFonts w:eastAsia="Times New Roman" w:cs="Arial"/>
                <w:sz w:val="18"/>
                <w:szCs w:val="18"/>
                <w:lang w:eastAsia="en-GB"/>
              </w:rPr>
              <w:t>53.565</w:t>
            </w:r>
          </w:p>
        </w:tc>
        <w:tc>
          <w:tcPr>
            <w:tcW w:w="821" w:type="dxa"/>
          </w:tcPr>
          <w:p w14:paraId="47BB5D3D" w14:textId="77777777" w:rsidR="00D874C5" w:rsidRPr="005718B1" w:rsidRDefault="00D874C5" w:rsidP="00D874C5">
            <w:pPr>
              <w:spacing w:after="0" w:line="360" w:lineRule="auto"/>
              <w:rPr>
                <w:rFonts w:eastAsia="Times New Roman" w:cs="Arial"/>
                <w:sz w:val="18"/>
                <w:szCs w:val="18"/>
                <w:lang w:eastAsia="en-GB"/>
              </w:rPr>
            </w:pPr>
            <w:r w:rsidRPr="005718B1">
              <w:rPr>
                <w:rFonts w:eastAsia="Times New Roman" w:cs="Arial"/>
                <w:sz w:val="18"/>
                <w:szCs w:val="18"/>
                <w:lang w:eastAsia="en-GB"/>
              </w:rPr>
              <w:t>68.132</w:t>
            </w:r>
          </w:p>
        </w:tc>
        <w:tc>
          <w:tcPr>
            <w:tcW w:w="870" w:type="dxa"/>
          </w:tcPr>
          <w:p w14:paraId="79F4B52A" w14:textId="77777777" w:rsidR="00D874C5" w:rsidRPr="005718B1" w:rsidRDefault="00D874C5" w:rsidP="00D874C5">
            <w:pPr>
              <w:spacing w:after="0" w:line="360" w:lineRule="auto"/>
              <w:rPr>
                <w:rFonts w:eastAsia="Times New Roman" w:cs="Arial"/>
                <w:sz w:val="18"/>
                <w:szCs w:val="18"/>
                <w:lang w:eastAsia="en-GB"/>
              </w:rPr>
            </w:pPr>
            <w:r w:rsidRPr="005718B1">
              <w:rPr>
                <w:rFonts w:eastAsia="Times New Roman" w:cs="Arial"/>
                <w:sz w:val="18"/>
                <w:szCs w:val="18"/>
                <w:lang w:eastAsia="en-GB"/>
              </w:rPr>
              <w:t>56.199</w:t>
            </w:r>
          </w:p>
        </w:tc>
      </w:tr>
    </w:tbl>
    <w:p w14:paraId="417959E5" w14:textId="77777777" w:rsidR="00F14D7D" w:rsidRPr="003B2B91" w:rsidRDefault="00F14D7D" w:rsidP="00F14D7D">
      <w:pPr>
        <w:spacing w:before="120" w:after="0" w:line="360" w:lineRule="auto"/>
        <w:rPr>
          <w:rFonts w:eastAsia="Times New Roman" w:cs="Arial"/>
          <w:szCs w:val="20"/>
          <w:lang w:eastAsia="en-GB"/>
        </w:rPr>
      </w:pPr>
      <w:r w:rsidRPr="005718B1">
        <w:rPr>
          <w:rFonts w:eastAsia="Times New Roman" w:cs="Arial"/>
          <w:sz w:val="16"/>
          <w:szCs w:val="16"/>
          <w:lang w:eastAsia="en-GB"/>
        </w:rPr>
        <w:t>Vir: RPGV</w:t>
      </w:r>
      <w:r>
        <w:rPr>
          <w:rFonts w:eastAsia="Times New Roman" w:cs="Arial"/>
          <w:sz w:val="16"/>
          <w:szCs w:val="16"/>
          <w:lang w:eastAsia="en-GB"/>
        </w:rPr>
        <w:t>-2020</w:t>
      </w:r>
    </w:p>
    <w:p w14:paraId="677A8E57" w14:textId="77777777" w:rsidR="00F14D7D" w:rsidRPr="00D874C5" w:rsidRDefault="00F14D7D" w:rsidP="00D874C5">
      <w:pPr>
        <w:spacing w:before="200" w:line="360" w:lineRule="auto"/>
        <w:jc w:val="both"/>
        <w:rPr>
          <w:rFonts w:eastAsia="Times New Roman" w:cs="Arial"/>
          <w:szCs w:val="20"/>
          <w:lang w:eastAsia="en-GB"/>
        </w:rPr>
      </w:pPr>
      <w:r w:rsidRPr="00D874C5">
        <w:rPr>
          <w:rFonts w:eastAsia="Times New Roman" w:cs="Arial"/>
          <w:szCs w:val="20"/>
          <w:lang w:eastAsia="en-GB"/>
        </w:rPr>
        <w:t xml:space="preserve">Zaloge vina so odvisne predvsem od pretekle letine in se gibljejo med 30 in 40 mio litri letno, zaradi obilne letine 2018 so v letu 2019 poskočile na 48 mio litrov. </w:t>
      </w:r>
    </w:p>
    <w:p w14:paraId="63B38BE0" w14:textId="77777777" w:rsidR="00F14D7D" w:rsidRPr="00D874C5" w:rsidRDefault="00F14D7D" w:rsidP="00D874C5">
      <w:pPr>
        <w:spacing w:before="200" w:line="360" w:lineRule="auto"/>
        <w:jc w:val="both"/>
        <w:rPr>
          <w:rFonts w:eastAsia="Times New Roman" w:cs="Arial"/>
          <w:szCs w:val="20"/>
          <w:lang w:eastAsia="en-GB"/>
        </w:rPr>
      </w:pPr>
      <w:r w:rsidRPr="00D874C5">
        <w:rPr>
          <w:rFonts w:eastAsia="Times New Roman" w:cs="Arial"/>
          <w:szCs w:val="20"/>
          <w:lang w:eastAsia="en-GB"/>
        </w:rPr>
        <w:t xml:space="preserve">Količinsko je bilanca zunanje trgovine z vinom od leta 2006 negativna, vrednostno pa dokaj izenačena. Izvoz vina se je leta 2019 količinsko sicer zmanjšal za dobrih 20 % na 5,33 mio litrov, vrednostno pa povečal za 4 % na 16 mio evrov in je bil za 18 % nad povprečjem zadnjih petih let. Uvoz vina, ki se je v letih 2013–2015 intenzivno povečeval, se zadnja štiri leta zmanjšuje. Leta 2019 je bilo uvoženih 9,75 </w:t>
      </w:r>
      <w:r w:rsidRPr="00D874C5">
        <w:rPr>
          <w:rFonts w:eastAsia="Times New Roman" w:cs="Arial"/>
          <w:szCs w:val="20"/>
          <w:lang w:eastAsia="en-GB"/>
        </w:rPr>
        <w:lastRenderedPageBreak/>
        <w:t>mio litrov vina, kar je 23 % manj vina kot v povprečju zadnjih petih let. V uvozu vina prevladuje vino brez označbe porekla in geografske označbe. Uvažamo v glavnem namizno vino, ki ga glede na strukturo pridelave in potrošnje primanjkuje, izvažamo kakovostno. Glavni trgi za slovensko vino so: Nemčija, ZDA, Hrvaška, Nizozemska, Bosna in Hercegovina ter v zadnjih letih Češka. Glavne države izvoznice na naš trg so: Makedonija, Italija, Nemčija in Madžarska. Po podatkih SURS znaša poraba vina v Sloveniji 37,8 litra/leto na prebivalca (2018/2019).</w:t>
      </w:r>
    </w:p>
    <w:p w14:paraId="7A09FC45" w14:textId="77777777" w:rsidR="00F14D7D" w:rsidRPr="00D874C5" w:rsidRDefault="00F14D7D" w:rsidP="00D874C5">
      <w:pPr>
        <w:spacing w:before="200" w:line="360" w:lineRule="auto"/>
        <w:jc w:val="both"/>
        <w:rPr>
          <w:rFonts w:eastAsia="Times New Roman" w:cs="Arial"/>
          <w:szCs w:val="20"/>
          <w:lang w:eastAsia="en-GB"/>
        </w:rPr>
      </w:pPr>
      <w:r w:rsidRPr="00D874C5">
        <w:rPr>
          <w:rFonts w:eastAsia="Times New Roman" w:cs="Arial"/>
          <w:szCs w:val="20"/>
          <w:lang w:eastAsia="en-GB"/>
        </w:rPr>
        <w:t>Po letu 2007 predstavljata grozdje in vino skupaj od 9,2 % do 14,6 % vrednosti kmetijske proizvodnje, kar je največ med rastlinskimi pridelki, v vrednosti rastlinske pridelave pa je ta delež od 17,5 % do 25,2 %. V letu 2019 je grozdje k skupni vrednosti kmetijske proizvodnje prispevalo 1,5 %, vino pa 12,6 %, kar je pri grozdju in vinu na ravni leta 2018 in nad povprečjem zadnjega petletnega obdobja (2014–2018).</w:t>
      </w:r>
    </w:p>
    <w:p w14:paraId="6C1FD27B" w14:textId="77777777" w:rsidR="00F14D7D" w:rsidRPr="00D874C5" w:rsidRDefault="00F14D7D" w:rsidP="00D874C5">
      <w:pPr>
        <w:spacing w:before="200" w:line="360" w:lineRule="auto"/>
        <w:jc w:val="both"/>
        <w:rPr>
          <w:rFonts w:eastAsia="Times New Roman" w:cs="Arial"/>
          <w:szCs w:val="20"/>
          <w:lang w:eastAsia="en-GB"/>
        </w:rPr>
      </w:pPr>
      <w:r w:rsidRPr="00D874C5">
        <w:rPr>
          <w:rFonts w:eastAsia="Times New Roman" w:cs="Arial"/>
          <w:szCs w:val="20"/>
          <w:lang w:eastAsia="en-GB"/>
        </w:rPr>
        <w:t>Odkupne cene grozdja so v porastu in so se v letu 2019 ponovno nekoliko zvišale po znižanju v letu prej.</w:t>
      </w:r>
    </w:p>
    <w:p w14:paraId="252C926C" w14:textId="2C05B343" w:rsidR="00D874C5" w:rsidRDefault="00D874C5" w:rsidP="00D874C5">
      <w:pPr>
        <w:pStyle w:val="SCPreglednica"/>
      </w:pPr>
      <w:bookmarkStart w:id="215" w:name="_Toc55913748"/>
      <w:r>
        <w:t xml:space="preserve">Tabela </w:t>
      </w:r>
      <w:r>
        <w:fldChar w:fldCharType="begin"/>
      </w:r>
      <w:r>
        <w:instrText xml:space="preserve"> SEQ Tabela \* ARABIC </w:instrText>
      </w:r>
      <w:r>
        <w:fldChar w:fldCharType="separate"/>
      </w:r>
      <w:r w:rsidR="00DF0D48">
        <w:rPr>
          <w:noProof/>
        </w:rPr>
        <w:t>37</w:t>
      </w:r>
      <w:r>
        <w:fldChar w:fldCharType="end"/>
      </w:r>
      <w:r>
        <w:t xml:space="preserve">: </w:t>
      </w:r>
      <w:r w:rsidRPr="00D874C5">
        <w:t>Povprečna cena odkupljenega grozdja</w:t>
      </w:r>
      <w:bookmarkEnd w:id="215"/>
    </w:p>
    <w:tbl>
      <w:tblPr>
        <w:tblW w:w="809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191"/>
        <w:gridCol w:w="587"/>
        <w:gridCol w:w="587"/>
        <w:gridCol w:w="587"/>
        <w:gridCol w:w="587"/>
        <w:gridCol w:w="587"/>
        <w:gridCol w:w="587"/>
        <w:gridCol w:w="587"/>
        <w:gridCol w:w="629"/>
        <w:gridCol w:w="585"/>
        <w:gridCol w:w="585"/>
      </w:tblGrid>
      <w:tr w:rsidR="00F14D7D" w:rsidRPr="003B2B91" w14:paraId="09BC54D5" w14:textId="77777777" w:rsidTr="00D874C5">
        <w:trPr>
          <w:trHeight w:val="300"/>
        </w:trPr>
        <w:tc>
          <w:tcPr>
            <w:tcW w:w="2191" w:type="dxa"/>
            <w:shd w:val="clear" w:color="auto" w:fill="C6D9F1" w:themeFill="text2" w:themeFillTint="33"/>
            <w:noWrap/>
            <w:vAlign w:val="bottom"/>
          </w:tcPr>
          <w:p w14:paraId="3189277D" w14:textId="77777777" w:rsidR="00F14D7D" w:rsidRPr="003B2B91" w:rsidRDefault="00F14D7D" w:rsidP="00D874C5">
            <w:pPr>
              <w:spacing w:after="0" w:line="360" w:lineRule="auto"/>
              <w:rPr>
                <w:rFonts w:eastAsia="Times New Roman" w:cs="Arial"/>
                <w:bCs/>
                <w:szCs w:val="20"/>
              </w:rPr>
            </w:pPr>
            <w:r w:rsidRPr="003B2B91">
              <w:rPr>
                <w:rFonts w:eastAsia="Times New Roman" w:cs="Arial"/>
                <w:bCs/>
                <w:szCs w:val="20"/>
              </w:rPr>
              <w:t>Povprečna cena (EUR)</w:t>
            </w:r>
          </w:p>
        </w:tc>
        <w:tc>
          <w:tcPr>
            <w:tcW w:w="587" w:type="dxa"/>
            <w:shd w:val="clear" w:color="auto" w:fill="C6D9F1" w:themeFill="text2" w:themeFillTint="33"/>
          </w:tcPr>
          <w:p w14:paraId="75BCB049" w14:textId="77777777" w:rsidR="00F14D7D" w:rsidRPr="003B2B91" w:rsidRDefault="00F14D7D" w:rsidP="00D874C5">
            <w:pPr>
              <w:spacing w:after="0" w:line="360" w:lineRule="auto"/>
              <w:rPr>
                <w:rFonts w:eastAsia="Times New Roman" w:cs="Arial"/>
                <w:bCs/>
                <w:szCs w:val="20"/>
              </w:rPr>
            </w:pPr>
          </w:p>
          <w:p w14:paraId="62C3E477" w14:textId="77777777" w:rsidR="00F14D7D" w:rsidRPr="003B2B91" w:rsidRDefault="00F14D7D" w:rsidP="00D874C5">
            <w:pPr>
              <w:spacing w:after="0" w:line="360" w:lineRule="auto"/>
              <w:rPr>
                <w:rFonts w:eastAsia="Times New Roman" w:cs="Arial"/>
                <w:bCs/>
                <w:szCs w:val="20"/>
              </w:rPr>
            </w:pPr>
            <w:r w:rsidRPr="003B2B91">
              <w:rPr>
                <w:rFonts w:eastAsia="Times New Roman" w:cs="Arial"/>
                <w:bCs/>
                <w:szCs w:val="20"/>
              </w:rPr>
              <w:t>2010</w:t>
            </w:r>
          </w:p>
        </w:tc>
        <w:tc>
          <w:tcPr>
            <w:tcW w:w="587" w:type="dxa"/>
            <w:shd w:val="clear" w:color="auto" w:fill="C6D9F1" w:themeFill="text2" w:themeFillTint="33"/>
          </w:tcPr>
          <w:p w14:paraId="1020A47E" w14:textId="77777777" w:rsidR="00F14D7D" w:rsidRPr="003B2B91" w:rsidRDefault="00F14D7D" w:rsidP="00D874C5">
            <w:pPr>
              <w:spacing w:after="0" w:line="360" w:lineRule="auto"/>
              <w:rPr>
                <w:rFonts w:eastAsia="Times New Roman" w:cs="Arial"/>
                <w:bCs/>
                <w:szCs w:val="20"/>
              </w:rPr>
            </w:pPr>
          </w:p>
          <w:p w14:paraId="4F532188" w14:textId="77777777" w:rsidR="00F14D7D" w:rsidRPr="003B2B91" w:rsidRDefault="00F14D7D" w:rsidP="00D874C5">
            <w:pPr>
              <w:spacing w:after="0" w:line="360" w:lineRule="auto"/>
              <w:rPr>
                <w:rFonts w:eastAsia="Times New Roman" w:cs="Arial"/>
                <w:bCs/>
                <w:szCs w:val="20"/>
              </w:rPr>
            </w:pPr>
            <w:r w:rsidRPr="003B2B91">
              <w:rPr>
                <w:rFonts w:eastAsia="Times New Roman" w:cs="Arial"/>
                <w:bCs/>
                <w:szCs w:val="20"/>
              </w:rPr>
              <w:t>2011</w:t>
            </w:r>
          </w:p>
        </w:tc>
        <w:tc>
          <w:tcPr>
            <w:tcW w:w="587" w:type="dxa"/>
            <w:shd w:val="clear" w:color="auto" w:fill="C6D9F1" w:themeFill="text2" w:themeFillTint="33"/>
          </w:tcPr>
          <w:p w14:paraId="433A3B3E" w14:textId="77777777" w:rsidR="00F14D7D" w:rsidRPr="003B2B91" w:rsidRDefault="00F14D7D" w:rsidP="00D874C5">
            <w:pPr>
              <w:spacing w:after="0" w:line="360" w:lineRule="auto"/>
              <w:rPr>
                <w:rFonts w:eastAsia="Times New Roman" w:cs="Arial"/>
                <w:bCs/>
                <w:szCs w:val="20"/>
              </w:rPr>
            </w:pPr>
          </w:p>
          <w:p w14:paraId="2BFF9563" w14:textId="77777777" w:rsidR="00F14D7D" w:rsidRPr="003B2B91" w:rsidRDefault="00F14D7D" w:rsidP="00D874C5">
            <w:pPr>
              <w:spacing w:after="0" w:line="360" w:lineRule="auto"/>
              <w:rPr>
                <w:rFonts w:eastAsia="Times New Roman" w:cs="Arial"/>
                <w:bCs/>
                <w:szCs w:val="20"/>
              </w:rPr>
            </w:pPr>
            <w:r w:rsidRPr="003B2B91">
              <w:rPr>
                <w:rFonts w:eastAsia="Times New Roman" w:cs="Arial"/>
                <w:bCs/>
                <w:szCs w:val="20"/>
              </w:rPr>
              <w:t>2012</w:t>
            </w:r>
          </w:p>
        </w:tc>
        <w:tc>
          <w:tcPr>
            <w:tcW w:w="587" w:type="dxa"/>
            <w:shd w:val="clear" w:color="auto" w:fill="C6D9F1" w:themeFill="text2" w:themeFillTint="33"/>
            <w:noWrap/>
            <w:vAlign w:val="bottom"/>
          </w:tcPr>
          <w:p w14:paraId="0712C4F8" w14:textId="77777777" w:rsidR="00F14D7D" w:rsidRPr="003B2B91" w:rsidRDefault="00F14D7D" w:rsidP="00D874C5">
            <w:pPr>
              <w:spacing w:after="0" w:line="360" w:lineRule="auto"/>
              <w:rPr>
                <w:rFonts w:eastAsia="Times New Roman" w:cs="Arial"/>
                <w:bCs/>
                <w:szCs w:val="20"/>
              </w:rPr>
            </w:pPr>
            <w:r w:rsidRPr="003B2B91">
              <w:rPr>
                <w:rFonts w:eastAsia="Times New Roman" w:cs="Arial"/>
                <w:bCs/>
                <w:szCs w:val="20"/>
              </w:rPr>
              <w:t>2013</w:t>
            </w:r>
          </w:p>
        </w:tc>
        <w:tc>
          <w:tcPr>
            <w:tcW w:w="587" w:type="dxa"/>
            <w:shd w:val="clear" w:color="auto" w:fill="C6D9F1" w:themeFill="text2" w:themeFillTint="33"/>
            <w:noWrap/>
            <w:vAlign w:val="bottom"/>
          </w:tcPr>
          <w:p w14:paraId="761B14F0" w14:textId="77777777" w:rsidR="00F14D7D" w:rsidRPr="003B2B91" w:rsidRDefault="00F14D7D" w:rsidP="00D874C5">
            <w:pPr>
              <w:spacing w:after="0" w:line="360" w:lineRule="auto"/>
              <w:rPr>
                <w:rFonts w:eastAsia="Times New Roman" w:cs="Arial"/>
                <w:bCs/>
                <w:szCs w:val="20"/>
              </w:rPr>
            </w:pPr>
            <w:r w:rsidRPr="003B2B91">
              <w:rPr>
                <w:rFonts w:eastAsia="Times New Roman" w:cs="Arial"/>
                <w:bCs/>
                <w:szCs w:val="20"/>
              </w:rPr>
              <w:t>2014</w:t>
            </w:r>
          </w:p>
        </w:tc>
        <w:tc>
          <w:tcPr>
            <w:tcW w:w="587" w:type="dxa"/>
            <w:shd w:val="clear" w:color="auto" w:fill="C6D9F1" w:themeFill="text2" w:themeFillTint="33"/>
            <w:noWrap/>
            <w:vAlign w:val="bottom"/>
          </w:tcPr>
          <w:p w14:paraId="07FF39E5" w14:textId="77777777" w:rsidR="00F14D7D" w:rsidRPr="003B2B91" w:rsidRDefault="00F14D7D" w:rsidP="00D874C5">
            <w:pPr>
              <w:spacing w:after="0" w:line="360" w:lineRule="auto"/>
              <w:rPr>
                <w:rFonts w:eastAsia="Times New Roman" w:cs="Arial"/>
                <w:bCs/>
                <w:szCs w:val="20"/>
              </w:rPr>
            </w:pPr>
            <w:r w:rsidRPr="003B2B91">
              <w:rPr>
                <w:rFonts w:eastAsia="Times New Roman" w:cs="Arial"/>
                <w:bCs/>
                <w:szCs w:val="20"/>
              </w:rPr>
              <w:t>2015</w:t>
            </w:r>
          </w:p>
        </w:tc>
        <w:tc>
          <w:tcPr>
            <w:tcW w:w="587" w:type="dxa"/>
            <w:shd w:val="clear" w:color="auto" w:fill="C6D9F1" w:themeFill="text2" w:themeFillTint="33"/>
            <w:noWrap/>
            <w:vAlign w:val="bottom"/>
          </w:tcPr>
          <w:p w14:paraId="655CBFA9" w14:textId="77777777" w:rsidR="00F14D7D" w:rsidRPr="003B2B91" w:rsidRDefault="00F14D7D" w:rsidP="00D874C5">
            <w:pPr>
              <w:spacing w:after="0" w:line="360" w:lineRule="auto"/>
              <w:rPr>
                <w:rFonts w:eastAsia="Times New Roman" w:cs="Arial"/>
                <w:bCs/>
                <w:szCs w:val="20"/>
              </w:rPr>
            </w:pPr>
            <w:r w:rsidRPr="003B2B91">
              <w:rPr>
                <w:rFonts w:eastAsia="Times New Roman" w:cs="Arial"/>
                <w:bCs/>
                <w:szCs w:val="20"/>
              </w:rPr>
              <w:t>2016</w:t>
            </w:r>
          </w:p>
        </w:tc>
        <w:tc>
          <w:tcPr>
            <w:tcW w:w="629" w:type="dxa"/>
            <w:shd w:val="clear" w:color="auto" w:fill="C6D9F1" w:themeFill="text2" w:themeFillTint="33"/>
            <w:noWrap/>
            <w:vAlign w:val="bottom"/>
          </w:tcPr>
          <w:p w14:paraId="32319C73" w14:textId="77777777" w:rsidR="00F14D7D" w:rsidRPr="003B2B91" w:rsidRDefault="00F14D7D" w:rsidP="00D874C5">
            <w:pPr>
              <w:spacing w:after="0" w:line="360" w:lineRule="auto"/>
              <w:rPr>
                <w:rFonts w:eastAsia="Times New Roman" w:cs="Arial"/>
                <w:bCs/>
                <w:szCs w:val="20"/>
              </w:rPr>
            </w:pPr>
            <w:r w:rsidRPr="003B2B91">
              <w:rPr>
                <w:rFonts w:eastAsia="Times New Roman" w:cs="Arial"/>
                <w:bCs/>
                <w:szCs w:val="20"/>
              </w:rPr>
              <w:t>2017</w:t>
            </w:r>
          </w:p>
        </w:tc>
        <w:tc>
          <w:tcPr>
            <w:tcW w:w="585" w:type="dxa"/>
            <w:shd w:val="clear" w:color="auto" w:fill="C6D9F1" w:themeFill="text2" w:themeFillTint="33"/>
            <w:noWrap/>
            <w:vAlign w:val="bottom"/>
          </w:tcPr>
          <w:p w14:paraId="344BAA64" w14:textId="77777777" w:rsidR="00F14D7D" w:rsidRPr="003B2B91" w:rsidRDefault="00F14D7D" w:rsidP="00D874C5">
            <w:pPr>
              <w:spacing w:after="0" w:line="360" w:lineRule="auto"/>
              <w:rPr>
                <w:rFonts w:eastAsia="Times New Roman" w:cs="Arial"/>
                <w:bCs/>
                <w:szCs w:val="20"/>
              </w:rPr>
            </w:pPr>
            <w:r w:rsidRPr="003B2B91">
              <w:rPr>
                <w:rFonts w:eastAsia="Times New Roman" w:cs="Arial"/>
                <w:bCs/>
                <w:szCs w:val="20"/>
              </w:rPr>
              <w:t>2018</w:t>
            </w:r>
          </w:p>
        </w:tc>
        <w:tc>
          <w:tcPr>
            <w:tcW w:w="585" w:type="dxa"/>
            <w:shd w:val="clear" w:color="auto" w:fill="C6D9F1" w:themeFill="text2" w:themeFillTint="33"/>
          </w:tcPr>
          <w:p w14:paraId="55D48429" w14:textId="77777777" w:rsidR="00F14D7D" w:rsidRPr="003B2B91" w:rsidRDefault="00F14D7D" w:rsidP="00D874C5">
            <w:pPr>
              <w:spacing w:after="0" w:line="360" w:lineRule="auto"/>
              <w:rPr>
                <w:rFonts w:eastAsia="Times New Roman" w:cs="Arial"/>
                <w:bCs/>
                <w:szCs w:val="20"/>
              </w:rPr>
            </w:pPr>
          </w:p>
          <w:p w14:paraId="54DEFDD2" w14:textId="77777777" w:rsidR="00F14D7D" w:rsidRPr="003B2B91" w:rsidRDefault="00F14D7D" w:rsidP="00D874C5">
            <w:pPr>
              <w:spacing w:after="0" w:line="360" w:lineRule="auto"/>
              <w:rPr>
                <w:rFonts w:eastAsia="Times New Roman" w:cs="Arial"/>
                <w:bCs/>
                <w:szCs w:val="20"/>
              </w:rPr>
            </w:pPr>
            <w:r w:rsidRPr="003B2B91">
              <w:rPr>
                <w:rFonts w:eastAsia="Times New Roman" w:cs="Arial"/>
                <w:bCs/>
                <w:szCs w:val="20"/>
              </w:rPr>
              <w:t>2019</w:t>
            </w:r>
          </w:p>
        </w:tc>
      </w:tr>
      <w:tr w:rsidR="00F14D7D" w:rsidRPr="003B2B91" w14:paraId="12867066" w14:textId="77777777" w:rsidTr="00D874C5">
        <w:trPr>
          <w:trHeight w:val="300"/>
        </w:trPr>
        <w:tc>
          <w:tcPr>
            <w:tcW w:w="2191" w:type="dxa"/>
            <w:noWrap/>
            <w:vAlign w:val="bottom"/>
          </w:tcPr>
          <w:p w14:paraId="190F264E" w14:textId="77777777" w:rsidR="00F14D7D" w:rsidRPr="003B2B91" w:rsidRDefault="00F14D7D" w:rsidP="00D874C5">
            <w:pPr>
              <w:spacing w:after="0" w:line="360" w:lineRule="auto"/>
              <w:rPr>
                <w:rFonts w:eastAsia="Times New Roman" w:cs="Arial"/>
                <w:bCs/>
                <w:szCs w:val="20"/>
              </w:rPr>
            </w:pPr>
            <w:r w:rsidRPr="003B2B91">
              <w:rPr>
                <w:rFonts w:eastAsia="Times New Roman" w:cs="Arial"/>
                <w:bCs/>
                <w:szCs w:val="20"/>
              </w:rPr>
              <w:t>Grozdje za predelavo</w:t>
            </w:r>
          </w:p>
        </w:tc>
        <w:tc>
          <w:tcPr>
            <w:tcW w:w="587" w:type="dxa"/>
          </w:tcPr>
          <w:p w14:paraId="753D3747" w14:textId="77777777" w:rsidR="00F14D7D" w:rsidRPr="003B2B91" w:rsidRDefault="00F14D7D" w:rsidP="00D874C5">
            <w:pPr>
              <w:spacing w:after="0" w:line="360" w:lineRule="auto"/>
              <w:rPr>
                <w:rFonts w:eastAsia="Times New Roman" w:cs="Arial"/>
                <w:szCs w:val="20"/>
              </w:rPr>
            </w:pPr>
            <w:r w:rsidRPr="003B2B91">
              <w:rPr>
                <w:rFonts w:eastAsia="Times New Roman" w:cs="Arial"/>
                <w:szCs w:val="20"/>
              </w:rPr>
              <w:t>0,45</w:t>
            </w:r>
          </w:p>
        </w:tc>
        <w:tc>
          <w:tcPr>
            <w:tcW w:w="587" w:type="dxa"/>
          </w:tcPr>
          <w:p w14:paraId="487EA0CB" w14:textId="77777777" w:rsidR="00F14D7D" w:rsidRPr="003B2B91" w:rsidRDefault="00F14D7D" w:rsidP="00D874C5">
            <w:pPr>
              <w:spacing w:after="0" w:line="360" w:lineRule="auto"/>
              <w:rPr>
                <w:rFonts w:eastAsia="Times New Roman" w:cs="Arial"/>
                <w:szCs w:val="20"/>
              </w:rPr>
            </w:pPr>
            <w:r w:rsidRPr="003B2B91">
              <w:rPr>
                <w:rFonts w:eastAsia="Times New Roman" w:cs="Arial"/>
                <w:szCs w:val="20"/>
              </w:rPr>
              <w:t>0,43</w:t>
            </w:r>
          </w:p>
        </w:tc>
        <w:tc>
          <w:tcPr>
            <w:tcW w:w="587" w:type="dxa"/>
          </w:tcPr>
          <w:p w14:paraId="3CEB6B48" w14:textId="77777777" w:rsidR="00F14D7D" w:rsidRPr="003B2B91" w:rsidRDefault="00F14D7D" w:rsidP="00D874C5">
            <w:pPr>
              <w:spacing w:after="0" w:line="360" w:lineRule="auto"/>
              <w:rPr>
                <w:rFonts w:eastAsia="Times New Roman" w:cs="Arial"/>
                <w:szCs w:val="20"/>
              </w:rPr>
            </w:pPr>
            <w:r w:rsidRPr="003B2B91">
              <w:rPr>
                <w:rFonts w:eastAsia="Times New Roman" w:cs="Arial"/>
                <w:szCs w:val="20"/>
              </w:rPr>
              <w:t>0,47</w:t>
            </w:r>
          </w:p>
        </w:tc>
        <w:tc>
          <w:tcPr>
            <w:tcW w:w="587" w:type="dxa"/>
            <w:noWrap/>
            <w:vAlign w:val="bottom"/>
          </w:tcPr>
          <w:p w14:paraId="2E7F7356" w14:textId="77777777" w:rsidR="00F14D7D" w:rsidRPr="003B2B91" w:rsidRDefault="00F14D7D" w:rsidP="00D874C5">
            <w:pPr>
              <w:spacing w:after="0" w:line="360" w:lineRule="auto"/>
              <w:rPr>
                <w:rFonts w:eastAsia="Times New Roman" w:cs="Arial"/>
                <w:szCs w:val="20"/>
              </w:rPr>
            </w:pPr>
            <w:r w:rsidRPr="003B2B91">
              <w:rPr>
                <w:rFonts w:eastAsia="Times New Roman" w:cs="Arial"/>
                <w:szCs w:val="20"/>
              </w:rPr>
              <w:t>0,46</w:t>
            </w:r>
          </w:p>
        </w:tc>
        <w:tc>
          <w:tcPr>
            <w:tcW w:w="587" w:type="dxa"/>
            <w:noWrap/>
            <w:vAlign w:val="bottom"/>
          </w:tcPr>
          <w:p w14:paraId="6A787D56" w14:textId="77777777" w:rsidR="00F14D7D" w:rsidRPr="003B2B91" w:rsidRDefault="00F14D7D" w:rsidP="00D874C5">
            <w:pPr>
              <w:spacing w:after="0" w:line="360" w:lineRule="auto"/>
              <w:rPr>
                <w:rFonts w:eastAsia="Times New Roman" w:cs="Arial"/>
                <w:szCs w:val="20"/>
              </w:rPr>
            </w:pPr>
            <w:r w:rsidRPr="003B2B91">
              <w:rPr>
                <w:rFonts w:eastAsia="Times New Roman" w:cs="Arial"/>
                <w:szCs w:val="20"/>
              </w:rPr>
              <w:t>0,46</w:t>
            </w:r>
          </w:p>
        </w:tc>
        <w:tc>
          <w:tcPr>
            <w:tcW w:w="587" w:type="dxa"/>
            <w:noWrap/>
            <w:vAlign w:val="bottom"/>
          </w:tcPr>
          <w:p w14:paraId="2B6D36F1" w14:textId="77777777" w:rsidR="00F14D7D" w:rsidRPr="003B2B91" w:rsidRDefault="00F14D7D" w:rsidP="00D874C5">
            <w:pPr>
              <w:spacing w:after="0" w:line="360" w:lineRule="auto"/>
              <w:rPr>
                <w:rFonts w:eastAsia="Times New Roman" w:cs="Arial"/>
                <w:szCs w:val="20"/>
              </w:rPr>
            </w:pPr>
            <w:r w:rsidRPr="003B2B91">
              <w:rPr>
                <w:rFonts w:eastAsia="Times New Roman" w:cs="Arial"/>
                <w:szCs w:val="20"/>
              </w:rPr>
              <w:t>0,50</w:t>
            </w:r>
          </w:p>
        </w:tc>
        <w:tc>
          <w:tcPr>
            <w:tcW w:w="587" w:type="dxa"/>
            <w:noWrap/>
            <w:vAlign w:val="bottom"/>
          </w:tcPr>
          <w:p w14:paraId="17E18835" w14:textId="77777777" w:rsidR="00F14D7D" w:rsidRPr="003B2B91" w:rsidRDefault="00F14D7D" w:rsidP="00D874C5">
            <w:pPr>
              <w:spacing w:after="0" w:line="360" w:lineRule="auto"/>
              <w:rPr>
                <w:rFonts w:eastAsia="Times New Roman" w:cs="Arial"/>
                <w:szCs w:val="20"/>
              </w:rPr>
            </w:pPr>
            <w:r w:rsidRPr="003B2B91">
              <w:rPr>
                <w:rFonts w:eastAsia="Times New Roman" w:cs="Arial"/>
                <w:szCs w:val="20"/>
              </w:rPr>
              <w:t>0,55</w:t>
            </w:r>
          </w:p>
        </w:tc>
        <w:tc>
          <w:tcPr>
            <w:tcW w:w="629" w:type="dxa"/>
            <w:noWrap/>
            <w:vAlign w:val="bottom"/>
          </w:tcPr>
          <w:p w14:paraId="423305C3" w14:textId="77777777" w:rsidR="00F14D7D" w:rsidRPr="003B2B91" w:rsidRDefault="00F14D7D" w:rsidP="00D874C5">
            <w:pPr>
              <w:spacing w:after="0" w:line="360" w:lineRule="auto"/>
              <w:rPr>
                <w:rFonts w:eastAsia="Times New Roman" w:cs="Arial"/>
                <w:szCs w:val="20"/>
              </w:rPr>
            </w:pPr>
            <w:r w:rsidRPr="003B2B91">
              <w:rPr>
                <w:rFonts w:eastAsia="Times New Roman" w:cs="Arial"/>
                <w:szCs w:val="20"/>
              </w:rPr>
              <w:t>0,60</w:t>
            </w:r>
          </w:p>
        </w:tc>
        <w:tc>
          <w:tcPr>
            <w:tcW w:w="585" w:type="dxa"/>
            <w:noWrap/>
            <w:vAlign w:val="bottom"/>
          </w:tcPr>
          <w:p w14:paraId="3A70DFA2" w14:textId="77777777" w:rsidR="00F14D7D" w:rsidRPr="003B2B91" w:rsidRDefault="00F14D7D" w:rsidP="00D874C5">
            <w:pPr>
              <w:spacing w:after="0" w:line="360" w:lineRule="auto"/>
              <w:rPr>
                <w:rFonts w:eastAsia="Times New Roman" w:cs="Arial"/>
                <w:szCs w:val="20"/>
              </w:rPr>
            </w:pPr>
            <w:r w:rsidRPr="003B2B91">
              <w:rPr>
                <w:rFonts w:eastAsia="Times New Roman" w:cs="Arial"/>
                <w:szCs w:val="20"/>
              </w:rPr>
              <w:t>0,57</w:t>
            </w:r>
          </w:p>
        </w:tc>
        <w:tc>
          <w:tcPr>
            <w:tcW w:w="585" w:type="dxa"/>
          </w:tcPr>
          <w:p w14:paraId="174022DF" w14:textId="77777777" w:rsidR="00F14D7D" w:rsidRPr="003B2B91" w:rsidRDefault="00F14D7D" w:rsidP="00D874C5">
            <w:pPr>
              <w:spacing w:after="0" w:line="360" w:lineRule="auto"/>
              <w:rPr>
                <w:rFonts w:eastAsia="Times New Roman" w:cs="Arial"/>
                <w:szCs w:val="20"/>
              </w:rPr>
            </w:pPr>
            <w:r w:rsidRPr="003B2B91">
              <w:rPr>
                <w:rFonts w:eastAsia="Times New Roman" w:cs="Arial"/>
                <w:szCs w:val="20"/>
              </w:rPr>
              <w:t>0,60</w:t>
            </w:r>
          </w:p>
        </w:tc>
      </w:tr>
    </w:tbl>
    <w:p w14:paraId="4A92B30D" w14:textId="77777777" w:rsidR="00F14D7D" w:rsidRPr="005718B1" w:rsidRDefault="00F14D7D" w:rsidP="00F14D7D">
      <w:pPr>
        <w:spacing w:before="120" w:after="0" w:line="360" w:lineRule="auto"/>
        <w:rPr>
          <w:rFonts w:eastAsia="Times New Roman" w:cs="Arial"/>
          <w:sz w:val="16"/>
          <w:szCs w:val="16"/>
        </w:rPr>
      </w:pPr>
      <w:r w:rsidRPr="005718B1">
        <w:rPr>
          <w:rFonts w:eastAsia="Times New Roman" w:cs="Arial"/>
          <w:sz w:val="16"/>
          <w:szCs w:val="16"/>
          <w:lang w:eastAsia="en-GB"/>
        </w:rPr>
        <w:t>Vir: SURS</w:t>
      </w:r>
      <w:r>
        <w:rPr>
          <w:rFonts w:eastAsia="Times New Roman" w:cs="Arial"/>
          <w:sz w:val="16"/>
          <w:szCs w:val="16"/>
          <w:lang w:eastAsia="en-GB"/>
        </w:rPr>
        <w:t>-2020</w:t>
      </w:r>
    </w:p>
    <w:p w14:paraId="78EBC3D3" w14:textId="77777777" w:rsidR="00F14D7D" w:rsidRPr="00D874C5" w:rsidRDefault="00F14D7D" w:rsidP="00D874C5">
      <w:pPr>
        <w:spacing w:before="200" w:line="360" w:lineRule="auto"/>
        <w:jc w:val="both"/>
        <w:rPr>
          <w:rFonts w:eastAsia="Times New Roman" w:cs="Arial"/>
          <w:szCs w:val="20"/>
          <w:lang w:eastAsia="en-GB"/>
        </w:rPr>
      </w:pPr>
      <w:r w:rsidRPr="00D874C5">
        <w:rPr>
          <w:rFonts w:eastAsia="Times New Roman" w:cs="Arial"/>
          <w:szCs w:val="20"/>
          <w:lang w:eastAsia="en-GB"/>
        </w:rPr>
        <w:t xml:space="preserve">V primerjavi z zadnjim petletnim obdobjem (2014–2018) so bile povprečne cene vina v letu 2019 višje za 17 %. </w:t>
      </w:r>
      <w:r w:rsidRPr="00D874C5">
        <w:rPr>
          <w:rFonts w:eastAsia="Times New Roman" w:cs="Arial"/>
          <w:szCs w:val="20"/>
        </w:rPr>
        <w:t xml:space="preserve">Podatki </w:t>
      </w:r>
      <w:r w:rsidRPr="00D874C5">
        <w:rPr>
          <w:rFonts w:eastAsia="Times New Roman" w:cs="Arial"/>
          <w:szCs w:val="20"/>
          <w:lang w:eastAsia="en-GB"/>
        </w:rPr>
        <w:t>ARSKTRP</w:t>
      </w:r>
      <w:r w:rsidRPr="00D874C5">
        <w:rPr>
          <w:rFonts w:eastAsia="Times New Roman" w:cs="Arial"/>
          <w:szCs w:val="20"/>
        </w:rPr>
        <w:t xml:space="preserve"> za leto 2019 tudi kažejo, da se je prodaja vina na slovenskem trgu kot tudi trgu EU nekoliko povečala.</w:t>
      </w:r>
    </w:p>
    <w:p w14:paraId="07C46826" w14:textId="77777777" w:rsidR="00F14D7D" w:rsidRPr="00D874C5" w:rsidRDefault="00F14D7D" w:rsidP="00D874C5">
      <w:pPr>
        <w:spacing w:before="200" w:line="360" w:lineRule="auto"/>
        <w:jc w:val="both"/>
        <w:rPr>
          <w:rFonts w:eastAsia="Times New Roman" w:cs="Arial"/>
          <w:szCs w:val="20"/>
          <w:lang w:eastAsia="en-GB"/>
        </w:rPr>
      </w:pPr>
      <w:r w:rsidRPr="00D874C5">
        <w:rPr>
          <w:rFonts w:eastAsia="Times New Roman" w:cs="Arial"/>
          <w:szCs w:val="20"/>
        </w:rPr>
        <w:t xml:space="preserve">Od leta 2018 SURS vodi tudi povprečne letne drobnoprodajne cene za alkoholne pijače na podlagi podatkovnih baz trgovcev. Za leto 2018 po teh podatkih znaša povprečna drobnoprodajna cena za </w:t>
      </w:r>
      <w:proofErr w:type="spellStart"/>
      <w:r w:rsidRPr="00D874C5">
        <w:rPr>
          <w:rFonts w:eastAsia="Times New Roman" w:cs="Arial"/>
          <w:szCs w:val="20"/>
        </w:rPr>
        <w:t>t.i</w:t>
      </w:r>
      <w:proofErr w:type="spellEnd"/>
      <w:r w:rsidRPr="00D874C5">
        <w:rPr>
          <w:rFonts w:eastAsia="Times New Roman" w:cs="Arial"/>
          <w:szCs w:val="20"/>
        </w:rPr>
        <w:t>. namizno vino 1,98 EUR/l in za kakovostno vino 4,85 EUR/l, za leto 2019 pa 2,04 EUR/l za namizno in 4,05 EUR/l za kakovostno vino.</w:t>
      </w:r>
    </w:p>
    <w:p w14:paraId="14DC1BE6" w14:textId="77777777" w:rsidR="00F14D7D" w:rsidRPr="00D874C5" w:rsidRDefault="00F14D7D" w:rsidP="00D874C5">
      <w:pPr>
        <w:spacing w:before="200" w:line="360" w:lineRule="auto"/>
        <w:jc w:val="both"/>
        <w:rPr>
          <w:rFonts w:eastAsia="Times New Roman" w:cs="Arial"/>
          <w:szCs w:val="20"/>
        </w:rPr>
      </w:pPr>
      <w:r w:rsidRPr="00D874C5">
        <w:rPr>
          <w:rFonts w:eastAsia="Times New Roman" w:cs="Arial"/>
          <w:szCs w:val="20"/>
        </w:rPr>
        <w:t xml:space="preserve">Ekonomika pridelave grozdja je bila v letih 2016 in 2017 nekoliko boljša kot v letih prej, vendar so se z rekordnim pridelkom leta 2018 razmere na trgu z vinom ponovno poslabšale. </w:t>
      </w:r>
      <w:r w:rsidRPr="00D874C5">
        <w:rPr>
          <w:rFonts w:cs="Arial"/>
          <w:szCs w:val="20"/>
        </w:rPr>
        <w:t xml:space="preserve">Letina 2019 pa je bila dokaj povprečna. Višja predvidena rast odkupnih cen grozdja od zvišanja stroškov pridelave naj bi pozitivno vplivala na ekonomski položaj pridelovalcev grozdja, vendar je zaradi izredno zaostrenih razmer na trgu z vinom v prvi polovici leta 2020 (posledica epidemije </w:t>
      </w:r>
      <w:proofErr w:type="spellStart"/>
      <w:r w:rsidRPr="00D874C5">
        <w:rPr>
          <w:rFonts w:cs="Arial"/>
          <w:szCs w:val="20"/>
        </w:rPr>
        <w:t>koronavirusa</w:t>
      </w:r>
      <w:proofErr w:type="spellEnd"/>
      <w:r w:rsidRPr="00D874C5">
        <w:rPr>
          <w:rFonts w:cs="Arial"/>
          <w:szCs w:val="20"/>
        </w:rPr>
        <w:t xml:space="preserve">) realizacija izplačila v jeseni leta 2019 statistično zabeleženih odkupnih cen grozdja zelo vprašljiva. </w:t>
      </w:r>
      <w:r w:rsidRPr="00D874C5">
        <w:rPr>
          <w:rStyle w:val="TelobesedilaZnakZnak1ZnakZnakZnak"/>
          <w:rFonts w:eastAsia="Times New Roman" w:cs="Arial"/>
          <w:sz w:val="20"/>
          <w:szCs w:val="20"/>
        </w:rPr>
        <w:t xml:space="preserve">Ekonomika pridelave grozdja za prodajo je z izjemo nekoliko ugodnejših let 2016 in 2017 na splošno že leta zelo slaba. Malce boljše ekonomske rezultate so imeli v zadnjih letih verjetno le pridelovalci grozdja, namenjenega za vina višje kakovosti, ki dosegajo višje odkupne cene. Boljši ekonomski položaj so imeli vinogradniki z lastno </w:t>
      </w:r>
      <w:r w:rsidRPr="00D874C5">
        <w:rPr>
          <w:rStyle w:val="TelobesedilaZnakZnak1ZnakZnakZnak"/>
          <w:rFonts w:eastAsia="Times New Roman" w:cs="Arial"/>
          <w:sz w:val="20"/>
          <w:szCs w:val="20"/>
        </w:rPr>
        <w:lastRenderedPageBreak/>
        <w:t>predelavo in uspešnejšim trženjem vina na domačem in tujih trgih, saj so bile cene vina zadnja leta večinoma v porastu.</w:t>
      </w:r>
    </w:p>
    <w:p w14:paraId="5B2712D5" w14:textId="77777777" w:rsidR="00F14D7D" w:rsidRPr="00D874C5" w:rsidRDefault="00F14D7D" w:rsidP="00D874C5">
      <w:pPr>
        <w:spacing w:before="200" w:line="360" w:lineRule="auto"/>
        <w:jc w:val="both"/>
        <w:rPr>
          <w:rFonts w:eastAsia="Times New Roman" w:cs="Arial"/>
          <w:szCs w:val="20"/>
        </w:rPr>
      </w:pPr>
      <w:r w:rsidRPr="00D874C5">
        <w:rPr>
          <w:rFonts w:eastAsia="Times New Roman" w:cs="Arial"/>
          <w:szCs w:val="20"/>
        </w:rPr>
        <w:t>Glede na velikostno strukturo kmetijskih gospodarstev z vinogradi je nesorazmernost v dohodkih težko uravnavati z neposrednimi dohodkovnimi podporami, saj ima manj kot 10 % kmetijskih gospodarstev, ki obdelujejo vinograde, v uporabi več kot 1 ha KZU (obdelujejo 10.500 ha vinogradov).</w:t>
      </w:r>
    </w:p>
    <w:p w14:paraId="050A4BC6" w14:textId="77777777" w:rsidR="00F14D7D" w:rsidRPr="00D874C5" w:rsidRDefault="00F14D7D" w:rsidP="00D874C5">
      <w:pPr>
        <w:suppressAutoHyphens/>
        <w:spacing w:before="200" w:line="360" w:lineRule="auto"/>
        <w:jc w:val="both"/>
        <w:rPr>
          <w:rFonts w:cs="Arial"/>
          <w:szCs w:val="20"/>
        </w:rPr>
      </w:pPr>
      <w:r w:rsidRPr="00D874C5">
        <w:rPr>
          <w:rFonts w:cs="Arial"/>
          <w:szCs w:val="20"/>
          <w:lang w:eastAsia="en-GB"/>
        </w:rPr>
        <w:t xml:space="preserve">Ohranitev vinogradov na legah, ki za druge kulture niso primerne, je ključno za </w:t>
      </w:r>
      <w:r w:rsidRPr="00D874C5">
        <w:rPr>
          <w:rFonts w:cs="Arial"/>
          <w:szCs w:val="20"/>
        </w:rPr>
        <w:t xml:space="preserve">ohranjanje obdelanosti zemljišč. Težavo pri ohranjanju obsega vinogradov predstavlja splošen trend zmanjševanje vinogradov in porabe vina v Evropi, dodatno pa tudi nekonkurenčna pridelava slovenskih vin zaradi naravnih danosti in razne omejitve (npr. omejitve na območjih </w:t>
      </w:r>
      <w:proofErr w:type="spellStart"/>
      <w:r w:rsidRPr="00D874C5">
        <w:rPr>
          <w:rFonts w:cs="Arial"/>
          <w:szCs w:val="20"/>
        </w:rPr>
        <w:t>okoljsko</w:t>
      </w:r>
      <w:proofErr w:type="spellEnd"/>
      <w:r w:rsidRPr="00D874C5">
        <w:rPr>
          <w:rFonts w:cs="Arial"/>
          <w:szCs w:val="20"/>
        </w:rPr>
        <w:t xml:space="preserve"> občutljivega trajnega travinja na potencialnih vinogradniških legah).  </w:t>
      </w:r>
    </w:p>
    <w:p w14:paraId="7709AEF6" w14:textId="77777777" w:rsidR="00F14D7D" w:rsidRPr="00D874C5" w:rsidRDefault="00F14D7D" w:rsidP="00D874C5">
      <w:pPr>
        <w:suppressAutoHyphens/>
        <w:spacing w:before="200" w:line="360" w:lineRule="auto"/>
        <w:jc w:val="both"/>
        <w:rPr>
          <w:rFonts w:cs="Arial"/>
          <w:color w:val="000000"/>
          <w:szCs w:val="20"/>
        </w:rPr>
      </w:pPr>
      <w:r w:rsidRPr="00D874C5">
        <w:rPr>
          <w:rFonts w:cs="Arial"/>
          <w:szCs w:val="20"/>
        </w:rPr>
        <w:t>Razvoj panoge ovira tudi majhnost kmetijskih gospodarstev in nerešena zemljiška vprašanja (razdrobljenost, zapuščena zemljišča, lastništvo), delno pa tudi zemljiška politika z neustreznim vrstnim redom za nakup kmetijskih zemljišč in spreminjanjem pravil zakupa s strani Sklada kmetijskih zemljišč in gozdov Republike Slovenije.</w:t>
      </w:r>
    </w:p>
    <w:p w14:paraId="498A10DF" w14:textId="77777777" w:rsidR="00F14D7D" w:rsidRPr="00D874C5" w:rsidRDefault="00F14D7D" w:rsidP="00D874C5">
      <w:pPr>
        <w:suppressAutoHyphens/>
        <w:spacing w:before="200" w:line="360" w:lineRule="auto"/>
        <w:jc w:val="both"/>
        <w:rPr>
          <w:rFonts w:cs="Arial"/>
          <w:color w:val="000000"/>
          <w:szCs w:val="20"/>
        </w:rPr>
      </w:pPr>
      <w:r w:rsidRPr="00D874C5">
        <w:rPr>
          <w:rFonts w:cs="Arial"/>
          <w:color w:val="000000"/>
          <w:szCs w:val="20"/>
        </w:rPr>
        <w:t>Dodatno pridelavo otežujejo podnebne spremembe (ekstremni dogodki: toča, pozeba, dvig temperature, pojav novih škodljivcev, bolezni), večji del pridelovalcev pridelka ne zavaruje zaradi visokih zavarovalnih premij za škodo v vinogradih.</w:t>
      </w:r>
    </w:p>
    <w:p w14:paraId="50B61E71" w14:textId="77777777" w:rsidR="00F14D7D" w:rsidRPr="00D874C5" w:rsidRDefault="00F14D7D" w:rsidP="00D874C5">
      <w:pPr>
        <w:spacing w:before="200" w:line="360" w:lineRule="auto"/>
        <w:jc w:val="both"/>
        <w:rPr>
          <w:rFonts w:cs="Arial"/>
          <w:color w:val="000000"/>
          <w:szCs w:val="20"/>
        </w:rPr>
      </w:pPr>
      <w:r w:rsidRPr="00D874C5">
        <w:rPr>
          <w:rFonts w:cs="Arial"/>
          <w:szCs w:val="20"/>
          <w:lang w:eastAsia="en-GB"/>
        </w:rPr>
        <w:t>Vino ima pomembno vlogo</w:t>
      </w:r>
      <w:r w:rsidRPr="00D874C5">
        <w:rPr>
          <w:rFonts w:cs="Arial"/>
          <w:color w:val="000000"/>
          <w:szCs w:val="20"/>
        </w:rPr>
        <w:t xml:space="preserve"> v promociji turizma in gastronomije, ki pa bi jo bilo treba še okrepiti, kar je zaradi močne </w:t>
      </w:r>
      <w:proofErr w:type="spellStart"/>
      <w:r w:rsidRPr="00D874C5">
        <w:rPr>
          <w:rFonts w:cs="Arial"/>
          <w:color w:val="000000"/>
          <w:szCs w:val="20"/>
        </w:rPr>
        <w:t>antialkoholne</w:t>
      </w:r>
      <w:proofErr w:type="spellEnd"/>
      <w:r w:rsidRPr="00D874C5">
        <w:rPr>
          <w:rFonts w:cs="Arial"/>
          <w:color w:val="000000"/>
          <w:szCs w:val="20"/>
        </w:rPr>
        <w:t xml:space="preserve"> politike včasih oteženo. Dohodek na podeželju bi se lahko povečal preko diverzifikacije in neposredne prodaje vina.</w:t>
      </w:r>
    </w:p>
    <w:p w14:paraId="75BAB04F" w14:textId="77777777" w:rsidR="00F14D7D" w:rsidRPr="00D874C5" w:rsidRDefault="00F14D7D" w:rsidP="00D874C5">
      <w:pPr>
        <w:suppressAutoHyphens/>
        <w:spacing w:before="200" w:line="360" w:lineRule="auto"/>
        <w:jc w:val="both"/>
        <w:rPr>
          <w:rFonts w:cs="Arial"/>
          <w:color w:val="000000"/>
          <w:szCs w:val="20"/>
        </w:rPr>
      </w:pPr>
      <w:r w:rsidRPr="00D874C5">
        <w:rPr>
          <w:rFonts w:cs="Arial"/>
          <w:szCs w:val="20"/>
        </w:rPr>
        <w:t>Potrebnega bi bilo več izobraževanja in ozaveščanja potrošnikov o kulturi pitja vina in kakovosti vina, saj je zvestoba potrošnika na domačem trgu v upadu. Pri tem pa bo potrebno tudi večje razumevanje potreb trga s strani pridelovalcev.</w:t>
      </w:r>
    </w:p>
    <w:p w14:paraId="160AD00C" w14:textId="77777777" w:rsidR="00F14D7D" w:rsidRPr="00D874C5" w:rsidRDefault="00F14D7D" w:rsidP="00D874C5">
      <w:pPr>
        <w:spacing w:before="200" w:line="360" w:lineRule="auto"/>
        <w:jc w:val="both"/>
        <w:rPr>
          <w:rFonts w:eastAsia="Times New Roman" w:cs="Arial"/>
          <w:kern w:val="1"/>
          <w:szCs w:val="20"/>
        </w:rPr>
      </w:pPr>
      <w:r w:rsidRPr="00D874C5">
        <w:rPr>
          <w:rFonts w:eastAsia="Times New Roman" w:cs="Arial"/>
          <w:kern w:val="1"/>
          <w:szCs w:val="20"/>
        </w:rPr>
        <w:t xml:space="preserve">V Sloveniji deluje Javna služba na področju vinogradništva, v okviru katere se izvajajo strokovne naloge, kot je selekcija in introdukcija novih sort vinske trte, preizkušanje tehnologij ter strokovno-tehnična koordinacija v vinogradništvu. Slednja je pomembna za prenos znanja in rezultatov nalog javne službe do kmetijskih pridelovalcev, ki potekajo v sodelovanju z javno službo kmetijskega svetovanja. Pomembna pa je tudi za ustrezen prenos znanja med raziskovalnimi, izobraževalnimi in svetovalnimi ustanovami. </w:t>
      </w:r>
      <w:r w:rsidRPr="00D874C5">
        <w:rPr>
          <w:rFonts w:eastAsia="Times New Roman" w:cs="Arial"/>
          <w:szCs w:val="20"/>
        </w:rPr>
        <w:t xml:space="preserve">Ohranjanje rastlinskih genskih virov vinske trte  poteka v okviru javne službe nalog rastlinske genske banke, kjer je </w:t>
      </w:r>
      <w:proofErr w:type="spellStart"/>
      <w:r w:rsidRPr="00D874C5">
        <w:rPr>
          <w:rFonts w:eastAsia="Times New Roman" w:cs="Arial"/>
          <w:szCs w:val="20"/>
        </w:rPr>
        <w:t>shrajenih</w:t>
      </w:r>
      <w:proofErr w:type="spellEnd"/>
      <w:r w:rsidRPr="00D874C5">
        <w:rPr>
          <w:rFonts w:eastAsia="Times New Roman" w:cs="Arial"/>
          <w:szCs w:val="20"/>
        </w:rPr>
        <w:t xml:space="preserve"> 340 akcesij.</w:t>
      </w:r>
    </w:p>
    <w:p w14:paraId="37DC0DE3" w14:textId="77777777" w:rsidR="00F14D7D" w:rsidRPr="00D874C5" w:rsidRDefault="00F14D7D" w:rsidP="00D874C5">
      <w:pPr>
        <w:spacing w:before="200" w:line="360" w:lineRule="auto"/>
        <w:jc w:val="both"/>
        <w:rPr>
          <w:rFonts w:eastAsia="Times New Roman" w:cs="Arial"/>
          <w:szCs w:val="20"/>
          <w:lang w:eastAsia="en-GB"/>
        </w:rPr>
      </w:pPr>
      <w:r w:rsidRPr="00D874C5">
        <w:rPr>
          <w:rFonts w:eastAsia="Times New Roman" w:cs="Arial"/>
          <w:szCs w:val="20"/>
          <w:lang w:eastAsia="en-GB"/>
        </w:rPr>
        <w:t xml:space="preserve">Prenos znanja do pridelovalcev grozdja in vina poteka tudi preko pooblaščenih organizacij, ki spremljajo dozorevanje grozdja pred trgatvijo in analizirajo pridelek vina pred vstopom na trg, organizacij, ki izvajajo izotopske in druge analize vina in grozdja, izobražujejo pokuševalce vina in vinarske inšpektorje ter preko vsakoletnih strokovnih srečanj, organiziranih v okviru javnih služb. </w:t>
      </w:r>
    </w:p>
    <w:p w14:paraId="100D99C8" w14:textId="77777777" w:rsidR="00F14D7D" w:rsidRPr="00D874C5" w:rsidRDefault="00F14D7D" w:rsidP="00D874C5">
      <w:pPr>
        <w:spacing w:before="200" w:line="360" w:lineRule="auto"/>
        <w:jc w:val="both"/>
        <w:rPr>
          <w:rFonts w:cs="Arial"/>
          <w:szCs w:val="20"/>
        </w:rPr>
      </w:pPr>
      <w:r w:rsidRPr="00D874C5">
        <w:rPr>
          <w:rFonts w:eastAsia="Times New Roman" w:cs="Arial"/>
          <w:szCs w:val="20"/>
          <w:lang w:eastAsia="en-GB"/>
        </w:rPr>
        <w:lastRenderedPageBreak/>
        <w:t>Od leta 2011 dalje sta bila področju vinogradništva ali vinarstva namenjena le dva ciljna raziskovalna programa (CRP). V letu 2019 je bil v okviru Evropskega partnerstva za inovacije (EIP) izbran projekt “Uvedba novih mehanskih in avtonomnih avtomatiziranih tehnologij za trajnostno pridelavo grozdja v vinogradih”.</w:t>
      </w:r>
    </w:p>
    <w:p w14:paraId="74D138BD" w14:textId="77777777" w:rsidR="00F14D7D" w:rsidRPr="00D874C5" w:rsidRDefault="00F14D7D" w:rsidP="00D874C5">
      <w:pPr>
        <w:suppressAutoHyphens/>
        <w:spacing w:before="200" w:line="360" w:lineRule="auto"/>
        <w:jc w:val="both"/>
        <w:rPr>
          <w:rFonts w:eastAsia="Times New Roman" w:cs="Arial"/>
          <w:szCs w:val="20"/>
          <w:lang w:eastAsia="en-GB"/>
        </w:rPr>
      </w:pPr>
      <w:r w:rsidRPr="00D874C5">
        <w:rPr>
          <w:rFonts w:cs="Arial"/>
          <w:szCs w:val="20"/>
        </w:rPr>
        <w:t>Pomemben vpliv na razvoj panoge ima tudi dostopnost brezplačnih storitev javnih služb za uporabnike ter vzpostavljen sistem napovedovanja bolezni in škodljivcev, potrebno pa bilo financiranje več raziskovalnih in razvojnih nalog (CRP, EIP projekti in drugi projekti iz ukrepa »Sodelovanje«) za doseganje višje kakovosti in konkurenčnosti (izboljšanje tehnologije) ter okrepitev prenosa znanja.</w:t>
      </w:r>
    </w:p>
    <w:p w14:paraId="197A9583" w14:textId="77777777" w:rsidR="00F14D7D" w:rsidRPr="00D874C5" w:rsidRDefault="00F14D7D" w:rsidP="00D874C5">
      <w:pPr>
        <w:spacing w:before="200" w:line="360" w:lineRule="auto"/>
        <w:jc w:val="both"/>
        <w:rPr>
          <w:rFonts w:eastAsia="Times New Roman" w:cs="Arial"/>
          <w:szCs w:val="20"/>
          <w:lang w:eastAsia="en-GB"/>
        </w:rPr>
      </w:pPr>
      <w:r w:rsidRPr="00D874C5">
        <w:rPr>
          <w:rFonts w:eastAsia="Times New Roman" w:cs="Arial"/>
          <w:szCs w:val="20"/>
          <w:lang w:eastAsia="en-GB"/>
        </w:rPr>
        <w:t xml:space="preserve">Skupna evropska tržna ureditev za vino v okviru SKP 2014-2020 daje vinogradnikom možnost uveljavljanja podpor za različne ukrepe kmetijske politike. S spremembo skupne kmetijske politike v programskem obdobju 2014–2020 so vinogradi vključeni v shemo neposrednih plačil, zato lahko upravičenci na podlagi v letu 2015 na novo dodeljenih plačilnih pravic pridobijo osnovno plačilo in plačilo za zeleno komponento. </w:t>
      </w:r>
    </w:p>
    <w:p w14:paraId="0EC676F8" w14:textId="77777777" w:rsidR="00F14D7D" w:rsidRPr="00D874C5" w:rsidRDefault="00F14D7D" w:rsidP="00D874C5">
      <w:pPr>
        <w:spacing w:before="200" w:line="360" w:lineRule="auto"/>
        <w:jc w:val="both"/>
        <w:rPr>
          <w:rFonts w:eastAsia="Times New Roman" w:cs="Arial"/>
          <w:szCs w:val="20"/>
          <w:lang w:eastAsia="en-GB"/>
        </w:rPr>
      </w:pPr>
      <w:r w:rsidRPr="00D874C5">
        <w:rPr>
          <w:rFonts w:eastAsia="Times New Roman" w:cs="Arial"/>
          <w:szCs w:val="20"/>
          <w:lang w:eastAsia="en-GB"/>
        </w:rPr>
        <w:t xml:space="preserve">Ključna prelomnica v EU tržni ureditvi za vino se je zgodila 1. avgusta 2008, ko se je kot rezultat </w:t>
      </w:r>
      <w:proofErr w:type="spellStart"/>
      <w:r w:rsidRPr="00D874C5">
        <w:rPr>
          <w:rFonts w:eastAsia="Times New Roman" w:cs="Arial"/>
          <w:szCs w:val="20"/>
          <w:lang w:eastAsia="en-GB"/>
        </w:rPr>
        <w:t>t.i</w:t>
      </w:r>
      <w:proofErr w:type="spellEnd"/>
      <w:r w:rsidRPr="00D874C5">
        <w:rPr>
          <w:rFonts w:eastAsia="Times New Roman" w:cs="Arial"/>
          <w:szCs w:val="20"/>
          <w:lang w:eastAsia="en-GB"/>
        </w:rPr>
        <w:t>. vinske reforme spremenil način črpanja EU sredstev za ukrepe ureditve trga z vinom. Od leta 2009 dalje so sredstva EU proračuna za vino vnaprej razdeljena med države članice v  nacionalne ovojnice za vino, ki jih države članice porabljajo za razpoložljive ukrepe na podlagi vnaprej pripravljenih 5-letnih podpornih programov. V zadnjem obdobju ima Slovenija v nacionalni ovojnici za vino na voljo po 5,045 mio EUR letno. Program črpanja razpoložljivih sredstev, predložen EU Komisiji za obdobje 2009-2013, je vseboval naslednje ukrepe: prestrukturiranje vinogradov, promocija na tretjih trgih, podpora za uporabo zgoščenega grozdnega mošta in podpora za zeleno trgatev. Programa za obdobje 2014-2018 in 2019-2023 pa vsebujeta ukrepa za prestrukturiranje vinogradov in promocijo vina.</w:t>
      </w:r>
    </w:p>
    <w:p w14:paraId="6ECEBA4B" w14:textId="77777777" w:rsidR="00F14D7D" w:rsidRPr="00D874C5" w:rsidRDefault="00F14D7D" w:rsidP="00D874C5">
      <w:pPr>
        <w:spacing w:before="200" w:line="360" w:lineRule="auto"/>
        <w:jc w:val="both"/>
        <w:rPr>
          <w:rFonts w:eastAsia="Times New Roman" w:cs="Arial"/>
          <w:szCs w:val="20"/>
          <w:lang w:eastAsia="en-GB"/>
        </w:rPr>
      </w:pPr>
      <w:r w:rsidRPr="00D874C5">
        <w:rPr>
          <w:rFonts w:eastAsia="Times New Roman" w:cs="Arial"/>
          <w:szCs w:val="20"/>
          <w:lang w:eastAsia="en-GB"/>
        </w:rPr>
        <w:t>Dodatno se izvaja tudi nacionalni ukrep, namenjen podpiranju sejemskih in promocijskih dejavnosti na ciljnih trgih v obsegu 0,3 do 0,4 mio EUR letno.</w:t>
      </w:r>
    </w:p>
    <w:p w14:paraId="0BCDC3EA" w14:textId="77777777" w:rsidR="00F14D7D" w:rsidRPr="00D874C5" w:rsidRDefault="00F14D7D" w:rsidP="00D874C5">
      <w:pPr>
        <w:spacing w:before="200" w:line="360" w:lineRule="auto"/>
        <w:jc w:val="both"/>
        <w:rPr>
          <w:rFonts w:eastAsia="Times New Roman" w:cs="Arial"/>
          <w:szCs w:val="20"/>
          <w:lang w:eastAsia="en-GB"/>
        </w:rPr>
      </w:pPr>
      <w:r w:rsidRPr="00D874C5">
        <w:rPr>
          <w:rFonts w:eastAsia="TimesNewRoman" w:cs="Arial"/>
          <w:szCs w:val="20"/>
          <w:lang w:eastAsia="en-GB"/>
        </w:rPr>
        <w:t xml:space="preserve">V preteklih letih je bilo </w:t>
      </w:r>
      <w:r w:rsidRPr="00D874C5">
        <w:rPr>
          <w:rFonts w:eastAsia="Times New Roman" w:cs="Arial"/>
          <w:szCs w:val="20"/>
          <w:lang w:eastAsia="en-GB"/>
        </w:rPr>
        <w:t xml:space="preserve">v okviru ukrepov programa razvoja podeželja </w:t>
      </w:r>
      <w:r w:rsidRPr="00D874C5">
        <w:rPr>
          <w:rFonts w:eastAsia="TimesNewRoman" w:cs="Arial"/>
          <w:szCs w:val="20"/>
          <w:lang w:eastAsia="en-GB"/>
        </w:rPr>
        <w:t xml:space="preserve">izvedenih precej investicij v tehnološko opremo kleti. Do konca avgusta 2019 je bilo v okviru ukrepa Naložbe v predelavo/trženje kmetijskih proizvodov (PRP 2014-2020) za sektor vina izplačanih 36 vlog v skupni višini 2,13 mio EUR. </w:t>
      </w:r>
      <w:r w:rsidRPr="00D874C5">
        <w:rPr>
          <w:rFonts w:eastAsia="Times New Roman" w:cs="Arial"/>
          <w:szCs w:val="20"/>
          <w:lang w:eastAsia="en-GB"/>
        </w:rPr>
        <w:t>V okviru ukrepa naložbe na kmetijskih gospodarstvih je bilo za sektor vinogradništva izplačanih 30 vlog v višini 0,74 mio EUR, za sektor vino pa 10 vlog v višini 0,21 mio EUR. V okviru ukrepa KOPOP je v letu 2019 operacijo Vinogradništvo uveljavljalo 1079 kmetijskih gospodarstev za 6711 ha vinogradov. Za ekološko pridelavo pa je v letu 2019 podporo prejelo 607 ha vinogradov v višini 0,45 mio EUR.</w:t>
      </w:r>
    </w:p>
    <w:p w14:paraId="6FE19470" w14:textId="77777777" w:rsidR="00F14D7D" w:rsidRPr="00D874C5" w:rsidRDefault="00F14D7D" w:rsidP="00D874C5">
      <w:pPr>
        <w:spacing w:before="200" w:line="360" w:lineRule="auto"/>
        <w:jc w:val="both"/>
        <w:rPr>
          <w:rFonts w:eastAsia="Times New Roman" w:cs="Arial"/>
          <w:szCs w:val="20"/>
          <w:lang w:eastAsia="en-GB"/>
        </w:rPr>
      </w:pPr>
      <w:r w:rsidRPr="00D874C5">
        <w:rPr>
          <w:rFonts w:eastAsia="Times New Roman" w:cs="Arial"/>
          <w:szCs w:val="20"/>
          <w:lang w:eastAsia="en-GB"/>
        </w:rPr>
        <w:t>Podobno kot drugje v rastlinski pridelavi so tudi vinogradniki upravičeni do regresirane premijske stopnje za zavarovanje pridelka, ki je leta 2017 znašala 30 % (v letu 2016 20 %),</w:t>
      </w:r>
      <w:r w:rsidRPr="00D874C5">
        <w:rPr>
          <w:rFonts w:eastAsia="Calibri" w:cs="Arial"/>
          <w:szCs w:val="20"/>
          <w:lang w:eastAsia="en-GB"/>
        </w:rPr>
        <w:t xml:space="preserve"> </w:t>
      </w:r>
      <w:r w:rsidRPr="00D874C5">
        <w:rPr>
          <w:rFonts w:eastAsia="Times New Roman" w:cs="Arial"/>
          <w:szCs w:val="20"/>
          <w:lang w:eastAsia="en-GB"/>
        </w:rPr>
        <w:t xml:space="preserve">in vračila 70 % trošarine za porabljeno gorivo v kmetijske namene. </w:t>
      </w:r>
    </w:p>
    <w:p w14:paraId="3C0881E0" w14:textId="77777777" w:rsidR="00F14D7D" w:rsidRPr="00D874C5" w:rsidRDefault="00F14D7D" w:rsidP="00D874C5">
      <w:pPr>
        <w:spacing w:before="200" w:line="360" w:lineRule="auto"/>
        <w:jc w:val="both"/>
        <w:rPr>
          <w:rFonts w:eastAsia="Times New Roman" w:cs="Arial"/>
          <w:kern w:val="1"/>
          <w:szCs w:val="20"/>
        </w:rPr>
      </w:pPr>
      <w:r w:rsidRPr="00D874C5">
        <w:rPr>
          <w:rFonts w:eastAsia="Times New Roman" w:cs="Arial"/>
          <w:szCs w:val="20"/>
          <w:lang w:eastAsia="en-GB"/>
        </w:rPr>
        <w:lastRenderedPageBreak/>
        <w:t>V obdobju pandemije oziroma izrednih razmer zaradi Covid-19 v prvi polovici leta 2020 so bili slovenski vinogradniki in vinarji upravičeni tudi do naslednjih kriznih ukrepov v skupni višini 8,76 mio EUR, namenjenih posebej tej panogi: krizna destilacija vina (umik s trga 6,87 mio litrov vina), krizno skladiščenje vina (začasni umik 0,75 mio litrov vina), zelena trgatev (zmanjšanje pridelka na nič na 126 ha vinogradov) in finančna pomoč za izpad dohodka v proizvodnji vina (pomoč je prejelo 1624 vinarjev).</w:t>
      </w:r>
    </w:p>
    <w:p w14:paraId="06001F3F" w14:textId="178ACE68" w:rsidR="00CF3CC6" w:rsidRDefault="00CF3CC6" w:rsidP="00A50A87">
      <w:pPr>
        <w:pStyle w:val="Naslov3"/>
        <w:rPr>
          <w:rFonts w:eastAsia="Calibri"/>
        </w:rPr>
      </w:pPr>
      <w:bookmarkStart w:id="216" w:name="_Toc55912226"/>
      <w:r w:rsidRPr="00A50A87">
        <w:rPr>
          <w:rFonts w:eastAsia="Calibri"/>
        </w:rPr>
        <w:t>Ključne ugotovitve</w:t>
      </w:r>
      <w:bookmarkEnd w:id="216"/>
    </w:p>
    <w:p w14:paraId="603104D8" w14:textId="77777777" w:rsidR="00177AA3" w:rsidRPr="003B2B91" w:rsidRDefault="00177AA3" w:rsidP="000A650F">
      <w:pPr>
        <w:pStyle w:val="Odstavekseznama"/>
        <w:numPr>
          <w:ilvl w:val="0"/>
          <w:numId w:val="43"/>
        </w:numPr>
        <w:tabs>
          <w:tab w:val="left" w:pos="2160"/>
        </w:tabs>
        <w:spacing w:before="120" w:after="120" w:line="360" w:lineRule="auto"/>
        <w:ind w:left="357" w:hanging="357"/>
        <w:contextualSpacing w:val="0"/>
        <w:jc w:val="both"/>
        <w:rPr>
          <w:rFonts w:eastAsia="Times New Roman" w:cs="Arial"/>
          <w:szCs w:val="20"/>
          <w:lang w:eastAsia="en-GB"/>
        </w:rPr>
      </w:pPr>
      <w:r w:rsidRPr="003B2B91">
        <w:rPr>
          <w:rFonts w:eastAsia="Times New Roman" w:cs="Arial"/>
          <w:szCs w:val="20"/>
          <w:lang w:eastAsia="en-GB"/>
        </w:rPr>
        <w:t xml:space="preserve">Obseg površin vinogradov v Sloveniji se zmanjšuje, značilna je razdrobljena velikostna struktura, obnove vinogradov ne dosegajo enostavne reprodukcije, zato bi bilo potrebno okrepiti </w:t>
      </w:r>
      <w:r w:rsidRPr="003B2B91">
        <w:rPr>
          <w:rFonts w:cs="Arial"/>
          <w:szCs w:val="20"/>
        </w:rPr>
        <w:t xml:space="preserve">naložbe, zlasti v obnove nasadov in </w:t>
      </w:r>
      <w:r w:rsidRPr="003B2B91">
        <w:rPr>
          <w:rFonts w:eastAsia="Times New Roman" w:cs="Arial"/>
          <w:szCs w:val="20"/>
          <w:lang w:eastAsia="en-GB"/>
        </w:rPr>
        <w:t>povečati velikostno strukturo vinogradov.</w:t>
      </w:r>
    </w:p>
    <w:p w14:paraId="5393BAEB" w14:textId="77777777" w:rsidR="00177AA3" w:rsidRPr="003B2B91" w:rsidRDefault="00177AA3" w:rsidP="000A650F">
      <w:pPr>
        <w:numPr>
          <w:ilvl w:val="0"/>
          <w:numId w:val="43"/>
        </w:numPr>
        <w:spacing w:before="120" w:after="120" w:line="360" w:lineRule="auto"/>
        <w:ind w:left="357" w:hanging="357"/>
        <w:jc w:val="both"/>
        <w:rPr>
          <w:rFonts w:eastAsia="Times New Roman" w:cs="Arial"/>
          <w:szCs w:val="20"/>
          <w:lang w:eastAsia="en-GB"/>
        </w:rPr>
      </w:pPr>
      <w:r w:rsidRPr="003B2B91">
        <w:rPr>
          <w:rFonts w:eastAsia="Times New Roman" w:cs="Arial"/>
          <w:szCs w:val="20"/>
          <w:lang w:eastAsia="en-GB"/>
        </w:rPr>
        <w:t>Večina območij, na katerih ležijo vinogradi, je takih, ki so po talnih, reliefnih in podnebnih razmerah primerne predvsem za vinogradništvo, zato bi opustitev vinogradov na teh območjih potencialno pripeljala do zaraščanja.</w:t>
      </w:r>
    </w:p>
    <w:p w14:paraId="6576AB27" w14:textId="77777777" w:rsidR="00177AA3" w:rsidRPr="003B2B91" w:rsidRDefault="00177AA3" w:rsidP="000A650F">
      <w:pPr>
        <w:numPr>
          <w:ilvl w:val="0"/>
          <w:numId w:val="43"/>
        </w:numPr>
        <w:spacing w:before="120" w:after="120" w:line="360" w:lineRule="auto"/>
        <w:ind w:left="357" w:hanging="357"/>
        <w:jc w:val="both"/>
        <w:rPr>
          <w:rFonts w:eastAsia="Times New Roman" w:cs="Arial"/>
          <w:szCs w:val="20"/>
          <w:lang w:eastAsia="en-GB"/>
        </w:rPr>
      </w:pPr>
      <w:r w:rsidRPr="003B2B91">
        <w:rPr>
          <w:rFonts w:eastAsia="Times New Roman" w:cs="Arial"/>
          <w:szCs w:val="20"/>
          <w:lang w:eastAsia="en-GB"/>
        </w:rPr>
        <w:t>Ekonomika pridelave grozdja se sicer nekoliko izboljšuje, vendar je zelo odvisna od letine, z rekordnim pridelkom leta 2018 pa so se razmere na trgu z vinom ponovno poslabšale, zato se pojavlja potreba po okrepitvi naložb in prilagoditvi tehnologije pridelave novim razmeram, kot tudi upravljanju in obvladovanju tveganj.</w:t>
      </w:r>
    </w:p>
    <w:p w14:paraId="1490D295" w14:textId="77777777" w:rsidR="00177AA3" w:rsidRPr="003B2B91" w:rsidRDefault="00177AA3" w:rsidP="000A650F">
      <w:pPr>
        <w:numPr>
          <w:ilvl w:val="0"/>
          <w:numId w:val="43"/>
        </w:numPr>
        <w:spacing w:before="120" w:after="120" w:line="360" w:lineRule="auto"/>
        <w:ind w:left="357" w:hanging="357"/>
        <w:jc w:val="both"/>
        <w:rPr>
          <w:rFonts w:eastAsia="Times New Roman" w:cs="Arial"/>
          <w:szCs w:val="20"/>
          <w:lang w:eastAsia="en-GB"/>
        </w:rPr>
      </w:pPr>
      <w:r w:rsidRPr="003B2B91">
        <w:rPr>
          <w:rFonts w:eastAsia="Times New Roman" w:cs="Arial"/>
          <w:szCs w:val="20"/>
          <w:lang w:eastAsia="en-GB"/>
        </w:rPr>
        <w:t xml:space="preserve">V panogi šepa združevanje pridelovalcev za skupni nastop na trgu in izboljšanje položaja  pridelovalcev v verigi, zato bi bilo potrebno </w:t>
      </w:r>
      <w:r w:rsidRPr="003B2B91">
        <w:rPr>
          <w:rFonts w:eastAsia="Arial" w:cs="Arial"/>
          <w:szCs w:val="20"/>
          <w:lang w:eastAsia="en-GB"/>
        </w:rPr>
        <w:t>spodbujati povezovanje pridelovalcev.</w:t>
      </w:r>
    </w:p>
    <w:p w14:paraId="12EB68B0" w14:textId="77777777" w:rsidR="00177AA3" w:rsidRPr="003B2B91" w:rsidRDefault="00177AA3" w:rsidP="000A650F">
      <w:pPr>
        <w:numPr>
          <w:ilvl w:val="0"/>
          <w:numId w:val="43"/>
        </w:numPr>
        <w:spacing w:before="120" w:after="120" w:line="360" w:lineRule="auto"/>
        <w:ind w:left="357" w:hanging="357"/>
        <w:jc w:val="both"/>
        <w:rPr>
          <w:rFonts w:eastAsia="Times New Roman" w:cs="Arial"/>
          <w:szCs w:val="20"/>
          <w:lang w:eastAsia="en-GB"/>
        </w:rPr>
      </w:pPr>
      <w:r w:rsidRPr="003B2B91">
        <w:rPr>
          <w:rFonts w:eastAsia="Times New Roman" w:cs="Arial"/>
          <w:szCs w:val="20"/>
          <w:lang w:eastAsia="en-GB"/>
        </w:rPr>
        <w:t xml:space="preserve">Slovenska vina še niso dosegla ustrezne stopnje prepoznavnosti, zato je potrebno nadaljevati s promocijskimi aktivnostmi v okviru sektorskih intervencij in drugih podpor (tudi v sklopu turizma in gastronomije), z večjim poudarkom na generični promociji. </w:t>
      </w:r>
    </w:p>
    <w:p w14:paraId="431D2241" w14:textId="4203311B" w:rsidR="00177AA3" w:rsidRPr="00177AA3" w:rsidRDefault="00177AA3" w:rsidP="000A650F">
      <w:pPr>
        <w:numPr>
          <w:ilvl w:val="0"/>
          <w:numId w:val="43"/>
        </w:numPr>
        <w:spacing w:before="120" w:after="120" w:line="360" w:lineRule="auto"/>
        <w:ind w:left="357" w:hanging="357"/>
        <w:jc w:val="both"/>
      </w:pPr>
      <w:r w:rsidRPr="00177AA3">
        <w:rPr>
          <w:rFonts w:eastAsia="Times New Roman" w:cs="Arial"/>
          <w:szCs w:val="20"/>
          <w:lang w:eastAsia="en-GB"/>
        </w:rPr>
        <w:t>Potreben bi bil tudi večji poudarek in spodbude pridelavi namiznega grozdja, kjer samooskrbe praktično ni.</w:t>
      </w:r>
    </w:p>
    <w:p w14:paraId="71BD4EA5" w14:textId="3747FCB3" w:rsidR="00CF3CC6" w:rsidRPr="00B00FAD" w:rsidRDefault="00CF3CC6" w:rsidP="00177AA3">
      <w:pPr>
        <w:pStyle w:val="Naslov2"/>
        <w:ind w:left="578" w:hanging="578"/>
      </w:pPr>
      <w:bookmarkStart w:id="217" w:name="_Toc40959291"/>
      <w:bookmarkStart w:id="218" w:name="_Toc55912227"/>
      <w:r w:rsidRPr="0065287C">
        <w:t xml:space="preserve">Sektor </w:t>
      </w:r>
      <w:proofErr w:type="spellStart"/>
      <w:r w:rsidRPr="0065287C">
        <w:t>oljkarstva</w:t>
      </w:r>
      <w:bookmarkEnd w:id="217"/>
      <w:bookmarkEnd w:id="218"/>
      <w:proofErr w:type="spellEnd"/>
      <w:r w:rsidRPr="0065287C">
        <w:t xml:space="preserve">  </w:t>
      </w:r>
    </w:p>
    <w:p w14:paraId="524F962B" w14:textId="77777777" w:rsidR="00177AA3" w:rsidRPr="003B2B91" w:rsidRDefault="00177AA3" w:rsidP="00177AA3">
      <w:pPr>
        <w:spacing w:before="200" w:line="360" w:lineRule="auto"/>
        <w:jc w:val="both"/>
        <w:rPr>
          <w:rFonts w:eastAsia="Times New Roman" w:cs="Arial"/>
          <w:szCs w:val="20"/>
          <w:lang w:eastAsia="en-GB"/>
        </w:rPr>
      </w:pPr>
      <w:proofErr w:type="spellStart"/>
      <w:r w:rsidRPr="003B2B91">
        <w:rPr>
          <w:rFonts w:eastAsia="Times New Roman" w:cs="Arial"/>
          <w:szCs w:val="20"/>
          <w:lang w:eastAsia="en-GB"/>
        </w:rPr>
        <w:t>Oljkarstvo</w:t>
      </w:r>
      <w:proofErr w:type="spellEnd"/>
      <w:r w:rsidRPr="003B2B91">
        <w:rPr>
          <w:rFonts w:eastAsia="Times New Roman" w:cs="Arial"/>
          <w:szCs w:val="20"/>
          <w:lang w:eastAsia="en-GB"/>
        </w:rPr>
        <w:t xml:space="preserve"> je v Sloveniji omejeno na Slovensko Istro in na del Goriških Brd ter Goriškega, kjer je to tradicionalna kmetijska panoga, pomembna tako za trajnostni razvoj tega območja kot tudi za ohranjanje značilne sredozemske krajine in kulturne dediščine. </w:t>
      </w:r>
      <w:r w:rsidRPr="003B2B91">
        <w:rPr>
          <w:rFonts w:cs="Arial"/>
          <w:szCs w:val="20"/>
        </w:rPr>
        <w:t>K skupni vrednosti kmetijske pridelave po letu 2007 oljčno olje skupaj prispeva med 0,2 % in 0,7 %, k vrednosti rastlinske pridelave pa med 0,3 % in 1,2 %.</w:t>
      </w:r>
    </w:p>
    <w:p w14:paraId="65828B0C" w14:textId="11CE5953" w:rsidR="00CF3CC6" w:rsidRPr="00B00FAD" w:rsidRDefault="00177AA3" w:rsidP="00177AA3">
      <w:pPr>
        <w:spacing w:before="200" w:line="360" w:lineRule="auto"/>
        <w:jc w:val="both"/>
        <w:rPr>
          <w:rFonts w:eastAsia="Calibri" w:cs="Arial"/>
          <w:szCs w:val="20"/>
        </w:rPr>
      </w:pPr>
      <w:r w:rsidRPr="003B2B91">
        <w:rPr>
          <w:rFonts w:eastAsia="Times New Roman" w:cs="Arial"/>
          <w:szCs w:val="20"/>
          <w:lang w:eastAsia="en-GB"/>
        </w:rPr>
        <w:t xml:space="preserve">Oljčno olje ima vse večji pomen za zdravo prehranjevanje. </w:t>
      </w:r>
      <w:r w:rsidRPr="003B2B91">
        <w:rPr>
          <w:rFonts w:eastAsia="Arial" w:cs="Arial"/>
          <w:szCs w:val="20"/>
          <w:lang w:eastAsia="en-GB"/>
        </w:rPr>
        <w:t xml:space="preserve">Slovensko oljčno olje lahko ob primerni tehnologiji (ustrezna oskrba nasada, namakanje, ustrezne sorte in skrb za zdravstveno varstvo oljk) in ugodnih vremenskih razmerah, kot tudi ob pravočasnem obiranju in predelavi oljk ter skladiščenju oljčnega olja dosega visoko kakovost. Interes oljkarjev za proizvodnjo kakovostnega oljčnega olja se kaže v dolgoletni proizvodnji ekstra deviškega oljčnega olja z zaščiteno označbo porekla. Vendar pa je </w:t>
      </w:r>
      <w:r w:rsidRPr="003B2B91">
        <w:rPr>
          <w:rFonts w:eastAsia="Arial" w:cs="Arial"/>
          <w:szCs w:val="20"/>
          <w:lang w:eastAsia="en-GB"/>
        </w:rPr>
        <w:lastRenderedPageBreak/>
        <w:t xml:space="preserve">delež tržno usmerjenih oljkarjev majhen, saj se večina oljčnega olja proda na kmetiji in ne po evidentiranih tržnih poteh. </w:t>
      </w:r>
    </w:p>
    <w:p w14:paraId="6593426A" w14:textId="676E12F4" w:rsidR="00CF3CC6" w:rsidRDefault="00CF3CC6" w:rsidP="001A65B9">
      <w:pPr>
        <w:pStyle w:val="Naslov3"/>
        <w:rPr>
          <w:rFonts w:eastAsia="Calibri"/>
        </w:rPr>
      </w:pPr>
      <w:bookmarkStart w:id="219" w:name="_Toc55912228"/>
      <w:r w:rsidRPr="00B00FAD">
        <w:rPr>
          <w:rFonts w:eastAsia="Calibri"/>
        </w:rPr>
        <w:t>Stanje v sektorju</w:t>
      </w:r>
      <w:r w:rsidR="00B00FAD">
        <w:rPr>
          <w:rFonts w:eastAsia="Calibri"/>
        </w:rPr>
        <w:t xml:space="preserve"> in osnovni ekonomski kazalniki</w:t>
      </w:r>
      <w:bookmarkEnd w:id="219"/>
    </w:p>
    <w:p w14:paraId="214B2080" w14:textId="77777777" w:rsidR="00177AA3" w:rsidRDefault="00177AA3" w:rsidP="00177AA3">
      <w:pPr>
        <w:spacing w:before="200" w:line="360" w:lineRule="auto"/>
        <w:jc w:val="both"/>
        <w:rPr>
          <w:rFonts w:eastAsia="Arial" w:cs="Arial"/>
          <w:szCs w:val="20"/>
          <w:lang w:eastAsia="en-GB"/>
        </w:rPr>
      </w:pPr>
      <w:r w:rsidRPr="003B2B91">
        <w:rPr>
          <w:rFonts w:eastAsia="Arial" w:cs="Arial"/>
          <w:szCs w:val="20"/>
          <w:lang w:eastAsia="en-GB"/>
        </w:rPr>
        <w:t>Skupna površina oljčnikov v Sloveniji sicer predstavlja le 0,3 % vseh kmetijskih zemljišč in znaša 2.356 ha (dejanska raba). Oljčnike ima 2.808 kmetijskih gospodarstev. Večina oljčnikov je v Slovenski Istri (96 %), ostala območja so Goriško, Goriška Brda, Vipava in Kras. Prav na teh območjih se kaže trend in potreba po postavitvah novih nasadov oljk. Z redno obnovo oz. novimi zasaditvami oljčnikov bi se lahko skupna površina le-teh povečala do 3.000 ha. Trend naraščanja površin je spodbuden (v zadnjih petih letih v povprečju 94 ha na leto, od 2014 do 2018</w:t>
      </w:r>
      <w:r w:rsidRPr="003B2B91" w:rsidDel="006A3187">
        <w:rPr>
          <w:rFonts w:eastAsia="Arial" w:cs="Arial"/>
          <w:szCs w:val="20"/>
          <w:lang w:eastAsia="en-GB"/>
        </w:rPr>
        <w:t xml:space="preserve"> </w:t>
      </w:r>
      <w:r w:rsidRPr="003B2B91">
        <w:rPr>
          <w:rFonts w:eastAsia="Arial" w:cs="Arial"/>
          <w:szCs w:val="20"/>
          <w:lang w:eastAsia="en-GB"/>
        </w:rPr>
        <w:t>za 378 ha). Ponovna rast površin oljčnikov je zlasti visoka po letu 2012.</w:t>
      </w:r>
    </w:p>
    <w:p w14:paraId="52CE6CE5" w14:textId="514E33E1" w:rsidR="00177AA3" w:rsidRDefault="00177AA3" w:rsidP="00177AA3">
      <w:pPr>
        <w:spacing w:after="0" w:line="360" w:lineRule="auto"/>
      </w:pPr>
      <w:bookmarkStart w:id="220" w:name="_Toc55913795"/>
      <w:r>
        <w:t xml:space="preserve">Slika </w:t>
      </w:r>
      <w:r>
        <w:fldChar w:fldCharType="begin"/>
      </w:r>
      <w:r>
        <w:instrText xml:space="preserve"> SEQ Slika \* ARABIC </w:instrText>
      </w:r>
      <w:r>
        <w:fldChar w:fldCharType="separate"/>
      </w:r>
      <w:r w:rsidR="0040635C">
        <w:rPr>
          <w:noProof/>
        </w:rPr>
        <w:t>46</w:t>
      </w:r>
      <w:r>
        <w:fldChar w:fldCharType="end"/>
      </w:r>
      <w:r>
        <w:t xml:space="preserve">: </w:t>
      </w:r>
      <w:r w:rsidRPr="00177AA3">
        <w:t>Površina oljčnikov in št. KMG</w:t>
      </w:r>
      <w:bookmarkEnd w:id="220"/>
    </w:p>
    <w:p w14:paraId="301EB393" w14:textId="77777777" w:rsidR="00177AA3" w:rsidRPr="003B2B91" w:rsidRDefault="00177AA3" w:rsidP="00177AA3">
      <w:pPr>
        <w:spacing w:after="0" w:line="360" w:lineRule="auto"/>
        <w:rPr>
          <w:rFonts w:eastAsia="Times New Roman" w:cs="Arial"/>
          <w:szCs w:val="20"/>
          <w:lang w:eastAsia="en-GB"/>
        </w:rPr>
      </w:pPr>
      <w:r w:rsidRPr="003B2B91">
        <w:rPr>
          <w:rFonts w:cs="Arial"/>
          <w:noProof/>
          <w:szCs w:val="20"/>
        </w:rPr>
        <w:drawing>
          <wp:inline distT="0" distB="0" distL="0" distR="0" wp14:anchorId="1C939D57" wp14:editId="6607DA03">
            <wp:extent cx="5771072" cy="2222500"/>
            <wp:effectExtent l="0" t="0" r="1270" b="6350"/>
            <wp:docPr id="24169606" name="Grafikon 2416960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4DBD5F6" w14:textId="77777777" w:rsidR="00177AA3" w:rsidRPr="00306DB4" w:rsidRDefault="00177AA3" w:rsidP="00177AA3">
      <w:pPr>
        <w:spacing w:after="0" w:line="360" w:lineRule="auto"/>
        <w:rPr>
          <w:rFonts w:eastAsia="Arial" w:cs="Arial"/>
          <w:szCs w:val="20"/>
          <w:lang w:eastAsia="en-GB"/>
        </w:rPr>
      </w:pPr>
      <w:r w:rsidRPr="005718B1">
        <w:rPr>
          <w:rFonts w:eastAsia="Times New Roman" w:cs="Arial"/>
          <w:sz w:val="16"/>
          <w:szCs w:val="16"/>
          <w:lang w:eastAsia="en-GB"/>
        </w:rPr>
        <w:t>Vir: MKGP</w:t>
      </w:r>
      <w:r>
        <w:rPr>
          <w:rFonts w:eastAsia="Times New Roman" w:cs="Arial"/>
          <w:sz w:val="16"/>
          <w:szCs w:val="16"/>
          <w:lang w:eastAsia="en-GB"/>
        </w:rPr>
        <w:t>-2020, SURS-2020</w:t>
      </w:r>
    </w:p>
    <w:p w14:paraId="20AC03C1" w14:textId="77777777" w:rsidR="00177AA3" w:rsidRPr="00177AA3" w:rsidRDefault="00177AA3" w:rsidP="00177AA3">
      <w:pPr>
        <w:spacing w:before="200" w:line="360" w:lineRule="auto"/>
        <w:jc w:val="both"/>
        <w:rPr>
          <w:rFonts w:eastAsia="Arial" w:cs="Arial"/>
          <w:szCs w:val="20"/>
          <w:lang w:eastAsia="en-GB"/>
        </w:rPr>
      </w:pPr>
      <w:r w:rsidRPr="00177AA3">
        <w:rPr>
          <w:rFonts w:eastAsia="Times New Roman" w:cs="Arial"/>
          <w:szCs w:val="20"/>
          <w:lang w:eastAsia="en-GB"/>
        </w:rPr>
        <w:t xml:space="preserve">Za slovensko </w:t>
      </w:r>
      <w:proofErr w:type="spellStart"/>
      <w:r w:rsidRPr="00177AA3">
        <w:rPr>
          <w:rFonts w:eastAsia="Times New Roman" w:cs="Arial"/>
          <w:szCs w:val="20"/>
          <w:lang w:eastAsia="en-GB"/>
        </w:rPr>
        <w:t>oljkarstvo</w:t>
      </w:r>
      <w:proofErr w:type="spellEnd"/>
      <w:r w:rsidRPr="00177AA3">
        <w:rPr>
          <w:rFonts w:eastAsia="Times New Roman" w:cs="Arial"/>
          <w:szCs w:val="20"/>
          <w:lang w:eastAsia="en-GB"/>
        </w:rPr>
        <w:t xml:space="preserve"> so značilna majhna kmetijska gospodarstva (75 % kmetijskih gospodarstev ima manj kot 0,3 ha oljčnikov) in razdrobljenost oljčnikov (42 % je manjših od 0,1 ha, 82 % manj kot 0,3 ha oziroma le 2 % oljčnikov je velikih nad 1 ha). Ta majhnost kmetijskih gospodarstev in razdrobljenost ter težje pridobivanje zemljišč v najem iz Sklada kmetijskih zemljišč in gozdov Republike Slovenije predstavljajo omejujoče faktorje za razvoj </w:t>
      </w:r>
      <w:proofErr w:type="spellStart"/>
      <w:r w:rsidRPr="00177AA3">
        <w:rPr>
          <w:rFonts w:eastAsia="Times New Roman" w:cs="Arial"/>
          <w:szCs w:val="20"/>
          <w:lang w:eastAsia="en-GB"/>
        </w:rPr>
        <w:t>oljkarstva</w:t>
      </w:r>
      <w:proofErr w:type="spellEnd"/>
      <w:r w:rsidRPr="00177AA3">
        <w:rPr>
          <w:rFonts w:eastAsia="Times New Roman" w:cs="Arial"/>
          <w:szCs w:val="20"/>
          <w:lang w:eastAsia="en-GB"/>
        </w:rPr>
        <w:t>.</w:t>
      </w:r>
    </w:p>
    <w:p w14:paraId="0218BE3C" w14:textId="77777777" w:rsidR="00177AA3" w:rsidRPr="00177AA3" w:rsidRDefault="00177AA3" w:rsidP="00177AA3">
      <w:pPr>
        <w:autoSpaceDE w:val="0"/>
        <w:autoSpaceDN w:val="0"/>
        <w:adjustRightInd w:val="0"/>
        <w:spacing w:before="200" w:line="360" w:lineRule="auto"/>
        <w:jc w:val="both"/>
        <w:rPr>
          <w:rFonts w:eastAsia="Arial" w:cs="Arial"/>
          <w:szCs w:val="20"/>
          <w:lang w:eastAsia="en-GB"/>
        </w:rPr>
      </w:pPr>
      <w:r w:rsidRPr="00177AA3">
        <w:rPr>
          <w:rFonts w:eastAsia="Times New Roman" w:cs="Arial"/>
          <w:szCs w:val="20"/>
          <w:lang w:eastAsia="en-GB"/>
        </w:rPr>
        <w:t xml:space="preserve">Zaradi neugodnih zemljiških razmer, velikega deleža nasadov na pobočjih in zaradi prilagajanja posebnim podnebnim razmeram (pridelava oljk v Sloveniji je na najbolj severnih pridelovalnih območjih za oljko, zaradi česar so pozebe pogostejše), je tehnologija pridelave oljk v Sloveniji zahtevna. Stroški naložb so na takšni zemljiški strukturi višji (terase so na cca. 50 % površine oljčnikov oziroma 720 ha). 86,5% oljčnikov se nahaja v OMD (gorsko območje). </w:t>
      </w:r>
    </w:p>
    <w:p w14:paraId="0A46C357" w14:textId="77777777" w:rsidR="00177AA3" w:rsidRPr="00177AA3" w:rsidRDefault="00177AA3" w:rsidP="00177AA3">
      <w:pPr>
        <w:spacing w:before="200" w:line="360" w:lineRule="auto"/>
        <w:jc w:val="both"/>
        <w:rPr>
          <w:rFonts w:eastAsia="Arial" w:cs="Arial"/>
          <w:szCs w:val="20"/>
          <w:lang w:eastAsia="en-GB"/>
        </w:rPr>
      </w:pPr>
      <w:r w:rsidRPr="00177AA3">
        <w:rPr>
          <w:rFonts w:eastAsia="Arial" w:cs="Arial"/>
          <w:szCs w:val="20"/>
          <w:lang w:eastAsia="en-GB"/>
        </w:rPr>
        <w:t xml:space="preserve">Po podatkih MKGP Slovenija letno pridela od 1.000 do 2.200 ton oljk, iz katerih proizvede od 170 do 350 ton oljčnega olja, vendar ti podatki zaradi slabega vpisa oljkarjev v RKG in slabega poročanja količine oljk in oljčnega olja v RKG niso realni. Po oceni stroke znaša pridelek oljk od 4.000 do 6.000 </w:t>
      </w:r>
      <w:r w:rsidRPr="00177AA3">
        <w:rPr>
          <w:rFonts w:eastAsia="Arial" w:cs="Arial"/>
          <w:szCs w:val="20"/>
          <w:lang w:eastAsia="en-GB"/>
        </w:rPr>
        <w:lastRenderedPageBreak/>
        <w:t xml:space="preserve">ton in proizvodnja oljčnega olja od 300 do 900 ton. Slovenija je tudi v okviru EU majhna proizvajalka oljčnega olja in v celotni proizvodnji EU znaša le 0,02 %. Pridelek oljk zaradi vremenskih razmer med leti zelo niha. Najbolj slaba letina zadnjih 10 let je bila leta 2014, ko je bil zaradi precej deževnega poletja ekstremen napad oljčne muhe, v nadaljnjih letih od 2015 do 2017 podpovprečna zaradi suše, medtem ko je bila letina 2018 nadpovprečna, v 2019 pa ponovno slaba. Skladno s tem je bil manjši tudi hektarski pridelek oljk, ki je ob normalni letini 2,5 ton/ha. Hektarski pridelek je odvisen tudi od starosti oljk, saj oljka stopi pozno v rodnost (v 10 – 12 letu), rodna pa je lahko več 100 let. V Registru živilskih obratov je registriranih 34 oljarn, kar je glede na količine oljčnega olja veliko. Po ocenah je vsaj še enkrat toliko malih oljarn, uporabljenih predvsem za stiskanje oljčnega olja za lastno uporabo. </w:t>
      </w:r>
    </w:p>
    <w:p w14:paraId="6F3307B9" w14:textId="22341270" w:rsidR="00177AA3" w:rsidRDefault="00177AA3" w:rsidP="00177AA3">
      <w:pPr>
        <w:spacing w:after="0" w:line="360" w:lineRule="auto"/>
      </w:pPr>
      <w:bookmarkStart w:id="221" w:name="_Toc55913796"/>
      <w:r>
        <w:t xml:space="preserve">Slika </w:t>
      </w:r>
      <w:r>
        <w:fldChar w:fldCharType="begin"/>
      </w:r>
      <w:r>
        <w:instrText xml:space="preserve"> SEQ Slika \* ARABIC </w:instrText>
      </w:r>
      <w:r>
        <w:fldChar w:fldCharType="separate"/>
      </w:r>
      <w:r w:rsidR="0040635C">
        <w:rPr>
          <w:noProof/>
        </w:rPr>
        <w:t>47</w:t>
      </w:r>
      <w:r>
        <w:fldChar w:fldCharType="end"/>
      </w:r>
      <w:r>
        <w:t xml:space="preserve">: </w:t>
      </w:r>
      <w:r w:rsidRPr="00177AA3">
        <w:t>Pridelek oljk</w:t>
      </w:r>
      <w:bookmarkEnd w:id="221"/>
    </w:p>
    <w:p w14:paraId="122BD03A" w14:textId="77777777" w:rsidR="00177AA3" w:rsidRPr="003B2B91" w:rsidRDefault="00177AA3" w:rsidP="00177AA3">
      <w:pPr>
        <w:autoSpaceDE w:val="0"/>
        <w:autoSpaceDN w:val="0"/>
        <w:adjustRightInd w:val="0"/>
        <w:spacing w:after="0" w:line="360" w:lineRule="auto"/>
        <w:rPr>
          <w:rFonts w:eastAsia="Times New Roman" w:cs="Arial"/>
          <w:szCs w:val="20"/>
          <w:lang w:eastAsia="en-GB"/>
        </w:rPr>
      </w:pPr>
      <w:r w:rsidRPr="003B2B91">
        <w:rPr>
          <w:rFonts w:cs="Arial"/>
          <w:noProof/>
          <w:szCs w:val="20"/>
        </w:rPr>
        <w:drawing>
          <wp:inline distT="0" distB="0" distL="0" distR="0" wp14:anchorId="564382E6" wp14:editId="77019B47">
            <wp:extent cx="4314352" cy="2202643"/>
            <wp:effectExtent l="0" t="0" r="10160" b="7620"/>
            <wp:docPr id="24169607" name="Grafikon 241696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5E00CE6" w14:textId="77777777" w:rsidR="00177AA3" w:rsidRPr="005718B1" w:rsidRDefault="00177AA3" w:rsidP="00177AA3">
      <w:pPr>
        <w:spacing w:after="0" w:line="360" w:lineRule="auto"/>
        <w:rPr>
          <w:rFonts w:eastAsia="Times New Roman" w:cs="Arial"/>
          <w:sz w:val="16"/>
          <w:szCs w:val="16"/>
          <w:lang w:eastAsia="en-GB"/>
        </w:rPr>
      </w:pPr>
      <w:r w:rsidRPr="005718B1">
        <w:rPr>
          <w:rFonts w:eastAsia="Times New Roman" w:cs="Arial"/>
          <w:sz w:val="16"/>
          <w:szCs w:val="16"/>
          <w:lang w:eastAsia="en-GB"/>
        </w:rPr>
        <w:t>Vir: MKGP</w:t>
      </w:r>
      <w:r>
        <w:rPr>
          <w:rFonts w:eastAsia="Times New Roman" w:cs="Arial"/>
          <w:sz w:val="16"/>
          <w:szCs w:val="16"/>
          <w:lang w:eastAsia="en-GB"/>
        </w:rPr>
        <w:t>-2020</w:t>
      </w:r>
      <w:r w:rsidRPr="005718B1">
        <w:rPr>
          <w:rFonts w:eastAsia="Times New Roman" w:cs="Arial"/>
          <w:sz w:val="16"/>
          <w:szCs w:val="16"/>
          <w:lang w:eastAsia="en-GB"/>
        </w:rPr>
        <w:t>, SURS</w:t>
      </w:r>
      <w:r>
        <w:rPr>
          <w:rFonts w:eastAsia="Times New Roman" w:cs="Arial"/>
          <w:sz w:val="16"/>
          <w:szCs w:val="16"/>
          <w:lang w:eastAsia="en-GB"/>
        </w:rPr>
        <w:t>-2020</w:t>
      </w:r>
    </w:p>
    <w:p w14:paraId="13A52751" w14:textId="77777777" w:rsidR="00177AA3" w:rsidRDefault="00177AA3" w:rsidP="00177AA3">
      <w:pPr>
        <w:pStyle w:val="Napis"/>
      </w:pPr>
    </w:p>
    <w:p w14:paraId="2C91CB0B" w14:textId="6CAB5B15" w:rsidR="00177AA3" w:rsidRDefault="00177AA3" w:rsidP="00177AA3">
      <w:pPr>
        <w:spacing w:after="0" w:line="360" w:lineRule="auto"/>
      </w:pPr>
      <w:bookmarkStart w:id="222" w:name="_Toc55913797"/>
      <w:r>
        <w:t xml:space="preserve">Slika </w:t>
      </w:r>
      <w:r>
        <w:fldChar w:fldCharType="begin"/>
      </w:r>
      <w:r>
        <w:instrText xml:space="preserve"> SEQ Slika \* ARABIC </w:instrText>
      </w:r>
      <w:r>
        <w:fldChar w:fldCharType="separate"/>
      </w:r>
      <w:r w:rsidR="0040635C">
        <w:rPr>
          <w:noProof/>
        </w:rPr>
        <w:t>48</w:t>
      </w:r>
      <w:r>
        <w:fldChar w:fldCharType="end"/>
      </w:r>
      <w:r>
        <w:t xml:space="preserve">: </w:t>
      </w:r>
      <w:r w:rsidRPr="00177AA3">
        <w:t>Proizvodnja oljčnega olja</w:t>
      </w:r>
      <w:bookmarkEnd w:id="222"/>
    </w:p>
    <w:p w14:paraId="2A0F5943" w14:textId="77777777" w:rsidR="00177AA3" w:rsidRPr="003B2B91" w:rsidRDefault="00177AA3" w:rsidP="00177AA3">
      <w:pPr>
        <w:autoSpaceDE w:val="0"/>
        <w:autoSpaceDN w:val="0"/>
        <w:adjustRightInd w:val="0"/>
        <w:spacing w:after="0" w:line="360" w:lineRule="auto"/>
        <w:rPr>
          <w:rFonts w:eastAsia="Times New Roman" w:cs="Arial"/>
          <w:szCs w:val="20"/>
          <w:lang w:eastAsia="en-GB"/>
        </w:rPr>
      </w:pPr>
      <w:r w:rsidRPr="003B2B91">
        <w:rPr>
          <w:rFonts w:cs="Arial"/>
          <w:noProof/>
          <w:szCs w:val="20"/>
        </w:rPr>
        <w:drawing>
          <wp:inline distT="0" distB="0" distL="0" distR="0" wp14:anchorId="13AED7F3" wp14:editId="359F4125">
            <wp:extent cx="4319404" cy="2344098"/>
            <wp:effectExtent l="0" t="0" r="5080" b="18415"/>
            <wp:docPr id="24169609" name="Grafikon 241696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9E03463" w14:textId="77777777" w:rsidR="00177AA3" w:rsidRPr="003B2B91" w:rsidRDefault="00177AA3" w:rsidP="00177AA3">
      <w:pPr>
        <w:spacing w:after="0" w:line="360" w:lineRule="auto"/>
        <w:rPr>
          <w:rFonts w:eastAsia="Times New Roman" w:cs="Arial"/>
          <w:szCs w:val="20"/>
          <w:lang w:eastAsia="en-GB"/>
        </w:rPr>
      </w:pPr>
      <w:r w:rsidRPr="005718B1">
        <w:rPr>
          <w:rFonts w:eastAsia="Times New Roman" w:cs="Arial"/>
          <w:sz w:val="16"/>
          <w:szCs w:val="16"/>
          <w:lang w:eastAsia="en-GB"/>
        </w:rPr>
        <w:t>Vir: MKGP</w:t>
      </w:r>
      <w:r>
        <w:rPr>
          <w:rFonts w:eastAsia="Times New Roman" w:cs="Arial"/>
          <w:sz w:val="16"/>
          <w:szCs w:val="16"/>
          <w:lang w:eastAsia="en-GB"/>
        </w:rPr>
        <w:t>-2020</w:t>
      </w:r>
    </w:p>
    <w:p w14:paraId="194673AA" w14:textId="77777777" w:rsidR="00177AA3" w:rsidRDefault="00177AA3" w:rsidP="00177AA3">
      <w:pPr>
        <w:spacing w:before="200" w:line="360" w:lineRule="auto"/>
        <w:jc w:val="both"/>
        <w:rPr>
          <w:rFonts w:eastAsia="Arial" w:cs="Arial"/>
          <w:szCs w:val="20"/>
          <w:lang w:eastAsia="en-GB"/>
        </w:rPr>
      </w:pPr>
      <w:r w:rsidRPr="003B2B91">
        <w:rPr>
          <w:rFonts w:eastAsia="Arial" w:cs="Arial"/>
          <w:szCs w:val="20"/>
          <w:lang w:eastAsia="en-GB"/>
        </w:rPr>
        <w:t xml:space="preserve">Ekološka pridelava se povečuje, v letu 2010 je bilo v ekološko pridelavo vključenih </w:t>
      </w:r>
      <w:r>
        <w:rPr>
          <w:rFonts w:eastAsia="Arial" w:cs="Arial"/>
          <w:szCs w:val="20"/>
          <w:lang w:eastAsia="en-GB"/>
        </w:rPr>
        <w:t xml:space="preserve">11 % </w:t>
      </w:r>
      <w:r w:rsidRPr="003B2B91">
        <w:rPr>
          <w:rFonts w:eastAsia="Arial" w:cs="Arial"/>
          <w:szCs w:val="20"/>
          <w:lang w:eastAsia="en-GB"/>
        </w:rPr>
        <w:t>oljčnikov, medtem ko je bila v letu 2019 takšna pridelava pri 196 KMG-jih na 278 ha oljčnikih</w:t>
      </w:r>
      <w:r>
        <w:rPr>
          <w:rFonts w:eastAsia="Arial" w:cs="Arial"/>
          <w:szCs w:val="20"/>
          <w:lang w:eastAsia="en-GB"/>
        </w:rPr>
        <w:t xml:space="preserve"> ali 20 % oljčnikov</w:t>
      </w:r>
      <w:r w:rsidRPr="003B2B91">
        <w:rPr>
          <w:rFonts w:eastAsia="Arial" w:cs="Arial"/>
          <w:szCs w:val="20"/>
          <w:lang w:eastAsia="en-GB"/>
        </w:rPr>
        <w:t>.</w:t>
      </w:r>
    </w:p>
    <w:p w14:paraId="06D9E6B5" w14:textId="7C942C49" w:rsidR="00177AA3" w:rsidRDefault="00177AA3" w:rsidP="00177AA3">
      <w:pPr>
        <w:spacing w:after="0" w:line="360" w:lineRule="auto"/>
      </w:pPr>
      <w:bookmarkStart w:id="223" w:name="_Toc55913798"/>
      <w:r>
        <w:lastRenderedPageBreak/>
        <w:t xml:space="preserve">Slika </w:t>
      </w:r>
      <w:r>
        <w:fldChar w:fldCharType="begin"/>
      </w:r>
      <w:r>
        <w:instrText xml:space="preserve"> SEQ Slika \* ARABIC </w:instrText>
      </w:r>
      <w:r>
        <w:fldChar w:fldCharType="separate"/>
      </w:r>
      <w:r w:rsidR="0040635C">
        <w:rPr>
          <w:noProof/>
        </w:rPr>
        <w:t>49</w:t>
      </w:r>
      <w:r>
        <w:fldChar w:fldCharType="end"/>
      </w:r>
      <w:r>
        <w:t xml:space="preserve">: </w:t>
      </w:r>
      <w:r w:rsidRPr="00177AA3">
        <w:t>Površina oljčnikov z ekološko pridelavo (ha)</w:t>
      </w:r>
      <w:bookmarkEnd w:id="223"/>
    </w:p>
    <w:p w14:paraId="4A103C85" w14:textId="77777777" w:rsidR="00177AA3" w:rsidRDefault="00177AA3" w:rsidP="00177AA3">
      <w:pPr>
        <w:autoSpaceDE w:val="0"/>
        <w:autoSpaceDN w:val="0"/>
        <w:adjustRightInd w:val="0"/>
        <w:spacing w:after="0" w:line="360" w:lineRule="auto"/>
        <w:rPr>
          <w:rFonts w:eastAsia="Times New Roman" w:cs="Arial"/>
          <w:szCs w:val="20"/>
          <w:lang w:eastAsia="en-GB"/>
        </w:rPr>
      </w:pPr>
      <w:r w:rsidRPr="003B2B91">
        <w:rPr>
          <w:rFonts w:cs="Arial"/>
          <w:noProof/>
          <w:szCs w:val="20"/>
        </w:rPr>
        <w:drawing>
          <wp:inline distT="0" distB="0" distL="0" distR="0" wp14:anchorId="3993074D" wp14:editId="588BED29">
            <wp:extent cx="4883848" cy="2637489"/>
            <wp:effectExtent l="0" t="0" r="12065" b="10795"/>
            <wp:docPr id="24169610" name="Grafikon 241696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BEEA7A2" w14:textId="77777777" w:rsidR="00177AA3" w:rsidRPr="005718B1" w:rsidRDefault="00177AA3" w:rsidP="00177AA3">
      <w:pPr>
        <w:autoSpaceDE w:val="0"/>
        <w:autoSpaceDN w:val="0"/>
        <w:adjustRightInd w:val="0"/>
        <w:spacing w:after="0" w:line="360" w:lineRule="auto"/>
        <w:rPr>
          <w:rFonts w:eastAsia="Times New Roman" w:cs="Arial"/>
          <w:sz w:val="16"/>
          <w:szCs w:val="16"/>
          <w:lang w:eastAsia="en-GB"/>
        </w:rPr>
      </w:pPr>
      <w:r w:rsidRPr="005718B1">
        <w:rPr>
          <w:rFonts w:eastAsia="Times New Roman" w:cs="Arial"/>
          <w:sz w:val="16"/>
          <w:szCs w:val="16"/>
          <w:lang w:eastAsia="en-GB"/>
        </w:rPr>
        <w:t xml:space="preserve">Vir: </w:t>
      </w:r>
      <w:r>
        <w:rPr>
          <w:rFonts w:eastAsia="Times New Roman" w:cs="Arial"/>
          <w:sz w:val="16"/>
          <w:szCs w:val="16"/>
          <w:lang w:eastAsia="en-GB"/>
        </w:rPr>
        <w:t>MKGP-2020</w:t>
      </w:r>
    </w:p>
    <w:p w14:paraId="3DA1F294" w14:textId="77777777" w:rsidR="00177AA3" w:rsidRPr="00177AA3" w:rsidRDefault="00177AA3" w:rsidP="00177AA3">
      <w:pPr>
        <w:autoSpaceDE w:val="0"/>
        <w:autoSpaceDN w:val="0"/>
        <w:adjustRightInd w:val="0"/>
        <w:spacing w:before="200" w:line="360" w:lineRule="auto"/>
        <w:jc w:val="both"/>
        <w:rPr>
          <w:rFonts w:eastAsia="Arial" w:cs="Arial"/>
          <w:szCs w:val="20"/>
          <w:lang w:eastAsia="en-GB"/>
        </w:rPr>
      </w:pPr>
      <w:r w:rsidRPr="00177AA3">
        <w:rPr>
          <w:rFonts w:eastAsia="Arial" w:cs="Arial"/>
          <w:szCs w:val="20"/>
          <w:lang w:eastAsia="en-GB"/>
        </w:rPr>
        <w:t>Predelava oljk v namizne oljke je omejena, vendar perspektivna dejavnost. Prijava pridelka v RKG kaže rahlo rast proizvodnje, ki v povprečju zadnjih 5 let znaša 6 ton.</w:t>
      </w:r>
    </w:p>
    <w:p w14:paraId="08E3F402" w14:textId="77777777" w:rsidR="00177AA3" w:rsidRPr="00177AA3" w:rsidRDefault="00177AA3" w:rsidP="00177AA3">
      <w:pPr>
        <w:autoSpaceDE w:val="0"/>
        <w:autoSpaceDN w:val="0"/>
        <w:adjustRightInd w:val="0"/>
        <w:spacing w:before="200" w:line="360" w:lineRule="auto"/>
        <w:jc w:val="both"/>
        <w:rPr>
          <w:rFonts w:eastAsia="Arial" w:cs="Arial"/>
          <w:szCs w:val="20"/>
          <w:lang w:eastAsia="en-GB"/>
        </w:rPr>
      </w:pPr>
      <w:r w:rsidRPr="00177AA3">
        <w:rPr>
          <w:rFonts w:eastAsia="Times New Roman" w:cs="Arial"/>
          <w:szCs w:val="20"/>
          <w:lang w:eastAsia="en-GB"/>
        </w:rPr>
        <w:t xml:space="preserve">Stopnja samooskrbe z oljčnim oljem je deficitarna in je odvisna predvsem od letne proizvodnje slovenskega oljčnega olja, medtem ko se poraba oljčnega olja povečuje. Stopnja samooskrbe se je v obdobju 2010–2019 gibala od 10% v letu 2014 do 32% v letu 2018, v povprečju pa 20%. </w:t>
      </w:r>
      <w:r w:rsidRPr="00177AA3">
        <w:rPr>
          <w:rFonts w:eastAsia="Arial" w:cs="Arial"/>
          <w:szCs w:val="20"/>
          <w:lang w:eastAsia="en-GB"/>
        </w:rPr>
        <w:t>Ocenjena poraba (proizvodnja + uvoz - izvoz) za sezono 2019 znaša 2.291 ton oljčnega olja, kar znaša 1,1 litra na prebivalca. Poraba oljčnega olja v zadnjih 20 letih sicer raste, a je v primerjavi z velikimi proizvajalkami oljčnega olja (Grčija 12 l, Španija 10 l, Italija 9 l) nizka. Slovensko oljčno olje se večinoma proda v Sloveniji. Potrošniki so pri izbiri oljčnega olja pozorni predvsem na kakovost, okus, državo porekla, označbe, proizvajalca. Zato je v Sloveniji perspektivna proizvodnja visoko kakovostnega oljčnega olja (iz shem kakovosti ZOP).</w:t>
      </w:r>
    </w:p>
    <w:p w14:paraId="2C1494D8" w14:textId="77777777" w:rsidR="00177AA3" w:rsidRPr="00177AA3" w:rsidRDefault="00177AA3" w:rsidP="00177AA3">
      <w:pPr>
        <w:autoSpaceDE w:val="0"/>
        <w:autoSpaceDN w:val="0"/>
        <w:adjustRightInd w:val="0"/>
        <w:spacing w:before="200" w:line="360" w:lineRule="auto"/>
        <w:jc w:val="both"/>
        <w:rPr>
          <w:rFonts w:eastAsia="Arial" w:cs="Arial"/>
          <w:szCs w:val="20"/>
          <w:lang w:eastAsia="en-GB"/>
        </w:rPr>
      </w:pPr>
      <w:r w:rsidRPr="00177AA3">
        <w:rPr>
          <w:rFonts w:eastAsia="Arial" w:cs="Arial"/>
          <w:szCs w:val="20"/>
          <w:lang w:eastAsia="en-GB"/>
        </w:rPr>
        <w:t xml:space="preserve">Slovensko oljčno olje dosega visoke cene, 10 EUR/l pri pridelovalcih, olje vrhunske kakovosti = ZOP pa od 18 do 19 EUR/l oziroma precej več (odvisno tudi velikosti pakiranja). Ker na trg prihaja vse več kakovostnega, a cenejšega oljčnega olja iz tujine, obstaja nevarnost nekonkurenčnosti slovenskega olja. V trgovinah namreč </w:t>
      </w:r>
      <w:proofErr w:type="spellStart"/>
      <w:r w:rsidRPr="00177AA3">
        <w:rPr>
          <w:rFonts w:eastAsia="Arial" w:cs="Arial"/>
          <w:szCs w:val="20"/>
          <w:lang w:eastAsia="en-GB"/>
        </w:rPr>
        <w:t>prevaladuje</w:t>
      </w:r>
      <w:proofErr w:type="spellEnd"/>
      <w:r w:rsidRPr="00177AA3">
        <w:rPr>
          <w:rFonts w:eastAsia="Arial" w:cs="Arial"/>
          <w:szCs w:val="20"/>
          <w:lang w:eastAsia="en-GB"/>
        </w:rPr>
        <w:t xml:space="preserve"> oljčno olje neslovenskega porekla, slovensko oljčno olje pa je predvsem visoke kakovosti (ZOP), katerega cena je precej višja od tujega. Veliko tega oljčnega olja ZOP se proda v turizmu kot butični proizvod. Glede na majhno površino oljčnikov na kmetijsko gospodarstvo je večina slovenskih oljkarjev netržnih. Največ oljčnega olja se še vedno proda na kmetijah pri oljkarjih. </w:t>
      </w:r>
    </w:p>
    <w:p w14:paraId="2C9EEB13" w14:textId="77777777" w:rsidR="00177AA3" w:rsidRPr="00177AA3" w:rsidRDefault="00177AA3" w:rsidP="00177AA3">
      <w:pPr>
        <w:autoSpaceDE w:val="0"/>
        <w:autoSpaceDN w:val="0"/>
        <w:adjustRightInd w:val="0"/>
        <w:spacing w:before="200" w:line="360" w:lineRule="auto"/>
        <w:jc w:val="both"/>
        <w:rPr>
          <w:rFonts w:eastAsia="Arial" w:cs="Arial"/>
          <w:szCs w:val="20"/>
          <w:lang w:eastAsia="en-GB"/>
        </w:rPr>
      </w:pPr>
      <w:r w:rsidRPr="00177AA3">
        <w:rPr>
          <w:rFonts w:eastAsia="Arial" w:cs="Arial"/>
          <w:szCs w:val="20"/>
          <w:lang w:eastAsia="en-GB"/>
        </w:rPr>
        <w:t xml:space="preserve">Pri uvozu oljčnega olja beležimo hitro rast. Leta 2000 je uvoz znašal 714 ton, s postopno rastjo je v letu 2013 presegel 1.900 ton in se do leta 2019 giblje v tem obsegu (določen delež predstavlja uvoz zaradi </w:t>
      </w:r>
      <w:r w:rsidRPr="00177AA3">
        <w:rPr>
          <w:rFonts w:eastAsia="Arial" w:cs="Arial"/>
          <w:szCs w:val="20"/>
          <w:lang w:eastAsia="en-GB"/>
        </w:rPr>
        <w:lastRenderedPageBreak/>
        <w:t>izvoza). Izvoz v zadnjih desetih letih znaša v povprečju 43 ton letno (vendar gre v večini primerov za izvoz po uvozu), izvoz slovenskega oljčnega olja pa je količinsko zanemarljiv.</w:t>
      </w:r>
    </w:p>
    <w:p w14:paraId="67AD121D" w14:textId="77777777" w:rsidR="00177AA3" w:rsidRPr="00177AA3" w:rsidRDefault="00177AA3" w:rsidP="00177AA3">
      <w:pPr>
        <w:spacing w:before="200" w:line="360" w:lineRule="auto"/>
        <w:jc w:val="both"/>
        <w:rPr>
          <w:rFonts w:eastAsia="TimesNewRoman" w:cs="Arial"/>
          <w:szCs w:val="20"/>
        </w:rPr>
      </w:pPr>
      <w:r w:rsidRPr="00177AA3">
        <w:rPr>
          <w:rFonts w:cs="Arial"/>
          <w:color w:val="000000" w:themeColor="text1"/>
          <w:szCs w:val="20"/>
        </w:rPr>
        <w:t xml:space="preserve">Oljka kot tipična sredozemska kultura je za slovensko Primorje nepogrešljiva. Je del tradicionalne krajine in pomembna za trajnostno kmetijstvo. Zato urejeni oljčniki in samostojna stara drevesa oljk, vključno s starimi </w:t>
      </w:r>
      <w:proofErr w:type="spellStart"/>
      <w:r w:rsidRPr="00177AA3">
        <w:rPr>
          <w:rFonts w:cs="Arial"/>
          <w:color w:val="000000" w:themeColor="text1"/>
          <w:szCs w:val="20"/>
        </w:rPr>
        <w:t>torklami</w:t>
      </w:r>
      <w:proofErr w:type="spellEnd"/>
      <w:r w:rsidRPr="00177AA3">
        <w:rPr>
          <w:rFonts w:cs="Arial"/>
          <w:color w:val="000000" w:themeColor="text1"/>
          <w:szCs w:val="20"/>
        </w:rPr>
        <w:t xml:space="preserve"> za stiskanje oljčnega olja, predstavljajo bogato naravno in kulturno bogastvo Primorske. </w:t>
      </w:r>
      <w:r w:rsidRPr="00177AA3">
        <w:rPr>
          <w:rFonts w:cs="Arial"/>
          <w:szCs w:val="20"/>
        </w:rPr>
        <w:t>Oljčniki so območja s posebno ekološko vrednostjo, tudi zaradi malih oljkarjev, ki niso tržno usmerjeni, prispevajo pa k mozaični krajini in biotski raznovrstnosti ter razvoju turizma.</w:t>
      </w:r>
      <w:r w:rsidRPr="00177AA3">
        <w:rPr>
          <w:rFonts w:eastAsia="TimesNewRoman" w:cs="Arial"/>
          <w:szCs w:val="20"/>
        </w:rPr>
        <w:t xml:space="preserve"> Pomembno je spodbujanje trajnostnega razvoja z ozaveščanjem pridelovalcev o naravi prijaznih tehnologijah pridelave.</w:t>
      </w:r>
    </w:p>
    <w:p w14:paraId="759CD70C" w14:textId="77777777" w:rsidR="00177AA3" w:rsidRPr="00177AA3" w:rsidRDefault="00177AA3" w:rsidP="00177AA3">
      <w:pPr>
        <w:spacing w:before="200" w:line="360" w:lineRule="auto"/>
        <w:jc w:val="both"/>
        <w:rPr>
          <w:rFonts w:eastAsia="TimesNewRoman" w:cs="Arial"/>
          <w:szCs w:val="20"/>
        </w:rPr>
      </w:pPr>
      <w:r w:rsidRPr="00177AA3">
        <w:rPr>
          <w:rFonts w:cs="Arial"/>
          <w:color w:val="000000" w:themeColor="text1"/>
          <w:szCs w:val="20"/>
        </w:rPr>
        <w:t xml:space="preserve">Oljka je drevo, ki pozno vstopi v rodnost, rodna pa je lahko tudi več sto let. Zato je pomembno ohranjanje starih oljk in oljčnikov. Tudi z vidika porabe vode je oljka kot zimzelena rastlina z globokimi koreninami prilagojena na manjšo porabo vode, čeprav pogostejša sušna obdobja tudi pri oljki vplivajo na slabši pridelek. </w:t>
      </w:r>
      <w:r w:rsidRPr="00177AA3">
        <w:rPr>
          <w:rFonts w:eastAsia="Arial" w:cs="Arial"/>
          <w:szCs w:val="20"/>
        </w:rPr>
        <w:t xml:space="preserve">Podnebne spremembe, kot so daljša sušna obdobja, večje število ekstremnih pojavov, kot je zmrzal ali toča, neugodno vplivajo na pridelavo oljk in tudi na kakovost oljčnega olja. Zato je tudi v </w:t>
      </w:r>
      <w:proofErr w:type="spellStart"/>
      <w:r w:rsidRPr="00177AA3">
        <w:rPr>
          <w:rFonts w:eastAsia="Arial" w:cs="Arial"/>
          <w:szCs w:val="20"/>
        </w:rPr>
        <w:t>oljkarstvu</w:t>
      </w:r>
      <w:proofErr w:type="spellEnd"/>
      <w:r w:rsidRPr="00177AA3">
        <w:rPr>
          <w:rFonts w:eastAsia="Arial" w:cs="Arial"/>
          <w:szCs w:val="20"/>
        </w:rPr>
        <w:t xml:space="preserve"> potrebna prilagoditev tehnologije pridelave oljk, vključno s pridelovanjem primernih sort in varstva pred boleznimi in škodljivci. Ena od možnosti prilagoditve tehnologije temu pojavu je namakanje, saj so  ekstremna sušna obdobja na območjih pridelave oljk vedno bolj pogosta. Število namakalnih sistemov v oljčnikih se sicer povečuje, a je njihov delež še vedno zanemarljiv: skupaj 26 ha v 87 oljčnikih. T</w:t>
      </w:r>
      <w:r w:rsidRPr="00177AA3">
        <w:rPr>
          <w:rFonts w:eastAsia="TimesNewRoman" w:cs="Arial"/>
          <w:szCs w:val="20"/>
        </w:rPr>
        <w:t>ežave so tudi pri pridobivanju dovoljenj za postavitev namakalnih sistemov zaradi omejenost vodnih virov na Primorskem.</w:t>
      </w:r>
    </w:p>
    <w:p w14:paraId="1CF2D282" w14:textId="77777777" w:rsidR="00177AA3" w:rsidRPr="00177AA3" w:rsidRDefault="00177AA3" w:rsidP="00177AA3">
      <w:pPr>
        <w:spacing w:before="200" w:line="360" w:lineRule="auto"/>
        <w:jc w:val="both"/>
        <w:rPr>
          <w:rFonts w:eastAsia="Arial" w:cs="Arial"/>
          <w:szCs w:val="20"/>
        </w:rPr>
      </w:pPr>
      <w:r w:rsidRPr="00177AA3">
        <w:rPr>
          <w:rFonts w:eastAsia="Arial" w:cs="Arial"/>
          <w:szCs w:val="20"/>
        </w:rPr>
        <w:t xml:space="preserve">Zaradi večjega pojavljanja toče se tudi v </w:t>
      </w:r>
      <w:proofErr w:type="spellStart"/>
      <w:r w:rsidRPr="00177AA3">
        <w:rPr>
          <w:rFonts w:eastAsia="Arial" w:cs="Arial"/>
          <w:szCs w:val="20"/>
        </w:rPr>
        <w:t>oljkarstvu</w:t>
      </w:r>
      <w:proofErr w:type="spellEnd"/>
      <w:r w:rsidRPr="00177AA3">
        <w:rPr>
          <w:rFonts w:eastAsia="Arial" w:cs="Arial"/>
          <w:szCs w:val="20"/>
        </w:rPr>
        <w:t xml:space="preserve"> pojavlja potreba po mrežah proti toči. Svetuje se saditev lokalnih sort (preizkušanje sort in primernih podlag, zagotovitev sadilnega materiala), prilagojenih za razmere na območjih pridelave oljk v Sloveniji. Pomembna je učinkovita opazovalna napovedovalna dejavnost službe za varstvo rastlin za potrebe </w:t>
      </w:r>
      <w:proofErr w:type="spellStart"/>
      <w:r w:rsidRPr="00177AA3">
        <w:rPr>
          <w:rFonts w:eastAsia="Arial" w:cs="Arial"/>
          <w:szCs w:val="20"/>
        </w:rPr>
        <w:t>oljkarstva</w:t>
      </w:r>
      <w:proofErr w:type="spellEnd"/>
      <w:r w:rsidRPr="00177AA3">
        <w:rPr>
          <w:rFonts w:eastAsia="Arial" w:cs="Arial"/>
          <w:szCs w:val="20"/>
        </w:rPr>
        <w:t xml:space="preserve">. </w:t>
      </w:r>
    </w:p>
    <w:p w14:paraId="2A82957A" w14:textId="77777777" w:rsidR="00177AA3" w:rsidRPr="00177AA3" w:rsidRDefault="00177AA3" w:rsidP="00177AA3">
      <w:pPr>
        <w:spacing w:before="200" w:line="360" w:lineRule="auto"/>
        <w:jc w:val="both"/>
        <w:rPr>
          <w:rFonts w:eastAsia="Arial" w:cs="Arial"/>
          <w:szCs w:val="20"/>
        </w:rPr>
      </w:pPr>
      <w:r w:rsidRPr="00177AA3">
        <w:rPr>
          <w:rFonts w:cs="Arial"/>
          <w:szCs w:val="20"/>
        </w:rPr>
        <w:t>Starostna struktura oljkarjev je glede na pogoje statusa 'mladi kmet' neugodna. Največji delež predstavljajo oljkarji, stari od 41 do 64 let (1397 kmetijskih gospodarstev ali 47 %), skoraj toliko je starejših od 64 let (1321 kmetijskih gospodarstev ali 46% ), le 230 kmetijskih gospodarstev ali 7% predstavlja oljkarje, mlajše od 41 let.</w:t>
      </w:r>
    </w:p>
    <w:p w14:paraId="6EAD3166" w14:textId="77777777" w:rsidR="00177AA3" w:rsidRPr="00177AA3" w:rsidRDefault="00177AA3" w:rsidP="00177AA3">
      <w:pPr>
        <w:spacing w:before="200" w:line="360" w:lineRule="auto"/>
        <w:jc w:val="both"/>
        <w:rPr>
          <w:rFonts w:cs="Arial"/>
          <w:szCs w:val="20"/>
        </w:rPr>
      </w:pPr>
      <w:r w:rsidRPr="00177AA3">
        <w:rPr>
          <w:rFonts w:eastAsia="TimesNewRoman" w:cs="Arial"/>
          <w:color w:val="000000" w:themeColor="text1"/>
          <w:szCs w:val="20"/>
        </w:rPr>
        <w:t xml:space="preserve">Za podeželje na Primorskem je </w:t>
      </w:r>
      <w:proofErr w:type="spellStart"/>
      <w:r w:rsidRPr="00177AA3">
        <w:rPr>
          <w:rFonts w:eastAsia="TimesNewRoman" w:cs="Arial"/>
          <w:color w:val="000000" w:themeColor="text1"/>
          <w:szCs w:val="20"/>
        </w:rPr>
        <w:t>oljkarstvo</w:t>
      </w:r>
      <w:proofErr w:type="spellEnd"/>
      <w:r w:rsidRPr="00177AA3">
        <w:rPr>
          <w:rFonts w:eastAsia="TimesNewRoman" w:cs="Arial"/>
          <w:color w:val="000000" w:themeColor="text1"/>
          <w:szCs w:val="20"/>
        </w:rPr>
        <w:t xml:space="preserve"> pomembno tudi zaradi ohranjanja sredozemske kulturne krajine in tradicije </w:t>
      </w:r>
      <w:proofErr w:type="spellStart"/>
      <w:r w:rsidRPr="00177AA3">
        <w:rPr>
          <w:rFonts w:eastAsia="TimesNewRoman" w:cs="Arial"/>
          <w:color w:val="000000" w:themeColor="text1"/>
          <w:szCs w:val="20"/>
        </w:rPr>
        <w:t>oljkarstva</w:t>
      </w:r>
      <w:proofErr w:type="spellEnd"/>
      <w:r w:rsidRPr="00177AA3">
        <w:rPr>
          <w:rFonts w:eastAsia="TimesNewRoman" w:cs="Arial"/>
          <w:color w:val="000000" w:themeColor="text1"/>
          <w:szCs w:val="20"/>
        </w:rPr>
        <w:t xml:space="preserve"> v povezavi s turizmom in gastronomijo (oljčni turizem). Oljkarji uvajajo nove produkte oljk (poleg vlaganja oljk tudi namazi, oljčno olje z dodatki, ipd</w:t>
      </w:r>
      <w:r w:rsidRPr="00177AA3">
        <w:rPr>
          <w:rFonts w:eastAsia="TimesNewRoman" w:cs="Arial"/>
          <w:szCs w:val="20"/>
        </w:rPr>
        <w:t xml:space="preserve">.). Predelava oljk daje </w:t>
      </w:r>
      <w:r w:rsidRPr="00177AA3">
        <w:rPr>
          <w:rFonts w:eastAsia="TimesNewRoman" w:cs="Arial"/>
          <w:color w:val="000000" w:themeColor="text1"/>
          <w:szCs w:val="20"/>
        </w:rPr>
        <w:t xml:space="preserve">možnost uporabe stranskih proizvodov oljk (oljčne tropine, rastlinska voda, koščice, listi). Zaradi neugodne starostne strukture oljkarjev obstaja nevarnost opuščanje </w:t>
      </w:r>
      <w:proofErr w:type="spellStart"/>
      <w:r w:rsidRPr="00177AA3">
        <w:rPr>
          <w:rFonts w:eastAsia="TimesNewRoman" w:cs="Arial"/>
          <w:color w:val="000000" w:themeColor="text1"/>
          <w:szCs w:val="20"/>
        </w:rPr>
        <w:t>oljkarstva</w:t>
      </w:r>
      <w:proofErr w:type="spellEnd"/>
      <w:r w:rsidRPr="00177AA3">
        <w:rPr>
          <w:rFonts w:eastAsia="TimesNewRoman" w:cs="Arial"/>
          <w:color w:val="000000" w:themeColor="text1"/>
          <w:szCs w:val="20"/>
        </w:rPr>
        <w:t>, posledično pa negativni vpliv na sredozemsko kulturno krajino (zaraščanje) in na trajnostni razvoj ter na socialno-ekonomski položaj v regiji.</w:t>
      </w:r>
    </w:p>
    <w:p w14:paraId="054D0C38" w14:textId="77777777" w:rsidR="00177AA3" w:rsidRPr="00177AA3" w:rsidRDefault="00177AA3" w:rsidP="00177AA3">
      <w:pPr>
        <w:spacing w:before="200" w:line="360" w:lineRule="auto"/>
        <w:jc w:val="both"/>
        <w:rPr>
          <w:rFonts w:cs="Arial"/>
          <w:szCs w:val="20"/>
        </w:rPr>
      </w:pPr>
      <w:r w:rsidRPr="00177AA3">
        <w:rPr>
          <w:rFonts w:eastAsia="Times New Roman" w:cs="Arial"/>
          <w:szCs w:val="20"/>
          <w:lang w:eastAsia="en-GB"/>
        </w:rPr>
        <w:lastRenderedPageBreak/>
        <w:t xml:space="preserve">V programskem obdobju SKP 2014–2020 lahko oljkarji na podlagi plačilnih pravic iz sheme neposrednih plačil pridobijo osnovno plačilo in plačilo za zeleno komponento. V letu 2019 je plačilne pravice za oljčnike prejelo 864 KMG v skupni vrednosti cca. 81.000 EUR. Oljkarji niso uspešni pri črpanju podpor iz PRP, zlasti pri podporah za naložbe v kmetijska gospodarstva, saj  je za slovensko </w:t>
      </w:r>
      <w:proofErr w:type="spellStart"/>
      <w:r w:rsidRPr="00177AA3">
        <w:rPr>
          <w:rFonts w:eastAsia="Times New Roman" w:cs="Arial"/>
          <w:szCs w:val="20"/>
          <w:lang w:eastAsia="en-GB"/>
        </w:rPr>
        <w:t>oljkarstvo</w:t>
      </w:r>
      <w:proofErr w:type="spellEnd"/>
      <w:r w:rsidRPr="00177AA3">
        <w:rPr>
          <w:rFonts w:eastAsia="Times New Roman" w:cs="Arial"/>
          <w:szCs w:val="20"/>
          <w:lang w:eastAsia="en-GB"/>
        </w:rPr>
        <w:t xml:space="preserve"> značilna razdrobljena in majhna posestna struktura, zato malo kmetijsko gospodarstvo težko dosega minimum za podporo iz razpisa. </w:t>
      </w:r>
      <w:r w:rsidRPr="00177AA3">
        <w:rPr>
          <w:rFonts w:eastAsia="Arial" w:cs="Arial"/>
          <w:szCs w:val="20"/>
          <w:lang w:eastAsia="en-GB"/>
        </w:rPr>
        <w:t>Del konvencionalne pridelave se je z uvedbo podpor za sonaravno kmetijstvo preusmeril v okolju prijaznejši način pridelave.</w:t>
      </w:r>
    </w:p>
    <w:p w14:paraId="77DA850D" w14:textId="77777777" w:rsidR="00177AA3" w:rsidRPr="00177AA3" w:rsidRDefault="00177AA3" w:rsidP="00177AA3">
      <w:pPr>
        <w:spacing w:before="200" w:line="360" w:lineRule="auto"/>
        <w:jc w:val="both"/>
        <w:rPr>
          <w:rFonts w:cs="Arial"/>
          <w:szCs w:val="20"/>
        </w:rPr>
      </w:pPr>
      <w:r w:rsidRPr="00177AA3">
        <w:rPr>
          <w:rFonts w:eastAsia="Times New Roman" w:cs="Arial"/>
          <w:szCs w:val="20"/>
          <w:lang w:eastAsia="en-GB"/>
        </w:rPr>
        <w:t>Oljkarji so organizirani na ravni društev, zveze društev ter dveh zadrug. V programskem obdobju PRP 2007 – 2013 so bili oljkarji z ZOP EDOOSI združeni v skupino proizvajalcev in prejemali podporo iz ukrepov podpore za skupine proizvajalcev (133, 134, 142), vezane na ZOP. V PRP 2014 – 2020 lahko oljkarji koristijo ukrep M3 za nove skupine proizvajalcev oz. nove člane v 'starih' skupinah proizvajalcev in ukrep M9 za priznavanje skupin proizvajalcev za namen trženja. Določene skupine oljkarjev so zainteresirane za povezovanje v organizacije proizvajalcev, vendar trenutno ni priznanih skupin proizvajalcev oziroma organizaciji proizvajalcev.</w:t>
      </w:r>
    </w:p>
    <w:p w14:paraId="152F3338" w14:textId="77777777" w:rsidR="00177AA3" w:rsidRPr="00177AA3" w:rsidRDefault="00177AA3" w:rsidP="00177AA3">
      <w:pPr>
        <w:spacing w:before="200" w:line="360" w:lineRule="auto"/>
        <w:jc w:val="both"/>
        <w:rPr>
          <w:rFonts w:eastAsia="Times New Roman" w:cs="Arial"/>
          <w:szCs w:val="20"/>
          <w:lang w:eastAsia="en-GB"/>
        </w:rPr>
      </w:pPr>
      <w:r w:rsidRPr="00177AA3">
        <w:rPr>
          <w:rFonts w:eastAsia="Times New Roman" w:cs="Arial"/>
          <w:szCs w:val="20"/>
          <w:lang w:eastAsia="en-GB"/>
        </w:rPr>
        <w:t xml:space="preserve">Za tehnološki napredek in izmenjavo znanj ima pomembno vlogo javna služba na področju </w:t>
      </w:r>
      <w:proofErr w:type="spellStart"/>
      <w:r w:rsidRPr="00177AA3">
        <w:rPr>
          <w:rFonts w:eastAsia="Times New Roman" w:cs="Arial"/>
          <w:szCs w:val="20"/>
          <w:lang w:eastAsia="en-GB"/>
        </w:rPr>
        <w:t>oljkarstva</w:t>
      </w:r>
      <w:proofErr w:type="spellEnd"/>
      <w:r w:rsidRPr="00177AA3">
        <w:rPr>
          <w:rFonts w:eastAsia="Times New Roman" w:cs="Arial"/>
          <w:szCs w:val="20"/>
          <w:lang w:eastAsia="en-GB"/>
        </w:rPr>
        <w:t xml:space="preserve">, ki izvaja strokovne naloge s področja </w:t>
      </w:r>
      <w:proofErr w:type="spellStart"/>
      <w:r w:rsidRPr="00177AA3">
        <w:rPr>
          <w:rFonts w:eastAsia="Times New Roman" w:cs="Arial"/>
          <w:szCs w:val="20"/>
          <w:lang w:eastAsia="en-GB"/>
        </w:rPr>
        <w:t>oljkarstva</w:t>
      </w:r>
      <w:proofErr w:type="spellEnd"/>
      <w:r w:rsidRPr="00177AA3">
        <w:rPr>
          <w:rFonts w:eastAsia="Times New Roman" w:cs="Arial"/>
          <w:szCs w:val="20"/>
          <w:lang w:eastAsia="en-GB"/>
        </w:rPr>
        <w:t xml:space="preserve"> (selekcija oljk, introdukcija oljk, zagotavljanje matičnega sadilnega materiala oljke, tehnologija pridelave oljk, ugotavljanje vrednosti oljk za predelavo) in s tem prispeva k uresničevanju strateških usmeritev razvoja </w:t>
      </w:r>
      <w:proofErr w:type="spellStart"/>
      <w:r w:rsidRPr="00177AA3">
        <w:rPr>
          <w:rFonts w:eastAsia="Times New Roman" w:cs="Arial"/>
          <w:szCs w:val="20"/>
          <w:lang w:eastAsia="en-GB"/>
        </w:rPr>
        <w:t>oljkarstva</w:t>
      </w:r>
      <w:proofErr w:type="spellEnd"/>
      <w:r w:rsidRPr="00177AA3">
        <w:rPr>
          <w:rFonts w:eastAsia="Times New Roman" w:cs="Arial"/>
          <w:szCs w:val="20"/>
          <w:lang w:eastAsia="en-GB"/>
        </w:rPr>
        <w:t>. V prenos znanja so vključene tudi javna služba kmetijskega svetovanja (1/2 svetovalca, KGZ NG) in služba za zdravstveno varstvo rastlin (KGZ NG).</w:t>
      </w:r>
    </w:p>
    <w:p w14:paraId="4ECCA99C" w14:textId="77777777" w:rsidR="00177AA3" w:rsidRPr="00177AA3" w:rsidRDefault="00177AA3" w:rsidP="00177AA3">
      <w:pPr>
        <w:spacing w:before="200" w:line="360" w:lineRule="auto"/>
        <w:jc w:val="both"/>
        <w:rPr>
          <w:rFonts w:eastAsia="Times New Roman" w:cs="Arial"/>
          <w:szCs w:val="20"/>
          <w:lang w:eastAsia="en-GB"/>
        </w:rPr>
      </w:pPr>
      <w:r w:rsidRPr="00177AA3">
        <w:rPr>
          <w:rFonts w:eastAsia="Times New Roman" w:cs="Arial"/>
          <w:szCs w:val="20"/>
          <w:lang w:eastAsia="en-GB"/>
        </w:rPr>
        <w:t xml:space="preserve">Ministrstvo je v zadnjem obdobju financiralo tudi CRP projekte na področju </w:t>
      </w:r>
      <w:proofErr w:type="spellStart"/>
      <w:r w:rsidRPr="00177AA3">
        <w:rPr>
          <w:rFonts w:eastAsia="Times New Roman" w:cs="Arial"/>
          <w:szCs w:val="20"/>
          <w:lang w:eastAsia="en-GB"/>
        </w:rPr>
        <w:t>oljkarstva</w:t>
      </w:r>
      <w:proofErr w:type="spellEnd"/>
      <w:r w:rsidRPr="00177AA3">
        <w:rPr>
          <w:rFonts w:eastAsia="Times New Roman" w:cs="Arial"/>
          <w:szCs w:val="20"/>
          <w:lang w:eastAsia="en-GB"/>
        </w:rPr>
        <w:t xml:space="preserve"> za proučevanje namakanja oljk in uporabe oljčnih tropin za različne namene (gnojenje, prehranska dopolnila, kurjava). </w:t>
      </w:r>
    </w:p>
    <w:p w14:paraId="485065E5" w14:textId="77777777" w:rsidR="00CF3CC6" w:rsidRPr="00B00FAD" w:rsidRDefault="00CF3CC6" w:rsidP="001A65B9">
      <w:pPr>
        <w:pStyle w:val="Naslov3"/>
      </w:pPr>
      <w:bookmarkStart w:id="224" w:name="_Toc55912229"/>
      <w:r w:rsidRPr="00B00FAD">
        <w:t>Ključne ugotovitve</w:t>
      </w:r>
      <w:bookmarkEnd w:id="224"/>
    </w:p>
    <w:p w14:paraId="621CDE88" w14:textId="77777777" w:rsidR="00177AA3" w:rsidRPr="003B2B91" w:rsidRDefault="00177AA3" w:rsidP="000A650F">
      <w:pPr>
        <w:numPr>
          <w:ilvl w:val="0"/>
          <w:numId w:val="44"/>
        </w:numPr>
        <w:spacing w:before="120" w:after="120" w:line="360" w:lineRule="auto"/>
        <w:ind w:left="357" w:hanging="357"/>
        <w:jc w:val="both"/>
        <w:rPr>
          <w:rFonts w:eastAsia="Times New Roman" w:cs="Arial"/>
          <w:szCs w:val="20"/>
          <w:lang w:eastAsia="en-GB"/>
        </w:rPr>
      </w:pPr>
      <w:proofErr w:type="spellStart"/>
      <w:r w:rsidRPr="003B2B91">
        <w:rPr>
          <w:rFonts w:eastAsia="Times New Roman" w:cs="Arial"/>
          <w:szCs w:val="20"/>
          <w:lang w:eastAsia="en-GB"/>
        </w:rPr>
        <w:t>Oljkarstvo</w:t>
      </w:r>
      <w:proofErr w:type="spellEnd"/>
      <w:r w:rsidRPr="003B2B91">
        <w:rPr>
          <w:rFonts w:eastAsia="Times New Roman" w:cs="Arial"/>
          <w:szCs w:val="20"/>
          <w:lang w:eastAsia="en-GB"/>
        </w:rPr>
        <w:t xml:space="preserve"> ima v Sloveniji velik potencial, tako z vidika možnosti povečevanja površin oljčnikov, ohranjanja kulturne krajine, povezovanja s turizmom in povečevanja porabe oljčnega olja. </w:t>
      </w:r>
    </w:p>
    <w:p w14:paraId="0891FC5F" w14:textId="77777777" w:rsidR="00177AA3" w:rsidRPr="003B2B91" w:rsidRDefault="00177AA3" w:rsidP="000A650F">
      <w:pPr>
        <w:numPr>
          <w:ilvl w:val="0"/>
          <w:numId w:val="44"/>
        </w:numPr>
        <w:spacing w:before="120" w:after="120" w:line="360" w:lineRule="auto"/>
        <w:ind w:left="357" w:hanging="357"/>
        <w:jc w:val="both"/>
        <w:rPr>
          <w:rFonts w:eastAsia="Times New Roman" w:cs="Arial"/>
          <w:szCs w:val="20"/>
          <w:lang w:eastAsia="en-GB"/>
        </w:rPr>
      </w:pPr>
      <w:r w:rsidRPr="003B2B91">
        <w:rPr>
          <w:rFonts w:eastAsia="Times New Roman" w:cs="Arial"/>
          <w:szCs w:val="20"/>
          <w:lang w:eastAsia="en-GB"/>
        </w:rPr>
        <w:t xml:space="preserve">Pridelava oljk in s tem proizvodnja oljčnega olja v zadnjih letih precej niha, prevladujejo slabe letine, predvsem zaradi podnebnih sprememb (suša, ekstremni vremenski pojavi), izmenične rodnosti, slaba organiziranost za skupno trženje, značilni so razdrobljenost, majhnost oljčnikov, hriboviti relief in težave pri pridobivanju zemljišč v najem iz Sklada kmetijskih zemljišč in gozdov </w:t>
      </w:r>
      <w:r w:rsidRPr="00612A31">
        <w:rPr>
          <w:rFonts w:eastAsia="Times New Roman" w:cs="Arial"/>
          <w:szCs w:val="20"/>
          <w:lang w:eastAsia="en-GB"/>
        </w:rPr>
        <w:t xml:space="preserve">Republike Slovenije </w:t>
      </w:r>
      <w:r w:rsidRPr="003B2B91">
        <w:rPr>
          <w:rFonts w:eastAsia="Times New Roman" w:cs="Arial"/>
          <w:szCs w:val="20"/>
          <w:lang w:eastAsia="en-GB"/>
        </w:rPr>
        <w:t>ter pojavljanje bolezni in škodljivcev. Zaradi vsega naštetega je pridelava oljčnega olja nekonkurenčna, zato je v prihodnje potrebno okrepiti investicije v postavitev novih nasadov (izbor primernih sort in leg), izgradnjo namakalnih sistemov in spodbujati pridelovalce k povezovanju.</w:t>
      </w:r>
    </w:p>
    <w:p w14:paraId="638B90BE" w14:textId="77777777" w:rsidR="00177AA3" w:rsidRPr="003B2B91" w:rsidRDefault="00177AA3" w:rsidP="000A650F">
      <w:pPr>
        <w:numPr>
          <w:ilvl w:val="0"/>
          <w:numId w:val="44"/>
        </w:numPr>
        <w:spacing w:before="120" w:after="120" w:line="360" w:lineRule="auto"/>
        <w:ind w:left="357" w:hanging="357"/>
        <w:jc w:val="both"/>
        <w:rPr>
          <w:rFonts w:eastAsia="Times New Roman" w:cs="Arial"/>
          <w:szCs w:val="20"/>
          <w:lang w:eastAsia="en-GB"/>
        </w:rPr>
      </w:pPr>
      <w:r w:rsidRPr="003B2B91">
        <w:rPr>
          <w:rFonts w:eastAsia="Times New Roman" w:cs="Arial"/>
          <w:szCs w:val="20"/>
          <w:lang w:eastAsia="en-GB"/>
        </w:rPr>
        <w:t>V Sloveniji proizvajamo visoko kakovostno oljčno olje.</w:t>
      </w:r>
      <w:r w:rsidRPr="003B2B91">
        <w:rPr>
          <w:rFonts w:eastAsia="Arial" w:cs="Arial"/>
          <w:szCs w:val="20"/>
          <w:lang w:eastAsia="en-GB"/>
        </w:rPr>
        <w:t xml:space="preserve"> Delež tržno usmerjenih oljkarjev je majhen, saj se večina oljčnega olja proda na kmetiji in ne po evidentiranih tržnih poteh. Za povečanje tržno usmerjenih oljkarjev je potrebno graditi na promociji slovenskega </w:t>
      </w:r>
      <w:proofErr w:type="spellStart"/>
      <w:r w:rsidRPr="003B2B91">
        <w:rPr>
          <w:rFonts w:eastAsia="Arial" w:cs="Arial"/>
          <w:szCs w:val="20"/>
          <w:lang w:eastAsia="en-GB"/>
        </w:rPr>
        <w:t>oljkarstva</w:t>
      </w:r>
      <w:proofErr w:type="spellEnd"/>
      <w:r w:rsidRPr="003B2B91">
        <w:rPr>
          <w:rFonts w:eastAsia="Arial" w:cs="Arial"/>
          <w:szCs w:val="20"/>
          <w:lang w:eastAsia="en-GB"/>
        </w:rPr>
        <w:t xml:space="preserve"> in oljčnega olja ter </w:t>
      </w:r>
      <w:r w:rsidRPr="003B2B91">
        <w:rPr>
          <w:rFonts w:eastAsia="Arial" w:cs="Arial"/>
          <w:szCs w:val="20"/>
          <w:lang w:eastAsia="en-GB"/>
        </w:rPr>
        <w:lastRenderedPageBreak/>
        <w:t xml:space="preserve">okrepiti povezovanje oljkarjev za boljši položaj in konkurenčnost na trgu, okrepiti naložbe in nameniti sredstva za </w:t>
      </w:r>
      <w:r w:rsidRPr="003B2B91">
        <w:rPr>
          <w:rFonts w:cs="Arial"/>
          <w:szCs w:val="20"/>
        </w:rPr>
        <w:t>ugotavljanje skladnosti oljčnega olja</w:t>
      </w:r>
      <w:r w:rsidRPr="003B2B91">
        <w:rPr>
          <w:rFonts w:eastAsia="Arial" w:cs="Arial"/>
          <w:szCs w:val="20"/>
          <w:lang w:eastAsia="en-GB"/>
        </w:rPr>
        <w:t>.</w:t>
      </w:r>
    </w:p>
    <w:p w14:paraId="7C3CA6C1" w14:textId="77777777" w:rsidR="00177AA3" w:rsidRPr="003C4801" w:rsidRDefault="00177AA3" w:rsidP="000A650F">
      <w:pPr>
        <w:numPr>
          <w:ilvl w:val="0"/>
          <w:numId w:val="44"/>
        </w:numPr>
        <w:spacing w:before="120" w:after="120" w:line="360" w:lineRule="auto"/>
        <w:ind w:left="357" w:hanging="357"/>
        <w:jc w:val="both"/>
        <w:rPr>
          <w:rFonts w:eastAsia="Times New Roman" w:cs="Arial"/>
          <w:szCs w:val="20"/>
          <w:lang w:eastAsia="en-GB"/>
        </w:rPr>
      </w:pPr>
      <w:r w:rsidRPr="003B2B91">
        <w:rPr>
          <w:rFonts w:eastAsia="Times New Roman" w:cs="Arial"/>
          <w:szCs w:val="20"/>
          <w:lang w:eastAsia="en-GB"/>
        </w:rPr>
        <w:t>Ne glede na to, da so za Slovenijo značilni manjši oljkarji, ki svoje olje tržijo predvsem na domu, imajo pomembno vlogo z vidika izboljševanja dohodkovnega položaja kmetijskih pridelovalcev, obdelanosti kmetijskih zemljišč in ohranjanja kulturne krajine</w:t>
      </w:r>
      <w:r>
        <w:rPr>
          <w:rFonts w:eastAsia="Times New Roman" w:cs="Arial"/>
          <w:szCs w:val="20"/>
          <w:lang w:eastAsia="en-GB"/>
        </w:rPr>
        <w:t>.</w:t>
      </w:r>
    </w:p>
    <w:p w14:paraId="534D653A" w14:textId="021C36E9" w:rsidR="00CF3CC6" w:rsidRDefault="007A077E" w:rsidP="00177AA3">
      <w:pPr>
        <w:pStyle w:val="Naslov2"/>
        <w:ind w:left="578" w:hanging="578"/>
      </w:pPr>
      <w:hyperlink r:id="rId65" w:history="1">
        <w:bookmarkStart w:id="225" w:name="_Toc55912230"/>
        <w:r w:rsidR="00CF3CC6" w:rsidRPr="00B00FAD">
          <w:t>Hmeljarstvo</w:t>
        </w:r>
        <w:bookmarkEnd w:id="225"/>
      </w:hyperlink>
    </w:p>
    <w:p w14:paraId="0C3E3A2B" w14:textId="77777777" w:rsidR="00177AA3" w:rsidRPr="003B2B91" w:rsidRDefault="00177AA3" w:rsidP="00177AA3">
      <w:pPr>
        <w:spacing w:before="200" w:line="360" w:lineRule="auto"/>
        <w:jc w:val="both"/>
        <w:rPr>
          <w:rFonts w:cs="Arial"/>
          <w:szCs w:val="20"/>
        </w:rPr>
      </w:pPr>
      <w:r w:rsidRPr="003B2B91">
        <w:rPr>
          <w:rFonts w:cs="Arial"/>
          <w:szCs w:val="20"/>
        </w:rPr>
        <w:t>Hmeljarstvo</w:t>
      </w:r>
      <w:r w:rsidRPr="003B2B91" w:rsidDel="00B907D9">
        <w:rPr>
          <w:rFonts w:cs="Arial"/>
          <w:b/>
          <w:szCs w:val="20"/>
        </w:rPr>
        <w:t xml:space="preserve"> </w:t>
      </w:r>
      <w:r w:rsidRPr="003B2B91" w:rsidDel="00B907D9">
        <w:rPr>
          <w:rFonts w:cs="Arial"/>
          <w:szCs w:val="20"/>
        </w:rPr>
        <w:t>ima</w:t>
      </w:r>
      <w:r w:rsidRPr="003B2B91">
        <w:rPr>
          <w:rFonts w:cs="Arial"/>
          <w:szCs w:val="20"/>
        </w:rPr>
        <w:t xml:space="preserve"> v Sloveniji</w:t>
      </w:r>
      <w:r w:rsidRPr="003B2B91" w:rsidDel="00703221">
        <w:rPr>
          <w:rFonts w:cs="Arial"/>
          <w:szCs w:val="20"/>
        </w:rPr>
        <w:t xml:space="preserve"> </w:t>
      </w:r>
      <w:r w:rsidRPr="003B2B91">
        <w:rPr>
          <w:rFonts w:cs="Arial"/>
          <w:szCs w:val="20"/>
        </w:rPr>
        <w:t>dolgoletno</w:t>
      </w:r>
      <w:r w:rsidRPr="003B2B91" w:rsidDel="00B907D9">
        <w:rPr>
          <w:rFonts w:cs="Arial"/>
          <w:szCs w:val="20"/>
        </w:rPr>
        <w:t xml:space="preserve"> tradicijo in </w:t>
      </w:r>
      <w:r w:rsidRPr="003B2B91">
        <w:rPr>
          <w:rFonts w:cs="Arial"/>
          <w:szCs w:val="20"/>
        </w:rPr>
        <w:t xml:space="preserve">je ena od najbolj prepoznavnih pokrajinskih značilnosti in dejavnosti v Spodnji Savinjski dolini. Pridelava hmelja je omejena na območje Ptujskega polja, Koroške in Dravske doline. Specifična kombinacija predalpske klime in tal, kot naše naravne danosti, omogoča proizvodnjo aromatskih sort s svetovnim slovesom. </w:t>
      </w:r>
    </w:p>
    <w:p w14:paraId="4A4A3F0A" w14:textId="77777777" w:rsidR="00177AA3" w:rsidRPr="003B2B91" w:rsidRDefault="00177AA3" w:rsidP="00177AA3">
      <w:pPr>
        <w:spacing w:before="200" w:line="360" w:lineRule="auto"/>
        <w:jc w:val="both"/>
        <w:rPr>
          <w:rFonts w:cs="Arial"/>
          <w:szCs w:val="20"/>
        </w:rPr>
      </w:pPr>
      <w:r w:rsidRPr="003B2B91">
        <w:rPr>
          <w:rFonts w:cs="Arial"/>
          <w:szCs w:val="20"/>
        </w:rPr>
        <w:t xml:space="preserve">Po letu 2007 predstavlja hmelj od 0,4 % do 2,6 % vrednosti kmetijske proizvodnje, v vrednosti rastlinske pridelave pa ta delež predstavlja od 0,7 % do 5,2 %.  </w:t>
      </w:r>
    </w:p>
    <w:p w14:paraId="0F732CD7" w14:textId="294F8639" w:rsidR="00177AA3" w:rsidRPr="00177AA3" w:rsidRDefault="00177AA3" w:rsidP="00177AA3">
      <w:pPr>
        <w:spacing w:before="200" w:line="360" w:lineRule="auto"/>
        <w:jc w:val="both"/>
      </w:pPr>
      <w:r w:rsidRPr="003B2B91">
        <w:rPr>
          <w:rFonts w:cs="Arial"/>
          <w:szCs w:val="20"/>
        </w:rPr>
        <w:t xml:space="preserve">Strateški cilji Slovenije na področju hmeljarstva so: </w:t>
      </w:r>
      <w:r w:rsidRPr="003B2B91">
        <w:rPr>
          <w:rFonts w:cs="Arial"/>
          <w:bCs/>
          <w:szCs w:val="20"/>
        </w:rPr>
        <w:t xml:space="preserve">dosegati 3 % svetovni delež pridelave hmelja in stabilizirati proizvodnjo v smislu količinsko in kakovostno trajne ponudbe za trg, razviti nove sorte, ki bodo prilagojene na nove podnebne spremembe ter preprečevati širjenje karantenskih bolezni in škodljivcev. </w:t>
      </w:r>
    </w:p>
    <w:p w14:paraId="38D48D2D" w14:textId="6ADD073B" w:rsidR="00CF3CC6" w:rsidRDefault="00CF3CC6" w:rsidP="00966825">
      <w:pPr>
        <w:pStyle w:val="Naslov3"/>
      </w:pPr>
      <w:bookmarkStart w:id="226" w:name="_Toc55912231"/>
      <w:r w:rsidRPr="00B00FAD">
        <w:t>Stanje in osnovni ekonomski kazalniki</w:t>
      </w:r>
      <w:bookmarkEnd w:id="226"/>
    </w:p>
    <w:p w14:paraId="3B977143" w14:textId="77777777" w:rsidR="00177AA3" w:rsidRDefault="00177AA3" w:rsidP="00177AA3">
      <w:pPr>
        <w:spacing w:before="200" w:line="360" w:lineRule="auto"/>
        <w:jc w:val="both"/>
        <w:rPr>
          <w:rFonts w:cs="Arial"/>
          <w:szCs w:val="20"/>
        </w:rPr>
      </w:pPr>
      <w:r w:rsidRPr="003B2B91">
        <w:rPr>
          <w:rFonts w:cs="Arial"/>
          <w:szCs w:val="20"/>
        </w:rPr>
        <w:t>Hmelj v Sloveniji zaseda okoli 1% njivskih površin. Od leta 2013 beležimo ponovno rast površin pod hmeljem. Leta 2013 se je hmelj prideloval na 1.166 ha, leta 2018 pa že na 1.667 ha. Vse do leta 2018 so se površine pod hmeljem povečevale, kar lahko pripišemo ugodni tržni situaciji. V letu 2019 so se  površine pod hmeljem zmanjšale na 1.616 ha, vendar niso padle pod dolgoletno poprečje.</w:t>
      </w:r>
    </w:p>
    <w:p w14:paraId="220FE527" w14:textId="4F9331B8" w:rsidR="00177AA3" w:rsidRDefault="00177AA3" w:rsidP="00177AA3">
      <w:pPr>
        <w:spacing w:after="0" w:line="360" w:lineRule="auto"/>
      </w:pPr>
      <w:bookmarkStart w:id="227" w:name="_Toc55913799"/>
      <w:r>
        <w:t xml:space="preserve">Slika </w:t>
      </w:r>
      <w:r>
        <w:fldChar w:fldCharType="begin"/>
      </w:r>
      <w:r>
        <w:instrText xml:space="preserve"> SEQ Slika \* ARABIC </w:instrText>
      </w:r>
      <w:r>
        <w:fldChar w:fldCharType="separate"/>
      </w:r>
      <w:r w:rsidR="0040635C">
        <w:rPr>
          <w:noProof/>
        </w:rPr>
        <w:t>50</w:t>
      </w:r>
      <w:r>
        <w:fldChar w:fldCharType="end"/>
      </w:r>
      <w:r>
        <w:t xml:space="preserve">: </w:t>
      </w:r>
      <w:r w:rsidRPr="00177AA3">
        <w:t>Površina in pridelek hmelja (2007–2019)</w:t>
      </w:r>
      <w:bookmarkEnd w:id="227"/>
    </w:p>
    <w:p w14:paraId="3C5B285F" w14:textId="77777777" w:rsidR="00177AA3" w:rsidRPr="003B2B91" w:rsidRDefault="00177AA3" w:rsidP="00177AA3">
      <w:pPr>
        <w:spacing w:after="0" w:line="360" w:lineRule="auto"/>
        <w:rPr>
          <w:rFonts w:cs="Arial"/>
          <w:szCs w:val="20"/>
        </w:rPr>
      </w:pPr>
      <w:r w:rsidRPr="003B2B91">
        <w:rPr>
          <w:rFonts w:eastAsia="Times New Roman" w:cs="Arial"/>
          <w:noProof/>
          <w:szCs w:val="20"/>
        </w:rPr>
        <w:drawing>
          <wp:inline distT="0" distB="0" distL="0" distR="0" wp14:anchorId="22EF666E" wp14:editId="553943F4">
            <wp:extent cx="5629275" cy="2218690"/>
            <wp:effectExtent l="0" t="0" r="9525" b="0"/>
            <wp:docPr id="24169611" name="Slika 2416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29275" cy="2218690"/>
                    </a:xfrm>
                    <a:prstGeom prst="rect">
                      <a:avLst/>
                    </a:prstGeom>
                    <a:noFill/>
                    <a:ln>
                      <a:noFill/>
                    </a:ln>
                  </pic:spPr>
                </pic:pic>
              </a:graphicData>
            </a:graphic>
          </wp:inline>
        </w:drawing>
      </w:r>
    </w:p>
    <w:p w14:paraId="10289344" w14:textId="77777777" w:rsidR="00177AA3" w:rsidRPr="003B2B91" w:rsidRDefault="00177AA3" w:rsidP="00177AA3">
      <w:pPr>
        <w:spacing w:after="0" w:line="360" w:lineRule="auto"/>
        <w:rPr>
          <w:rFonts w:eastAsia="Times New Roman" w:cs="Arial"/>
          <w:bCs/>
          <w:szCs w:val="20"/>
        </w:rPr>
      </w:pPr>
      <w:r w:rsidRPr="005718B1">
        <w:rPr>
          <w:rFonts w:eastAsia="Calibri" w:cs="Arial"/>
          <w:sz w:val="16"/>
          <w:szCs w:val="16"/>
          <w:lang w:eastAsia="en-GB"/>
        </w:rPr>
        <w:t xml:space="preserve">Vir: </w:t>
      </w:r>
      <w:r>
        <w:rPr>
          <w:rFonts w:eastAsia="Calibri" w:cs="Arial"/>
          <w:sz w:val="16"/>
          <w:szCs w:val="16"/>
          <w:lang w:eastAsia="en-GB"/>
        </w:rPr>
        <w:t>SURS (</w:t>
      </w:r>
      <w:r w:rsidRPr="005718B1">
        <w:rPr>
          <w:rFonts w:eastAsia="Calibri" w:cs="Arial"/>
          <w:sz w:val="16"/>
          <w:szCs w:val="16"/>
          <w:lang w:eastAsia="en-GB"/>
        </w:rPr>
        <w:t>ZP-2019</w:t>
      </w:r>
      <w:r>
        <w:rPr>
          <w:rFonts w:eastAsia="Calibri" w:cs="Arial"/>
          <w:sz w:val="16"/>
          <w:szCs w:val="16"/>
          <w:lang w:eastAsia="en-GB"/>
        </w:rPr>
        <w:t>)</w:t>
      </w:r>
    </w:p>
    <w:p w14:paraId="7FA64781" w14:textId="77777777" w:rsidR="00177AA3" w:rsidRPr="003B2B91" w:rsidRDefault="00177AA3" w:rsidP="00177AA3">
      <w:pPr>
        <w:spacing w:before="200" w:line="360" w:lineRule="auto"/>
        <w:jc w:val="both"/>
        <w:rPr>
          <w:rFonts w:cs="Arial"/>
          <w:szCs w:val="20"/>
        </w:rPr>
      </w:pPr>
      <w:r w:rsidRPr="00177AA3">
        <w:rPr>
          <w:rFonts w:cs="Arial"/>
          <w:szCs w:val="20"/>
        </w:rPr>
        <w:lastRenderedPageBreak/>
        <w:t>Glede na leto 2010 se je površina hmeljišč v starosti od 1-7 let v letu 2018 praktično podvojila. V letu 2018 in tudi še v letu 2019 površina nasadov v starosti od 1-7 let predstavlja več kot 50% vseh hmeljišč.</w:t>
      </w:r>
    </w:p>
    <w:p w14:paraId="29121BB9" w14:textId="77777777" w:rsidR="00177AA3" w:rsidRPr="003B2B91" w:rsidRDefault="00177AA3" w:rsidP="00177AA3">
      <w:pPr>
        <w:spacing w:before="200" w:line="360" w:lineRule="auto"/>
        <w:jc w:val="both"/>
        <w:rPr>
          <w:rFonts w:cs="Arial"/>
          <w:szCs w:val="20"/>
        </w:rPr>
      </w:pPr>
      <w:r w:rsidRPr="003B2B91">
        <w:rPr>
          <w:rFonts w:cs="Arial"/>
          <w:szCs w:val="20"/>
        </w:rPr>
        <w:t xml:space="preserve">Zadnjih pet let je </w:t>
      </w:r>
      <w:r w:rsidRPr="00177AA3">
        <w:rPr>
          <w:rFonts w:cs="Arial"/>
          <w:szCs w:val="20"/>
        </w:rPr>
        <w:t>proizvodnja hmelja</w:t>
      </w:r>
      <w:r w:rsidRPr="003B2B91">
        <w:rPr>
          <w:rFonts w:cs="Arial"/>
          <w:szCs w:val="20"/>
        </w:rPr>
        <w:t xml:space="preserve"> v Sloveniji naraščala, razen v letu 2019, ko se je proizvodnja hmelja zmanjšala na 2.572 ton. V letu 201</w:t>
      </w:r>
      <w:r>
        <w:rPr>
          <w:rFonts w:cs="Arial"/>
          <w:szCs w:val="20"/>
        </w:rPr>
        <w:t>5</w:t>
      </w:r>
      <w:r w:rsidRPr="003B2B91">
        <w:rPr>
          <w:rFonts w:cs="Arial"/>
          <w:szCs w:val="20"/>
        </w:rPr>
        <w:t xml:space="preserve"> je bilo v ekološko pridelavo hmelja vključenih 24,1 ha. </w:t>
      </w:r>
      <w:r>
        <w:rPr>
          <w:rFonts w:cs="Arial"/>
          <w:szCs w:val="20"/>
        </w:rPr>
        <w:t>V</w:t>
      </w:r>
      <w:r w:rsidRPr="003B2B91">
        <w:rPr>
          <w:rFonts w:cs="Arial"/>
          <w:szCs w:val="20"/>
        </w:rPr>
        <w:t xml:space="preserve"> zadnjih dveh letih </w:t>
      </w:r>
      <w:r>
        <w:rPr>
          <w:rFonts w:cs="Arial"/>
          <w:szCs w:val="20"/>
        </w:rPr>
        <w:t xml:space="preserve">se </w:t>
      </w:r>
      <w:r w:rsidRPr="003B2B91">
        <w:rPr>
          <w:rFonts w:cs="Arial"/>
          <w:szCs w:val="20"/>
        </w:rPr>
        <w:t>ekološki hmelj prideluje le na 1,1 ha.</w:t>
      </w:r>
    </w:p>
    <w:p w14:paraId="36BE456D" w14:textId="77777777" w:rsidR="00177AA3" w:rsidRPr="003B2B91" w:rsidRDefault="00177AA3" w:rsidP="00177AA3">
      <w:pPr>
        <w:spacing w:before="200" w:line="360" w:lineRule="auto"/>
        <w:jc w:val="both"/>
        <w:rPr>
          <w:rFonts w:cs="Arial"/>
          <w:szCs w:val="20"/>
        </w:rPr>
      </w:pPr>
      <w:r w:rsidRPr="003B2B91">
        <w:rPr>
          <w:rFonts w:cs="Arial"/>
          <w:szCs w:val="20"/>
        </w:rPr>
        <w:t xml:space="preserve">Pridelava hmelja v Sloveniji obsega približno do </w:t>
      </w:r>
      <w:r w:rsidRPr="00177AA3">
        <w:rPr>
          <w:rFonts w:cs="Arial"/>
          <w:szCs w:val="20"/>
        </w:rPr>
        <w:t>2 – 3 % svetovne pridelave hmelja</w:t>
      </w:r>
      <w:r w:rsidRPr="003B2B91">
        <w:rPr>
          <w:rFonts w:cs="Arial"/>
          <w:szCs w:val="20"/>
        </w:rPr>
        <w:t>, kar Slovenijo uvršča na 4. mesto v Evropi (za Nemčijo, Češko, in Poljsko) oz. 6. mesto med vsemi 20 državami na svetu, ki pridelujejo hmelj.</w:t>
      </w:r>
      <w:r w:rsidRPr="00177AA3">
        <w:rPr>
          <w:rFonts w:cs="Arial"/>
          <w:szCs w:val="20"/>
        </w:rPr>
        <w:t xml:space="preserve"> </w:t>
      </w:r>
    </w:p>
    <w:p w14:paraId="3C7A296F" w14:textId="77777777" w:rsidR="00177AA3" w:rsidRPr="003B2B91" w:rsidRDefault="00177AA3" w:rsidP="00177AA3">
      <w:pPr>
        <w:spacing w:before="200" w:line="360" w:lineRule="auto"/>
        <w:jc w:val="both"/>
        <w:rPr>
          <w:rFonts w:cs="Arial"/>
          <w:szCs w:val="20"/>
        </w:rPr>
      </w:pPr>
      <w:r w:rsidRPr="003B2B91">
        <w:rPr>
          <w:rFonts w:cs="Arial"/>
          <w:szCs w:val="20"/>
        </w:rPr>
        <w:t xml:space="preserve">S pomočjo kontinuiranega procesa </w:t>
      </w:r>
      <w:r w:rsidRPr="00177AA3">
        <w:rPr>
          <w:rFonts w:cs="Arial"/>
          <w:szCs w:val="20"/>
        </w:rPr>
        <w:t>žlahtnjenja hmelja</w:t>
      </w:r>
      <w:r w:rsidRPr="003B2B91">
        <w:rPr>
          <w:rFonts w:cs="Arial"/>
          <w:szCs w:val="20"/>
        </w:rPr>
        <w:t xml:space="preserve"> je bilo v Sloveniji v zadnjih 65 letih vzgojenih 20 sort hmelja, ki pokrivajo 98 % slovenskih hmeljišč, dodatna dva odstotka površine pa pokrivajo tuje sorte in sorte v preizkušanju. Izbor sort se je namreč samo od leta 2010 do 2019 povečal za 10 novih sort hmelja. V primerjavi z ostalimi kmetijskimi rastlinami je za hmeljarstvo namreč značilno, da je večina hmeljnih nasadov posajenih s slovenskimi sortami hmelja. Kljub novim trendom v pivovarski industriji je edina sorta, ki se je od samega začetka uvajanja hmelja na Slovenskem pa vse do danes obdržala, sorta hmelja Savinjski </w:t>
      </w:r>
      <w:proofErr w:type="spellStart"/>
      <w:r w:rsidRPr="003B2B91">
        <w:rPr>
          <w:rFonts w:cs="Arial"/>
          <w:szCs w:val="20"/>
        </w:rPr>
        <w:t>golding</w:t>
      </w:r>
      <w:proofErr w:type="spellEnd"/>
      <w:r w:rsidRPr="003B2B91">
        <w:rPr>
          <w:rFonts w:cs="Arial"/>
          <w:szCs w:val="20"/>
        </w:rPr>
        <w:t xml:space="preserve">, ki je zaradi svoje prepoznavne fine hmeljske arome razširila sloves slovenskega hmelja širom po svetu. V Sloveniji se največ pridelujejo sorte hmelja kot so </w:t>
      </w:r>
      <w:proofErr w:type="spellStart"/>
      <w:r w:rsidRPr="003B2B91">
        <w:rPr>
          <w:rFonts w:cs="Arial"/>
          <w:szCs w:val="20"/>
        </w:rPr>
        <w:t>Celeia</w:t>
      </w:r>
      <w:proofErr w:type="spellEnd"/>
      <w:r w:rsidRPr="003B2B91">
        <w:rPr>
          <w:rFonts w:cs="Arial"/>
          <w:szCs w:val="20"/>
        </w:rPr>
        <w:t xml:space="preserve">, </w:t>
      </w:r>
      <w:proofErr w:type="spellStart"/>
      <w:r w:rsidRPr="003B2B91">
        <w:rPr>
          <w:rFonts w:cs="Arial"/>
          <w:szCs w:val="20"/>
        </w:rPr>
        <w:t>Aurora</w:t>
      </w:r>
      <w:proofErr w:type="spellEnd"/>
      <w:r w:rsidRPr="003B2B91">
        <w:rPr>
          <w:rFonts w:cs="Arial"/>
          <w:szCs w:val="20"/>
        </w:rPr>
        <w:t xml:space="preserve"> in Savinjski Golding. Sorti hmelja </w:t>
      </w:r>
      <w:proofErr w:type="spellStart"/>
      <w:r w:rsidRPr="003B2B91">
        <w:rPr>
          <w:rFonts w:cs="Arial"/>
          <w:szCs w:val="20"/>
        </w:rPr>
        <w:t>Aurora</w:t>
      </w:r>
      <w:proofErr w:type="spellEnd"/>
      <w:r w:rsidRPr="003B2B91">
        <w:rPr>
          <w:rFonts w:cs="Arial"/>
          <w:szCs w:val="20"/>
        </w:rPr>
        <w:t xml:space="preserve"> so se površine zmanjšale v letu 2019, glede na leto 2010, povečale pa so se površine sorte hmelja </w:t>
      </w:r>
      <w:proofErr w:type="spellStart"/>
      <w:r w:rsidRPr="003B2B91">
        <w:rPr>
          <w:rFonts w:cs="Arial"/>
          <w:szCs w:val="20"/>
        </w:rPr>
        <w:t>Celeia</w:t>
      </w:r>
      <w:proofErr w:type="spellEnd"/>
      <w:r w:rsidRPr="003B2B91">
        <w:rPr>
          <w:rFonts w:cs="Arial"/>
          <w:szCs w:val="20"/>
        </w:rPr>
        <w:t>, površine pod sorto Savinjski Golding pa ostaja v vseh teh letih na približno enaki ravni. Še vedno prevladujejo aromatične sorte hmelja.</w:t>
      </w:r>
    </w:p>
    <w:p w14:paraId="35946210" w14:textId="77777777" w:rsidR="00177AA3" w:rsidRPr="003B2B91" w:rsidRDefault="00177AA3" w:rsidP="00177AA3">
      <w:pPr>
        <w:spacing w:before="200" w:line="360" w:lineRule="auto"/>
        <w:jc w:val="both"/>
        <w:rPr>
          <w:rFonts w:cs="Arial"/>
          <w:szCs w:val="20"/>
        </w:rPr>
      </w:pPr>
      <w:r w:rsidRPr="003B2B91">
        <w:rPr>
          <w:rFonts w:cs="Arial"/>
          <w:szCs w:val="20"/>
        </w:rPr>
        <w:t xml:space="preserve">V hmeljarstvu obstaja dolgoletni trend </w:t>
      </w:r>
      <w:r w:rsidRPr="00177AA3">
        <w:rPr>
          <w:rFonts w:cs="Arial"/>
          <w:szCs w:val="20"/>
        </w:rPr>
        <w:t>zmanjševanja števila pridelovalcev</w:t>
      </w:r>
      <w:r w:rsidRPr="003B2B91">
        <w:rPr>
          <w:rFonts w:cs="Arial"/>
          <w:szCs w:val="20"/>
        </w:rPr>
        <w:t xml:space="preserve">, ki pa postajajo vse večji in bolj specializirani, saj se pri pridelavi sledi vse strožjim standardom kakovosti, ki jo zahtevajo kupci. Število pridelovalcev hmeljarjev je od leta 1992, ko jih je bilo, po podatkih </w:t>
      </w:r>
      <w:r w:rsidRPr="00612A31">
        <w:rPr>
          <w:rFonts w:cs="Arial"/>
          <w:szCs w:val="20"/>
        </w:rPr>
        <w:t>Inštituta za hmeljarstvo in pivovarstvo Slovenije (</w:t>
      </w:r>
      <w:r w:rsidRPr="003B2B91">
        <w:rPr>
          <w:rFonts w:cs="Arial"/>
          <w:szCs w:val="20"/>
        </w:rPr>
        <w:t>IHPS</w:t>
      </w:r>
      <w:r>
        <w:rPr>
          <w:rFonts w:cs="Arial"/>
          <w:szCs w:val="20"/>
        </w:rPr>
        <w:t>)</w:t>
      </w:r>
      <w:r w:rsidRPr="003B2B91">
        <w:rPr>
          <w:rFonts w:cs="Arial"/>
          <w:szCs w:val="20"/>
        </w:rPr>
        <w:t xml:space="preserve"> največ (495), padalo vse do leta 2014, ko jih je bilo le še 110. Potem se je število spet nekoliko povečalo, v letu 2019 je bilo 119 pridelovalcev hmelja. </w:t>
      </w:r>
    </w:p>
    <w:p w14:paraId="1882D861" w14:textId="77777777" w:rsidR="00177AA3" w:rsidRPr="003B2B91" w:rsidRDefault="00177AA3" w:rsidP="00177AA3">
      <w:pPr>
        <w:spacing w:before="200" w:line="360" w:lineRule="auto"/>
        <w:jc w:val="both"/>
        <w:rPr>
          <w:rFonts w:cs="Arial"/>
          <w:szCs w:val="20"/>
        </w:rPr>
      </w:pPr>
      <w:r w:rsidRPr="003B2B91">
        <w:rPr>
          <w:rFonts w:cs="Arial"/>
          <w:szCs w:val="20"/>
        </w:rPr>
        <w:t xml:space="preserve">V </w:t>
      </w:r>
      <w:r w:rsidRPr="00177AA3">
        <w:rPr>
          <w:rFonts w:cs="Arial"/>
          <w:szCs w:val="20"/>
        </w:rPr>
        <w:t>tržnih ocenah potreb po hmelju</w:t>
      </w:r>
      <w:r w:rsidRPr="003B2B91">
        <w:rPr>
          <w:rFonts w:cs="Arial"/>
          <w:szCs w:val="20"/>
        </w:rPr>
        <w:t xml:space="preserve"> zaznavamo prekomerne zaloge pri pivovarnah, ker realizacija proizvodnje ne dosega optimističnih načrtov iz preteklih let. Osemletno širjenje hmeljišč in signali pivovarske potrošnje hmelja v letu 2020 nakazujejo prelomno obdobje donosnosti hmeljarstva in spominjajo vse bolj na obdobje po letu 2008, ko je ponudba hmelja močno presegla povpraševanje po hmelju in hmeljnih proizvodih. Takrat so le pravočasno sklenjene pogodbe o prodaji hmelja omogočale stabilen dohodek in donosnost pridelave. </w:t>
      </w:r>
    </w:p>
    <w:p w14:paraId="6EB3CF89" w14:textId="77777777" w:rsidR="00177AA3" w:rsidRPr="003B2B91" w:rsidRDefault="00177AA3" w:rsidP="00177AA3">
      <w:pPr>
        <w:spacing w:before="200" w:line="360" w:lineRule="auto"/>
        <w:jc w:val="both"/>
        <w:rPr>
          <w:rFonts w:cs="Arial"/>
          <w:szCs w:val="20"/>
        </w:rPr>
      </w:pPr>
      <w:r w:rsidRPr="003B2B91">
        <w:rPr>
          <w:rFonts w:cs="Arial"/>
          <w:szCs w:val="20"/>
        </w:rPr>
        <w:t xml:space="preserve">Trenutno v Sloveniji deluje </w:t>
      </w:r>
      <w:r w:rsidRPr="00177AA3">
        <w:rPr>
          <w:rFonts w:cs="Arial"/>
          <w:szCs w:val="20"/>
        </w:rPr>
        <w:t>eno veliko pivovarsko podjetje</w:t>
      </w:r>
      <w:r w:rsidRPr="003B2B91">
        <w:rPr>
          <w:rFonts w:cs="Arial"/>
          <w:szCs w:val="20"/>
        </w:rPr>
        <w:t xml:space="preserve"> Pivovarno Laško Union </w:t>
      </w:r>
      <w:proofErr w:type="spellStart"/>
      <w:r w:rsidRPr="003B2B91">
        <w:rPr>
          <w:rFonts w:cs="Arial"/>
          <w:szCs w:val="20"/>
        </w:rPr>
        <w:t>d.o.o</w:t>
      </w:r>
      <w:proofErr w:type="spellEnd"/>
      <w:r w:rsidRPr="003B2B91">
        <w:rPr>
          <w:rFonts w:cs="Arial"/>
          <w:szCs w:val="20"/>
        </w:rPr>
        <w:t xml:space="preserve">., ki združuje Pivovarno Laško in Pivovarno Union. Poleg njiju pa je konec leta 2019 prisotnih še okoli 105 malih pivovarn, katerih tržni delež trenutno predstavlja okoli 1% proizvedenega piva (od 1,4 mio hl piva) v Sloveniji. </w:t>
      </w:r>
    </w:p>
    <w:p w14:paraId="032DB3DC" w14:textId="77777777" w:rsidR="00177AA3" w:rsidRDefault="00177AA3" w:rsidP="00177AA3">
      <w:pPr>
        <w:spacing w:before="200" w:line="360" w:lineRule="auto"/>
        <w:jc w:val="both"/>
        <w:rPr>
          <w:rFonts w:cs="Arial"/>
          <w:szCs w:val="20"/>
        </w:rPr>
      </w:pPr>
      <w:r w:rsidRPr="003B2B91">
        <w:rPr>
          <w:rFonts w:cs="Arial"/>
          <w:szCs w:val="20"/>
        </w:rPr>
        <w:lastRenderedPageBreak/>
        <w:t xml:space="preserve">Hmeljarstvo v Sloveniji je tradicionalno </w:t>
      </w:r>
      <w:r w:rsidRPr="00177AA3">
        <w:rPr>
          <w:rFonts w:cs="Arial"/>
          <w:szCs w:val="20"/>
        </w:rPr>
        <w:t>izvozno usmerjeno</w:t>
      </w:r>
      <w:r w:rsidRPr="003B2B91">
        <w:rPr>
          <w:rFonts w:cs="Arial"/>
          <w:szCs w:val="20"/>
        </w:rPr>
        <w:t xml:space="preserve">. 99 % pridelka hmelja se izvozi v različne evropske države in sicer največ v Nemčijo, Belgijo, Veliko Britanijo in Vietnam, pa tudi tretje države kot so Kitajska, Ukrajina, Rusija, ZDA in Japonska. 1 % pridelave pa se porabi doma za farmacijo, kozmetiko, čaje ter ostalo. </w:t>
      </w:r>
    </w:p>
    <w:p w14:paraId="0B59A06B" w14:textId="77777777" w:rsidR="00177AA3" w:rsidRPr="003B2B91" w:rsidRDefault="00177AA3" w:rsidP="00177AA3">
      <w:pPr>
        <w:spacing w:before="200" w:line="360" w:lineRule="auto"/>
        <w:jc w:val="both"/>
        <w:rPr>
          <w:rFonts w:cs="Arial"/>
          <w:szCs w:val="20"/>
        </w:rPr>
      </w:pPr>
      <w:r>
        <w:rPr>
          <w:rFonts w:cs="Arial"/>
          <w:szCs w:val="20"/>
        </w:rPr>
        <w:t>Hmeljarski sektor ima visok delež zavarovanih hmeljišč pred naravnimi nesrečami.</w:t>
      </w:r>
    </w:p>
    <w:p w14:paraId="086BE3C5" w14:textId="77777777" w:rsidR="00177AA3" w:rsidRPr="00177AA3" w:rsidRDefault="00177AA3" w:rsidP="00177AA3">
      <w:pPr>
        <w:spacing w:before="200" w:line="360" w:lineRule="auto"/>
        <w:jc w:val="both"/>
        <w:rPr>
          <w:rFonts w:cs="Arial"/>
          <w:szCs w:val="20"/>
        </w:rPr>
      </w:pPr>
      <w:r w:rsidRPr="00177AA3">
        <w:rPr>
          <w:rFonts w:cs="Arial"/>
          <w:szCs w:val="20"/>
        </w:rPr>
        <w:t xml:space="preserve">Odkupne cene hmelja v Sloveniji so praktično v celoti odvisne od razmer na svetovnem trgu. Trend povečevanja odkupnih cen hmelja je opazen od leta 2011 dalje. Odkupne cene hmelja so v zadnjih letih narasle, v letih med 2010 in 2019 iz 3,38 na 7,54 EUR/kg. </w:t>
      </w:r>
      <w:r w:rsidRPr="003B2B91">
        <w:rPr>
          <w:rFonts w:cs="Arial"/>
          <w:szCs w:val="20"/>
        </w:rPr>
        <w:t>Tržna cena hmelja se sicer oblikuje glede na globalne tržne razmere oz. povpraševanje pivovarn – specifično pa še glede na sorto, provenienco, parametre pivovarske kakovosti kot npr. vsebnosti alfa-kislin in oceno bonitete kupcev.</w:t>
      </w:r>
    </w:p>
    <w:p w14:paraId="2E0DBE32" w14:textId="77777777" w:rsidR="00177AA3" w:rsidRPr="003B2B91" w:rsidRDefault="00177AA3" w:rsidP="00177AA3">
      <w:pPr>
        <w:spacing w:before="200" w:line="360" w:lineRule="auto"/>
        <w:jc w:val="both"/>
        <w:rPr>
          <w:rFonts w:cs="Arial"/>
          <w:szCs w:val="20"/>
        </w:rPr>
      </w:pPr>
      <w:r w:rsidRPr="00177AA3">
        <w:rPr>
          <w:rFonts w:cs="Arial"/>
          <w:szCs w:val="20"/>
        </w:rPr>
        <w:t xml:space="preserve">Modelna kalkulacija neposrednih oz. variabilnih modelnih stroškov pridelave hmelja je po podatkih IHPS v letu 2019 znašala pri povprečno pričakovanem pridelku 1.800 kg/ha (ocenjen prag konkurenčnosti pridelave) 4,18 EUR/kg hmelja. Ta podatek lahko predstavlja izhodišče za kratkoročno določanje prodajne cene hmelja, saj nižja dosežena cena predstavlja pridelavo s kratkoročnim negativnim finančnim rezultatom. Modelni stroški pridelave hmelja so odvisni od sorte hmelja in hektarskega pridelka. </w:t>
      </w:r>
      <w:r w:rsidRPr="003B2B91">
        <w:rPr>
          <w:rFonts w:cs="Arial"/>
          <w:szCs w:val="20"/>
        </w:rPr>
        <w:t xml:space="preserve">Modelno izračunana lastna cena hmelja, oz. skupni stroški pridelave v Sloveniji  za leto 2019  znašajo 5,74 EUR/kg. </w:t>
      </w:r>
    </w:p>
    <w:p w14:paraId="6046533D" w14:textId="77777777" w:rsidR="00177AA3" w:rsidRPr="00177AA3" w:rsidRDefault="00177AA3" w:rsidP="00177AA3">
      <w:pPr>
        <w:spacing w:before="200" w:line="360" w:lineRule="auto"/>
        <w:jc w:val="both"/>
        <w:rPr>
          <w:rFonts w:cs="Arial"/>
          <w:szCs w:val="20"/>
        </w:rPr>
      </w:pPr>
      <w:r w:rsidRPr="00177AA3">
        <w:rPr>
          <w:rFonts w:cs="Arial"/>
          <w:szCs w:val="20"/>
        </w:rPr>
        <w:t xml:space="preserve">Hmeljarji v okviru SKP 2014 – 2020 prejmejo na leto okoli 1,8 mio EUR neposrednih plačil, kar je povprečno okoli 12.500 EUR neposrednih plačil na hmeljarsko kmetijsko gospodarstvo, medtem ko je povprečen skupni znesek neposrednih plačil na kmetijsko gospodarstvo okoli 2.450 EUR. V velikostnem razponu od 10 do 50 ha je največ neposrednih plačil. Sektor hmeljarstva ima najvišjo vrednost plačilnih pravic glede na ostale sektorje in sicer povprečna vrednost plačilnih pravic je 209 EUR. </w:t>
      </w:r>
      <w:r w:rsidRPr="003B2B91">
        <w:rPr>
          <w:rFonts w:cs="Arial"/>
          <w:szCs w:val="20"/>
        </w:rPr>
        <w:t>109 KMG ima nadpovprečno vrednost plačilnih pravic.</w:t>
      </w:r>
    </w:p>
    <w:p w14:paraId="04F4449F" w14:textId="77777777" w:rsidR="00177AA3" w:rsidRPr="00177AA3" w:rsidRDefault="00177AA3" w:rsidP="00177AA3">
      <w:pPr>
        <w:spacing w:before="200" w:line="360" w:lineRule="auto"/>
        <w:jc w:val="both"/>
        <w:rPr>
          <w:rFonts w:cs="Arial"/>
          <w:szCs w:val="20"/>
        </w:rPr>
      </w:pPr>
      <w:r w:rsidRPr="00177AA3">
        <w:rPr>
          <w:rFonts w:cs="Arial"/>
          <w:szCs w:val="20"/>
        </w:rPr>
        <w:t xml:space="preserve">V okviru Programa razvoja podeželja 2014 – 2020 je bilo iz ukrepa M04.1 Naložbe v osnovna sredstva odobrenih 40 vlog, kar predstavlja 2,9 % odobrenih vlog v hmeljarstvu. Do 31. 12. 2019 je bilo izplačanih 32 vlog v skupni vrednosti 2 mio EUR. Kmetijska gospodarstva, ki so kandidirala na </w:t>
      </w:r>
      <w:proofErr w:type="spellStart"/>
      <w:r w:rsidRPr="00177AA3">
        <w:rPr>
          <w:rFonts w:cs="Arial"/>
          <w:szCs w:val="20"/>
        </w:rPr>
        <w:t>podukrepu</w:t>
      </w:r>
      <w:proofErr w:type="spellEnd"/>
      <w:r w:rsidRPr="00177AA3">
        <w:rPr>
          <w:rFonts w:cs="Arial"/>
          <w:szCs w:val="20"/>
        </w:rPr>
        <w:t xml:space="preserve"> M04.1 so imela v povprečju 23,3 ha hmeljišč ter 7,5 ha hmeljišč v premeni. V </w:t>
      </w:r>
      <w:proofErr w:type="spellStart"/>
      <w:r w:rsidRPr="00177AA3">
        <w:rPr>
          <w:rFonts w:cs="Arial"/>
          <w:szCs w:val="20"/>
        </w:rPr>
        <w:t>podukrep</w:t>
      </w:r>
      <w:proofErr w:type="spellEnd"/>
      <w:r w:rsidRPr="00177AA3">
        <w:rPr>
          <w:rFonts w:cs="Arial"/>
          <w:szCs w:val="20"/>
        </w:rPr>
        <w:t xml:space="preserve"> M04.2 Podpora za naložbe v predelavo in/ali razvoj kmetijskih proizvodov je bila odobrena in izplačana edina prispela vloga v skupni višini 135.550 EUR.  Na </w:t>
      </w:r>
      <w:proofErr w:type="spellStart"/>
      <w:r w:rsidRPr="00177AA3">
        <w:rPr>
          <w:rFonts w:cs="Arial"/>
          <w:szCs w:val="20"/>
        </w:rPr>
        <w:t>podukrep</w:t>
      </w:r>
      <w:proofErr w:type="spellEnd"/>
      <w:r w:rsidRPr="00177AA3">
        <w:rPr>
          <w:rFonts w:cs="Arial"/>
          <w:szCs w:val="20"/>
        </w:rPr>
        <w:t xml:space="preserve"> M06.1 Pomoč za zagon dejavnosti za mlade kmete se je javilo 8 mladih prevzemnikov, katerim so bile odobrene vloge in jim je bilo izplačanih 247.020 EUR. Na </w:t>
      </w:r>
      <w:proofErr w:type="spellStart"/>
      <w:r w:rsidRPr="00177AA3">
        <w:rPr>
          <w:rFonts w:cs="Arial"/>
          <w:szCs w:val="20"/>
        </w:rPr>
        <w:t>podukrepu</w:t>
      </w:r>
      <w:proofErr w:type="spellEnd"/>
      <w:r w:rsidRPr="00177AA3">
        <w:rPr>
          <w:rFonts w:cs="Arial"/>
          <w:szCs w:val="20"/>
        </w:rPr>
        <w:t xml:space="preserve"> M06.3 Pomoč za zagon dejavnosti, namenjena razvoju majhnih kmetij, je bila odobrena ena vloga v višini 5.000 EUR. Na </w:t>
      </w:r>
      <w:proofErr w:type="spellStart"/>
      <w:r w:rsidRPr="00177AA3">
        <w:rPr>
          <w:rFonts w:cs="Arial"/>
          <w:szCs w:val="20"/>
        </w:rPr>
        <w:t>podukrepu</w:t>
      </w:r>
      <w:proofErr w:type="spellEnd"/>
      <w:r w:rsidRPr="00177AA3">
        <w:rPr>
          <w:rFonts w:cs="Arial"/>
          <w:szCs w:val="20"/>
        </w:rPr>
        <w:t xml:space="preserve"> M10.1 Plačilo kmetijsko </w:t>
      </w:r>
      <w:proofErr w:type="spellStart"/>
      <w:r w:rsidRPr="00177AA3">
        <w:rPr>
          <w:rFonts w:cs="Arial"/>
          <w:szCs w:val="20"/>
        </w:rPr>
        <w:t>okoljskih</w:t>
      </w:r>
      <w:proofErr w:type="spellEnd"/>
      <w:r w:rsidRPr="00177AA3">
        <w:rPr>
          <w:rFonts w:cs="Arial"/>
          <w:szCs w:val="20"/>
        </w:rPr>
        <w:t xml:space="preserve"> podnebnih obveznosti je bilo za operacijo Hmeljarstvo izplačanih 535.705 EUR, na 651 ha.</w:t>
      </w:r>
    </w:p>
    <w:p w14:paraId="29F94C19" w14:textId="77777777" w:rsidR="00177AA3" w:rsidRPr="00177AA3" w:rsidRDefault="00177AA3" w:rsidP="00177AA3">
      <w:pPr>
        <w:spacing w:before="200" w:line="360" w:lineRule="auto"/>
        <w:jc w:val="both"/>
        <w:rPr>
          <w:rFonts w:cs="Arial"/>
          <w:szCs w:val="20"/>
        </w:rPr>
      </w:pPr>
      <w:r w:rsidRPr="003B2B91">
        <w:rPr>
          <w:rFonts w:cs="Arial"/>
          <w:szCs w:val="20"/>
        </w:rPr>
        <w:lastRenderedPageBreak/>
        <w:t xml:space="preserve">Od </w:t>
      </w:r>
      <w:r w:rsidRPr="00177AA3">
        <w:t xml:space="preserve">leta 2006 so tudi pridelovalci hmelja upravičeni do regresiranja zavarovanja, ki je bilo leta 2019 50-odstotno, uveljavljajo pa lahko tudi pravico do vračila dela trošarine za gorivo, porabljeno v kmetijstvu (70 % trošarine). </w:t>
      </w:r>
    </w:p>
    <w:p w14:paraId="5BE927BB" w14:textId="77777777" w:rsidR="00177AA3" w:rsidRPr="00177AA3" w:rsidRDefault="00177AA3" w:rsidP="00177AA3">
      <w:pPr>
        <w:spacing w:before="200" w:line="360" w:lineRule="auto"/>
        <w:jc w:val="both"/>
        <w:rPr>
          <w:rFonts w:cs="Arial"/>
          <w:szCs w:val="20"/>
        </w:rPr>
      </w:pPr>
      <w:r w:rsidRPr="00177AA3">
        <w:rPr>
          <w:rFonts w:cs="Arial"/>
          <w:szCs w:val="20"/>
        </w:rPr>
        <w:t>Hmeljarje združuje visoka profesionalnost in organiziranost. V organizacijo Združenje hmeljarjev Slovenije so vključeni vsi pridelovalci hmelja. K temu je pripomogel IHPS, danes javni zavod, ki so ga hmeljarji sami ustanovili pred 65 leti. Poleg tega je od leta 2017 Štajerski hmelj zaščitena geografska označba slovenskega hmelja v Evropski uniji. Dobra podlaga taki zaščiti je sistem certificiranja v hmeljarstvu, uveden že leta 1921, ki omogoča sledljivost hmelja, pridelanega v Sloveniji, po sortah do vsakega pridelovalca, z vso vključeno uporabljeno tehnologijo pridelave.</w:t>
      </w:r>
    </w:p>
    <w:p w14:paraId="1AA62A2C" w14:textId="77777777" w:rsidR="00177AA3" w:rsidRDefault="00177AA3" w:rsidP="00177AA3">
      <w:pPr>
        <w:spacing w:before="200" w:line="360" w:lineRule="auto"/>
        <w:jc w:val="both"/>
        <w:rPr>
          <w:rFonts w:cs="Arial"/>
          <w:szCs w:val="20"/>
        </w:rPr>
      </w:pPr>
      <w:r w:rsidRPr="003B2B91">
        <w:rPr>
          <w:rFonts w:cs="Arial"/>
          <w:szCs w:val="20"/>
        </w:rPr>
        <w:t xml:space="preserve">Ministrstvo za kmetijstvo, gozdarstvo in prehrano se zaveda pomena lastnega žlahtniteljskega programa, zato finančno podpira razvoj novih sort hmelja. </w:t>
      </w:r>
      <w:r w:rsidRPr="00177AA3">
        <w:rPr>
          <w:rFonts w:cs="Arial"/>
          <w:szCs w:val="20"/>
        </w:rPr>
        <w:t>V Sloveniji je od leta 2010 vzpostavljena Javna služba v hmeljarstvu, ki jo izvaja IHPS, v okviru katere se izvajajo strokovne naloge, kot so žlahtnjenje hmelja, ocena letnika hmelja, tehnologija pridelave in predelave hmelja ter introdukcija novih in tujih sort hmelja. Ohranjanje rastlinskih genskih virov v hmeljarstvu poteka v okviru javne službe nalog rastlinske genske banke.</w:t>
      </w:r>
    </w:p>
    <w:p w14:paraId="73AC8969" w14:textId="77777777" w:rsidR="00177AA3" w:rsidRPr="00177AA3" w:rsidRDefault="00177AA3" w:rsidP="00177AA3">
      <w:pPr>
        <w:spacing w:before="200" w:line="360" w:lineRule="auto"/>
        <w:jc w:val="both"/>
        <w:rPr>
          <w:rFonts w:cs="Arial"/>
          <w:szCs w:val="20"/>
        </w:rPr>
      </w:pPr>
      <w:r w:rsidRPr="003B2B91">
        <w:rPr>
          <w:rFonts w:cs="Arial"/>
          <w:szCs w:val="20"/>
        </w:rPr>
        <w:t xml:space="preserve">V letih 2010 in 2020 so bili na področju hmeljarstva podprti Ciljni raziskovalni programi (CRP) z naslovom </w:t>
      </w:r>
      <w:proofErr w:type="spellStart"/>
      <w:r w:rsidRPr="003B5B35">
        <w:rPr>
          <w:rFonts w:cs="Arial"/>
          <w:szCs w:val="20"/>
        </w:rPr>
        <w:t>Biofumigacija</w:t>
      </w:r>
      <w:proofErr w:type="spellEnd"/>
      <w:r w:rsidRPr="003B5B35">
        <w:rPr>
          <w:rFonts w:cs="Arial"/>
          <w:szCs w:val="20"/>
        </w:rPr>
        <w:t xml:space="preserve"> kot alternativa kemičnemu zatiranju talnih škodljivih organizmov</w:t>
      </w:r>
      <w:r w:rsidRPr="003B2B91">
        <w:rPr>
          <w:rFonts w:cs="Arial"/>
          <w:szCs w:val="20"/>
        </w:rPr>
        <w:t xml:space="preserve">, </w:t>
      </w:r>
      <w:r w:rsidRPr="003B5B35">
        <w:rPr>
          <w:rFonts w:cs="Arial"/>
          <w:szCs w:val="20"/>
        </w:rPr>
        <w:t>Uporaba hmelja kot alternativne funkcionalne sestavine v prehrani živali,</w:t>
      </w:r>
      <w:r w:rsidRPr="003B2B91">
        <w:rPr>
          <w:rFonts w:cs="Arial"/>
          <w:szCs w:val="20"/>
        </w:rPr>
        <w:t xml:space="preserve"> Razvoj tehnologij za preprečevanje novih </w:t>
      </w:r>
      <w:proofErr w:type="spellStart"/>
      <w:r w:rsidRPr="003B2B91">
        <w:rPr>
          <w:rFonts w:cs="Arial"/>
          <w:szCs w:val="20"/>
        </w:rPr>
        <w:t>viroidnih</w:t>
      </w:r>
      <w:proofErr w:type="spellEnd"/>
      <w:r w:rsidRPr="003B2B91">
        <w:rPr>
          <w:rFonts w:cs="Arial"/>
          <w:szCs w:val="20"/>
        </w:rPr>
        <w:t xml:space="preserve"> obolenj hmelja, Zagotavljanje konkurenčnosti slovenskega hmeljarstva z izborom dišavnih sort hmelja ter Uporaba hmeljnih pripravkov za ekološko zatiranje </w:t>
      </w:r>
      <w:proofErr w:type="spellStart"/>
      <w:r w:rsidRPr="003B2B91">
        <w:rPr>
          <w:rFonts w:cs="Arial"/>
          <w:szCs w:val="20"/>
        </w:rPr>
        <w:t>varoje</w:t>
      </w:r>
      <w:proofErr w:type="spellEnd"/>
      <w:r w:rsidRPr="003B2B91">
        <w:rPr>
          <w:rFonts w:cs="Arial"/>
          <w:szCs w:val="20"/>
        </w:rPr>
        <w:t xml:space="preserve"> (</w:t>
      </w:r>
      <w:proofErr w:type="spellStart"/>
      <w:r w:rsidRPr="003B2B91">
        <w:rPr>
          <w:rFonts w:cs="Arial"/>
          <w:szCs w:val="20"/>
        </w:rPr>
        <w:t>Varroa</w:t>
      </w:r>
      <w:proofErr w:type="spellEnd"/>
      <w:r w:rsidRPr="003B2B91">
        <w:rPr>
          <w:rFonts w:cs="Arial"/>
          <w:szCs w:val="20"/>
        </w:rPr>
        <w:t xml:space="preserve"> </w:t>
      </w:r>
      <w:proofErr w:type="spellStart"/>
      <w:r w:rsidRPr="003B2B91">
        <w:rPr>
          <w:rFonts w:cs="Arial"/>
          <w:szCs w:val="20"/>
        </w:rPr>
        <w:t>destructor</w:t>
      </w:r>
      <w:proofErr w:type="spellEnd"/>
      <w:r w:rsidRPr="003B2B91">
        <w:rPr>
          <w:rFonts w:cs="Arial"/>
          <w:szCs w:val="20"/>
        </w:rPr>
        <w:t xml:space="preserve">). </w:t>
      </w:r>
    </w:p>
    <w:p w14:paraId="3D208086" w14:textId="77777777" w:rsidR="00177AA3" w:rsidRPr="00177AA3" w:rsidRDefault="00177AA3" w:rsidP="00177AA3">
      <w:pPr>
        <w:spacing w:before="200" w:line="360" w:lineRule="auto"/>
        <w:jc w:val="both"/>
        <w:rPr>
          <w:rFonts w:cs="Arial"/>
          <w:szCs w:val="20"/>
        </w:rPr>
      </w:pPr>
      <w:r w:rsidRPr="003B2B91">
        <w:rPr>
          <w:rFonts w:cs="Arial"/>
          <w:szCs w:val="20"/>
        </w:rPr>
        <w:t xml:space="preserve">Pilotni projekt z naslovom </w:t>
      </w:r>
      <w:r w:rsidRPr="00177AA3">
        <w:rPr>
          <w:rFonts w:cs="Arial"/>
          <w:szCs w:val="20"/>
        </w:rPr>
        <w:t>Dvig konkurenčnosti slovenskega hmeljarstva z vpeljavo tržno zanimivih in odpornih sort hmelja</w:t>
      </w:r>
      <w:r w:rsidRPr="003B2B91">
        <w:rPr>
          <w:rFonts w:cs="Arial"/>
          <w:szCs w:val="20"/>
        </w:rPr>
        <w:t xml:space="preserve"> poteka v obdobju 2019 – 2022.</w:t>
      </w:r>
    </w:p>
    <w:p w14:paraId="3C6B4A0F" w14:textId="77777777" w:rsidR="00177AA3" w:rsidRPr="00177AA3" w:rsidRDefault="00177AA3" w:rsidP="00177AA3"/>
    <w:p w14:paraId="71BA249B" w14:textId="00004389" w:rsidR="00CF3CC6" w:rsidRDefault="00CF3CC6" w:rsidP="00B00FAD">
      <w:pPr>
        <w:pStyle w:val="Naslov3"/>
      </w:pPr>
      <w:bookmarkStart w:id="228" w:name="_Toc55912232"/>
      <w:r w:rsidRPr="00B00FAD">
        <w:t>Ključne ugotovitve</w:t>
      </w:r>
      <w:bookmarkEnd w:id="228"/>
    </w:p>
    <w:p w14:paraId="0927DD49" w14:textId="77777777" w:rsidR="00177AA3" w:rsidRPr="00DD0710" w:rsidRDefault="00177AA3" w:rsidP="000A650F">
      <w:pPr>
        <w:pStyle w:val="Odstavekseznama"/>
        <w:numPr>
          <w:ilvl w:val="0"/>
          <w:numId w:val="45"/>
        </w:numPr>
        <w:spacing w:after="0" w:line="360" w:lineRule="auto"/>
        <w:ind w:left="357" w:hanging="357"/>
        <w:jc w:val="both"/>
        <w:rPr>
          <w:rFonts w:cs="Arial"/>
          <w:szCs w:val="20"/>
        </w:rPr>
      </w:pPr>
      <w:r w:rsidRPr="003B2B91">
        <w:rPr>
          <w:rFonts w:cs="Arial"/>
          <w:szCs w:val="20"/>
        </w:rPr>
        <w:t>Za izboljšanje starostne in sortne strukture hmeljišč bi bilo potrebno v naslednjih treh letih, od leta 2019 do 2021 obnoviti približno 159 ha hmeljišč na leto.</w:t>
      </w:r>
    </w:p>
    <w:p w14:paraId="596101E6" w14:textId="77777777" w:rsidR="00177AA3" w:rsidRPr="00DD0710" w:rsidRDefault="00177AA3" w:rsidP="000A650F">
      <w:pPr>
        <w:pStyle w:val="Odstavekseznama"/>
        <w:numPr>
          <w:ilvl w:val="0"/>
          <w:numId w:val="45"/>
        </w:numPr>
        <w:spacing w:after="0" w:line="360" w:lineRule="auto"/>
        <w:ind w:left="357" w:hanging="357"/>
        <w:jc w:val="both"/>
        <w:rPr>
          <w:rFonts w:cs="Arial"/>
          <w:szCs w:val="20"/>
        </w:rPr>
      </w:pPr>
      <w:r w:rsidRPr="003B2B91">
        <w:rPr>
          <w:rFonts w:cs="Arial"/>
          <w:bCs/>
          <w:iCs/>
          <w:kern w:val="24"/>
          <w:szCs w:val="20"/>
        </w:rPr>
        <w:t xml:space="preserve">Za izkoreninjenje hude </w:t>
      </w:r>
      <w:proofErr w:type="spellStart"/>
      <w:r w:rsidRPr="003B2B91">
        <w:rPr>
          <w:rFonts w:cs="Arial"/>
          <w:bCs/>
          <w:iCs/>
          <w:kern w:val="24"/>
          <w:szCs w:val="20"/>
        </w:rPr>
        <w:t>viroidne</w:t>
      </w:r>
      <w:proofErr w:type="spellEnd"/>
      <w:r w:rsidRPr="003B2B91">
        <w:rPr>
          <w:rFonts w:cs="Arial"/>
          <w:bCs/>
          <w:iCs/>
          <w:kern w:val="24"/>
          <w:szCs w:val="20"/>
        </w:rPr>
        <w:t xml:space="preserve"> zakrnelosti hmelja je poleg izvajanja fitosanitarnih ukrepov potrebno sajenje tolerantnih sort, ki so požlahtnjene v Sloveniji in prilagojene na </w:t>
      </w:r>
      <w:r w:rsidRPr="003B2B91">
        <w:rPr>
          <w:rFonts w:cs="Arial"/>
          <w:szCs w:val="20"/>
        </w:rPr>
        <w:t>sušo ter bolezni in škodljivce.</w:t>
      </w:r>
    </w:p>
    <w:p w14:paraId="7992C039" w14:textId="77777777" w:rsidR="00177AA3" w:rsidRPr="00DD0710" w:rsidRDefault="00177AA3" w:rsidP="000A650F">
      <w:pPr>
        <w:pStyle w:val="Odstavekseznama"/>
        <w:numPr>
          <w:ilvl w:val="0"/>
          <w:numId w:val="45"/>
        </w:numPr>
        <w:spacing w:after="0" w:line="360" w:lineRule="auto"/>
        <w:ind w:left="357" w:hanging="357"/>
        <w:jc w:val="both"/>
        <w:rPr>
          <w:rFonts w:cs="Arial"/>
          <w:szCs w:val="20"/>
        </w:rPr>
      </w:pPr>
      <w:r w:rsidRPr="003B2B91">
        <w:rPr>
          <w:rFonts w:cs="Arial"/>
          <w:szCs w:val="20"/>
        </w:rPr>
        <w:t>Podnebne spremembe imajo zadnja leta pomemben vpliv na panogo zato bo potrebno povečati namakanje na hmeljnih površinah in vpeljati nove odporne sorte.</w:t>
      </w:r>
    </w:p>
    <w:p w14:paraId="0DE54B96" w14:textId="77777777" w:rsidR="00177AA3" w:rsidRPr="003B2B91" w:rsidRDefault="00177AA3" w:rsidP="000A650F">
      <w:pPr>
        <w:pStyle w:val="Odstavekseznama"/>
        <w:numPr>
          <w:ilvl w:val="0"/>
          <w:numId w:val="45"/>
        </w:numPr>
        <w:spacing w:after="0" w:line="360" w:lineRule="auto"/>
        <w:ind w:left="357" w:hanging="357"/>
        <w:jc w:val="both"/>
        <w:rPr>
          <w:rFonts w:cs="Arial"/>
          <w:szCs w:val="20"/>
        </w:rPr>
      </w:pPr>
      <w:r w:rsidRPr="003B2B91">
        <w:rPr>
          <w:rFonts w:cs="Arial"/>
          <w:szCs w:val="20"/>
        </w:rPr>
        <w:t>Za izboljšanje konkurenčnosti v pridelavi in trženju hmelja je potrebno spodbujati povezovanje ter zagotoviti sredstva za kolektivne naložbe v skladišča in sušilnice.</w:t>
      </w:r>
    </w:p>
    <w:p w14:paraId="30917D27" w14:textId="77777777" w:rsidR="00177AA3" w:rsidRPr="004E0237" w:rsidRDefault="00177AA3" w:rsidP="000A650F">
      <w:pPr>
        <w:numPr>
          <w:ilvl w:val="0"/>
          <w:numId w:val="45"/>
        </w:numPr>
        <w:spacing w:after="0" w:line="360" w:lineRule="auto"/>
        <w:ind w:left="357" w:hanging="357"/>
        <w:contextualSpacing/>
        <w:jc w:val="both"/>
        <w:rPr>
          <w:rFonts w:cs="Arial"/>
          <w:szCs w:val="20"/>
        </w:rPr>
      </w:pPr>
      <w:r w:rsidRPr="003B2B91">
        <w:rPr>
          <w:rFonts w:eastAsia="Times New Roman" w:cs="Arial"/>
          <w:szCs w:val="20"/>
          <w:lang w:eastAsia="en-GB"/>
        </w:rPr>
        <w:t>Slovenski hmelj, z geografsko označbo »Štajerski hmelj«, še ni dosegel optimalne stopnje prepoznavnosti na svetovnem trgu, zato je potrebno pristopiti k promocijskim aktivnostim.</w:t>
      </w:r>
    </w:p>
    <w:p w14:paraId="252B9A7D" w14:textId="77777777" w:rsidR="00177AA3" w:rsidRPr="00177AA3" w:rsidRDefault="00177AA3" w:rsidP="00177AA3"/>
    <w:p w14:paraId="78BF5659" w14:textId="787A1EE6" w:rsidR="00CF3CC6" w:rsidRPr="00B00FAD" w:rsidRDefault="00CF3CC6" w:rsidP="00177AA3">
      <w:pPr>
        <w:spacing w:line="360" w:lineRule="auto"/>
        <w:ind w:left="720"/>
        <w:jc w:val="both"/>
        <w:rPr>
          <w:rFonts w:eastAsia="Calibri" w:cs="Arial"/>
          <w:szCs w:val="20"/>
        </w:rPr>
      </w:pPr>
      <w:r w:rsidRPr="00B00FAD">
        <w:rPr>
          <w:rFonts w:eastAsia="Calibri" w:cs="Arial"/>
          <w:szCs w:val="20"/>
        </w:rPr>
        <w:lastRenderedPageBreak/>
        <w:t>.</w:t>
      </w:r>
    </w:p>
    <w:p w14:paraId="148B9BD6" w14:textId="332659D5" w:rsidR="00CF3CC6" w:rsidRDefault="00CF3CC6" w:rsidP="0040635C">
      <w:pPr>
        <w:pStyle w:val="Naslov2"/>
        <w:ind w:left="578" w:hanging="578"/>
      </w:pPr>
      <w:bookmarkStart w:id="229" w:name="_Toc40959292"/>
      <w:bookmarkStart w:id="230" w:name="_Toc55912233"/>
      <w:r w:rsidRPr="00B00FAD">
        <w:t>Semenarstvo</w:t>
      </w:r>
      <w:bookmarkEnd w:id="229"/>
      <w:bookmarkEnd w:id="230"/>
    </w:p>
    <w:p w14:paraId="13DC1102" w14:textId="77777777" w:rsidR="0040635C" w:rsidRPr="003B2B91" w:rsidRDefault="0040635C" w:rsidP="0040635C">
      <w:pPr>
        <w:spacing w:after="0" w:line="360" w:lineRule="auto"/>
        <w:jc w:val="both"/>
        <w:rPr>
          <w:rFonts w:eastAsia="Times New Roman" w:cs="Arial"/>
          <w:b/>
          <w:szCs w:val="20"/>
        </w:rPr>
      </w:pPr>
      <w:r w:rsidRPr="003B2B91">
        <w:rPr>
          <w:rFonts w:eastAsia="Times New Roman" w:cs="Arial"/>
          <w:szCs w:val="20"/>
        </w:rPr>
        <w:t>Semenarstvo je kmetijska panoga, ki je t</w:t>
      </w:r>
      <w:r w:rsidRPr="003B2B91">
        <w:rPr>
          <w:rFonts w:cs="Arial"/>
          <w:szCs w:val="20"/>
          <w:shd w:val="clear" w:color="auto" w:fill="FFFFFF"/>
        </w:rPr>
        <w:t xml:space="preserve">emelj za uspešno in gospodarno tržno pridelavo hrane in krme. </w:t>
      </w:r>
      <w:r w:rsidRPr="003B2B91">
        <w:rPr>
          <w:rFonts w:eastAsia="Times New Roman" w:cs="Arial"/>
          <w:szCs w:val="20"/>
        </w:rPr>
        <w:t>Obseg domačega semenarstva je pomemben za prehransko varnost, zlasti v času kriz, vpliva pa tudi na delež samooskrbe s semenom zlasti lokalnih sort in s tem na ohranjanje biotske raznovrstnosti v kmetijski pridelavi.</w:t>
      </w:r>
    </w:p>
    <w:p w14:paraId="5F18A8D2" w14:textId="2EAD8536" w:rsidR="00CF3CC6" w:rsidRDefault="00B00FAD" w:rsidP="00B00FAD">
      <w:pPr>
        <w:pStyle w:val="Naslov3"/>
      </w:pPr>
      <w:bookmarkStart w:id="231" w:name="_Toc55912234"/>
      <w:r w:rsidRPr="00B00FAD">
        <w:t>Stanje v sektorju</w:t>
      </w:r>
      <w:r w:rsidR="0040635C">
        <w:t xml:space="preserve"> in osnovni ekonomski kazalniki</w:t>
      </w:r>
      <w:bookmarkEnd w:id="231"/>
    </w:p>
    <w:p w14:paraId="6307966C" w14:textId="77777777" w:rsidR="0040635C" w:rsidRPr="0040635C" w:rsidDel="009E2FC3" w:rsidRDefault="0040635C" w:rsidP="0040635C">
      <w:pPr>
        <w:spacing w:before="200" w:line="360" w:lineRule="auto"/>
        <w:jc w:val="both"/>
        <w:rPr>
          <w:rFonts w:eastAsia="Times New Roman" w:cs="Arial"/>
          <w:szCs w:val="20"/>
          <w:lang w:eastAsia="en-GB"/>
        </w:rPr>
      </w:pPr>
      <w:r w:rsidRPr="0040635C">
        <w:rPr>
          <w:rFonts w:eastAsia="Times New Roman" w:cs="Arial"/>
          <w:szCs w:val="20"/>
          <w:lang w:eastAsia="en-GB"/>
        </w:rPr>
        <w:t>Semenarstvo pri nas stagnira že nekaj desetletij. Eden izmed glavnih vzrokov je zelo omejen program žlahtnjenja, zato imamo malo novih lokalnih sort, katerih seme bi lahko pridelovali, obseg pridelave semena tujih sort pa je omejen in je odvisen od dostopnosti najvišjih kategorij, ki se lahko naprej razmnožujejo.</w:t>
      </w:r>
      <w:r w:rsidRPr="0040635C">
        <w:rPr>
          <w:rFonts w:cs="Arial"/>
          <w:szCs w:val="20"/>
        </w:rPr>
        <w:t xml:space="preserve"> </w:t>
      </w:r>
      <w:r w:rsidRPr="0040635C">
        <w:rPr>
          <w:rFonts w:eastAsia="Times New Roman" w:cs="Arial"/>
          <w:szCs w:val="20"/>
          <w:lang w:eastAsia="en-GB"/>
        </w:rPr>
        <w:t xml:space="preserve">Od leta 2004 je bilo slovensko semenarstvo v razmerah prostega trga EU tudi vse manj konkurenčno, kar se odraža v občutnem zmanjševanju površin namenjenih semenski pridelavi. </w:t>
      </w:r>
    </w:p>
    <w:p w14:paraId="35229443" w14:textId="77777777" w:rsidR="0040635C" w:rsidRPr="0040635C" w:rsidRDefault="0040635C" w:rsidP="0040635C">
      <w:pPr>
        <w:spacing w:before="200" w:line="360" w:lineRule="auto"/>
        <w:jc w:val="both"/>
        <w:rPr>
          <w:rFonts w:eastAsia="Times New Roman" w:cs="Arial"/>
          <w:szCs w:val="20"/>
          <w:lang w:eastAsia="en-GB"/>
        </w:rPr>
      </w:pPr>
      <w:r w:rsidRPr="0040635C">
        <w:rPr>
          <w:rFonts w:eastAsia="Times New Roman" w:cs="Arial"/>
          <w:szCs w:val="20"/>
          <w:lang w:eastAsia="en-GB"/>
        </w:rPr>
        <w:t>Pridelava uradno potrjenega semena je v Sloveniji upadla za več kot 50 %, iz 2.500 ha v letu 2000 na 1.410 ha v letu 2019. Najnižja je bila v letu 2017 (1084 ha).</w:t>
      </w:r>
    </w:p>
    <w:p w14:paraId="7899D5FB" w14:textId="583E57FF" w:rsidR="0040635C" w:rsidRDefault="0040635C" w:rsidP="0040635C">
      <w:pPr>
        <w:pStyle w:val="SCPreglednica"/>
      </w:pPr>
      <w:bookmarkStart w:id="232" w:name="_Toc55913749"/>
      <w:r>
        <w:t xml:space="preserve">Tabela </w:t>
      </w:r>
      <w:r>
        <w:fldChar w:fldCharType="begin"/>
      </w:r>
      <w:r>
        <w:instrText xml:space="preserve"> SEQ Tabela \* ARABIC </w:instrText>
      </w:r>
      <w:r>
        <w:fldChar w:fldCharType="separate"/>
      </w:r>
      <w:r w:rsidR="00DF0D48">
        <w:rPr>
          <w:noProof/>
        </w:rPr>
        <w:t>38</w:t>
      </w:r>
      <w:r>
        <w:fldChar w:fldCharType="end"/>
      </w:r>
      <w:r>
        <w:t xml:space="preserve">: </w:t>
      </w:r>
      <w:r w:rsidRPr="0040635C">
        <w:t>Potrjene površine semenskih posevkov (v ha) od leta 2014 do 2019 po skupinah rastlin v primerjavi s povprečnimi površinami v obdobju 2000–2004 in 2009–2013</w:t>
      </w:r>
      <w:bookmarkEnd w:id="232"/>
    </w:p>
    <w:tbl>
      <w:tblPr>
        <w:tblStyle w:val="Tabelamrea"/>
        <w:tblW w:w="0" w:type="auto"/>
        <w:tblInd w:w="108" w:type="dxa"/>
        <w:tblLook w:val="04A0" w:firstRow="1" w:lastRow="0" w:firstColumn="1" w:lastColumn="0" w:noHBand="0" w:noVBand="1"/>
      </w:tblPr>
      <w:tblGrid>
        <w:gridCol w:w="2515"/>
        <w:gridCol w:w="1090"/>
        <w:gridCol w:w="765"/>
        <w:gridCol w:w="764"/>
        <w:gridCol w:w="764"/>
        <w:gridCol w:w="764"/>
        <w:gridCol w:w="764"/>
        <w:gridCol w:w="764"/>
        <w:gridCol w:w="764"/>
      </w:tblGrid>
      <w:tr w:rsidR="0040635C" w:rsidRPr="003B2B91" w14:paraId="047CC93B" w14:textId="77777777" w:rsidTr="0040635C">
        <w:trPr>
          <w:trHeight w:val="300"/>
        </w:trPr>
        <w:tc>
          <w:tcPr>
            <w:tcW w:w="2515" w:type="dxa"/>
            <w:shd w:val="clear" w:color="auto" w:fill="C6D9F1" w:themeFill="text2" w:themeFillTint="33"/>
            <w:noWrap/>
            <w:hideMark/>
          </w:tcPr>
          <w:p w14:paraId="023F6E8D"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 </w:t>
            </w:r>
          </w:p>
        </w:tc>
        <w:tc>
          <w:tcPr>
            <w:tcW w:w="1090" w:type="dxa"/>
            <w:shd w:val="clear" w:color="auto" w:fill="C6D9F1" w:themeFill="text2" w:themeFillTint="33"/>
            <w:noWrap/>
            <w:hideMark/>
          </w:tcPr>
          <w:p w14:paraId="5680DAA8" w14:textId="77777777" w:rsidR="0040635C" w:rsidRPr="003B2B91" w:rsidRDefault="0040635C" w:rsidP="0040635C">
            <w:pPr>
              <w:spacing w:line="360" w:lineRule="auto"/>
              <w:rPr>
                <w:rFonts w:eastAsia="Times New Roman" w:cs="Arial"/>
                <w:b/>
                <w:bCs/>
                <w:lang w:eastAsia="en-GB"/>
              </w:rPr>
            </w:pPr>
            <w:r w:rsidRPr="003B2B91">
              <w:rPr>
                <w:rFonts w:eastAsia="Times New Roman" w:cs="Arial"/>
                <w:b/>
                <w:bCs/>
                <w:lang w:eastAsia="en-GB"/>
              </w:rPr>
              <w:t>2000-2004</w:t>
            </w:r>
          </w:p>
        </w:tc>
        <w:tc>
          <w:tcPr>
            <w:tcW w:w="765" w:type="dxa"/>
            <w:shd w:val="clear" w:color="auto" w:fill="C6D9F1" w:themeFill="text2" w:themeFillTint="33"/>
            <w:noWrap/>
            <w:hideMark/>
          </w:tcPr>
          <w:p w14:paraId="28514B28" w14:textId="77777777" w:rsidR="0040635C" w:rsidRPr="003B2B91" w:rsidRDefault="0040635C" w:rsidP="0040635C">
            <w:pPr>
              <w:spacing w:line="360" w:lineRule="auto"/>
              <w:rPr>
                <w:rFonts w:eastAsia="Times New Roman" w:cs="Arial"/>
                <w:b/>
                <w:bCs/>
                <w:lang w:eastAsia="en-GB"/>
              </w:rPr>
            </w:pPr>
            <w:r w:rsidRPr="003B2B91">
              <w:rPr>
                <w:rFonts w:eastAsia="Times New Roman" w:cs="Arial"/>
                <w:b/>
                <w:bCs/>
                <w:lang w:eastAsia="en-GB"/>
              </w:rPr>
              <w:t>2009-2013</w:t>
            </w:r>
          </w:p>
        </w:tc>
        <w:tc>
          <w:tcPr>
            <w:tcW w:w="764" w:type="dxa"/>
            <w:shd w:val="clear" w:color="auto" w:fill="C6D9F1" w:themeFill="text2" w:themeFillTint="33"/>
            <w:noWrap/>
            <w:hideMark/>
          </w:tcPr>
          <w:p w14:paraId="51BD0C21" w14:textId="77777777" w:rsidR="0040635C" w:rsidRPr="003B2B91" w:rsidRDefault="0040635C" w:rsidP="0040635C">
            <w:pPr>
              <w:spacing w:line="360" w:lineRule="auto"/>
              <w:rPr>
                <w:rFonts w:eastAsia="Times New Roman" w:cs="Arial"/>
                <w:b/>
                <w:bCs/>
                <w:lang w:eastAsia="en-GB"/>
              </w:rPr>
            </w:pPr>
            <w:r w:rsidRPr="003B2B91">
              <w:rPr>
                <w:rFonts w:eastAsia="Times New Roman" w:cs="Arial"/>
                <w:b/>
                <w:bCs/>
                <w:lang w:eastAsia="en-GB"/>
              </w:rPr>
              <w:t>2014</w:t>
            </w:r>
          </w:p>
        </w:tc>
        <w:tc>
          <w:tcPr>
            <w:tcW w:w="764" w:type="dxa"/>
            <w:shd w:val="clear" w:color="auto" w:fill="C6D9F1" w:themeFill="text2" w:themeFillTint="33"/>
            <w:noWrap/>
            <w:hideMark/>
          </w:tcPr>
          <w:p w14:paraId="5C873C95" w14:textId="77777777" w:rsidR="0040635C" w:rsidRPr="003B2B91" w:rsidRDefault="0040635C" w:rsidP="0040635C">
            <w:pPr>
              <w:spacing w:line="360" w:lineRule="auto"/>
              <w:rPr>
                <w:rFonts w:eastAsia="Times New Roman" w:cs="Arial"/>
                <w:b/>
                <w:bCs/>
                <w:lang w:eastAsia="en-GB"/>
              </w:rPr>
            </w:pPr>
            <w:r w:rsidRPr="003B2B91">
              <w:rPr>
                <w:rFonts w:eastAsia="Times New Roman" w:cs="Arial"/>
                <w:b/>
                <w:bCs/>
                <w:lang w:eastAsia="en-GB"/>
              </w:rPr>
              <w:t>2015</w:t>
            </w:r>
          </w:p>
        </w:tc>
        <w:tc>
          <w:tcPr>
            <w:tcW w:w="764" w:type="dxa"/>
            <w:shd w:val="clear" w:color="auto" w:fill="C6D9F1" w:themeFill="text2" w:themeFillTint="33"/>
            <w:noWrap/>
            <w:hideMark/>
          </w:tcPr>
          <w:p w14:paraId="4B2BFDDD" w14:textId="77777777" w:rsidR="0040635C" w:rsidRPr="003B2B91" w:rsidRDefault="0040635C" w:rsidP="0040635C">
            <w:pPr>
              <w:spacing w:line="360" w:lineRule="auto"/>
              <w:rPr>
                <w:rFonts w:eastAsia="Times New Roman" w:cs="Arial"/>
                <w:b/>
                <w:bCs/>
                <w:lang w:eastAsia="en-GB"/>
              </w:rPr>
            </w:pPr>
            <w:r w:rsidRPr="003B2B91">
              <w:rPr>
                <w:rFonts w:eastAsia="Times New Roman" w:cs="Arial"/>
                <w:b/>
                <w:bCs/>
                <w:lang w:eastAsia="en-GB"/>
              </w:rPr>
              <w:t>2016</w:t>
            </w:r>
          </w:p>
        </w:tc>
        <w:tc>
          <w:tcPr>
            <w:tcW w:w="764" w:type="dxa"/>
            <w:shd w:val="clear" w:color="auto" w:fill="C6D9F1" w:themeFill="text2" w:themeFillTint="33"/>
            <w:noWrap/>
            <w:hideMark/>
          </w:tcPr>
          <w:p w14:paraId="71B6EA0A" w14:textId="77777777" w:rsidR="0040635C" w:rsidRPr="003B2B91" w:rsidRDefault="0040635C" w:rsidP="0040635C">
            <w:pPr>
              <w:spacing w:line="360" w:lineRule="auto"/>
              <w:rPr>
                <w:rFonts w:eastAsia="Times New Roman" w:cs="Arial"/>
                <w:b/>
                <w:bCs/>
                <w:lang w:eastAsia="en-GB"/>
              </w:rPr>
            </w:pPr>
            <w:r w:rsidRPr="003B2B91">
              <w:rPr>
                <w:rFonts w:eastAsia="Times New Roman" w:cs="Arial"/>
                <w:b/>
                <w:bCs/>
                <w:lang w:eastAsia="en-GB"/>
              </w:rPr>
              <w:t>2017</w:t>
            </w:r>
          </w:p>
        </w:tc>
        <w:tc>
          <w:tcPr>
            <w:tcW w:w="764" w:type="dxa"/>
            <w:shd w:val="clear" w:color="auto" w:fill="C6D9F1" w:themeFill="text2" w:themeFillTint="33"/>
            <w:noWrap/>
            <w:hideMark/>
          </w:tcPr>
          <w:p w14:paraId="113D6AE9" w14:textId="77777777" w:rsidR="0040635C" w:rsidRPr="003B2B91" w:rsidRDefault="0040635C" w:rsidP="0040635C">
            <w:pPr>
              <w:spacing w:line="360" w:lineRule="auto"/>
              <w:rPr>
                <w:rFonts w:eastAsia="Times New Roman" w:cs="Arial"/>
                <w:b/>
                <w:bCs/>
                <w:lang w:eastAsia="en-GB"/>
              </w:rPr>
            </w:pPr>
            <w:r w:rsidRPr="003B2B91">
              <w:rPr>
                <w:rFonts w:eastAsia="Times New Roman" w:cs="Arial"/>
                <w:b/>
                <w:bCs/>
                <w:lang w:eastAsia="en-GB"/>
              </w:rPr>
              <w:t>2018</w:t>
            </w:r>
          </w:p>
        </w:tc>
        <w:tc>
          <w:tcPr>
            <w:tcW w:w="764" w:type="dxa"/>
            <w:shd w:val="clear" w:color="auto" w:fill="C6D9F1" w:themeFill="text2" w:themeFillTint="33"/>
            <w:noWrap/>
            <w:hideMark/>
          </w:tcPr>
          <w:p w14:paraId="7C3B280F" w14:textId="77777777" w:rsidR="0040635C" w:rsidRPr="003B2B91" w:rsidRDefault="0040635C" w:rsidP="0040635C">
            <w:pPr>
              <w:spacing w:line="360" w:lineRule="auto"/>
              <w:rPr>
                <w:rFonts w:eastAsia="Times New Roman" w:cs="Arial"/>
                <w:b/>
                <w:bCs/>
                <w:lang w:eastAsia="en-GB"/>
              </w:rPr>
            </w:pPr>
            <w:r w:rsidRPr="003B2B91">
              <w:rPr>
                <w:rFonts w:eastAsia="Times New Roman" w:cs="Arial"/>
                <w:b/>
                <w:bCs/>
                <w:lang w:eastAsia="en-GB"/>
              </w:rPr>
              <w:t>2019</w:t>
            </w:r>
          </w:p>
        </w:tc>
      </w:tr>
      <w:tr w:rsidR="0040635C" w:rsidRPr="003B2B91" w14:paraId="4F56B7B3" w14:textId="77777777" w:rsidTr="0040635C">
        <w:trPr>
          <w:trHeight w:val="315"/>
        </w:trPr>
        <w:tc>
          <w:tcPr>
            <w:tcW w:w="2515" w:type="dxa"/>
            <w:noWrap/>
            <w:hideMark/>
          </w:tcPr>
          <w:p w14:paraId="424080A0" w14:textId="77777777" w:rsidR="0040635C" w:rsidRPr="003B2B91" w:rsidRDefault="0040635C" w:rsidP="0040635C">
            <w:pPr>
              <w:spacing w:line="360" w:lineRule="auto"/>
              <w:rPr>
                <w:rFonts w:eastAsia="Times New Roman" w:cs="Arial"/>
                <w:b/>
                <w:bCs/>
                <w:lang w:eastAsia="en-GB"/>
              </w:rPr>
            </w:pPr>
            <w:r w:rsidRPr="003B2B91">
              <w:rPr>
                <w:rFonts w:eastAsia="Times New Roman" w:cs="Arial"/>
                <w:b/>
                <w:bCs/>
                <w:lang w:eastAsia="en-GB"/>
              </w:rPr>
              <w:t>ŽITA (brez koruze)</w:t>
            </w:r>
          </w:p>
        </w:tc>
        <w:tc>
          <w:tcPr>
            <w:tcW w:w="1090" w:type="dxa"/>
            <w:noWrap/>
            <w:hideMark/>
          </w:tcPr>
          <w:p w14:paraId="3F9349B3"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2065</w:t>
            </w:r>
          </w:p>
        </w:tc>
        <w:tc>
          <w:tcPr>
            <w:tcW w:w="765" w:type="dxa"/>
            <w:noWrap/>
            <w:hideMark/>
          </w:tcPr>
          <w:p w14:paraId="107F2E20"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1371</w:t>
            </w:r>
          </w:p>
        </w:tc>
        <w:tc>
          <w:tcPr>
            <w:tcW w:w="764" w:type="dxa"/>
            <w:noWrap/>
            <w:hideMark/>
          </w:tcPr>
          <w:p w14:paraId="7A1929C9"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1109</w:t>
            </w:r>
          </w:p>
        </w:tc>
        <w:tc>
          <w:tcPr>
            <w:tcW w:w="764" w:type="dxa"/>
            <w:noWrap/>
            <w:hideMark/>
          </w:tcPr>
          <w:p w14:paraId="3264EBA6"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1027</w:t>
            </w:r>
          </w:p>
        </w:tc>
        <w:tc>
          <w:tcPr>
            <w:tcW w:w="764" w:type="dxa"/>
            <w:noWrap/>
            <w:hideMark/>
          </w:tcPr>
          <w:p w14:paraId="64B0FADF"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938</w:t>
            </w:r>
          </w:p>
        </w:tc>
        <w:tc>
          <w:tcPr>
            <w:tcW w:w="764" w:type="dxa"/>
            <w:noWrap/>
            <w:hideMark/>
          </w:tcPr>
          <w:p w14:paraId="7495265C"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771</w:t>
            </w:r>
          </w:p>
        </w:tc>
        <w:tc>
          <w:tcPr>
            <w:tcW w:w="764" w:type="dxa"/>
            <w:noWrap/>
            <w:hideMark/>
          </w:tcPr>
          <w:p w14:paraId="18ED8019"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866</w:t>
            </w:r>
          </w:p>
        </w:tc>
        <w:tc>
          <w:tcPr>
            <w:tcW w:w="764" w:type="dxa"/>
            <w:noWrap/>
            <w:hideMark/>
          </w:tcPr>
          <w:p w14:paraId="6A580F7A"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905</w:t>
            </w:r>
          </w:p>
        </w:tc>
      </w:tr>
      <w:tr w:rsidR="0040635C" w:rsidRPr="003B2B91" w14:paraId="0D8BAB7D" w14:textId="77777777" w:rsidTr="0040635C">
        <w:trPr>
          <w:trHeight w:val="300"/>
        </w:trPr>
        <w:tc>
          <w:tcPr>
            <w:tcW w:w="2515" w:type="dxa"/>
            <w:noWrap/>
            <w:hideMark/>
          </w:tcPr>
          <w:p w14:paraId="4CD23BF2" w14:textId="77777777" w:rsidR="0040635C" w:rsidRPr="003B2B91" w:rsidRDefault="0040635C" w:rsidP="0040635C">
            <w:pPr>
              <w:spacing w:line="360" w:lineRule="auto"/>
              <w:rPr>
                <w:rFonts w:eastAsia="Times New Roman" w:cs="Arial"/>
                <w:b/>
                <w:bCs/>
                <w:lang w:eastAsia="en-GB"/>
              </w:rPr>
            </w:pPr>
            <w:r w:rsidRPr="003B2B91">
              <w:rPr>
                <w:rFonts w:eastAsia="Times New Roman" w:cs="Arial"/>
                <w:b/>
                <w:bCs/>
                <w:lang w:eastAsia="en-GB"/>
              </w:rPr>
              <w:t>KORUZA</w:t>
            </w:r>
          </w:p>
        </w:tc>
        <w:tc>
          <w:tcPr>
            <w:tcW w:w="1090" w:type="dxa"/>
            <w:noWrap/>
            <w:hideMark/>
          </w:tcPr>
          <w:p w14:paraId="38529EA9"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198</w:t>
            </w:r>
          </w:p>
        </w:tc>
        <w:tc>
          <w:tcPr>
            <w:tcW w:w="765" w:type="dxa"/>
            <w:noWrap/>
            <w:hideMark/>
          </w:tcPr>
          <w:p w14:paraId="549D9AE0"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34</w:t>
            </w:r>
          </w:p>
        </w:tc>
        <w:tc>
          <w:tcPr>
            <w:tcW w:w="764" w:type="dxa"/>
            <w:noWrap/>
            <w:hideMark/>
          </w:tcPr>
          <w:p w14:paraId="3D4B6947"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23</w:t>
            </w:r>
          </w:p>
        </w:tc>
        <w:tc>
          <w:tcPr>
            <w:tcW w:w="764" w:type="dxa"/>
            <w:noWrap/>
            <w:hideMark/>
          </w:tcPr>
          <w:p w14:paraId="1112A3D6"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9</w:t>
            </w:r>
          </w:p>
        </w:tc>
        <w:tc>
          <w:tcPr>
            <w:tcW w:w="764" w:type="dxa"/>
            <w:noWrap/>
            <w:hideMark/>
          </w:tcPr>
          <w:p w14:paraId="1323F075"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21</w:t>
            </w:r>
          </w:p>
        </w:tc>
        <w:tc>
          <w:tcPr>
            <w:tcW w:w="764" w:type="dxa"/>
            <w:noWrap/>
            <w:hideMark/>
          </w:tcPr>
          <w:p w14:paraId="64CC7651"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17</w:t>
            </w:r>
          </w:p>
        </w:tc>
        <w:tc>
          <w:tcPr>
            <w:tcW w:w="764" w:type="dxa"/>
            <w:noWrap/>
            <w:hideMark/>
          </w:tcPr>
          <w:p w14:paraId="12E3FC03"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15</w:t>
            </w:r>
          </w:p>
        </w:tc>
        <w:tc>
          <w:tcPr>
            <w:tcW w:w="764" w:type="dxa"/>
            <w:noWrap/>
            <w:hideMark/>
          </w:tcPr>
          <w:p w14:paraId="4F47B8DC"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19</w:t>
            </w:r>
          </w:p>
        </w:tc>
      </w:tr>
      <w:tr w:rsidR="0040635C" w:rsidRPr="003B2B91" w14:paraId="2E8CA3FC" w14:textId="77777777" w:rsidTr="0040635C">
        <w:trPr>
          <w:trHeight w:val="300"/>
        </w:trPr>
        <w:tc>
          <w:tcPr>
            <w:tcW w:w="2515" w:type="dxa"/>
            <w:noWrap/>
            <w:hideMark/>
          </w:tcPr>
          <w:p w14:paraId="423E8C8A" w14:textId="77777777" w:rsidR="0040635C" w:rsidRPr="003B2B91" w:rsidRDefault="0040635C" w:rsidP="0040635C">
            <w:pPr>
              <w:spacing w:line="360" w:lineRule="auto"/>
              <w:rPr>
                <w:rFonts w:eastAsia="Times New Roman" w:cs="Arial"/>
                <w:b/>
                <w:bCs/>
                <w:lang w:eastAsia="en-GB"/>
              </w:rPr>
            </w:pPr>
            <w:r w:rsidRPr="003B2B91">
              <w:rPr>
                <w:rFonts w:eastAsia="Times New Roman" w:cs="Arial"/>
                <w:b/>
                <w:bCs/>
                <w:lang w:eastAsia="en-GB"/>
              </w:rPr>
              <w:t>KRMNE RASTLINE</w:t>
            </w:r>
          </w:p>
        </w:tc>
        <w:tc>
          <w:tcPr>
            <w:tcW w:w="1090" w:type="dxa"/>
            <w:noWrap/>
            <w:hideMark/>
          </w:tcPr>
          <w:p w14:paraId="74A25176"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205</w:t>
            </w:r>
          </w:p>
        </w:tc>
        <w:tc>
          <w:tcPr>
            <w:tcW w:w="765" w:type="dxa"/>
            <w:noWrap/>
            <w:hideMark/>
          </w:tcPr>
          <w:p w14:paraId="121C1913"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106</w:t>
            </w:r>
          </w:p>
        </w:tc>
        <w:tc>
          <w:tcPr>
            <w:tcW w:w="764" w:type="dxa"/>
            <w:noWrap/>
            <w:hideMark/>
          </w:tcPr>
          <w:p w14:paraId="5AFAB575"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90</w:t>
            </w:r>
          </w:p>
        </w:tc>
        <w:tc>
          <w:tcPr>
            <w:tcW w:w="764" w:type="dxa"/>
            <w:noWrap/>
            <w:hideMark/>
          </w:tcPr>
          <w:p w14:paraId="5F103540"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92</w:t>
            </w:r>
          </w:p>
        </w:tc>
        <w:tc>
          <w:tcPr>
            <w:tcW w:w="764" w:type="dxa"/>
            <w:noWrap/>
            <w:hideMark/>
          </w:tcPr>
          <w:p w14:paraId="0BD7B9BC"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131</w:t>
            </w:r>
          </w:p>
        </w:tc>
        <w:tc>
          <w:tcPr>
            <w:tcW w:w="764" w:type="dxa"/>
            <w:noWrap/>
            <w:hideMark/>
          </w:tcPr>
          <w:p w14:paraId="6DFD20D5"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80</w:t>
            </w:r>
          </w:p>
        </w:tc>
        <w:tc>
          <w:tcPr>
            <w:tcW w:w="764" w:type="dxa"/>
            <w:noWrap/>
            <w:hideMark/>
          </w:tcPr>
          <w:p w14:paraId="22E18CC8"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85</w:t>
            </w:r>
          </w:p>
        </w:tc>
        <w:tc>
          <w:tcPr>
            <w:tcW w:w="764" w:type="dxa"/>
            <w:noWrap/>
            <w:hideMark/>
          </w:tcPr>
          <w:p w14:paraId="41E2A2CF"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171</w:t>
            </w:r>
          </w:p>
        </w:tc>
      </w:tr>
      <w:tr w:rsidR="0040635C" w:rsidRPr="003B2B91" w14:paraId="7FA7BB5D" w14:textId="77777777" w:rsidTr="0040635C">
        <w:trPr>
          <w:trHeight w:val="300"/>
        </w:trPr>
        <w:tc>
          <w:tcPr>
            <w:tcW w:w="2515" w:type="dxa"/>
            <w:noWrap/>
            <w:hideMark/>
          </w:tcPr>
          <w:p w14:paraId="647BCAA5" w14:textId="77777777" w:rsidR="0040635C" w:rsidRPr="003B2B91" w:rsidRDefault="0040635C" w:rsidP="0040635C">
            <w:pPr>
              <w:spacing w:line="360" w:lineRule="auto"/>
              <w:rPr>
                <w:rFonts w:eastAsia="Times New Roman" w:cs="Arial"/>
                <w:b/>
                <w:bCs/>
                <w:lang w:eastAsia="en-GB"/>
              </w:rPr>
            </w:pPr>
            <w:r w:rsidRPr="003B2B91">
              <w:rPr>
                <w:rFonts w:eastAsia="Times New Roman" w:cs="Arial"/>
                <w:b/>
                <w:bCs/>
                <w:lang w:eastAsia="en-GB"/>
              </w:rPr>
              <w:t>OLJNICE IN PREDIVNICE</w:t>
            </w:r>
          </w:p>
        </w:tc>
        <w:tc>
          <w:tcPr>
            <w:tcW w:w="1090" w:type="dxa"/>
            <w:noWrap/>
            <w:hideMark/>
          </w:tcPr>
          <w:p w14:paraId="7C19FC72"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128</w:t>
            </w:r>
          </w:p>
        </w:tc>
        <w:tc>
          <w:tcPr>
            <w:tcW w:w="765" w:type="dxa"/>
            <w:noWrap/>
            <w:hideMark/>
          </w:tcPr>
          <w:p w14:paraId="0BF69FD2"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54</w:t>
            </w:r>
          </w:p>
        </w:tc>
        <w:tc>
          <w:tcPr>
            <w:tcW w:w="764" w:type="dxa"/>
            <w:noWrap/>
            <w:hideMark/>
          </w:tcPr>
          <w:p w14:paraId="0F5DFF41"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134</w:t>
            </w:r>
          </w:p>
        </w:tc>
        <w:tc>
          <w:tcPr>
            <w:tcW w:w="764" w:type="dxa"/>
            <w:noWrap/>
            <w:hideMark/>
          </w:tcPr>
          <w:p w14:paraId="24160A6D"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135</w:t>
            </w:r>
          </w:p>
        </w:tc>
        <w:tc>
          <w:tcPr>
            <w:tcW w:w="764" w:type="dxa"/>
            <w:noWrap/>
            <w:hideMark/>
          </w:tcPr>
          <w:p w14:paraId="7C9AB8B5"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211</w:t>
            </w:r>
          </w:p>
        </w:tc>
        <w:tc>
          <w:tcPr>
            <w:tcW w:w="764" w:type="dxa"/>
            <w:noWrap/>
            <w:hideMark/>
          </w:tcPr>
          <w:p w14:paraId="56ACF209"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181</w:t>
            </w:r>
          </w:p>
        </w:tc>
        <w:tc>
          <w:tcPr>
            <w:tcW w:w="764" w:type="dxa"/>
            <w:noWrap/>
            <w:hideMark/>
          </w:tcPr>
          <w:p w14:paraId="43CE2DE5"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203</w:t>
            </w:r>
          </w:p>
        </w:tc>
        <w:tc>
          <w:tcPr>
            <w:tcW w:w="764" w:type="dxa"/>
            <w:noWrap/>
            <w:hideMark/>
          </w:tcPr>
          <w:p w14:paraId="57C36FE0"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283</w:t>
            </w:r>
          </w:p>
        </w:tc>
      </w:tr>
      <w:tr w:rsidR="0040635C" w:rsidRPr="003B2B91" w14:paraId="62074E29" w14:textId="77777777" w:rsidTr="0040635C">
        <w:trPr>
          <w:trHeight w:val="300"/>
        </w:trPr>
        <w:tc>
          <w:tcPr>
            <w:tcW w:w="2515" w:type="dxa"/>
            <w:noWrap/>
            <w:hideMark/>
          </w:tcPr>
          <w:p w14:paraId="60CBDA91" w14:textId="77777777" w:rsidR="0040635C" w:rsidRPr="003B2B91" w:rsidRDefault="0040635C" w:rsidP="0040635C">
            <w:pPr>
              <w:spacing w:line="360" w:lineRule="auto"/>
              <w:rPr>
                <w:rFonts w:eastAsia="Times New Roman" w:cs="Arial"/>
                <w:b/>
                <w:bCs/>
                <w:lang w:eastAsia="en-GB"/>
              </w:rPr>
            </w:pPr>
            <w:r w:rsidRPr="003B2B91">
              <w:rPr>
                <w:rFonts w:eastAsia="Times New Roman" w:cs="Arial"/>
                <w:b/>
                <w:bCs/>
                <w:lang w:eastAsia="en-GB"/>
              </w:rPr>
              <w:t xml:space="preserve">KROMPIR </w:t>
            </w:r>
          </w:p>
        </w:tc>
        <w:tc>
          <w:tcPr>
            <w:tcW w:w="1090" w:type="dxa"/>
            <w:noWrap/>
            <w:hideMark/>
          </w:tcPr>
          <w:p w14:paraId="078CC937"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85</w:t>
            </w:r>
          </w:p>
        </w:tc>
        <w:tc>
          <w:tcPr>
            <w:tcW w:w="765" w:type="dxa"/>
            <w:noWrap/>
            <w:hideMark/>
          </w:tcPr>
          <w:p w14:paraId="3F1002F8"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41</w:t>
            </w:r>
          </w:p>
        </w:tc>
        <w:tc>
          <w:tcPr>
            <w:tcW w:w="764" w:type="dxa"/>
            <w:noWrap/>
            <w:hideMark/>
          </w:tcPr>
          <w:p w14:paraId="644EC294"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29</w:t>
            </w:r>
          </w:p>
        </w:tc>
        <w:tc>
          <w:tcPr>
            <w:tcW w:w="764" w:type="dxa"/>
            <w:noWrap/>
            <w:hideMark/>
          </w:tcPr>
          <w:p w14:paraId="3C8B837A"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30</w:t>
            </w:r>
          </w:p>
        </w:tc>
        <w:tc>
          <w:tcPr>
            <w:tcW w:w="764" w:type="dxa"/>
            <w:noWrap/>
            <w:hideMark/>
          </w:tcPr>
          <w:p w14:paraId="4F3FC5BF"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30</w:t>
            </w:r>
          </w:p>
        </w:tc>
        <w:tc>
          <w:tcPr>
            <w:tcW w:w="764" w:type="dxa"/>
            <w:noWrap/>
            <w:hideMark/>
          </w:tcPr>
          <w:p w14:paraId="5C9215D7"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30</w:t>
            </w:r>
          </w:p>
        </w:tc>
        <w:tc>
          <w:tcPr>
            <w:tcW w:w="764" w:type="dxa"/>
            <w:noWrap/>
            <w:hideMark/>
          </w:tcPr>
          <w:p w14:paraId="6B5CB0B2"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31</w:t>
            </w:r>
          </w:p>
        </w:tc>
        <w:tc>
          <w:tcPr>
            <w:tcW w:w="764" w:type="dxa"/>
            <w:noWrap/>
            <w:hideMark/>
          </w:tcPr>
          <w:p w14:paraId="5DF38377"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27</w:t>
            </w:r>
          </w:p>
        </w:tc>
      </w:tr>
      <w:tr w:rsidR="0040635C" w:rsidRPr="003B2B91" w14:paraId="43E1EDCA" w14:textId="77777777" w:rsidTr="0040635C">
        <w:trPr>
          <w:trHeight w:val="300"/>
        </w:trPr>
        <w:tc>
          <w:tcPr>
            <w:tcW w:w="2515" w:type="dxa"/>
            <w:noWrap/>
            <w:hideMark/>
          </w:tcPr>
          <w:p w14:paraId="4D4E643E" w14:textId="77777777" w:rsidR="0040635C" w:rsidRPr="003B2B91" w:rsidRDefault="0040635C" w:rsidP="0040635C">
            <w:pPr>
              <w:spacing w:line="360" w:lineRule="auto"/>
              <w:rPr>
                <w:rFonts w:eastAsia="Times New Roman" w:cs="Arial"/>
                <w:b/>
                <w:bCs/>
                <w:lang w:eastAsia="en-GB"/>
              </w:rPr>
            </w:pPr>
            <w:r w:rsidRPr="003B2B91">
              <w:rPr>
                <w:rFonts w:eastAsia="Times New Roman" w:cs="Arial"/>
                <w:b/>
                <w:bCs/>
                <w:lang w:eastAsia="en-GB"/>
              </w:rPr>
              <w:t>ZELENJADNICE</w:t>
            </w:r>
          </w:p>
        </w:tc>
        <w:tc>
          <w:tcPr>
            <w:tcW w:w="1090" w:type="dxa"/>
            <w:noWrap/>
            <w:hideMark/>
          </w:tcPr>
          <w:p w14:paraId="53688733"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22</w:t>
            </w:r>
          </w:p>
        </w:tc>
        <w:tc>
          <w:tcPr>
            <w:tcW w:w="765" w:type="dxa"/>
            <w:noWrap/>
            <w:hideMark/>
          </w:tcPr>
          <w:p w14:paraId="6C177FD9"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6</w:t>
            </w:r>
          </w:p>
        </w:tc>
        <w:tc>
          <w:tcPr>
            <w:tcW w:w="764" w:type="dxa"/>
            <w:noWrap/>
            <w:hideMark/>
          </w:tcPr>
          <w:p w14:paraId="5C909D3E"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2</w:t>
            </w:r>
          </w:p>
        </w:tc>
        <w:tc>
          <w:tcPr>
            <w:tcW w:w="764" w:type="dxa"/>
            <w:noWrap/>
            <w:hideMark/>
          </w:tcPr>
          <w:p w14:paraId="32ED45A4"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4</w:t>
            </w:r>
          </w:p>
        </w:tc>
        <w:tc>
          <w:tcPr>
            <w:tcW w:w="764" w:type="dxa"/>
            <w:noWrap/>
            <w:hideMark/>
          </w:tcPr>
          <w:p w14:paraId="5395708E"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9</w:t>
            </w:r>
          </w:p>
        </w:tc>
        <w:tc>
          <w:tcPr>
            <w:tcW w:w="764" w:type="dxa"/>
            <w:noWrap/>
            <w:hideMark/>
          </w:tcPr>
          <w:p w14:paraId="270BD878"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4</w:t>
            </w:r>
          </w:p>
        </w:tc>
        <w:tc>
          <w:tcPr>
            <w:tcW w:w="764" w:type="dxa"/>
            <w:noWrap/>
            <w:hideMark/>
          </w:tcPr>
          <w:p w14:paraId="0C7C481E"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5</w:t>
            </w:r>
          </w:p>
        </w:tc>
        <w:tc>
          <w:tcPr>
            <w:tcW w:w="764" w:type="dxa"/>
            <w:noWrap/>
            <w:hideMark/>
          </w:tcPr>
          <w:p w14:paraId="16E7562E"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4</w:t>
            </w:r>
          </w:p>
        </w:tc>
      </w:tr>
      <w:tr w:rsidR="0040635C" w:rsidRPr="003B2B91" w14:paraId="62AF96A4" w14:textId="77777777" w:rsidTr="0040635C">
        <w:trPr>
          <w:trHeight w:val="315"/>
        </w:trPr>
        <w:tc>
          <w:tcPr>
            <w:tcW w:w="2515" w:type="dxa"/>
            <w:shd w:val="clear" w:color="auto" w:fill="C6D9F1" w:themeFill="text2" w:themeFillTint="33"/>
            <w:noWrap/>
            <w:hideMark/>
          </w:tcPr>
          <w:p w14:paraId="4D6C385F" w14:textId="77777777" w:rsidR="0040635C" w:rsidRPr="003B2B91" w:rsidRDefault="0040635C" w:rsidP="0040635C">
            <w:pPr>
              <w:spacing w:line="360" w:lineRule="auto"/>
              <w:rPr>
                <w:rFonts w:eastAsia="Times New Roman" w:cs="Arial"/>
                <w:b/>
                <w:bCs/>
                <w:lang w:eastAsia="en-GB"/>
              </w:rPr>
            </w:pPr>
            <w:r w:rsidRPr="003B2B91">
              <w:rPr>
                <w:rFonts w:eastAsia="Times New Roman" w:cs="Arial"/>
                <w:b/>
                <w:bCs/>
                <w:lang w:eastAsia="en-GB"/>
              </w:rPr>
              <w:t>Skupaj (ha)</w:t>
            </w:r>
          </w:p>
        </w:tc>
        <w:tc>
          <w:tcPr>
            <w:tcW w:w="1090" w:type="dxa"/>
            <w:shd w:val="clear" w:color="auto" w:fill="C6D9F1" w:themeFill="text2" w:themeFillTint="33"/>
            <w:noWrap/>
            <w:hideMark/>
          </w:tcPr>
          <w:p w14:paraId="4BBB741F"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2540</w:t>
            </w:r>
          </w:p>
        </w:tc>
        <w:tc>
          <w:tcPr>
            <w:tcW w:w="765" w:type="dxa"/>
            <w:shd w:val="clear" w:color="auto" w:fill="C6D9F1" w:themeFill="text2" w:themeFillTint="33"/>
            <w:noWrap/>
            <w:hideMark/>
          </w:tcPr>
          <w:p w14:paraId="71629A68"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1613</w:t>
            </w:r>
          </w:p>
        </w:tc>
        <w:tc>
          <w:tcPr>
            <w:tcW w:w="764" w:type="dxa"/>
            <w:shd w:val="clear" w:color="auto" w:fill="C6D9F1" w:themeFill="text2" w:themeFillTint="33"/>
            <w:noWrap/>
            <w:hideMark/>
          </w:tcPr>
          <w:p w14:paraId="6ECA7D1E"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1386</w:t>
            </w:r>
          </w:p>
        </w:tc>
        <w:tc>
          <w:tcPr>
            <w:tcW w:w="764" w:type="dxa"/>
            <w:shd w:val="clear" w:color="auto" w:fill="C6D9F1" w:themeFill="text2" w:themeFillTint="33"/>
            <w:noWrap/>
            <w:hideMark/>
          </w:tcPr>
          <w:p w14:paraId="692ED31E"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1297</w:t>
            </w:r>
          </w:p>
        </w:tc>
        <w:tc>
          <w:tcPr>
            <w:tcW w:w="764" w:type="dxa"/>
            <w:shd w:val="clear" w:color="auto" w:fill="C6D9F1" w:themeFill="text2" w:themeFillTint="33"/>
            <w:noWrap/>
            <w:hideMark/>
          </w:tcPr>
          <w:p w14:paraId="44662367"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1339</w:t>
            </w:r>
          </w:p>
        </w:tc>
        <w:tc>
          <w:tcPr>
            <w:tcW w:w="764" w:type="dxa"/>
            <w:shd w:val="clear" w:color="auto" w:fill="C6D9F1" w:themeFill="text2" w:themeFillTint="33"/>
            <w:noWrap/>
            <w:hideMark/>
          </w:tcPr>
          <w:p w14:paraId="1D6909C6"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1084</w:t>
            </w:r>
          </w:p>
        </w:tc>
        <w:tc>
          <w:tcPr>
            <w:tcW w:w="764" w:type="dxa"/>
            <w:shd w:val="clear" w:color="auto" w:fill="C6D9F1" w:themeFill="text2" w:themeFillTint="33"/>
            <w:noWrap/>
            <w:hideMark/>
          </w:tcPr>
          <w:p w14:paraId="61A8C539"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1205</w:t>
            </w:r>
          </w:p>
        </w:tc>
        <w:tc>
          <w:tcPr>
            <w:tcW w:w="764" w:type="dxa"/>
            <w:shd w:val="clear" w:color="auto" w:fill="C6D9F1" w:themeFill="text2" w:themeFillTint="33"/>
            <w:noWrap/>
            <w:hideMark/>
          </w:tcPr>
          <w:p w14:paraId="22A302CF" w14:textId="77777777" w:rsidR="0040635C" w:rsidRPr="003B2B91" w:rsidRDefault="0040635C" w:rsidP="0040635C">
            <w:pPr>
              <w:spacing w:line="360" w:lineRule="auto"/>
              <w:rPr>
                <w:rFonts w:eastAsia="Times New Roman" w:cs="Arial"/>
                <w:lang w:eastAsia="en-GB"/>
              </w:rPr>
            </w:pPr>
            <w:r w:rsidRPr="003B2B91">
              <w:rPr>
                <w:rFonts w:eastAsia="Times New Roman" w:cs="Arial"/>
                <w:lang w:eastAsia="en-GB"/>
              </w:rPr>
              <w:t>1410</w:t>
            </w:r>
          </w:p>
        </w:tc>
      </w:tr>
    </w:tbl>
    <w:p w14:paraId="0532EA72" w14:textId="4DD3C09C" w:rsidR="0040635C" w:rsidRDefault="0040635C" w:rsidP="0040635C">
      <w:pPr>
        <w:spacing w:before="120" w:after="0" w:line="360" w:lineRule="auto"/>
        <w:rPr>
          <w:rFonts w:eastAsia="Times New Roman" w:cs="Arial"/>
          <w:sz w:val="16"/>
          <w:szCs w:val="16"/>
          <w:lang w:eastAsia="en-GB"/>
        </w:rPr>
      </w:pPr>
      <w:r w:rsidRPr="005718B1">
        <w:rPr>
          <w:rFonts w:eastAsia="Times New Roman" w:cs="Arial"/>
          <w:sz w:val="16"/>
          <w:szCs w:val="16"/>
          <w:lang w:eastAsia="en-GB"/>
        </w:rPr>
        <w:t>Vir: UVHVVR</w:t>
      </w:r>
      <w:r>
        <w:rPr>
          <w:rFonts w:eastAsia="Times New Roman" w:cs="Arial"/>
          <w:sz w:val="16"/>
          <w:szCs w:val="16"/>
          <w:lang w:eastAsia="en-GB"/>
        </w:rPr>
        <w:t>-2020</w:t>
      </w:r>
    </w:p>
    <w:p w14:paraId="4F910620" w14:textId="77777777" w:rsidR="0040635C" w:rsidRDefault="0040635C" w:rsidP="0040635C">
      <w:pPr>
        <w:spacing w:before="120" w:after="0" w:line="360" w:lineRule="auto"/>
        <w:rPr>
          <w:rFonts w:eastAsia="Times New Roman" w:cs="Arial"/>
          <w:szCs w:val="20"/>
          <w:lang w:eastAsia="en-GB"/>
        </w:rPr>
      </w:pPr>
    </w:p>
    <w:p w14:paraId="64A022A4" w14:textId="6938816B" w:rsidR="0040635C" w:rsidRDefault="0040635C" w:rsidP="0040635C">
      <w:pPr>
        <w:keepNext/>
        <w:keepLines/>
        <w:spacing w:after="0" w:line="360" w:lineRule="auto"/>
      </w:pPr>
      <w:bookmarkStart w:id="233" w:name="_Toc55913800"/>
      <w:r>
        <w:lastRenderedPageBreak/>
        <w:t xml:space="preserve">Slika </w:t>
      </w:r>
      <w:r>
        <w:fldChar w:fldCharType="begin"/>
      </w:r>
      <w:r>
        <w:instrText xml:space="preserve"> SEQ Slika \* ARABIC </w:instrText>
      </w:r>
      <w:r>
        <w:fldChar w:fldCharType="separate"/>
      </w:r>
      <w:r>
        <w:rPr>
          <w:noProof/>
        </w:rPr>
        <w:t>51</w:t>
      </w:r>
      <w:r>
        <w:fldChar w:fldCharType="end"/>
      </w:r>
      <w:r>
        <w:t xml:space="preserve">: </w:t>
      </w:r>
      <w:r w:rsidRPr="0040635C">
        <w:t>Delež površin semenskih posevkov po skupinah rastlin od 2014–2019 v primerjavi z obdobjem 2009–2013</w:t>
      </w:r>
      <w:bookmarkEnd w:id="233"/>
    </w:p>
    <w:p w14:paraId="24DF024F" w14:textId="77777777" w:rsidR="0040635C" w:rsidRPr="003B2B91" w:rsidRDefault="0040635C" w:rsidP="0040635C">
      <w:pPr>
        <w:keepNext/>
        <w:keepLines/>
        <w:spacing w:after="0" w:line="360" w:lineRule="auto"/>
        <w:rPr>
          <w:rFonts w:eastAsia="Times New Roman" w:cs="Arial"/>
          <w:szCs w:val="20"/>
          <w:lang w:eastAsia="en-GB"/>
        </w:rPr>
      </w:pPr>
      <w:r w:rsidRPr="003B2B91">
        <w:rPr>
          <w:rFonts w:eastAsia="Times New Roman" w:cs="Arial"/>
          <w:noProof/>
          <w:szCs w:val="20"/>
        </w:rPr>
        <w:drawing>
          <wp:inline distT="0" distB="0" distL="0" distR="0" wp14:anchorId="33E62CB0" wp14:editId="204D27FE">
            <wp:extent cx="5123019" cy="2552131"/>
            <wp:effectExtent l="0" t="0" r="1905" b="63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34393" cy="2557797"/>
                    </a:xfrm>
                    <a:prstGeom prst="rect">
                      <a:avLst/>
                    </a:prstGeom>
                    <a:noFill/>
                  </pic:spPr>
                </pic:pic>
              </a:graphicData>
            </a:graphic>
          </wp:inline>
        </w:drawing>
      </w:r>
    </w:p>
    <w:p w14:paraId="1A685A0E" w14:textId="77777777" w:rsidR="0040635C" w:rsidRPr="003B2B91" w:rsidRDefault="0040635C" w:rsidP="0040635C">
      <w:pPr>
        <w:keepNext/>
        <w:keepLines/>
        <w:spacing w:after="0" w:line="360" w:lineRule="auto"/>
        <w:rPr>
          <w:rFonts w:eastAsia="Times New Roman" w:cs="Arial"/>
          <w:szCs w:val="20"/>
          <w:lang w:eastAsia="en-GB"/>
        </w:rPr>
      </w:pPr>
      <w:bookmarkStart w:id="234" w:name="_Toc40959394"/>
      <w:r w:rsidRPr="00FF4B40">
        <w:rPr>
          <w:rFonts w:eastAsia="Times New Roman" w:cs="Arial"/>
          <w:sz w:val="16"/>
          <w:szCs w:val="16"/>
          <w:lang w:eastAsia="en-GB"/>
        </w:rPr>
        <w:t>Vir: UVHVVR</w:t>
      </w:r>
      <w:r>
        <w:rPr>
          <w:rFonts w:eastAsia="Times New Roman" w:cs="Arial"/>
          <w:sz w:val="16"/>
          <w:szCs w:val="16"/>
          <w:lang w:eastAsia="en-GB"/>
        </w:rPr>
        <w:t>-2020</w:t>
      </w:r>
      <w:bookmarkEnd w:id="234"/>
    </w:p>
    <w:p w14:paraId="30539E42" w14:textId="77777777" w:rsidR="0040635C" w:rsidRPr="0040635C" w:rsidRDefault="0040635C" w:rsidP="0040635C">
      <w:pPr>
        <w:spacing w:before="200" w:line="360" w:lineRule="auto"/>
        <w:jc w:val="both"/>
        <w:rPr>
          <w:rFonts w:eastAsia="Times New Roman" w:cs="Arial"/>
          <w:szCs w:val="20"/>
          <w:lang w:eastAsia="en-GB"/>
        </w:rPr>
      </w:pPr>
      <w:r w:rsidRPr="0040635C">
        <w:rPr>
          <w:rFonts w:eastAsia="Times New Roman" w:cs="Arial"/>
          <w:szCs w:val="20"/>
          <w:lang w:eastAsia="en-GB"/>
        </w:rPr>
        <w:t>V Sloveniji se v največjem obsegu pridelujejo semena žit, čeprav se je njihov delež v celotni semenski pridelavi zmanjšal na okoli 60 %, pred letom 2014 pa je bil ta delež več kot 85 %. Med žiti se je najbolj zmanjšal obseg pridelave semena koruze (za 90 % glede na povprečno pridelavo obdobja 2000-2004) in pšenice (za več kot 50 % glede na pridelavo obdobja 2000-2004), čeprav ti dve kmetijski rastlini še vedno zasedata več kot polovico vseh njivskih površin v Sloveniji. Močno se je zmanjšala tudi pridelava semenskega krompirja, saj predstavlja trenutni obseg pridelave manj kot 30 % v primerjavi z obdobjem 2000-2004, ko je bilo 85 ha potrjenih površin s krompirjem.</w:t>
      </w:r>
    </w:p>
    <w:p w14:paraId="12EB1548" w14:textId="77777777" w:rsidR="0040635C" w:rsidRDefault="0040635C" w:rsidP="0040635C">
      <w:pPr>
        <w:spacing w:before="200" w:line="360" w:lineRule="auto"/>
        <w:jc w:val="both"/>
        <w:rPr>
          <w:rFonts w:eastAsia="Times New Roman" w:cs="Arial"/>
          <w:szCs w:val="20"/>
          <w:lang w:eastAsia="en-GB"/>
        </w:rPr>
      </w:pPr>
      <w:r w:rsidRPr="0040635C">
        <w:rPr>
          <w:rFonts w:eastAsia="Times New Roman" w:cs="Arial"/>
          <w:szCs w:val="20"/>
          <w:lang w:eastAsia="en-GB"/>
        </w:rPr>
        <w:t>V letu 2019 smo beleži pozitivni trend v pridelavi uradno potrjenega semena pri pšenici, ječmenu, koruzi, soji, inkarnatki, ovsu, oljni repici ter konoplji. Zmanjšale</w:t>
      </w:r>
      <w:r w:rsidRPr="0040635C" w:rsidDel="00AF7459">
        <w:rPr>
          <w:rFonts w:eastAsia="Times New Roman" w:cs="Arial"/>
          <w:szCs w:val="20"/>
          <w:lang w:eastAsia="en-GB"/>
        </w:rPr>
        <w:t xml:space="preserve"> </w:t>
      </w:r>
      <w:r w:rsidRPr="0040635C">
        <w:rPr>
          <w:rFonts w:eastAsia="Times New Roman" w:cs="Arial"/>
          <w:szCs w:val="20"/>
          <w:lang w:eastAsia="en-GB"/>
        </w:rPr>
        <w:t xml:space="preserve">so se površine posejane z ajdo, ogrščico, </w:t>
      </w:r>
      <w:proofErr w:type="spellStart"/>
      <w:r w:rsidRPr="0040635C">
        <w:rPr>
          <w:rFonts w:eastAsia="Times New Roman" w:cs="Arial"/>
          <w:szCs w:val="20"/>
          <w:lang w:eastAsia="en-GB"/>
        </w:rPr>
        <w:t>tritikalo</w:t>
      </w:r>
      <w:proofErr w:type="spellEnd"/>
      <w:r w:rsidRPr="0040635C">
        <w:rPr>
          <w:rFonts w:eastAsia="Times New Roman" w:cs="Arial"/>
          <w:szCs w:val="20"/>
          <w:lang w:eastAsia="en-GB"/>
        </w:rPr>
        <w:t xml:space="preserve">, ržjo, piro, deteljo in ljuljko. Za pridelavo semena žit je v zadnjem času značilna velika razdrobljenost v sortni strukturi. </w:t>
      </w:r>
    </w:p>
    <w:p w14:paraId="4D20DA3C" w14:textId="3615DB9D" w:rsidR="0040635C" w:rsidRDefault="0040635C" w:rsidP="0040635C">
      <w:pPr>
        <w:keepNext/>
        <w:keepLines/>
        <w:spacing w:after="0" w:line="360" w:lineRule="auto"/>
      </w:pPr>
      <w:bookmarkStart w:id="235" w:name="_Toc55913801"/>
      <w:r>
        <w:lastRenderedPageBreak/>
        <w:t xml:space="preserve">Slika </w:t>
      </w:r>
      <w:r>
        <w:fldChar w:fldCharType="begin"/>
      </w:r>
      <w:r>
        <w:instrText xml:space="preserve"> SEQ Slika \* ARABIC </w:instrText>
      </w:r>
      <w:r>
        <w:fldChar w:fldCharType="separate"/>
      </w:r>
      <w:r>
        <w:rPr>
          <w:noProof/>
        </w:rPr>
        <w:t>52</w:t>
      </w:r>
      <w:r>
        <w:fldChar w:fldCharType="end"/>
      </w:r>
      <w:r>
        <w:t xml:space="preserve">: </w:t>
      </w:r>
      <w:r w:rsidRPr="0040635C">
        <w:t>Obseg pridelave semena žit (2014–2019)</w:t>
      </w:r>
      <w:bookmarkEnd w:id="235"/>
    </w:p>
    <w:p w14:paraId="0677BA30" w14:textId="77777777" w:rsidR="0040635C" w:rsidRPr="003B2B91" w:rsidRDefault="0040635C" w:rsidP="0040635C">
      <w:pPr>
        <w:keepNext/>
        <w:keepLines/>
        <w:spacing w:after="0" w:line="360" w:lineRule="auto"/>
        <w:rPr>
          <w:rFonts w:eastAsia="Times New Roman" w:cs="Arial"/>
          <w:szCs w:val="20"/>
          <w:lang w:eastAsia="en-GB"/>
        </w:rPr>
      </w:pPr>
      <w:r w:rsidRPr="003B2B91">
        <w:rPr>
          <w:rFonts w:eastAsia="Times New Roman" w:cs="Arial"/>
          <w:noProof/>
          <w:szCs w:val="20"/>
        </w:rPr>
        <w:drawing>
          <wp:inline distT="0" distB="0" distL="0" distR="0" wp14:anchorId="4B03FCC3" wp14:editId="7304953C">
            <wp:extent cx="4358640" cy="2049780"/>
            <wp:effectExtent l="0" t="0" r="3810" b="7620"/>
            <wp:docPr id="22" name="Grafikon 22">
              <a:extLst xmlns:a="http://schemas.openxmlformats.org/drawingml/2006/main">
                <a:ext uri="{FF2B5EF4-FFF2-40B4-BE49-F238E27FC236}">
                  <a16:creationId xmlns:a16="http://schemas.microsoft.com/office/drawing/2014/main" id="{EDF2134F-289F-47F8-92F4-5410BFA368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A2E6F59" w14:textId="746073F0" w:rsidR="0040635C" w:rsidRDefault="0040635C" w:rsidP="0040635C">
      <w:pPr>
        <w:keepNext/>
        <w:keepLines/>
        <w:spacing w:after="0" w:line="360" w:lineRule="auto"/>
        <w:rPr>
          <w:rFonts w:eastAsia="Times New Roman" w:cs="Arial"/>
          <w:sz w:val="16"/>
          <w:szCs w:val="16"/>
          <w:lang w:eastAsia="en-GB"/>
        </w:rPr>
      </w:pPr>
      <w:r w:rsidRPr="005718B1">
        <w:rPr>
          <w:rFonts w:eastAsia="Times New Roman" w:cs="Arial"/>
          <w:sz w:val="16"/>
          <w:szCs w:val="16"/>
          <w:lang w:eastAsia="en-GB"/>
        </w:rPr>
        <w:t>Vir: UVHVVR</w:t>
      </w:r>
      <w:r>
        <w:rPr>
          <w:rFonts w:eastAsia="Times New Roman" w:cs="Arial"/>
          <w:sz w:val="16"/>
          <w:szCs w:val="16"/>
          <w:lang w:eastAsia="en-GB"/>
        </w:rPr>
        <w:t>-2020</w:t>
      </w:r>
    </w:p>
    <w:p w14:paraId="22726DBE" w14:textId="77777777" w:rsidR="0040635C" w:rsidRPr="003B2B91" w:rsidRDefault="0040635C" w:rsidP="0040635C">
      <w:pPr>
        <w:spacing w:before="200" w:line="360" w:lineRule="auto"/>
        <w:jc w:val="both"/>
        <w:rPr>
          <w:rFonts w:eastAsia="Times New Roman" w:cs="Arial"/>
          <w:szCs w:val="20"/>
          <w:lang w:eastAsia="en-GB"/>
        </w:rPr>
      </w:pPr>
      <w:r w:rsidRPr="003B2B91">
        <w:rPr>
          <w:rFonts w:eastAsia="Times New Roman" w:cs="Arial"/>
          <w:szCs w:val="20"/>
          <w:lang w:eastAsia="en-GB"/>
        </w:rPr>
        <w:t xml:space="preserve">V letu 2019 smo beležili pozitivni trend v pridelavi uradno potrjenega semena tudi pri krmnih rastlinah (več kot 2- krat glede na prejšnje leto). Semenski posevki krmnih rastlin so tako v letu 2019 predstavljali že 12,1 % celotne semenske pridelave. Povečala se je tudi pridelava semena oljnic in predivnic, za 29 % glede na leto 2018. V letu 2019 je bila na novo zasnovana semenska pridelava bele gorjušice na 55 ha površin. Površine namenjene pridelavi semenskega krompirja so se v letu 2019 zmanjšale na 27 ha, kar predstavlja komaj 1,9 % površin celotne semenske pridelave. Pridelava uradno potrjenega semena zelenjadnic že od leta 2000 drastično pada, v letu 2019 je bilo zelenjadnicam namenjenih le 3,9 ha oz. samo 0,3 % površin celotne semenske pridelave, od tega pa je bilo 1,2 ha površin namenjenih za sajenje oljnih buč. </w:t>
      </w:r>
    </w:p>
    <w:p w14:paraId="1AE8E5A5" w14:textId="77777777" w:rsidR="0040635C" w:rsidRDefault="0040635C" w:rsidP="0040635C">
      <w:pPr>
        <w:spacing w:before="200" w:line="360" w:lineRule="auto"/>
        <w:jc w:val="both"/>
        <w:rPr>
          <w:rFonts w:eastAsia="Times New Roman" w:cs="Arial"/>
          <w:szCs w:val="20"/>
          <w:lang w:eastAsia="en-GB"/>
        </w:rPr>
      </w:pPr>
      <w:r w:rsidRPr="003B2B91">
        <w:rPr>
          <w:rFonts w:eastAsia="Times New Roman" w:cs="Arial"/>
          <w:szCs w:val="20"/>
          <w:lang w:eastAsia="en-GB"/>
        </w:rPr>
        <w:t xml:space="preserve">Glede na posejane površine poljščin v Sloveniji in obseg uradno pridelanega domačega semena, pridelamo dovolj potrebnih količin za setev le semena konoplje, oljne ogrščice, repice ter soje. Pri žitih s pridelavo semena prosa pokrijemo 75 % potreb, medtem ko pridelano domače seme ječmena, ovsa, </w:t>
      </w:r>
      <w:proofErr w:type="spellStart"/>
      <w:r w:rsidRPr="003B2B91">
        <w:rPr>
          <w:rFonts w:eastAsia="Times New Roman" w:cs="Arial"/>
          <w:szCs w:val="20"/>
          <w:lang w:eastAsia="en-GB"/>
        </w:rPr>
        <w:t>tritikale</w:t>
      </w:r>
      <w:proofErr w:type="spellEnd"/>
      <w:r w:rsidRPr="003B2B91">
        <w:rPr>
          <w:rFonts w:eastAsia="Times New Roman" w:cs="Arial"/>
          <w:szCs w:val="20"/>
          <w:lang w:eastAsia="en-GB"/>
        </w:rPr>
        <w:t>, ajde in pšenice ne zadošča niti za 50 % pokritje posejanih površin. Z domačo pridelavo semena koruze lahko posadimo le 2 % njiv namenjenih pridelavi te poljščine. S pridelava semenskega krompirja lahko pokrijemo le 9 % slovenskih potreb. Površine za pridelavo semena zelenjadnic se zadnjih šest let gibljejo okoli 4 ha, kar je za slovenske potrebe zelo malo.</w:t>
      </w:r>
    </w:p>
    <w:p w14:paraId="1D67875F" w14:textId="11C36585" w:rsidR="0040635C" w:rsidRDefault="0040635C" w:rsidP="0040635C">
      <w:pPr>
        <w:keepNext/>
        <w:keepLines/>
        <w:spacing w:after="0" w:line="360" w:lineRule="auto"/>
      </w:pPr>
      <w:bookmarkStart w:id="236" w:name="_Toc55913802"/>
      <w:r>
        <w:lastRenderedPageBreak/>
        <w:t xml:space="preserve">Slika </w:t>
      </w:r>
      <w:r>
        <w:fldChar w:fldCharType="begin"/>
      </w:r>
      <w:r>
        <w:instrText xml:space="preserve"> SEQ Slika \* ARABIC </w:instrText>
      </w:r>
      <w:r>
        <w:fldChar w:fldCharType="separate"/>
      </w:r>
      <w:r>
        <w:rPr>
          <w:noProof/>
        </w:rPr>
        <w:t>53</w:t>
      </w:r>
      <w:r>
        <w:fldChar w:fldCharType="end"/>
      </w:r>
      <w:r>
        <w:t xml:space="preserve">: </w:t>
      </w:r>
      <w:r w:rsidRPr="0040635C">
        <w:t>Potrjeni pridelki semena (v t)</w:t>
      </w:r>
      <w:bookmarkEnd w:id="236"/>
    </w:p>
    <w:p w14:paraId="76E69177" w14:textId="77777777" w:rsidR="0040635C" w:rsidRPr="003B2B91" w:rsidRDefault="0040635C" w:rsidP="0040635C">
      <w:pPr>
        <w:spacing w:after="0" w:line="360" w:lineRule="auto"/>
        <w:rPr>
          <w:rFonts w:eastAsia="Times New Roman" w:cs="Arial"/>
          <w:szCs w:val="20"/>
          <w:lang w:eastAsia="en-GB"/>
        </w:rPr>
      </w:pPr>
      <w:r w:rsidRPr="003B2B91">
        <w:rPr>
          <w:rFonts w:cs="Arial"/>
          <w:noProof/>
          <w:szCs w:val="20"/>
        </w:rPr>
        <w:drawing>
          <wp:inline distT="0" distB="0" distL="0" distR="0" wp14:anchorId="11DE1B2E" wp14:editId="10C57B45">
            <wp:extent cx="5667555" cy="2260600"/>
            <wp:effectExtent l="0" t="0" r="9525" b="6350"/>
            <wp:docPr id="24169612" name="Grafikon 241696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6677E3E" w14:textId="3B3F5014" w:rsidR="0040635C" w:rsidRDefault="0040635C" w:rsidP="0040635C">
      <w:pPr>
        <w:spacing w:after="0" w:line="360" w:lineRule="auto"/>
        <w:rPr>
          <w:rFonts w:eastAsia="Times New Roman" w:cs="Arial"/>
          <w:sz w:val="16"/>
          <w:szCs w:val="16"/>
          <w:lang w:eastAsia="en-GB"/>
        </w:rPr>
      </w:pPr>
      <w:r w:rsidRPr="005718B1">
        <w:rPr>
          <w:rFonts w:eastAsia="Times New Roman" w:cs="Arial"/>
          <w:sz w:val="16"/>
          <w:szCs w:val="16"/>
          <w:lang w:eastAsia="en-GB"/>
        </w:rPr>
        <w:t>Vir: MKGP</w:t>
      </w:r>
      <w:r>
        <w:rPr>
          <w:rFonts w:eastAsia="Times New Roman" w:cs="Arial"/>
          <w:sz w:val="16"/>
          <w:szCs w:val="16"/>
          <w:lang w:eastAsia="en-GB"/>
        </w:rPr>
        <w:t>-2020</w:t>
      </w:r>
      <w:r w:rsidRPr="005718B1">
        <w:rPr>
          <w:rFonts w:eastAsia="Times New Roman" w:cs="Arial"/>
          <w:sz w:val="16"/>
          <w:szCs w:val="16"/>
          <w:lang w:eastAsia="en-GB"/>
        </w:rPr>
        <w:t>, UVHVV</w:t>
      </w:r>
      <w:r>
        <w:rPr>
          <w:rFonts w:eastAsia="Times New Roman" w:cs="Arial"/>
          <w:sz w:val="16"/>
          <w:szCs w:val="16"/>
          <w:lang w:eastAsia="en-GB"/>
        </w:rPr>
        <w:t>R-2020</w:t>
      </w:r>
      <w:r w:rsidRPr="005718B1">
        <w:rPr>
          <w:rFonts w:eastAsia="Times New Roman" w:cs="Arial"/>
          <w:sz w:val="16"/>
          <w:szCs w:val="16"/>
          <w:lang w:eastAsia="en-GB"/>
        </w:rPr>
        <w:t>, ZP</w:t>
      </w:r>
      <w:r>
        <w:rPr>
          <w:rFonts w:eastAsia="Times New Roman" w:cs="Arial"/>
          <w:sz w:val="16"/>
          <w:szCs w:val="16"/>
          <w:lang w:eastAsia="en-GB"/>
        </w:rPr>
        <w:t>-2019</w:t>
      </w:r>
    </w:p>
    <w:p w14:paraId="1B8C5861" w14:textId="04FABC78" w:rsidR="0040635C" w:rsidRDefault="0040635C" w:rsidP="0040635C">
      <w:pPr>
        <w:pStyle w:val="SCPreglednica"/>
      </w:pPr>
      <w:bookmarkStart w:id="237" w:name="_Toc55913750"/>
      <w:r>
        <w:t xml:space="preserve">Tabela </w:t>
      </w:r>
      <w:r>
        <w:fldChar w:fldCharType="begin"/>
      </w:r>
      <w:r>
        <w:instrText xml:space="preserve"> SEQ Tabela \* ARABIC </w:instrText>
      </w:r>
      <w:r>
        <w:fldChar w:fldCharType="separate"/>
      </w:r>
      <w:r w:rsidR="00DF0D48">
        <w:rPr>
          <w:noProof/>
        </w:rPr>
        <w:t>39</w:t>
      </w:r>
      <w:r>
        <w:fldChar w:fldCharType="end"/>
      </w:r>
      <w:r>
        <w:t xml:space="preserve">: </w:t>
      </w:r>
      <w:r w:rsidRPr="0040635C">
        <w:t>Delež uradno pridelanega domačega semena v Sloveniji</w:t>
      </w:r>
      <w:bookmarkEnd w:id="237"/>
    </w:p>
    <w:p w14:paraId="24D29F06" w14:textId="77777777" w:rsidR="0040635C" w:rsidRPr="003B2B91" w:rsidRDefault="0040635C" w:rsidP="0040635C">
      <w:pPr>
        <w:spacing w:after="0" w:line="360" w:lineRule="auto"/>
        <w:rPr>
          <w:rFonts w:eastAsia="Times New Roman" w:cs="Arial"/>
          <w:szCs w:val="20"/>
          <w:lang w:eastAsia="en-GB"/>
        </w:rPr>
      </w:pPr>
      <w:r w:rsidRPr="003B2B91">
        <w:rPr>
          <w:rFonts w:eastAsia="Times New Roman" w:cs="Arial"/>
          <w:noProof/>
          <w:szCs w:val="20"/>
        </w:rPr>
        <w:drawing>
          <wp:inline distT="0" distB="0" distL="0" distR="0" wp14:anchorId="0316CB74" wp14:editId="1C87DC43">
            <wp:extent cx="4399830" cy="2769079"/>
            <wp:effectExtent l="0" t="0" r="1270" b="0"/>
            <wp:docPr id="24169613" name="Slika 24169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09502" cy="2775166"/>
                    </a:xfrm>
                    <a:prstGeom prst="rect">
                      <a:avLst/>
                    </a:prstGeom>
                    <a:noFill/>
                    <a:ln>
                      <a:noFill/>
                    </a:ln>
                  </pic:spPr>
                </pic:pic>
              </a:graphicData>
            </a:graphic>
          </wp:inline>
        </w:drawing>
      </w:r>
    </w:p>
    <w:p w14:paraId="3F2B5E4E" w14:textId="77777777" w:rsidR="0040635C" w:rsidRPr="003B2B91" w:rsidRDefault="0040635C" w:rsidP="0040635C">
      <w:pPr>
        <w:spacing w:after="0" w:line="360" w:lineRule="auto"/>
        <w:rPr>
          <w:rFonts w:eastAsia="Times New Roman" w:cs="Arial"/>
          <w:szCs w:val="20"/>
          <w:lang w:eastAsia="en-GB"/>
        </w:rPr>
      </w:pPr>
      <w:r w:rsidRPr="00FF4B40">
        <w:rPr>
          <w:rFonts w:eastAsia="Times New Roman" w:cs="Arial"/>
          <w:sz w:val="16"/>
          <w:szCs w:val="16"/>
          <w:lang w:eastAsia="en-GB"/>
        </w:rPr>
        <w:t>Vir: MKGP</w:t>
      </w:r>
      <w:r>
        <w:rPr>
          <w:rFonts w:eastAsia="Times New Roman" w:cs="Arial"/>
          <w:sz w:val="16"/>
          <w:szCs w:val="16"/>
          <w:lang w:eastAsia="en-GB"/>
        </w:rPr>
        <w:t>-2020</w:t>
      </w:r>
      <w:r w:rsidRPr="00FF4B40">
        <w:rPr>
          <w:rFonts w:eastAsia="Times New Roman" w:cs="Arial"/>
          <w:sz w:val="16"/>
          <w:szCs w:val="16"/>
          <w:lang w:eastAsia="en-GB"/>
        </w:rPr>
        <w:t>, UVHVVR</w:t>
      </w:r>
      <w:r>
        <w:rPr>
          <w:rFonts w:eastAsia="Times New Roman" w:cs="Arial"/>
          <w:sz w:val="16"/>
          <w:szCs w:val="16"/>
          <w:lang w:eastAsia="en-GB"/>
        </w:rPr>
        <w:t>-2020</w:t>
      </w:r>
      <w:r w:rsidRPr="00FF4B40">
        <w:rPr>
          <w:rFonts w:eastAsia="Times New Roman" w:cs="Arial"/>
          <w:sz w:val="16"/>
          <w:szCs w:val="16"/>
          <w:lang w:eastAsia="en-GB"/>
        </w:rPr>
        <w:t>, ZP</w:t>
      </w:r>
      <w:r>
        <w:rPr>
          <w:rFonts w:eastAsia="Times New Roman" w:cs="Arial"/>
          <w:sz w:val="16"/>
          <w:szCs w:val="16"/>
          <w:lang w:eastAsia="en-GB"/>
        </w:rPr>
        <w:t>-2019</w:t>
      </w:r>
    </w:p>
    <w:p w14:paraId="7DCDA7DB" w14:textId="77777777" w:rsidR="0040635C" w:rsidRPr="0040635C" w:rsidRDefault="0040635C" w:rsidP="0040635C">
      <w:pPr>
        <w:spacing w:before="200" w:line="360" w:lineRule="auto"/>
        <w:jc w:val="both"/>
        <w:rPr>
          <w:rFonts w:cs="Arial"/>
          <w:color w:val="1F497D"/>
          <w:szCs w:val="20"/>
        </w:rPr>
      </w:pPr>
      <w:r w:rsidRPr="0040635C">
        <w:rPr>
          <w:rFonts w:cs="Arial"/>
          <w:szCs w:val="20"/>
        </w:rPr>
        <w:t>Podatkov o ekonomskih kazalnikih v semenarstvu ni, ker semenarstvo v Sloveniji zajema zelo majhen delež celotne kmetijske proizvodnje. Za namen pridobitve podatkov o ekonomskih kazalcih semenske pridelave na primeru zelenjadnic (stroški in prihodki) je v načrtu izvedba CRP projekta. Rezultati bodo podali modelno oceno prihodkov pri pridelavi semena, ki jo potrebujemo za spodbujanje večjega zanimanja za pridelavo semena v Sloveniji.</w:t>
      </w:r>
    </w:p>
    <w:p w14:paraId="55AD6E60" w14:textId="77777777" w:rsidR="0040635C" w:rsidRPr="0040635C" w:rsidRDefault="0040635C" w:rsidP="0040635C">
      <w:pPr>
        <w:spacing w:before="200" w:line="360" w:lineRule="auto"/>
        <w:jc w:val="both"/>
        <w:rPr>
          <w:rFonts w:eastAsia="Times New Roman" w:cs="Arial"/>
          <w:szCs w:val="20"/>
        </w:rPr>
      </w:pPr>
      <w:r w:rsidRPr="0040635C">
        <w:rPr>
          <w:rFonts w:eastAsia="Times New Roman" w:cs="Arial"/>
          <w:szCs w:val="20"/>
        </w:rPr>
        <w:t xml:space="preserve">Slovensko krajinsko in vrstno pestrost pogojujejo različne podnebne, talne, geografske in zgodovinske razmere. Spremembe v okolju, načinu izrabe prostora in v pridelovanju so povzročile zmanjševanje biotske raznovrstnosti, kar je očitno tako v naravnem okolju kot tudi v kmetijstvu, saj se je v preteklosti </w:t>
      </w:r>
      <w:r w:rsidRPr="0040635C">
        <w:rPr>
          <w:rFonts w:eastAsia="Times New Roman" w:cs="Arial"/>
          <w:szCs w:val="20"/>
        </w:rPr>
        <w:lastRenderedPageBreak/>
        <w:t xml:space="preserve">zmanjšalo pridelovanje lokalnih sort in populacij, zmanjšalo se je tudi število vrst kmetijskih rastlin v pridelavi. </w:t>
      </w:r>
    </w:p>
    <w:p w14:paraId="79702F6A" w14:textId="77777777" w:rsidR="0040635C" w:rsidRPr="0040635C" w:rsidRDefault="0040635C" w:rsidP="0040635C">
      <w:pPr>
        <w:spacing w:before="200" w:line="360" w:lineRule="auto"/>
        <w:jc w:val="both"/>
        <w:rPr>
          <w:rFonts w:cs="Arial"/>
          <w:szCs w:val="20"/>
        </w:rPr>
      </w:pPr>
      <w:r w:rsidRPr="0040635C">
        <w:rPr>
          <w:rFonts w:cs="Arial"/>
          <w:szCs w:val="20"/>
        </w:rPr>
        <w:t xml:space="preserve">Slovenija je v preteklosti tradicionalno veljala za deželo z dobro razvitim semenarstvom, ki pa se je v zadnjih desetletjih pri marsikateri vrsti kmetijskih rastlin močno skrčilo, tudi zaradi omejenih žlahtniteljskih programov. </w:t>
      </w:r>
    </w:p>
    <w:p w14:paraId="5FD7EDD7" w14:textId="77777777" w:rsidR="0040635C" w:rsidRPr="0040635C" w:rsidRDefault="0040635C" w:rsidP="0040635C">
      <w:pPr>
        <w:spacing w:before="200" w:line="360" w:lineRule="auto"/>
        <w:jc w:val="both"/>
        <w:rPr>
          <w:rFonts w:cs="Arial"/>
          <w:szCs w:val="20"/>
        </w:rPr>
      </w:pPr>
      <w:r w:rsidRPr="0040635C">
        <w:rPr>
          <w:rFonts w:cs="Arial"/>
          <w:szCs w:val="20"/>
        </w:rPr>
        <w:t>Žlahtniteljski programi so se vnovič okrepili od leta 2014, ko je Ministrstvo za kmetijstvo, gozdarstvo in prehrano zagotovilo dodatna sredstva tudi za uvedbo ali nadaljevanje javnih programov žlahtnjenja (poleg že utečenega tovrstnega financiranja na področju hmeljarstva), in sicer žlahtnjenja krompirja, krmnih rastlin (izbranih vrst trav in metuljnic), zrnatih stročnic, ajde in zelja. Dolgoročni cilji in predvideni pozitivni učinki programov žlahtnjenja so primernost novih sort za potrebe slovenske rastlinske pridelave, odziv na podnebne spremembe in reševanje aktualnih težav pri rastlinski pridelavi, razvoj domačega semenarstva, zmanjšanje odvisnosti od tujine in večja dodana vrednost za pridelovalce semenskega materiala. Med cilji žlahtnjenja pa je tudi povečanje oziroma ohranjanje biotske raznovrstnosti z uporabo avtohtonih genskih virov v žlahtnjenju.</w:t>
      </w:r>
    </w:p>
    <w:p w14:paraId="79CC4684" w14:textId="77777777" w:rsidR="0040635C" w:rsidRPr="0040635C" w:rsidRDefault="0040635C" w:rsidP="0040635C">
      <w:pPr>
        <w:autoSpaceDE w:val="0"/>
        <w:autoSpaceDN w:val="0"/>
        <w:adjustRightInd w:val="0"/>
        <w:spacing w:before="200" w:line="360" w:lineRule="auto"/>
        <w:jc w:val="both"/>
        <w:rPr>
          <w:rFonts w:eastAsia="Times New Roman" w:cs="Arial"/>
          <w:szCs w:val="20"/>
          <w:lang w:eastAsia="en-GB"/>
        </w:rPr>
      </w:pPr>
      <w:r w:rsidRPr="0040635C">
        <w:rPr>
          <w:rFonts w:cs="Arial"/>
          <w:szCs w:val="20"/>
        </w:rPr>
        <w:t xml:space="preserve">Za spodbujanje večjega zanimanja pridelave semena v Sloveniji je potrebna modelna ocena prihodkov pri pridelavi semena in </w:t>
      </w:r>
      <w:proofErr w:type="spellStart"/>
      <w:r w:rsidRPr="0040635C">
        <w:rPr>
          <w:rFonts w:cs="Arial"/>
          <w:szCs w:val="20"/>
        </w:rPr>
        <w:t>rajonizacija</w:t>
      </w:r>
      <w:proofErr w:type="spellEnd"/>
      <w:r w:rsidRPr="0040635C">
        <w:rPr>
          <w:rFonts w:cs="Arial"/>
          <w:szCs w:val="20"/>
        </w:rPr>
        <w:t xml:space="preserve"> pridelave ter dobro organizirana veriga semenske pridelave. S povečanjem semenske pridelave na podeželju bi vplivali na dodatno zaposlovanje na podeželskem območju, saj bi prinesla dodano vrednost manjšim kmetovalcem.</w:t>
      </w:r>
    </w:p>
    <w:p w14:paraId="2CBA27FF" w14:textId="77777777" w:rsidR="0040635C" w:rsidRPr="0040635C" w:rsidRDefault="0040635C" w:rsidP="0040635C">
      <w:pPr>
        <w:spacing w:before="200" w:line="360" w:lineRule="auto"/>
        <w:jc w:val="both"/>
        <w:rPr>
          <w:rFonts w:eastAsia="Times New Roman" w:cs="Arial"/>
          <w:szCs w:val="20"/>
          <w:lang w:eastAsia="en-GB"/>
        </w:rPr>
      </w:pPr>
      <w:r w:rsidRPr="0040635C">
        <w:rPr>
          <w:rFonts w:eastAsia="Times New Roman" w:cs="Arial"/>
          <w:szCs w:val="20"/>
          <w:lang w:eastAsia="en-GB"/>
        </w:rPr>
        <w:t xml:space="preserve">V PRP-KOPOP podpore 2014-2020 za setev lokalnih sort sta od leta 2017 v program vključeni dve kmetijski gospodarstvi (2 KMG) na skupno 7 ha. </w:t>
      </w:r>
    </w:p>
    <w:p w14:paraId="7C9D26CB" w14:textId="77777777" w:rsidR="0040635C" w:rsidRPr="0040635C" w:rsidRDefault="0040635C" w:rsidP="0040635C">
      <w:pPr>
        <w:autoSpaceDE w:val="0"/>
        <w:autoSpaceDN w:val="0"/>
        <w:adjustRightInd w:val="0"/>
        <w:spacing w:before="200" w:line="360" w:lineRule="auto"/>
        <w:jc w:val="both"/>
        <w:rPr>
          <w:rFonts w:eastAsia="Times New Roman" w:cs="Arial"/>
          <w:szCs w:val="20"/>
          <w:lang w:eastAsia="en-GB"/>
        </w:rPr>
      </w:pPr>
      <w:r w:rsidRPr="0040635C">
        <w:rPr>
          <w:rFonts w:cs="Arial"/>
          <w:szCs w:val="20"/>
        </w:rPr>
        <w:t xml:space="preserve">Pridelave semena v Sloveniji že nekaj časa stagnira, kar se odraža tudi v tehnološkem napredku njene pridelave. Z opuščanjem panoge se je izgubljalo tudi znanje in izkušnje. Za uspešno semenarstvo je zato nujno potrebno okrepiti strokovno znanje (npr. optimizirati postopke pridelave in dodelave posameznih vrst v naših </w:t>
      </w:r>
      <w:proofErr w:type="spellStart"/>
      <w:r w:rsidRPr="0040635C">
        <w:rPr>
          <w:rFonts w:cs="Arial"/>
          <w:szCs w:val="20"/>
        </w:rPr>
        <w:t>agroekoloških</w:t>
      </w:r>
      <w:proofErr w:type="spellEnd"/>
      <w:r w:rsidRPr="0040635C">
        <w:rPr>
          <w:rFonts w:cs="Arial"/>
          <w:szCs w:val="20"/>
        </w:rPr>
        <w:t xml:space="preserve"> razmerah in pri naših sortah).</w:t>
      </w:r>
      <w:r w:rsidRPr="0040635C">
        <w:rPr>
          <w:rFonts w:eastAsia="Times New Roman" w:cs="Arial"/>
          <w:szCs w:val="20"/>
          <w:lang w:eastAsia="en-GB"/>
        </w:rPr>
        <w:t xml:space="preserve"> V načrtu je tudi izvedba CRP projekta, kateri rezultati bodo prispevali k povečanju znanja in k izmenjavi znanja na tem področju.</w:t>
      </w:r>
    </w:p>
    <w:p w14:paraId="36C2687D" w14:textId="65668B4C" w:rsidR="00CF3CC6" w:rsidRDefault="00CF3CC6" w:rsidP="0040635C">
      <w:pPr>
        <w:pStyle w:val="Naslov3"/>
        <w:keepNext w:val="0"/>
        <w:keepLines w:val="0"/>
      </w:pPr>
      <w:bookmarkStart w:id="238" w:name="_Toc55912235"/>
      <w:r w:rsidRPr="00B00FAD">
        <w:t>Ključne ugotovitve</w:t>
      </w:r>
      <w:bookmarkEnd w:id="238"/>
    </w:p>
    <w:p w14:paraId="195107D4" w14:textId="77777777" w:rsidR="0040635C" w:rsidRPr="003B2B91" w:rsidRDefault="0040635C" w:rsidP="000A650F">
      <w:pPr>
        <w:numPr>
          <w:ilvl w:val="0"/>
          <w:numId w:val="46"/>
        </w:numPr>
        <w:spacing w:before="120" w:after="120" w:line="360" w:lineRule="auto"/>
        <w:ind w:left="357" w:hanging="357"/>
        <w:jc w:val="both"/>
        <w:rPr>
          <w:rFonts w:eastAsia="Times New Roman" w:cs="Arial"/>
          <w:szCs w:val="20"/>
          <w:lang w:eastAsia="en-GB"/>
        </w:rPr>
      </w:pPr>
      <w:r w:rsidRPr="003B2B91">
        <w:rPr>
          <w:rFonts w:eastAsia="Times New Roman" w:cs="Arial"/>
          <w:szCs w:val="20"/>
          <w:lang w:eastAsia="en-GB"/>
        </w:rPr>
        <w:t xml:space="preserve">Pridelava uradno potrjenega semena je upadla za več kot 50 %, iz 2.500 ha v letu 2000 na 1.410 ha v letu 2019. </w:t>
      </w:r>
    </w:p>
    <w:p w14:paraId="54A61D44" w14:textId="77777777" w:rsidR="0040635C" w:rsidRDefault="0040635C" w:rsidP="000A650F">
      <w:pPr>
        <w:numPr>
          <w:ilvl w:val="0"/>
          <w:numId w:val="46"/>
        </w:numPr>
        <w:spacing w:before="120" w:after="120" w:line="360" w:lineRule="auto"/>
        <w:ind w:left="357" w:hanging="357"/>
        <w:jc w:val="both"/>
        <w:rPr>
          <w:rFonts w:eastAsia="Times New Roman" w:cs="Arial"/>
          <w:szCs w:val="20"/>
          <w:lang w:eastAsia="en-GB"/>
        </w:rPr>
      </w:pPr>
      <w:r w:rsidRPr="003B2B91">
        <w:rPr>
          <w:rFonts w:eastAsia="Times New Roman" w:cs="Arial"/>
          <w:szCs w:val="20"/>
          <w:lang w:eastAsia="en-GB"/>
        </w:rPr>
        <w:t xml:space="preserve">Največ se pridelujejo semena žit, njihov delež v celotni semenski pridelavi je 60 %. </w:t>
      </w:r>
    </w:p>
    <w:p w14:paraId="03BD9DF6" w14:textId="77777777" w:rsidR="0040635C" w:rsidRPr="003B2B91" w:rsidRDefault="0040635C" w:rsidP="000A650F">
      <w:pPr>
        <w:numPr>
          <w:ilvl w:val="0"/>
          <w:numId w:val="46"/>
        </w:numPr>
        <w:spacing w:before="120" w:after="120" w:line="360" w:lineRule="auto"/>
        <w:ind w:left="357" w:hanging="357"/>
        <w:jc w:val="both"/>
        <w:rPr>
          <w:rFonts w:eastAsia="Times New Roman" w:cs="Arial"/>
          <w:szCs w:val="20"/>
          <w:lang w:eastAsia="en-GB"/>
        </w:rPr>
      </w:pPr>
      <w:r>
        <w:rPr>
          <w:rFonts w:eastAsia="Times New Roman" w:cs="Arial"/>
          <w:szCs w:val="20"/>
          <w:lang w:eastAsia="en-GB"/>
        </w:rPr>
        <w:t>V Sloveniji nimamo pridelave travniškega semenskega materiala.</w:t>
      </w:r>
    </w:p>
    <w:p w14:paraId="1C619B32" w14:textId="77777777" w:rsidR="0040635C" w:rsidRPr="003B2B91" w:rsidRDefault="0040635C" w:rsidP="000A650F">
      <w:pPr>
        <w:numPr>
          <w:ilvl w:val="0"/>
          <w:numId w:val="46"/>
        </w:numPr>
        <w:spacing w:before="120" w:after="120" w:line="360" w:lineRule="auto"/>
        <w:ind w:left="357" w:hanging="357"/>
        <w:jc w:val="both"/>
        <w:rPr>
          <w:rFonts w:eastAsia="Times New Roman" w:cs="Arial"/>
          <w:szCs w:val="20"/>
          <w:lang w:eastAsia="en-GB"/>
        </w:rPr>
      </w:pPr>
      <w:r w:rsidRPr="003B2B91">
        <w:rPr>
          <w:rFonts w:eastAsia="Times New Roman" w:cs="Arial"/>
          <w:szCs w:val="20"/>
          <w:lang w:eastAsia="en-GB"/>
        </w:rPr>
        <w:t xml:space="preserve">Za slovenski trg pridelamo dovolj semena konoplje, oljne ogrščice, repice ter soje. Samooskrba domačega semena ječmena, ovsa, </w:t>
      </w:r>
      <w:proofErr w:type="spellStart"/>
      <w:r w:rsidRPr="003B2B91">
        <w:rPr>
          <w:rFonts w:eastAsia="Times New Roman" w:cs="Arial"/>
          <w:szCs w:val="20"/>
          <w:lang w:eastAsia="en-GB"/>
        </w:rPr>
        <w:t>tritikale</w:t>
      </w:r>
      <w:proofErr w:type="spellEnd"/>
      <w:r w:rsidRPr="003B2B91">
        <w:rPr>
          <w:rFonts w:eastAsia="Times New Roman" w:cs="Arial"/>
          <w:szCs w:val="20"/>
          <w:lang w:eastAsia="en-GB"/>
        </w:rPr>
        <w:t>, ajde in pšenice ne zadošča niti za 50 % pokritje posejanih površin. Z domačo pridelavo semena koruze lahko posadimo le 2 % njiv namenjenih pridelavi te poljščine. S pridelava semenskega krompirja pokrijemo le 9 % potreb po tem semenu.</w:t>
      </w:r>
    </w:p>
    <w:p w14:paraId="678B82D0" w14:textId="77777777" w:rsidR="0040635C" w:rsidRPr="003B2B91" w:rsidRDefault="0040635C" w:rsidP="000A650F">
      <w:pPr>
        <w:numPr>
          <w:ilvl w:val="0"/>
          <w:numId w:val="46"/>
        </w:numPr>
        <w:spacing w:before="120" w:after="120" w:line="360" w:lineRule="auto"/>
        <w:ind w:left="357" w:hanging="357"/>
        <w:jc w:val="both"/>
        <w:rPr>
          <w:rFonts w:eastAsia="Times New Roman" w:cs="Arial"/>
          <w:szCs w:val="20"/>
          <w:lang w:eastAsia="en-GB"/>
        </w:rPr>
      </w:pPr>
      <w:r w:rsidRPr="003B2B91">
        <w:rPr>
          <w:rFonts w:eastAsia="Times New Roman" w:cs="Arial"/>
          <w:szCs w:val="20"/>
          <w:lang w:eastAsia="en-GB"/>
        </w:rPr>
        <w:lastRenderedPageBreak/>
        <w:t xml:space="preserve">Pridelava semena v Sloveniji se zmanjšuje tudi zaradi pomanjkanja znanja in njegovega prenosa v prakso. </w:t>
      </w:r>
    </w:p>
    <w:p w14:paraId="6E26417F" w14:textId="77777777" w:rsidR="0040635C" w:rsidRPr="00E65683" w:rsidRDefault="0040635C" w:rsidP="000A650F">
      <w:pPr>
        <w:numPr>
          <w:ilvl w:val="0"/>
          <w:numId w:val="46"/>
        </w:numPr>
        <w:spacing w:before="120" w:after="120" w:line="360" w:lineRule="auto"/>
        <w:ind w:left="357" w:hanging="357"/>
        <w:jc w:val="both"/>
        <w:rPr>
          <w:rFonts w:eastAsia="Times New Roman" w:cs="Arial"/>
          <w:szCs w:val="20"/>
          <w:lang w:eastAsia="en-GB"/>
        </w:rPr>
      </w:pPr>
      <w:r w:rsidRPr="003B2B91">
        <w:rPr>
          <w:rFonts w:eastAsia="Times New Roman" w:cs="Arial"/>
          <w:szCs w:val="20"/>
          <w:lang w:eastAsia="en-GB"/>
        </w:rPr>
        <w:t>V Sloveniji beležimo večjo uporabo lastnega pridelka za setev s čimer pridelovalci skušajo zniževali stroške kmetijske pridelave s tem pa zmanjšujejo hektarske donose kmetijskih rastlin in vplivajo negativno na pojav in širitev škodljivih organizmov.</w:t>
      </w:r>
    </w:p>
    <w:p w14:paraId="519C1248" w14:textId="77777777" w:rsidR="00CF3CC6" w:rsidRPr="00B00FAD" w:rsidRDefault="00CF3CC6" w:rsidP="0040635C">
      <w:pPr>
        <w:pStyle w:val="Naslov2"/>
        <w:ind w:left="578" w:hanging="578"/>
      </w:pPr>
      <w:bookmarkStart w:id="239" w:name="_Toc55912236"/>
      <w:r w:rsidRPr="00B00FAD">
        <w:t>Poljedelstvo</w:t>
      </w:r>
      <w:bookmarkEnd w:id="239"/>
    </w:p>
    <w:p w14:paraId="6AD5C35A" w14:textId="77777777" w:rsidR="0040635C" w:rsidRDefault="0040635C" w:rsidP="0040635C">
      <w:pPr>
        <w:spacing w:before="200" w:line="360" w:lineRule="auto"/>
        <w:jc w:val="both"/>
        <w:rPr>
          <w:rFonts w:cs="Arial"/>
          <w:szCs w:val="20"/>
        </w:rPr>
      </w:pPr>
      <w:r w:rsidRPr="00D628DB">
        <w:rPr>
          <w:rFonts w:cs="Arial"/>
          <w:szCs w:val="20"/>
        </w:rPr>
        <w:t xml:space="preserve">Za Slovenijo </w:t>
      </w:r>
      <w:r>
        <w:rPr>
          <w:rFonts w:cs="Arial"/>
          <w:szCs w:val="20"/>
        </w:rPr>
        <w:t xml:space="preserve">so </w:t>
      </w:r>
      <w:r w:rsidRPr="00D628DB">
        <w:rPr>
          <w:rFonts w:cs="Arial"/>
          <w:szCs w:val="20"/>
        </w:rPr>
        <w:t>značiln</w:t>
      </w:r>
      <w:r>
        <w:rPr>
          <w:rFonts w:cs="Arial"/>
          <w:szCs w:val="20"/>
        </w:rPr>
        <w:t>e</w:t>
      </w:r>
      <w:r w:rsidRPr="00D628DB">
        <w:rPr>
          <w:rFonts w:cs="Arial"/>
          <w:szCs w:val="20"/>
        </w:rPr>
        <w:t xml:space="preserve"> majhn</w:t>
      </w:r>
      <w:r>
        <w:rPr>
          <w:rFonts w:cs="Arial"/>
          <w:szCs w:val="20"/>
        </w:rPr>
        <w:t>e</w:t>
      </w:r>
      <w:r w:rsidRPr="00D628DB">
        <w:rPr>
          <w:rFonts w:cs="Arial"/>
          <w:szCs w:val="20"/>
        </w:rPr>
        <w:t xml:space="preserve"> in razdroblje</w:t>
      </w:r>
      <w:r>
        <w:rPr>
          <w:rFonts w:cs="Arial"/>
          <w:szCs w:val="20"/>
        </w:rPr>
        <w:t>ne</w:t>
      </w:r>
      <w:r w:rsidRPr="00D628DB">
        <w:rPr>
          <w:rFonts w:cs="Arial"/>
          <w:szCs w:val="20"/>
        </w:rPr>
        <w:t xml:space="preserve"> obdelovalne </w:t>
      </w:r>
      <w:r>
        <w:rPr>
          <w:rFonts w:cs="Arial"/>
          <w:szCs w:val="20"/>
        </w:rPr>
        <w:t>površine</w:t>
      </w:r>
      <w:r w:rsidRPr="00D628DB">
        <w:rPr>
          <w:rFonts w:cs="Arial"/>
          <w:szCs w:val="20"/>
        </w:rPr>
        <w:t xml:space="preserve">, kar </w:t>
      </w:r>
      <w:r>
        <w:rPr>
          <w:rFonts w:cs="Arial"/>
          <w:szCs w:val="20"/>
        </w:rPr>
        <w:t xml:space="preserve">neugodno vpliva na </w:t>
      </w:r>
      <w:r w:rsidRPr="00D628DB">
        <w:rPr>
          <w:rFonts w:cs="Arial"/>
          <w:szCs w:val="20"/>
        </w:rPr>
        <w:t>intenzivnost in produktivnost pridelave</w:t>
      </w:r>
      <w:r>
        <w:rPr>
          <w:rFonts w:cs="Arial"/>
          <w:szCs w:val="20"/>
        </w:rPr>
        <w:t xml:space="preserve">, </w:t>
      </w:r>
      <w:r w:rsidRPr="00D628DB">
        <w:rPr>
          <w:rFonts w:cs="Arial"/>
          <w:szCs w:val="20"/>
        </w:rPr>
        <w:t xml:space="preserve">daje </w:t>
      </w:r>
      <w:r>
        <w:rPr>
          <w:rFonts w:cs="Arial"/>
          <w:szCs w:val="20"/>
        </w:rPr>
        <w:t xml:space="preserve">pa </w:t>
      </w:r>
      <w:r w:rsidRPr="00D628DB">
        <w:rPr>
          <w:rFonts w:cs="Arial"/>
          <w:szCs w:val="20"/>
        </w:rPr>
        <w:t>videz velike pestrosti</w:t>
      </w:r>
      <w:r w:rsidRPr="005F5153">
        <w:rPr>
          <w:rFonts w:cs="Arial"/>
          <w:szCs w:val="20"/>
        </w:rPr>
        <w:t xml:space="preserve"> </w:t>
      </w:r>
      <w:r>
        <w:rPr>
          <w:rFonts w:cs="Arial"/>
          <w:szCs w:val="20"/>
        </w:rPr>
        <w:t xml:space="preserve">in </w:t>
      </w:r>
      <w:r w:rsidRPr="00D628DB">
        <w:rPr>
          <w:rFonts w:cs="Arial"/>
          <w:szCs w:val="20"/>
        </w:rPr>
        <w:t>ohranja</w:t>
      </w:r>
      <w:r>
        <w:rPr>
          <w:rFonts w:cs="Arial"/>
          <w:szCs w:val="20"/>
        </w:rPr>
        <w:t xml:space="preserve"> optično podobo</w:t>
      </w:r>
      <w:r w:rsidRPr="00D628DB">
        <w:rPr>
          <w:rFonts w:cs="Arial"/>
          <w:szCs w:val="20"/>
        </w:rPr>
        <w:t xml:space="preserve"> kulturne krajine. Tako stanje je morda ugodno s socialnega in naravovarstvenega vidika, izrazito neugodno pa s tržno ekonomskega. </w:t>
      </w:r>
    </w:p>
    <w:p w14:paraId="25B443F1" w14:textId="21588F97" w:rsidR="0040635C" w:rsidRDefault="0040635C" w:rsidP="0040635C">
      <w:pPr>
        <w:spacing w:before="200" w:line="360" w:lineRule="auto"/>
        <w:jc w:val="both"/>
        <w:rPr>
          <w:rFonts w:cs="Arial"/>
          <w:szCs w:val="20"/>
        </w:rPr>
      </w:pPr>
      <w:r w:rsidRPr="00770724">
        <w:rPr>
          <w:rFonts w:cs="Arial"/>
          <w:szCs w:val="20"/>
        </w:rPr>
        <w:t>Na področju poljedelstva je zaznati vedno večjo potrebo po prilagoditvi tehnologije rastlinske pridelave novim razmeram</w:t>
      </w:r>
      <w:r>
        <w:rPr>
          <w:rFonts w:cs="Arial"/>
          <w:szCs w:val="20"/>
        </w:rPr>
        <w:t xml:space="preserve"> </w:t>
      </w:r>
      <w:r w:rsidRPr="00BD414F">
        <w:rPr>
          <w:rFonts w:cs="Arial"/>
          <w:szCs w:val="20"/>
        </w:rPr>
        <w:t xml:space="preserve">s poudarkom na povečanju produktivnosti </w:t>
      </w:r>
      <w:r w:rsidRPr="00770724">
        <w:rPr>
          <w:rFonts w:cs="Arial"/>
          <w:szCs w:val="20"/>
        </w:rPr>
        <w:t>ter upravljanju in obvladovanju tveganj zaradi pojavljanja podnebnih sprememb</w:t>
      </w:r>
      <w:r>
        <w:rPr>
          <w:rFonts w:cs="Arial"/>
          <w:szCs w:val="20"/>
        </w:rPr>
        <w:t>.</w:t>
      </w:r>
    </w:p>
    <w:p w14:paraId="7856E478" w14:textId="77777777" w:rsidR="0040635C" w:rsidRDefault="0040635C" w:rsidP="0040635C">
      <w:pPr>
        <w:pStyle w:val="Naslov3"/>
      </w:pPr>
      <w:bookmarkStart w:id="240" w:name="_Toc55912237"/>
      <w:r w:rsidRPr="00B00FAD">
        <w:t>Stanje v sektorju</w:t>
      </w:r>
      <w:r>
        <w:t xml:space="preserve"> in osnovni ekonomski kazalniki</w:t>
      </w:r>
      <w:bookmarkEnd w:id="240"/>
    </w:p>
    <w:p w14:paraId="33CE8FF4" w14:textId="77777777" w:rsidR="0040635C" w:rsidRPr="0040635C" w:rsidRDefault="0040635C" w:rsidP="0040635C">
      <w:pPr>
        <w:pStyle w:val="ZPtekst"/>
        <w:spacing w:before="200" w:after="200" w:line="360" w:lineRule="auto"/>
        <w:rPr>
          <w:szCs w:val="20"/>
        </w:rPr>
      </w:pPr>
      <w:r w:rsidRPr="0040635C">
        <w:rPr>
          <w:szCs w:val="20"/>
        </w:rPr>
        <w:t xml:space="preserve">Pridelava žita je k skupni vrednosti kmetijske proizvodnje v letu 2019 prispevalo 6,1 %, kar je manj kot v letu prej in manj kot v povprečju zadnjih petih let (6,8 %). V vrednosti rastlinske pridelave je imelo 11,0 % delež, kar je manj kot v letu 2018 in tudi manj kot v zadnjih petih letih (12,4 %). Delež oljnic se je po letu 2007 gibal med 0,8 % in 1,5 % ter je v letu 2019 ostal na ravni leta prej ( 0,8 % skupne kmetijske vrednosti). Prispevek oljnic k vrednosti rastlinske pridelave se je povečal z 1,3 % na 1,4 %. Večji delež k vrednosti rastlinske pridelave je imel krompir, 3,4 % (leta 2018: 2,4 %). Pridelava krompirja je v letu 2019 k vrednosti kmetijstva prispevala 1,9 %, kar je 0,5 odstotne točke več kot v letu prej. </w:t>
      </w:r>
    </w:p>
    <w:p w14:paraId="16755C22" w14:textId="77777777" w:rsidR="0040635C" w:rsidRPr="0040635C" w:rsidRDefault="0040635C" w:rsidP="0040635C">
      <w:pPr>
        <w:spacing w:before="200" w:line="360" w:lineRule="auto"/>
        <w:jc w:val="both"/>
        <w:rPr>
          <w:rFonts w:cs="Arial"/>
          <w:szCs w:val="20"/>
        </w:rPr>
      </w:pPr>
      <w:r w:rsidRPr="0040635C">
        <w:rPr>
          <w:rFonts w:cs="Arial"/>
          <w:szCs w:val="20"/>
        </w:rPr>
        <w:t xml:space="preserve">Strukturne spremembe pri pridelavi žita se kažejo v znatno manjšem številu kmetijskih gospodarstev, ki se ukvarjajo s pridelavo žita in v večji povprečni površini žita na kmetijsko gospodarstvo. V Sloveniji se je v letu 2016 s pridelavo žita ukvarjalo dobrih 33 tisoč kmetijskih gospodarstev oziroma 7 % manj kot v letu 2013. </w:t>
      </w:r>
    </w:p>
    <w:p w14:paraId="2F5C4BAF" w14:textId="77777777" w:rsidR="0040635C" w:rsidRPr="0040635C" w:rsidRDefault="0040635C" w:rsidP="0040635C">
      <w:pPr>
        <w:spacing w:before="200" w:line="360" w:lineRule="auto"/>
        <w:jc w:val="both"/>
        <w:rPr>
          <w:rFonts w:cs="Arial"/>
          <w:szCs w:val="20"/>
        </w:rPr>
      </w:pPr>
      <w:r w:rsidRPr="0040635C">
        <w:rPr>
          <w:szCs w:val="20"/>
        </w:rPr>
        <w:t xml:space="preserve">Pridelovalna površina žita je v letu 2019 ostala skoraj na ravni iz leta 2018 in je s slabimi 99 tisoč hektarji malce pod ravnijo povprečja zadnjih petih let (2014–2018). V teh letih je bilo z žitom v </w:t>
      </w:r>
      <w:r w:rsidRPr="0040635C">
        <w:rPr>
          <w:rFonts w:cs="Arial"/>
          <w:szCs w:val="20"/>
        </w:rPr>
        <w:t xml:space="preserve">povprečju zasejanih okoli 57 % njiv. </w:t>
      </w:r>
    </w:p>
    <w:p w14:paraId="02D04F6C" w14:textId="77777777" w:rsidR="0040635C" w:rsidRPr="0040635C" w:rsidRDefault="0040635C" w:rsidP="0040635C">
      <w:pPr>
        <w:spacing w:before="200" w:line="360" w:lineRule="auto"/>
        <w:jc w:val="both"/>
        <w:rPr>
          <w:rFonts w:eastAsia="Times New Roman" w:cs="Arial"/>
          <w:sz w:val="16"/>
          <w:szCs w:val="16"/>
          <w:lang w:eastAsia="en-GB"/>
        </w:rPr>
      </w:pPr>
      <w:r w:rsidRPr="0040635C">
        <w:rPr>
          <w:rFonts w:cs="Arial"/>
          <w:szCs w:val="20"/>
        </w:rPr>
        <w:t xml:space="preserve">Skupni pridelek žita se je leta 2019 povečal za 8 % in je bil za 5 % nad povprečjem pridelka v zadnjem petletnem obdobju. K dobremu pridelku žita so prispevali tako večji hektarski pridelki </w:t>
      </w:r>
      <w:proofErr w:type="spellStart"/>
      <w:r w:rsidRPr="0040635C">
        <w:rPr>
          <w:rFonts w:cs="Arial"/>
          <w:szCs w:val="20"/>
        </w:rPr>
        <w:t>strnega</w:t>
      </w:r>
      <w:proofErr w:type="spellEnd"/>
      <w:r w:rsidRPr="0040635C">
        <w:rPr>
          <w:rFonts w:cs="Arial"/>
          <w:szCs w:val="20"/>
        </w:rPr>
        <w:t xml:space="preserve"> žita, ki so bili v letu 2019 pomembno večji od skromnih v letu 2018, kot tudi letina koruze za zrnje 2019, ki je bila nekoliko slabša kot v letu prej (–2 %), vendar še vedno nadpovprečna (+5 %).</w:t>
      </w:r>
    </w:p>
    <w:p w14:paraId="1420C0BD" w14:textId="79E16776" w:rsidR="0040635C" w:rsidRDefault="0040635C" w:rsidP="0040635C">
      <w:pPr>
        <w:keepNext/>
        <w:keepLines/>
        <w:spacing w:after="0" w:line="360" w:lineRule="auto"/>
      </w:pPr>
      <w:bookmarkStart w:id="241" w:name="_Toc55913803"/>
      <w:r>
        <w:lastRenderedPageBreak/>
        <w:t xml:space="preserve">Slika </w:t>
      </w:r>
      <w:r>
        <w:fldChar w:fldCharType="begin"/>
      </w:r>
      <w:r>
        <w:instrText xml:space="preserve"> SEQ Slika \* ARABIC </w:instrText>
      </w:r>
      <w:r>
        <w:fldChar w:fldCharType="separate"/>
      </w:r>
      <w:r>
        <w:rPr>
          <w:noProof/>
        </w:rPr>
        <w:t>54</w:t>
      </w:r>
      <w:r>
        <w:fldChar w:fldCharType="end"/>
      </w:r>
      <w:r>
        <w:t xml:space="preserve">: </w:t>
      </w:r>
      <w:r w:rsidRPr="0040635C">
        <w:t>Površine in hektarski pridelki žita (2007–2019)</w:t>
      </w:r>
      <w:bookmarkEnd w:id="241"/>
    </w:p>
    <w:p w14:paraId="2C52F87A" w14:textId="77777777" w:rsidR="0040635C" w:rsidRPr="00D628DB" w:rsidRDefault="0040635C" w:rsidP="0040635C">
      <w:pPr>
        <w:keepNext/>
        <w:keepLines/>
        <w:spacing w:after="0" w:line="360" w:lineRule="auto"/>
        <w:rPr>
          <w:rFonts w:eastAsia="Times New Roman" w:cs="Arial"/>
          <w:szCs w:val="20"/>
        </w:rPr>
      </w:pPr>
      <w:r w:rsidRPr="0063516C">
        <w:rPr>
          <w:rFonts w:cs="Arial"/>
          <w:noProof/>
          <w:szCs w:val="20"/>
        </w:rPr>
        <w:drawing>
          <wp:inline distT="0" distB="0" distL="0" distR="0" wp14:anchorId="6B55C1BC" wp14:editId="53F647A0">
            <wp:extent cx="5708376" cy="1761734"/>
            <wp:effectExtent l="0" t="0" r="6985"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27807" cy="1767731"/>
                    </a:xfrm>
                    <a:prstGeom prst="rect">
                      <a:avLst/>
                    </a:prstGeom>
                    <a:noFill/>
                    <a:ln>
                      <a:noFill/>
                    </a:ln>
                  </pic:spPr>
                </pic:pic>
              </a:graphicData>
            </a:graphic>
          </wp:inline>
        </w:drawing>
      </w:r>
    </w:p>
    <w:p w14:paraId="0613368F" w14:textId="77777777" w:rsidR="0040635C" w:rsidRPr="005718B1" w:rsidRDefault="0040635C" w:rsidP="0040635C">
      <w:pPr>
        <w:keepNext/>
        <w:keepLines/>
        <w:spacing w:after="0" w:line="360" w:lineRule="auto"/>
        <w:rPr>
          <w:rFonts w:eastAsia="Times New Roman" w:cs="Arial"/>
          <w:sz w:val="16"/>
          <w:szCs w:val="16"/>
        </w:rPr>
      </w:pPr>
      <w:proofErr w:type="spellStart"/>
      <w:r w:rsidRPr="005718B1">
        <w:rPr>
          <w:rFonts w:eastAsia="Times New Roman" w:cs="Arial"/>
          <w:sz w:val="16"/>
          <w:szCs w:val="16"/>
        </w:rPr>
        <w:t>Vir:</w:t>
      </w:r>
      <w:r>
        <w:rPr>
          <w:rFonts w:eastAsia="Times New Roman" w:cs="Arial"/>
          <w:sz w:val="16"/>
          <w:szCs w:val="16"/>
        </w:rPr>
        <w:t>SURS</w:t>
      </w:r>
      <w:proofErr w:type="spellEnd"/>
      <w:r>
        <w:rPr>
          <w:rFonts w:eastAsia="Times New Roman" w:cs="Arial"/>
          <w:sz w:val="16"/>
          <w:szCs w:val="16"/>
        </w:rPr>
        <w:t xml:space="preserve"> (ZP-2019)</w:t>
      </w:r>
    </w:p>
    <w:p w14:paraId="2A20B2CD" w14:textId="77777777" w:rsidR="0040635C" w:rsidRPr="0040635C" w:rsidRDefault="0040635C" w:rsidP="0040635C">
      <w:pPr>
        <w:spacing w:before="200" w:line="360" w:lineRule="auto"/>
        <w:jc w:val="both"/>
        <w:rPr>
          <w:rFonts w:cs="Arial"/>
          <w:bCs/>
          <w:szCs w:val="20"/>
        </w:rPr>
      </w:pPr>
      <w:r w:rsidRPr="0040635C">
        <w:rPr>
          <w:rFonts w:cs="Arial"/>
          <w:bCs/>
          <w:szCs w:val="20"/>
        </w:rPr>
        <w:t>Pridelovalna površina oljnic se zadnja tri leta zmanjšuje, pri tem so bile smeri sprememb posameznih oljnic v letu 2019 dvosmerne. Najbolj se je zmanjšala pridelovalna površina soje (–18 %) in oljnih buč (–10 %), nekoliko manj je bilo tudi površin oljne ogrščice (–4 %), pomembno več je bilo le sončnic (+16 %) in drugih oljnic (+16 %).</w:t>
      </w:r>
    </w:p>
    <w:p w14:paraId="43783010" w14:textId="77777777" w:rsidR="0040635C" w:rsidRPr="0040635C" w:rsidRDefault="0040635C" w:rsidP="0040635C">
      <w:pPr>
        <w:spacing w:before="200" w:line="360" w:lineRule="auto"/>
        <w:jc w:val="both"/>
        <w:rPr>
          <w:rFonts w:cs="Arial"/>
          <w:bCs/>
          <w:szCs w:val="20"/>
        </w:rPr>
      </w:pPr>
      <w:r w:rsidRPr="0040635C">
        <w:rPr>
          <w:rFonts w:cs="Arial"/>
          <w:bCs/>
          <w:szCs w:val="20"/>
        </w:rPr>
        <w:t>V obdobju 2015–2019 je bilo med oljnicami na njivah v povprečju 43 % oljnih buč, 30 % oljne ogrščice in 20 % soje. Hektarski pridelek oljne ogrščice je bil v letu 2019 2,9 t/ha, kar je za 29 % več kot v letu prej in za 9 % nad povprečjem zadnjih pet let. Hektarski pridelek oljnih buč je bil v primerjavi z letom 2018 manjši za 20 % in za 10 % pod povprečjem 2014–2018.</w:t>
      </w:r>
    </w:p>
    <w:p w14:paraId="74D89FE0" w14:textId="77777777" w:rsidR="0040635C" w:rsidRPr="0040635C" w:rsidRDefault="0040635C" w:rsidP="0040635C">
      <w:pPr>
        <w:pStyle w:val="ZPtekst"/>
        <w:spacing w:before="200" w:after="200" w:line="360" w:lineRule="auto"/>
        <w:rPr>
          <w:rFonts w:eastAsiaTheme="minorEastAsia"/>
          <w:bCs/>
          <w:szCs w:val="20"/>
        </w:rPr>
      </w:pPr>
      <w:r w:rsidRPr="0040635C">
        <w:rPr>
          <w:rFonts w:eastAsiaTheme="minorEastAsia"/>
          <w:bCs/>
          <w:szCs w:val="20"/>
        </w:rPr>
        <w:t>Od leta 2000 je opazen trend zmanjševanja deleža krompirja v setveni sestavi njiv. V letih 2018 in 2019 je bil krompir prisoten le na 1,6 % njiv, kar pomeni približno 2,8 tisoč hektarjev. V letu 2019 je bila letina krompirja s 23,6 t/ha za 9 % manjši kot v letu prej in za desetino pod povprečjem obdobja 2014–2018. Skupna pridelana količina krompirja je bila predvsem zaradi slabe letine za 10 % manjša kot v letu prej (leta 2019: 66 tisoč ton, leta 2018: 73 tisoč ton) in za 22 % pod povprečjem zadnjih petih let.</w:t>
      </w:r>
    </w:p>
    <w:p w14:paraId="357A569A" w14:textId="77777777" w:rsidR="0040635C" w:rsidRPr="0040635C" w:rsidRDefault="0040635C" w:rsidP="0040635C">
      <w:pPr>
        <w:pStyle w:val="ZPtekst"/>
        <w:spacing w:before="200" w:after="200" w:line="360" w:lineRule="auto"/>
        <w:rPr>
          <w:rFonts w:eastAsiaTheme="minorEastAsia"/>
          <w:bCs/>
          <w:szCs w:val="20"/>
        </w:rPr>
      </w:pPr>
      <w:r w:rsidRPr="0040635C">
        <w:rPr>
          <w:rFonts w:eastAsiaTheme="minorEastAsia"/>
          <w:bCs/>
          <w:szCs w:val="20"/>
        </w:rPr>
        <w:t xml:space="preserve">Krmne rastline so bile v letu 2019 pospravljene s približno 64 tisoč hektarjev njiv, kar je za 2 % manj kot leto prej in malce več kot v povprečju zadnjih petih let (+1 %). Med krmnimi rastlinami na njivah s približno 99 % prevladuje zelena krma. Med zeleno krmo prevladujejo koruza za siliranje ter trave, travne, travno-deteljne in deteljno-travne mešanice (v nadaljevanju: trave in mešanice), manjši delež pa imajo čisti posevki detelj in lucerne. </w:t>
      </w:r>
    </w:p>
    <w:p w14:paraId="31592019" w14:textId="77777777" w:rsidR="0040635C" w:rsidRPr="0040635C" w:rsidRDefault="0040635C" w:rsidP="0040635C">
      <w:pPr>
        <w:spacing w:before="100" w:beforeAutospacing="1" w:after="100" w:afterAutospacing="1" w:line="360" w:lineRule="auto"/>
        <w:jc w:val="both"/>
        <w:rPr>
          <w:rFonts w:cs="Arial"/>
          <w:bCs/>
          <w:szCs w:val="20"/>
        </w:rPr>
      </w:pPr>
      <w:r w:rsidRPr="0040635C">
        <w:rPr>
          <w:bCs/>
          <w:szCs w:val="20"/>
        </w:rPr>
        <w:t xml:space="preserve">Pridelava žita </w:t>
      </w:r>
      <w:r w:rsidRPr="0040635C">
        <w:rPr>
          <w:rFonts w:cs="Arial"/>
          <w:bCs/>
          <w:szCs w:val="20"/>
        </w:rPr>
        <w:t xml:space="preserve">je v Sloveniji manjša od domače porabe, ki je bila po letu 2007 med 0,8 do enega mio ton na leto. V zadnjih petih letih se je v povprečju 60 % žita porabilo za krmo, od tega je bilo največ koruze (63 %). Za prehrano se je v enakem obdobju v povprečju porabilo 29 % žita, v strukturi porabe za prehrano s 85 % prevladuje pšenica. Po analizah je bila v letu 2019 domača poraba žita 866 tisoč ton, kar je blizu ravni leta 2018 in povprečja zadnjih petih let. Poraba pšenice in koruze se je zmanjšala za približno 2 %, medtem ko se je ječmena porabilo za desetino več. Poraba žita za krmo je bila večja za slaba 2 % odstotka, poraba za prehrano pa se je za 3 % zmanjšala. Na večjo porabo žita za krmo je </w:t>
      </w:r>
      <w:r w:rsidRPr="0040635C">
        <w:rPr>
          <w:rFonts w:cs="Arial"/>
          <w:bCs/>
          <w:szCs w:val="20"/>
        </w:rPr>
        <w:lastRenderedPageBreak/>
        <w:t>najbolj vplivala večja poraba ječmena, ki je zelo verjetno posledica večje razpoložljivosti ječmena na domačem trgu.</w:t>
      </w:r>
    </w:p>
    <w:p w14:paraId="433123DE" w14:textId="77777777" w:rsidR="0040635C" w:rsidRPr="0040635C" w:rsidRDefault="0040635C" w:rsidP="0040635C">
      <w:pPr>
        <w:pStyle w:val="ZPtekst"/>
        <w:spacing w:before="200" w:after="200" w:line="360" w:lineRule="auto"/>
        <w:rPr>
          <w:bCs/>
          <w:szCs w:val="20"/>
        </w:rPr>
      </w:pPr>
      <w:r w:rsidRPr="0040635C">
        <w:rPr>
          <w:bCs/>
          <w:szCs w:val="20"/>
        </w:rPr>
        <w:t xml:space="preserve">Stopnja samooskrbe z žitom je bila leta 2019 74-odstotna, kar je za 5 odstotnih točk več kot leto prej in nekoliko nad povprečjem zadnjega petletnega obdobja (za 4 odstotne točke). Poraba pšenice za prehrano na prebivalca je bila leta 2019 s 73 kg za 5 % manjša kot v letu prej in za 4 % pod povprečjem zadnjega petletnega obdobja. </w:t>
      </w:r>
    </w:p>
    <w:p w14:paraId="4F39CBBF" w14:textId="77777777" w:rsidR="0040635C" w:rsidRPr="0040635C" w:rsidRDefault="0040635C" w:rsidP="0040635C">
      <w:pPr>
        <w:pStyle w:val="ZPtekst"/>
        <w:spacing w:before="200" w:after="200" w:line="360" w:lineRule="auto"/>
        <w:rPr>
          <w:bCs/>
          <w:szCs w:val="20"/>
        </w:rPr>
      </w:pPr>
      <w:r w:rsidRPr="0040635C">
        <w:rPr>
          <w:bCs/>
          <w:szCs w:val="20"/>
        </w:rPr>
        <w:t xml:space="preserve">Pri krompirju je bila v letu 2019 stopnja samooskrbe najnižja od začetka 1990-ih in se je v primerjavi s prejšnjim letom znižala iz 48 % na 45 % ter je bila 11 odstotnih točk pod ravnijo povprečja zadnjih petih let. Stopnja samooskrbe s krompirjem med leti precej niha in se je v letih od 2007 do 2018 gibala med 46 % in 70 %. Na nižjo stopnjo samooskrbe s krompirjem (svežega in predelanega) je vplivala tako manjša pridelava, kot tudi povečanje negativne zunanjetrgovinske bilance s krompirjem. Poraba krompirja za prehrano med leti nekoliko niha in ima zaradi padanja porabe svežega krompirja trend zmanjševanja. V primerjavi z začetkom tega stoletja (2001–2005) se je za prehrano v letih 2015–2019 porabila v povprečju desetina manj krompirja, pri čemer je bila poraba svežega krompirja za četrtino manjša, poraba predelanega krompirja pa se je povečala za skoraj tri četrtine. Prebivalec Slovenije je v letu 2019 v povprečju porabil 64 kg krompirja (–4 %), od tega 41 kg svežega (–4 %). </w:t>
      </w:r>
    </w:p>
    <w:p w14:paraId="774A3EE4" w14:textId="77777777" w:rsidR="0040635C" w:rsidRPr="0040635C" w:rsidRDefault="0040635C" w:rsidP="0040635C">
      <w:pPr>
        <w:pStyle w:val="ZPtekst"/>
        <w:spacing w:before="200" w:after="200" w:line="360" w:lineRule="auto"/>
        <w:rPr>
          <w:bCs/>
          <w:szCs w:val="20"/>
        </w:rPr>
      </w:pPr>
      <w:r w:rsidRPr="0040635C">
        <w:rPr>
          <w:bCs/>
          <w:szCs w:val="20"/>
        </w:rPr>
        <w:t xml:space="preserve">Žita: Slovenija je v zadnjih petih letih v obliki zrnja, moke in predelanih proizvodov na leto uvozila v povprečju 528 tisoč ton žita, od tega od 70 % do 75 % v obliki zrnja. V letu 2019 je bilo uvoženih 546 tisoč ton žita.. Izvoz žita, ki se zadnja leta povečuje, se je povečal tudi v letu 2019 (+12 %), povprečje zadnjih petih let pa je presegel kar za 40 %. </w:t>
      </w:r>
    </w:p>
    <w:p w14:paraId="295D3B99" w14:textId="254085A5" w:rsidR="0040635C" w:rsidRDefault="0040635C" w:rsidP="00DB3AEC">
      <w:pPr>
        <w:pStyle w:val="SCPreglednica"/>
      </w:pPr>
      <w:bookmarkStart w:id="242" w:name="_Toc55913751"/>
      <w:r>
        <w:t xml:space="preserve">Tabela </w:t>
      </w:r>
      <w:r>
        <w:fldChar w:fldCharType="begin"/>
      </w:r>
      <w:r>
        <w:instrText xml:space="preserve"> SEQ Tabela \* ARABIC </w:instrText>
      </w:r>
      <w:r>
        <w:fldChar w:fldCharType="separate"/>
      </w:r>
      <w:r w:rsidR="00DF0D48">
        <w:rPr>
          <w:noProof/>
        </w:rPr>
        <w:t>40</w:t>
      </w:r>
      <w:r>
        <w:fldChar w:fldCharType="end"/>
      </w:r>
      <w:r>
        <w:t xml:space="preserve">: </w:t>
      </w:r>
      <w:r w:rsidRPr="0040635C">
        <w:t>Izvoz in uvoz žita v obliki zrnja (2015–2019)</w:t>
      </w:r>
      <w:bookmarkEnd w:id="242"/>
    </w:p>
    <w:tbl>
      <w:tblPr>
        <w:tblW w:w="5000" w:type="pct"/>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CellMar>
          <w:left w:w="70" w:type="dxa"/>
          <w:right w:w="70" w:type="dxa"/>
        </w:tblCellMar>
        <w:tblLook w:val="0000" w:firstRow="0" w:lastRow="0" w:firstColumn="0" w:lastColumn="0" w:noHBand="0" w:noVBand="0"/>
      </w:tblPr>
      <w:tblGrid>
        <w:gridCol w:w="1739"/>
        <w:gridCol w:w="730"/>
        <w:gridCol w:w="730"/>
        <w:gridCol w:w="730"/>
        <w:gridCol w:w="731"/>
        <w:gridCol w:w="731"/>
        <w:gridCol w:w="731"/>
        <w:gridCol w:w="731"/>
        <w:gridCol w:w="731"/>
        <w:gridCol w:w="731"/>
        <w:gridCol w:w="727"/>
      </w:tblGrid>
      <w:tr w:rsidR="0040635C" w:rsidRPr="00AA618D" w14:paraId="5CE89777" w14:textId="77777777" w:rsidTr="0040635C">
        <w:trPr>
          <w:trHeight w:val="225"/>
        </w:trPr>
        <w:tc>
          <w:tcPr>
            <w:tcW w:w="962" w:type="pct"/>
            <w:tcBorders>
              <w:top w:val="single" w:sz="12" w:space="0" w:color="008000"/>
              <w:bottom w:val="nil"/>
            </w:tcBorders>
            <w:shd w:val="clear" w:color="auto" w:fill="D9D9D9"/>
            <w:noWrap/>
            <w:vAlign w:val="bottom"/>
          </w:tcPr>
          <w:p w14:paraId="365E54C2" w14:textId="77777777" w:rsidR="0040635C" w:rsidRPr="00DB3AEC" w:rsidRDefault="0040635C" w:rsidP="00DB3AEC">
            <w:pPr>
              <w:rPr>
                <w:sz w:val="16"/>
                <w:szCs w:val="16"/>
              </w:rPr>
            </w:pPr>
          </w:p>
        </w:tc>
        <w:tc>
          <w:tcPr>
            <w:tcW w:w="2019" w:type="pct"/>
            <w:gridSpan w:val="5"/>
            <w:tcBorders>
              <w:top w:val="single" w:sz="12" w:space="0" w:color="008000"/>
              <w:bottom w:val="single" w:sz="6" w:space="0" w:color="008000"/>
            </w:tcBorders>
            <w:shd w:val="clear" w:color="auto" w:fill="D9D9D9"/>
            <w:noWrap/>
            <w:vAlign w:val="bottom"/>
          </w:tcPr>
          <w:p w14:paraId="5BE666B9" w14:textId="77777777" w:rsidR="0040635C" w:rsidRPr="00DB3AEC" w:rsidRDefault="0040635C" w:rsidP="00DB3AEC">
            <w:pPr>
              <w:rPr>
                <w:bCs/>
                <w:sz w:val="16"/>
                <w:szCs w:val="16"/>
              </w:rPr>
            </w:pPr>
            <w:r w:rsidRPr="00DB3AEC">
              <w:rPr>
                <w:bCs/>
                <w:sz w:val="16"/>
                <w:szCs w:val="16"/>
              </w:rPr>
              <w:t>Izvoz (t)</w:t>
            </w:r>
          </w:p>
        </w:tc>
        <w:tc>
          <w:tcPr>
            <w:tcW w:w="2019" w:type="pct"/>
            <w:gridSpan w:val="5"/>
            <w:tcBorders>
              <w:top w:val="single" w:sz="12" w:space="0" w:color="008000"/>
              <w:bottom w:val="single" w:sz="6" w:space="0" w:color="008000"/>
            </w:tcBorders>
            <w:shd w:val="clear" w:color="auto" w:fill="D9D9D9"/>
            <w:noWrap/>
            <w:vAlign w:val="bottom"/>
          </w:tcPr>
          <w:p w14:paraId="30FFB5A7" w14:textId="77777777" w:rsidR="0040635C" w:rsidRPr="00DB3AEC" w:rsidRDefault="0040635C" w:rsidP="00DB3AEC">
            <w:pPr>
              <w:rPr>
                <w:bCs/>
                <w:sz w:val="16"/>
                <w:szCs w:val="16"/>
              </w:rPr>
            </w:pPr>
            <w:r w:rsidRPr="00DB3AEC">
              <w:rPr>
                <w:bCs/>
                <w:sz w:val="16"/>
                <w:szCs w:val="16"/>
              </w:rPr>
              <w:t>Uvoz (t)</w:t>
            </w:r>
          </w:p>
        </w:tc>
      </w:tr>
      <w:tr w:rsidR="0040635C" w:rsidRPr="00AA618D" w14:paraId="7FE6FB9A" w14:textId="77777777" w:rsidTr="0040635C">
        <w:trPr>
          <w:trHeight w:val="225"/>
        </w:trPr>
        <w:tc>
          <w:tcPr>
            <w:tcW w:w="962" w:type="pct"/>
            <w:tcBorders>
              <w:top w:val="nil"/>
              <w:bottom w:val="single" w:sz="6" w:space="0" w:color="008000"/>
            </w:tcBorders>
            <w:shd w:val="clear" w:color="auto" w:fill="D9D9D9"/>
            <w:noWrap/>
            <w:vAlign w:val="bottom"/>
          </w:tcPr>
          <w:p w14:paraId="62079B3A" w14:textId="77777777" w:rsidR="0040635C" w:rsidRPr="00DB3AEC" w:rsidRDefault="0040635C" w:rsidP="00DB3AEC">
            <w:pPr>
              <w:rPr>
                <w:sz w:val="16"/>
                <w:szCs w:val="16"/>
              </w:rPr>
            </w:pPr>
          </w:p>
        </w:tc>
        <w:tc>
          <w:tcPr>
            <w:tcW w:w="404" w:type="pct"/>
            <w:tcBorders>
              <w:top w:val="single" w:sz="6" w:space="0" w:color="008000"/>
              <w:bottom w:val="single" w:sz="6" w:space="0" w:color="008000"/>
            </w:tcBorders>
            <w:shd w:val="clear" w:color="auto" w:fill="D9D9D9"/>
            <w:noWrap/>
            <w:vAlign w:val="bottom"/>
          </w:tcPr>
          <w:p w14:paraId="58DAE898" w14:textId="77777777" w:rsidR="0040635C" w:rsidRPr="00DB3AEC" w:rsidRDefault="0040635C" w:rsidP="00DB3AEC">
            <w:pPr>
              <w:rPr>
                <w:bCs/>
                <w:sz w:val="16"/>
                <w:szCs w:val="16"/>
              </w:rPr>
            </w:pPr>
            <w:r w:rsidRPr="00DB3AEC">
              <w:rPr>
                <w:bCs/>
                <w:sz w:val="16"/>
                <w:szCs w:val="16"/>
              </w:rPr>
              <w:t>2015</w:t>
            </w:r>
          </w:p>
        </w:tc>
        <w:tc>
          <w:tcPr>
            <w:tcW w:w="404" w:type="pct"/>
            <w:tcBorders>
              <w:top w:val="single" w:sz="6" w:space="0" w:color="008000"/>
              <w:bottom w:val="single" w:sz="6" w:space="0" w:color="008000"/>
            </w:tcBorders>
            <w:shd w:val="clear" w:color="auto" w:fill="D9D9D9"/>
            <w:noWrap/>
            <w:vAlign w:val="bottom"/>
          </w:tcPr>
          <w:p w14:paraId="6119F7F8" w14:textId="77777777" w:rsidR="0040635C" w:rsidRPr="00DB3AEC" w:rsidRDefault="0040635C" w:rsidP="00DB3AEC">
            <w:pPr>
              <w:rPr>
                <w:bCs/>
                <w:sz w:val="16"/>
                <w:szCs w:val="16"/>
              </w:rPr>
            </w:pPr>
            <w:r w:rsidRPr="00DB3AEC">
              <w:rPr>
                <w:bCs/>
                <w:sz w:val="16"/>
                <w:szCs w:val="16"/>
              </w:rPr>
              <w:t>2016</w:t>
            </w:r>
          </w:p>
        </w:tc>
        <w:tc>
          <w:tcPr>
            <w:tcW w:w="404" w:type="pct"/>
            <w:tcBorders>
              <w:top w:val="single" w:sz="6" w:space="0" w:color="008000"/>
              <w:bottom w:val="single" w:sz="6" w:space="0" w:color="008000"/>
            </w:tcBorders>
            <w:shd w:val="clear" w:color="auto" w:fill="D9D9D9"/>
            <w:noWrap/>
            <w:vAlign w:val="bottom"/>
          </w:tcPr>
          <w:p w14:paraId="3C4ABC63" w14:textId="77777777" w:rsidR="0040635C" w:rsidRPr="00DB3AEC" w:rsidRDefault="0040635C" w:rsidP="00DB3AEC">
            <w:pPr>
              <w:rPr>
                <w:bCs/>
                <w:sz w:val="16"/>
                <w:szCs w:val="16"/>
              </w:rPr>
            </w:pPr>
            <w:r w:rsidRPr="00DB3AEC">
              <w:rPr>
                <w:bCs/>
                <w:sz w:val="16"/>
                <w:szCs w:val="16"/>
              </w:rPr>
              <w:t>2017</w:t>
            </w:r>
          </w:p>
        </w:tc>
        <w:tc>
          <w:tcPr>
            <w:tcW w:w="404" w:type="pct"/>
            <w:tcBorders>
              <w:top w:val="single" w:sz="6" w:space="0" w:color="008000"/>
              <w:bottom w:val="single" w:sz="6" w:space="0" w:color="008000"/>
            </w:tcBorders>
            <w:shd w:val="clear" w:color="auto" w:fill="D9D9D9"/>
            <w:noWrap/>
            <w:vAlign w:val="bottom"/>
          </w:tcPr>
          <w:p w14:paraId="1A29ECE5" w14:textId="77777777" w:rsidR="0040635C" w:rsidRPr="00DB3AEC" w:rsidRDefault="0040635C" w:rsidP="00DB3AEC">
            <w:pPr>
              <w:rPr>
                <w:bCs/>
                <w:sz w:val="16"/>
                <w:szCs w:val="16"/>
              </w:rPr>
            </w:pPr>
            <w:r w:rsidRPr="00DB3AEC">
              <w:rPr>
                <w:bCs/>
                <w:sz w:val="16"/>
                <w:szCs w:val="16"/>
              </w:rPr>
              <w:t>2018</w:t>
            </w:r>
          </w:p>
        </w:tc>
        <w:tc>
          <w:tcPr>
            <w:tcW w:w="404" w:type="pct"/>
            <w:tcBorders>
              <w:top w:val="single" w:sz="6" w:space="0" w:color="008000"/>
              <w:bottom w:val="single" w:sz="6" w:space="0" w:color="008000"/>
            </w:tcBorders>
            <w:shd w:val="clear" w:color="auto" w:fill="D9D9D9"/>
            <w:noWrap/>
            <w:vAlign w:val="bottom"/>
          </w:tcPr>
          <w:p w14:paraId="5571D93E" w14:textId="77777777" w:rsidR="0040635C" w:rsidRPr="00DB3AEC" w:rsidRDefault="0040635C" w:rsidP="00DB3AEC">
            <w:pPr>
              <w:rPr>
                <w:bCs/>
                <w:sz w:val="16"/>
                <w:szCs w:val="16"/>
              </w:rPr>
            </w:pPr>
            <w:r w:rsidRPr="00DB3AEC">
              <w:rPr>
                <w:bCs/>
                <w:sz w:val="16"/>
                <w:szCs w:val="16"/>
              </w:rPr>
              <w:t>2019*</w:t>
            </w:r>
          </w:p>
        </w:tc>
        <w:tc>
          <w:tcPr>
            <w:tcW w:w="404" w:type="pct"/>
            <w:tcBorders>
              <w:top w:val="single" w:sz="6" w:space="0" w:color="008000"/>
              <w:bottom w:val="single" w:sz="6" w:space="0" w:color="008000"/>
            </w:tcBorders>
            <w:shd w:val="clear" w:color="auto" w:fill="D9D9D9"/>
            <w:noWrap/>
            <w:vAlign w:val="bottom"/>
          </w:tcPr>
          <w:p w14:paraId="0BA80761" w14:textId="77777777" w:rsidR="0040635C" w:rsidRPr="00DB3AEC" w:rsidRDefault="0040635C" w:rsidP="00DB3AEC">
            <w:pPr>
              <w:rPr>
                <w:bCs/>
                <w:sz w:val="16"/>
                <w:szCs w:val="16"/>
              </w:rPr>
            </w:pPr>
            <w:r w:rsidRPr="00DB3AEC">
              <w:rPr>
                <w:bCs/>
                <w:sz w:val="16"/>
                <w:szCs w:val="16"/>
              </w:rPr>
              <w:t>2015</w:t>
            </w:r>
          </w:p>
        </w:tc>
        <w:tc>
          <w:tcPr>
            <w:tcW w:w="404" w:type="pct"/>
            <w:tcBorders>
              <w:top w:val="single" w:sz="6" w:space="0" w:color="008000"/>
              <w:bottom w:val="single" w:sz="6" w:space="0" w:color="008000"/>
            </w:tcBorders>
            <w:shd w:val="clear" w:color="auto" w:fill="D9D9D9"/>
            <w:noWrap/>
            <w:vAlign w:val="bottom"/>
          </w:tcPr>
          <w:p w14:paraId="482FBE46" w14:textId="77777777" w:rsidR="0040635C" w:rsidRPr="00DB3AEC" w:rsidRDefault="0040635C" w:rsidP="00DB3AEC">
            <w:pPr>
              <w:rPr>
                <w:bCs/>
                <w:sz w:val="16"/>
                <w:szCs w:val="16"/>
              </w:rPr>
            </w:pPr>
            <w:r w:rsidRPr="00DB3AEC">
              <w:rPr>
                <w:bCs/>
                <w:sz w:val="16"/>
                <w:szCs w:val="16"/>
              </w:rPr>
              <w:t>2016</w:t>
            </w:r>
          </w:p>
        </w:tc>
        <w:tc>
          <w:tcPr>
            <w:tcW w:w="404" w:type="pct"/>
            <w:tcBorders>
              <w:top w:val="single" w:sz="6" w:space="0" w:color="008000"/>
              <w:bottom w:val="single" w:sz="6" w:space="0" w:color="008000"/>
            </w:tcBorders>
            <w:shd w:val="clear" w:color="auto" w:fill="D9D9D9"/>
            <w:noWrap/>
            <w:vAlign w:val="bottom"/>
          </w:tcPr>
          <w:p w14:paraId="6AA35972" w14:textId="77777777" w:rsidR="0040635C" w:rsidRPr="00DB3AEC" w:rsidRDefault="0040635C" w:rsidP="00DB3AEC">
            <w:pPr>
              <w:rPr>
                <w:bCs/>
                <w:sz w:val="16"/>
                <w:szCs w:val="16"/>
              </w:rPr>
            </w:pPr>
            <w:r w:rsidRPr="00DB3AEC">
              <w:rPr>
                <w:bCs/>
                <w:sz w:val="16"/>
                <w:szCs w:val="16"/>
              </w:rPr>
              <w:t>2017</w:t>
            </w:r>
          </w:p>
        </w:tc>
        <w:tc>
          <w:tcPr>
            <w:tcW w:w="404" w:type="pct"/>
            <w:tcBorders>
              <w:top w:val="single" w:sz="6" w:space="0" w:color="008000"/>
              <w:bottom w:val="single" w:sz="6" w:space="0" w:color="008000"/>
            </w:tcBorders>
            <w:shd w:val="clear" w:color="auto" w:fill="D9D9D9"/>
            <w:noWrap/>
            <w:vAlign w:val="bottom"/>
          </w:tcPr>
          <w:p w14:paraId="17AB5856" w14:textId="77777777" w:rsidR="0040635C" w:rsidRPr="00DB3AEC" w:rsidRDefault="0040635C" w:rsidP="00DB3AEC">
            <w:pPr>
              <w:rPr>
                <w:bCs/>
                <w:sz w:val="16"/>
                <w:szCs w:val="16"/>
              </w:rPr>
            </w:pPr>
            <w:r w:rsidRPr="00DB3AEC">
              <w:rPr>
                <w:bCs/>
                <w:sz w:val="16"/>
                <w:szCs w:val="16"/>
              </w:rPr>
              <w:t>2018</w:t>
            </w:r>
          </w:p>
        </w:tc>
        <w:tc>
          <w:tcPr>
            <w:tcW w:w="402" w:type="pct"/>
            <w:tcBorders>
              <w:top w:val="single" w:sz="6" w:space="0" w:color="008000"/>
              <w:bottom w:val="single" w:sz="6" w:space="0" w:color="008000"/>
            </w:tcBorders>
            <w:shd w:val="clear" w:color="auto" w:fill="D9D9D9"/>
            <w:noWrap/>
            <w:vAlign w:val="bottom"/>
          </w:tcPr>
          <w:p w14:paraId="2368A0A1" w14:textId="77777777" w:rsidR="0040635C" w:rsidRPr="00DB3AEC" w:rsidRDefault="0040635C" w:rsidP="00DB3AEC">
            <w:pPr>
              <w:rPr>
                <w:bCs/>
                <w:sz w:val="16"/>
                <w:szCs w:val="16"/>
              </w:rPr>
            </w:pPr>
            <w:r w:rsidRPr="00DB3AEC">
              <w:rPr>
                <w:bCs/>
                <w:sz w:val="16"/>
                <w:szCs w:val="16"/>
              </w:rPr>
              <w:t>2019*</w:t>
            </w:r>
          </w:p>
        </w:tc>
      </w:tr>
      <w:tr w:rsidR="0040635C" w:rsidRPr="00AA618D" w14:paraId="68BF1B0C" w14:textId="77777777" w:rsidTr="0040635C">
        <w:trPr>
          <w:trHeight w:val="225"/>
        </w:trPr>
        <w:tc>
          <w:tcPr>
            <w:tcW w:w="962" w:type="pct"/>
            <w:tcBorders>
              <w:top w:val="single" w:sz="6" w:space="0" w:color="008000"/>
            </w:tcBorders>
            <w:shd w:val="clear" w:color="auto" w:fill="auto"/>
            <w:noWrap/>
            <w:vAlign w:val="bottom"/>
          </w:tcPr>
          <w:p w14:paraId="5B4F4F36" w14:textId="77777777" w:rsidR="0040635C" w:rsidRPr="00DB3AEC" w:rsidRDefault="0040635C" w:rsidP="00DB3AEC">
            <w:pPr>
              <w:rPr>
                <w:b/>
                <w:sz w:val="16"/>
                <w:szCs w:val="16"/>
              </w:rPr>
            </w:pPr>
            <w:r w:rsidRPr="00DB3AEC">
              <w:rPr>
                <w:b/>
                <w:sz w:val="16"/>
                <w:szCs w:val="16"/>
              </w:rPr>
              <w:t>Žito skupaj z rižem, od tega:</w:t>
            </w:r>
          </w:p>
        </w:tc>
        <w:tc>
          <w:tcPr>
            <w:tcW w:w="404" w:type="pct"/>
            <w:tcBorders>
              <w:top w:val="single" w:sz="6" w:space="0" w:color="008000"/>
            </w:tcBorders>
            <w:shd w:val="clear" w:color="auto" w:fill="auto"/>
            <w:vAlign w:val="bottom"/>
          </w:tcPr>
          <w:p w14:paraId="0C9EA5A9" w14:textId="77777777" w:rsidR="0040635C" w:rsidRPr="00DB3AEC" w:rsidRDefault="0040635C" w:rsidP="00DB3AEC">
            <w:pPr>
              <w:rPr>
                <w:b/>
                <w:sz w:val="16"/>
                <w:szCs w:val="16"/>
              </w:rPr>
            </w:pPr>
            <w:r w:rsidRPr="00DB3AEC">
              <w:rPr>
                <w:b/>
                <w:sz w:val="16"/>
                <w:szCs w:val="16"/>
              </w:rPr>
              <w:t>199.177</w:t>
            </w:r>
          </w:p>
        </w:tc>
        <w:tc>
          <w:tcPr>
            <w:tcW w:w="404" w:type="pct"/>
            <w:tcBorders>
              <w:top w:val="single" w:sz="6" w:space="0" w:color="008000"/>
            </w:tcBorders>
            <w:shd w:val="clear" w:color="auto" w:fill="auto"/>
            <w:vAlign w:val="bottom"/>
          </w:tcPr>
          <w:p w14:paraId="3D45EC1B" w14:textId="77777777" w:rsidR="0040635C" w:rsidRPr="00DB3AEC" w:rsidRDefault="0040635C" w:rsidP="00DB3AEC">
            <w:pPr>
              <w:rPr>
                <w:b/>
                <w:sz w:val="16"/>
                <w:szCs w:val="16"/>
              </w:rPr>
            </w:pPr>
            <w:r w:rsidRPr="00DB3AEC">
              <w:rPr>
                <w:b/>
                <w:sz w:val="16"/>
                <w:szCs w:val="16"/>
              </w:rPr>
              <w:t>189.099</w:t>
            </w:r>
          </w:p>
        </w:tc>
        <w:tc>
          <w:tcPr>
            <w:tcW w:w="404" w:type="pct"/>
            <w:tcBorders>
              <w:top w:val="single" w:sz="6" w:space="0" w:color="008000"/>
            </w:tcBorders>
            <w:shd w:val="clear" w:color="auto" w:fill="auto"/>
            <w:vAlign w:val="bottom"/>
          </w:tcPr>
          <w:p w14:paraId="3E7FABFD" w14:textId="77777777" w:rsidR="0040635C" w:rsidRPr="00DB3AEC" w:rsidRDefault="0040635C" w:rsidP="00DB3AEC">
            <w:pPr>
              <w:rPr>
                <w:b/>
                <w:sz w:val="16"/>
                <w:szCs w:val="16"/>
              </w:rPr>
            </w:pPr>
            <w:r w:rsidRPr="00DB3AEC">
              <w:rPr>
                <w:b/>
                <w:sz w:val="16"/>
                <w:szCs w:val="16"/>
              </w:rPr>
              <w:t>252.812</w:t>
            </w:r>
          </w:p>
        </w:tc>
        <w:tc>
          <w:tcPr>
            <w:tcW w:w="404" w:type="pct"/>
            <w:tcBorders>
              <w:top w:val="single" w:sz="6" w:space="0" w:color="008000"/>
            </w:tcBorders>
            <w:shd w:val="clear" w:color="auto" w:fill="auto"/>
            <w:vAlign w:val="bottom"/>
          </w:tcPr>
          <w:p w14:paraId="42F5DD21" w14:textId="77777777" w:rsidR="0040635C" w:rsidRPr="00DB3AEC" w:rsidRDefault="0040635C" w:rsidP="00DB3AEC">
            <w:pPr>
              <w:rPr>
                <w:b/>
                <w:sz w:val="16"/>
                <w:szCs w:val="16"/>
              </w:rPr>
            </w:pPr>
            <w:r w:rsidRPr="00DB3AEC">
              <w:rPr>
                <w:b/>
                <w:sz w:val="16"/>
                <w:szCs w:val="16"/>
              </w:rPr>
              <w:t>260.312</w:t>
            </w:r>
          </w:p>
        </w:tc>
        <w:tc>
          <w:tcPr>
            <w:tcW w:w="404" w:type="pct"/>
            <w:tcBorders>
              <w:top w:val="single" w:sz="6" w:space="0" w:color="008000"/>
            </w:tcBorders>
            <w:shd w:val="clear" w:color="auto" w:fill="auto"/>
            <w:vAlign w:val="bottom"/>
          </w:tcPr>
          <w:p w14:paraId="6D311B1E" w14:textId="77777777" w:rsidR="0040635C" w:rsidRPr="00DB3AEC" w:rsidRDefault="0040635C" w:rsidP="00DB3AEC">
            <w:pPr>
              <w:rPr>
                <w:b/>
                <w:sz w:val="16"/>
                <w:szCs w:val="16"/>
              </w:rPr>
            </w:pPr>
            <w:r w:rsidRPr="00DB3AEC">
              <w:rPr>
                <w:b/>
                <w:sz w:val="16"/>
                <w:szCs w:val="16"/>
              </w:rPr>
              <w:t>298.019</w:t>
            </w:r>
          </w:p>
        </w:tc>
        <w:tc>
          <w:tcPr>
            <w:tcW w:w="404" w:type="pct"/>
            <w:tcBorders>
              <w:top w:val="single" w:sz="6" w:space="0" w:color="008000"/>
            </w:tcBorders>
            <w:shd w:val="clear" w:color="auto" w:fill="auto"/>
            <w:vAlign w:val="bottom"/>
          </w:tcPr>
          <w:p w14:paraId="0FEA4FD4" w14:textId="77777777" w:rsidR="0040635C" w:rsidRPr="00DB3AEC" w:rsidRDefault="0040635C" w:rsidP="00DB3AEC">
            <w:pPr>
              <w:rPr>
                <w:b/>
                <w:sz w:val="16"/>
                <w:szCs w:val="16"/>
              </w:rPr>
            </w:pPr>
            <w:r w:rsidRPr="00DB3AEC">
              <w:rPr>
                <w:b/>
                <w:sz w:val="16"/>
                <w:szCs w:val="16"/>
              </w:rPr>
              <w:t>343.262</w:t>
            </w:r>
          </w:p>
        </w:tc>
        <w:tc>
          <w:tcPr>
            <w:tcW w:w="404" w:type="pct"/>
            <w:tcBorders>
              <w:top w:val="single" w:sz="6" w:space="0" w:color="008000"/>
            </w:tcBorders>
            <w:shd w:val="clear" w:color="auto" w:fill="auto"/>
            <w:vAlign w:val="bottom"/>
          </w:tcPr>
          <w:p w14:paraId="2B052A4B" w14:textId="77777777" w:rsidR="0040635C" w:rsidRPr="00DB3AEC" w:rsidRDefault="0040635C" w:rsidP="00DB3AEC">
            <w:pPr>
              <w:rPr>
                <w:b/>
                <w:sz w:val="16"/>
                <w:szCs w:val="16"/>
              </w:rPr>
            </w:pPr>
            <w:r w:rsidRPr="00DB3AEC">
              <w:rPr>
                <w:b/>
                <w:sz w:val="16"/>
                <w:szCs w:val="16"/>
              </w:rPr>
              <w:t>346.602</w:t>
            </w:r>
          </w:p>
        </w:tc>
        <w:tc>
          <w:tcPr>
            <w:tcW w:w="404" w:type="pct"/>
            <w:tcBorders>
              <w:top w:val="single" w:sz="6" w:space="0" w:color="008000"/>
            </w:tcBorders>
            <w:shd w:val="clear" w:color="auto" w:fill="auto"/>
            <w:vAlign w:val="bottom"/>
          </w:tcPr>
          <w:p w14:paraId="00345485" w14:textId="77777777" w:rsidR="0040635C" w:rsidRPr="00DB3AEC" w:rsidRDefault="0040635C" w:rsidP="00DB3AEC">
            <w:pPr>
              <w:rPr>
                <w:b/>
                <w:sz w:val="16"/>
                <w:szCs w:val="16"/>
              </w:rPr>
            </w:pPr>
            <w:r w:rsidRPr="00DB3AEC">
              <w:rPr>
                <w:b/>
                <w:sz w:val="16"/>
                <w:szCs w:val="16"/>
              </w:rPr>
              <w:t>411.661</w:t>
            </w:r>
          </w:p>
        </w:tc>
        <w:tc>
          <w:tcPr>
            <w:tcW w:w="404" w:type="pct"/>
            <w:tcBorders>
              <w:top w:val="single" w:sz="6" w:space="0" w:color="008000"/>
            </w:tcBorders>
            <w:shd w:val="clear" w:color="auto" w:fill="auto"/>
            <w:vAlign w:val="bottom"/>
          </w:tcPr>
          <w:p w14:paraId="729B1A8D" w14:textId="77777777" w:rsidR="0040635C" w:rsidRPr="00DB3AEC" w:rsidRDefault="0040635C" w:rsidP="00DB3AEC">
            <w:pPr>
              <w:rPr>
                <w:b/>
                <w:sz w:val="16"/>
                <w:szCs w:val="16"/>
              </w:rPr>
            </w:pPr>
            <w:r w:rsidRPr="00DB3AEC">
              <w:rPr>
                <w:b/>
                <w:sz w:val="16"/>
                <w:szCs w:val="16"/>
              </w:rPr>
              <w:t>425.499</w:t>
            </w:r>
          </w:p>
        </w:tc>
        <w:tc>
          <w:tcPr>
            <w:tcW w:w="402" w:type="pct"/>
            <w:tcBorders>
              <w:top w:val="single" w:sz="6" w:space="0" w:color="008000"/>
            </w:tcBorders>
            <w:shd w:val="clear" w:color="auto" w:fill="auto"/>
            <w:vAlign w:val="bottom"/>
          </w:tcPr>
          <w:p w14:paraId="435681D2" w14:textId="77777777" w:rsidR="0040635C" w:rsidRPr="00DB3AEC" w:rsidRDefault="0040635C" w:rsidP="00DB3AEC">
            <w:pPr>
              <w:rPr>
                <w:b/>
                <w:sz w:val="16"/>
                <w:szCs w:val="16"/>
              </w:rPr>
            </w:pPr>
            <w:r w:rsidRPr="00DB3AEC">
              <w:rPr>
                <w:b/>
                <w:sz w:val="16"/>
                <w:szCs w:val="16"/>
              </w:rPr>
              <w:t>383.055</w:t>
            </w:r>
          </w:p>
        </w:tc>
      </w:tr>
      <w:tr w:rsidR="0040635C" w:rsidRPr="00AA618D" w14:paraId="079968F5" w14:textId="77777777" w:rsidTr="0040635C">
        <w:trPr>
          <w:trHeight w:val="225"/>
        </w:trPr>
        <w:tc>
          <w:tcPr>
            <w:tcW w:w="962" w:type="pct"/>
            <w:shd w:val="clear" w:color="auto" w:fill="auto"/>
            <w:noWrap/>
            <w:vAlign w:val="bottom"/>
          </w:tcPr>
          <w:p w14:paraId="067D7953" w14:textId="77777777" w:rsidR="0040635C" w:rsidRPr="00DB3AEC" w:rsidRDefault="0040635C" w:rsidP="00DB3AEC">
            <w:pPr>
              <w:rPr>
                <w:sz w:val="16"/>
                <w:szCs w:val="16"/>
              </w:rPr>
            </w:pPr>
            <w:r w:rsidRPr="00DB3AEC">
              <w:rPr>
                <w:sz w:val="16"/>
                <w:szCs w:val="16"/>
              </w:rPr>
              <w:t>– pšenica</w:t>
            </w:r>
          </w:p>
        </w:tc>
        <w:tc>
          <w:tcPr>
            <w:tcW w:w="404" w:type="pct"/>
            <w:shd w:val="clear" w:color="auto" w:fill="auto"/>
            <w:vAlign w:val="bottom"/>
          </w:tcPr>
          <w:p w14:paraId="16A41017" w14:textId="77777777" w:rsidR="0040635C" w:rsidRPr="00DB3AEC" w:rsidRDefault="0040635C" w:rsidP="00DB3AEC">
            <w:pPr>
              <w:rPr>
                <w:sz w:val="16"/>
                <w:szCs w:val="16"/>
              </w:rPr>
            </w:pPr>
            <w:r w:rsidRPr="00DB3AEC">
              <w:rPr>
                <w:sz w:val="16"/>
                <w:szCs w:val="16"/>
              </w:rPr>
              <w:t>61.173</w:t>
            </w:r>
          </w:p>
        </w:tc>
        <w:tc>
          <w:tcPr>
            <w:tcW w:w="404" w:type="pct"/>
            <w:shd w:val="clear" w:color="auto" w:fill="auto"/>
            <w:vAlign w:val="bottom"/>
          </w:tcPr>
          <w:p w14:paraId="2F09F8E8" w14:textId="77777777" w:rsidR="0040635C" w:rsidRPr="00DB3AEC" w:rsidRDefault="0040635C" w:rsidP="00DB3AEC">
            <w:pPr>
              <w:rPr>
                <w:sz w:val="16"/>
                <w:szCs w:val="16"/>
              </w:rPr>
            </w:pPr>
            <w:r w:rsidRPr="00DB3AEC">
              <w:rPr>
                <w:sz w:val="16"/>
                <w:szCs w:val="16"/>
              </w:rPr>
              <w:t>62.152</w:t>
            </w:r>
          </w:p>
        </w:tc>
        <w:tc>
          <w:tcPr>
            <w:tcW w:w="404" w:type="pct"/>
            <w:shd w:val="clear" w:color="auto" w:fill="auto"/>
            <w:vAlign w:val="bottom"/>
          </w:tcPr>
          <w:p w14:paraId="2C9E98C0" w14:textId="77777777" w:rsidR="0040635C" w:rsidRPr="00DB3AEC" w:rsidRDefault="0040635C" w:rsidP="00DB3AEC">
            <w:pPr>
              <w:rPr>
                <w:sz w:val="16"/>
                <w:szCs w:val="16"/>
              </w:rPr>
            </w:pPr>
            <w:r w:rsidRPr="00DB3AEC">
              <w:rPr>
                <w:sz w:val="16"/>
                <w:szCs w:val="16"/>
              </w:rPr>
              <w:t>87.196</w:t>
            </w:r>
          </w:p>
        </w:tc>
        <w:tc>
          <w:tcPr>
            <w:tcW w:w="404" w:type="pct"/>
            <w:shd w:val="clear" w:color="auto" w:fill="auto"/>
            <w:vAlign w:val="bottom"/>
          </w:tcPr>
          <w:p w14:paraId="5B56C7A1" w14:textId="77777777" w:rsidR="0040635C" w:rsidRPr="00DB3AEC" w:rsidRDefault="0040635C" w:rsidP="00DB3AEC">
            <w:pPr>
              <w:rPr>
                <w:sz w:val="16"/>
                <w:szCs w:val="16"/>
              </w:rPr>
            </w:pPr>
            <w:r w:rsidRPr="00DB3AEC">
              <w:rPr>
                <w:sz w:val="16"/>
                <w:szCs w:val="16"/>
              </w:rPr>
              <w:t>84.591</w:t>
            </w:r>
          </w:p>
        </w:tc>
        <w:tc>
          <w:tcPr>
            <w:tcW w:w="404" w:type="pct"/>
            <w:shd w:val="clear" w:color="auto" w:fill="auto"/>
            <w:vAlign w:val="bottom"/>
          </w:tcPr>
          <w:p w14:paraId="2B354913" w14:textId="77777777" w:rsidR="0040635C" w:rsidRPr="00DB3AEC" w:rsidRDefault="0040635C" w:rsidP="00DB3AEC">
            <w:pPr>
              <w:rPr>
                <w:sz w:val="16"/>
                <w:szCs w:val="16"/>
              </w:rPr>
            </w:pPr>
            <w:r w:rsidRPr="00DB3AEC">
              <w:rPr>
                <w:sz w:val="16"/>
                <w:szCs w:val="16"/>
              </w:rPr>
              <w:t>59.397</w:t>
            </w:r>
          </w:p>
        </w:tc>
        <w:tc>
          <w:tcPr>
            <w:tcW w:w="404" w:type="pct"/>
            <w:shd w:val="clear" w:color="auto" w:fill="auto"/>
            <w:vAlign w:val="bottom"/>
          </w:tcPr>
          <w:p w14:paraId="364132B9" w14:textId="77777777" w:rsidR="0040635C" w:rsidRPr="00DB3AEC" w:rsidRDefault="0040635C" w:rsidP="00DB3AEC">
            <w:pPr>
              <w:rPr>
                <w:sz w:val="16"/>
                <w:szCs w:val="16"/>
              </w:rPr>
            </w:pPr>
            <w:r w:rsidRPr="00DB3AEC">
              <w:rPr>
                <w:sz w:val="16"/>
                <w:szCs w:val="16"/>
              </w:rPr>
              <w:t>145.836</w:t>
            </w:r>
          </w:p>
        </w:tc>
        <w:tc>
          <w:tcPr>
            <w:tcW w:w="404" w:type="pct"/>
            <w:shd w:val="clear" w:color="auto" w:fill="auto"/>
            <w:vAlign w:val="bottom"/>
          </w:tcPr>
          <w:p w14:paraId="7E43AE5B" w14:textId="77777777" w:rsidR="0040635C" w:rsidRPr="00DB3AEC" w:rsidRDefault="0040635C" w:rsidP="00DB3AEC">
            <w:pPr>
              <w:rPr>
                <w:sz w:val="16"/>
                <w:szCs w:val="16"/>
              </w:rPr>
            </w:pPr>
            <w:r w:rsidRPr="00DB3AEC">
              <w:rPr>
                <w:sz w:val="16"/>
                <w:szCs w:val="16"/>
              </w:rPr>
              <w:t>166.754</w:t>
            </w:r>
          </w:p>
        </w:tc>
        <w:tc>
          <w:tcPr>
            <w:tcW w:w="404" w:type="pct"/>
            <w:shd w:val="clear" w:color="auto" w:fill="auto"/>
            <w:vAlign w:val="bottom"/>
          </w:tcPr>
          <w:p w14:paraId="0584E062" w14:textId="77777777" w:rsidR="0040635C" w:rsidRPr="00DB3AEC" w:rsidRDefault="0040635C" w:rsidP="00DB3AEC">
            <w:pPr>
              <w:rPr>
                <w:sz w:val="16"/>
                <w:szCs w:val="16"/>
              </w:rPr>
            </w:pPr>
            <w:r w:rsidRPr="00DB3AEC">
              <w:rPr>
                <w:sz w:val="16"/>
                <w:szCs w:val="16"/>
              </w:rPr>
              <w:t>171.897</w:t>
            </w:r>
          </w:p>
        </w:tc>
        <w:tc>
          <w:tcPr>
            <w:tcW w:w="404" w:type="pct"/>
            <w:shd w:val="clear" w:color="auto" w:fill="auto"/>
            <w:vAlign w:val="bottom"/>
          </w:tcPr>
          <w:p w14:paraId="55A0C4E0" w14:textId="77777777" w:rsidR="0040635C" w:rsidRPr="00DB3AEC" w:rsidRDefault="0040635C" w:rsidP="00DB3AEC">
            <w:pPr>
              <w:rPr>
                <w:sz w:val="16"/>
                <w:szCs w:val="16"/>
              </w:rPr>
            </w:pPr>
            <w:r w:rsidRPr="00DB3AEC">
              <w:rPr>
                <w:sz w:val="16"/>
                <w:szCs w:val="16"/>
              </w:rPr>
              <w:t>173.786</w:t>
            </w:r>
          </w:p>
        </w:tc>
        <w:tc>
          <w:tcPr>
            <w:tcW w:w="402" w:type="pct"/>
            <w:shd w:val="clear" w:color="auto" w:fill="auto"/>
            <w:vAlign w:val="bottom"/>
          </w:tcPr>
          <w:p w14:paraId="13ADA4D6" w14:textId="77777777" w:rsidR="0040635C" w:rsidRPr="00DB3AEC" w:rsidRDefault="0040635C" w:rsidP="00DB3AEC">
            <w:pPr>
              <w:rPr>
                <w:sz w:val="16"/>
                <w:szCs w:val="16"/>
              </w:rPr>
            </w:pPr>
            <w:r w:rsidRPr="00DB3AEC">
              <w:rPr>
                <w:sz w:val="16"/>
                <w:szCs w:val="16"/>
              </w:rPr>
              <w:t>176.692</w:t>
            </w:r>
          </w:p>
        </w:tc>
      </w:tr>
      <w:tr w:rsidR="0040635C" w:rsidRPr="00AA618D" w14:paraId="2A2EB0F7" w14:textId="77777777" w:rsidTr="0040635C">
        <w:trPr>
          <w:trHeight w:val="225"/>
        </w:trPr>
        <w:tc>
          <w:tcPr>
            <w:tcW w:w="962" w:type="pct"/>
            <w:shd w:val="clear" w:color="auto" w:fill="auto"/>
            <w:noWrap/>
            <w:vAlign w:val="bottom"/>
          </w:tcPr>
          <w:p w14:paraId="235C2FDC" w14:textId="77777777" w:rsidR="0040635C" w:rsidRPr="00DB3AEC" w:rsidRDefault="0040635C" w:rsidP="00DB3AEC">
            <w:pPr>
              <w:rPr>
                <w:sz w:val="16"/>
                <w:szCs w:val="16"/>
              </w:rPr>
            </w:pPr>
            <w:r w:rsidRPr="00DB3AEC">
              <w:rPr>
                <w:sz w:val="16"/>
                <w:szCs w:val="16"/>
              </w:rPr>
              <w:t>– ječmen</w:t>
            </w:r>
          </w:p>
        </w:tc>
        <w:tc>
          <w:tcPr>
            <w:tcW w:w="404" w:type="pct"/>
            <w:shd w:val="clear" w:color="auto" w:fill="auto"/>
            <w:vAlign w:val="bottom"/>
          </w:tcPr>
          <w:p w14:paraId="22A4CEE2" w14:textId="77777777" w:rsidR="0040635C" w:rsidRPr="00DB3AEC" w:rsidRDefault="0040635C" w:rsidP="00DB3AEC">
            <w:pPr>
              <w:rPr>
                <w:sz w:val="16"/>
                <w:szCs w:val="16"/>
              </w:rPr>
            </w:pPr>
            <w:r w:rsidRPr="00DB3AEC">
              <w:rPr>
                <w:sz w:val="16"/>
                <w:szCs w:val="16"/>
              </w:rPr>
              <w:t>10.640</w:t>
            </w:r>
          </w:p>
        </w:tc>
        <w:tc>
          <w:tcPr>
            <w:tcW w:w="404" w:type="pct"/>
            <w:shd w:val="clear" w:color="auto" w:fill="auto"/>
            <w:vAlign w:val="bottom"/>
          </w:tcPr>
          <w:p w14:paraId="27A18447" w14:textId="77777777" w:rsidR="0040635C" w:rsidRPr="00DB3AEC" w:rsidRDefault="0040635C" w:rsidP="00DB3AEC">
            <w:pPr>
              <w:rPr>
                <w:sz w:val="16"/>
                <w:szCs w:val="16"/>
              </w:rPr>
            </w:pPr>
            <w:r w:rsidRPr="00DB3AEC">
              <w:rPr>
                <w:sz w:val="16"/>
                <w:szCs w:val="16"/>
              </w:rPr>
              <w:t>5.566</w:t>
            </w:r>
          </w:p>
        </w:tc>
        <w:tc>
          <w:tcPr>
            <w:tcW w:w="404" w:type="pct"/>
            <w:shd w:val="clear" w:color="auto" w:fill="auto"/>
            <w:vAlign w:val="bottom"/>
          </w:tcPr>
          <w:p w14:paraId="7A5C58E7" w14:textId="77777777" w:rsidR="0040635C" w:rsidRPr="00DB3AEC" w:rsidRDefault="0040635C" w:rsidP="00DB3AEC">
            <w:pPr>
              <w:rPr>
                <w:sz w:val="16"/>
                <w:szCs w:val="16"/>
              </w:rPr>
            </w:pPr>
            <w:r w:rsidRPr="00DB3AEC">
              <w:rPr>
                <w:sz w:val="16"/>
                <w:szCs w:val="16"/>
              </w:rPr>
              <w:t>23.008</w:t>
            </w:r>
          </w:p>
        </w:tc>
        <w:tc>
          <w:tcPr>
            <w:tcW w:w="404" w:type="pct"/>
            <w:shd w:val="clear" w:color="auto" w:fill="auto"/>
            <w:vAlign w:val="bottom"/>
          </w:tcPr>
          <w:p w14:paraId="43CB9033" w14:textId="77777777" w:rsidR="0040635C" w:rsidRPr="00DB3AEC" w:rsidRDefault="0040635C" w:rsidP="00DB3AEC">
            <w:pPr>
              <w:rPr>
                <w:sz w:val="16"/>
                <w:szCs w:val="16"/>
              </w:rPr>
            </w:pPr>
            <w:r w:rsidRPr="00DB3AEC">
              <w:rPr>
                <w:sz w:val="16"/>
                <w:szCs w:val="16"/>
              </w:rPr>
              <w:t>13.222</w:t>
            </w:r>
          </w:p>
        </w:tc>
        <w:tc>
          <w:tcPr>
            <w:tcW w:w="404" w:type="pct"/>
            <w:shd w:val="clear" w:color="auto" w:fill="auto"/>
            <w:vAlign w:val="bottom"/>
          </w:tcPr>
          <w:p w14:paraId="7367DF26" w14:textId="77777777" w:rsidR="0040635C" w:rsidRPr="00DB3AEC" w:rsidRDefault="0040635C" w:rsidP="00DB3AEC">
            <w:pPr>
              <w:rPr>
                <w:sz w:val="16"/>
                <w:szCs w:val="16"/>
              </w:rPr>
            </w:pPr>
            <w:r w:rsidRPr="00DB3AEC">
              <w:rPr>
                <w:sz w:val="16"/>
                <w:szCs w:val="16"/>
              </w:rPr>
              <w:t>6.414</w:t>
            </w:r>
          </w:p>
        </w:tc>
        <w:tc>
          <w:tcPr>
            <w:tcW w:w="404" w:type="pct"/>
            <w:shd w:val="clear" w:color="auto" w:fill="auto"/>
            <w:vAlign w:val="bottom"/>
          </w:tcPr>
          <w:p w14:paraId="72E8A0D9" w14:textId="77777777" w:rsidR="0040635C" w:rsidRPr="00DB3AEC" w:rsidRDefault="0040635C" w:rsidP="00DB3AEC">
            <w:pPr>
              <w:rPr>
                <w:sz w:val="16"/>
                <w:szCs w:val="16"/>
              </w:rPr>
            </w:pPr>
            <w:r w:rsidRPr="00DB3AEC">
              <w:rPr>
                <w:sz w:val="16"/>
                <w:szCs w:val="16"/>
              </w:rPr>
              <w:t>26.429</w:t>
            </w:r>
          </w:p>
        </w:tc>
        <w:tc>
          <w:tcPr>
            <w:tcW w:w="404" w:type="pct"/>
            <w:shd w:val="clear" w:color="auto" w:fill="auto"/>
            <w:vAlign w:val="bottom"/>
          </w:tcPr>
          <w:p w14:paraId="616FA256" w14:textId="77777777" w:rsidR="0040635C" w:rsidRPr="00DB3AEC" w:rsidRDefault="0040635C" w:rsidP="00DB3AEC">
            <w:pPr>
              <w:rPr>
                <w:sz w:val="16"/>
                <w:szCs w:val="16"/>
              </w:rPr>
            </w:pPr>
            <w:r w:rsidRPr="00DB3AEC">
              <w:rPr>
                <w:sz w:val="16"/>
                <w:szCs w:val="16"/>
              </w:rPr>
              <w:t>22.142</w:t>
            </w:r>
          </w:p>
        </w:tc>
        <w:tc>
          <w:tcPr>
            <w:tcW w:w="404" w:type="pct"/>
            <w:shd w:val="clear" w:color="auto" w:fill="auto"/>
            <w:vAlign w:val="bottom"/>
          </w:tcPr>
          <w:p w14:paraId="12B3A0AD" w14:textId="77777777" w:rsidR="0040635C" w:rsidRPr="00DB3AEC" w:rsidRDefault="0040635C" w:rsidP="00DB3AEC">
            <w:pPr>
              <w:rPr>
                <w:sz w:val="16"/>
                <w:szCs w:val="16"/>
              </w:rPr>
            </w:pPr>
            <w:r w:rsidRPr="00DB3AEC">
              <w:rPr>
                <w:sz w:val="16"/>
                <w:szCs w:val="16"/>
              </w:rPr>
              <w:t>31.493</w:t>
            </w:r>
          </w:p>
        </w:tc>
        <w:tc>
          <w:tcPr>
            <w:tcW w:w="404" w:type="pct"/>
            <w:shd w:val="clear" w:color="auto" w:fill="auto"/>
            <w:vAlign w:val="bottom"/>
          </w:tcPr>
          <w:p w14:paraId="1027C1C0" w14:textId="77777777" w:rsidR="0040635C" w:rsidRPr="00DB3AEC" w:rsidRDefault="0040635C" w:rsidP="00DB3AEC">
            <w:pPr>
              <w:rPr>
                <w:sz w:val="16"/>
                <w:szCs w:val="16"/>
              </w:rPr>
            </w:pPr>
            <w:r w:rsidRPr="00DB3AEC">
              <w:rPr>
                <w:sz w:val="16"/>
                <w:szCs w:val="16"/>
              </w:rPr>
              <w:t>25.052</w:t>
            </w:r>
          </w:p>
        </w:tc>
        <w:tc>
          <w:tcPr>
            <w:tcW w:w="402" w:type="pct"/>
            <w:shd w:val="clear" w:color="auto" w:fill="auto"/>
            <w:vAlign w:val="bottom"/>
          </w:tcPr>
          <w:p w14:paraId="60409F5E" w14:textId="77777777" w:rsidR="0040635C" w:rsidRPr="00DB3AEC" w:rsidRDefault="0040635C" w:rsidP="00DB3AEC">
            <w:pPr>
              <w:rPr>
                <w:sz w:val="16"/>
                <w:szCs w:val="16"/>
              </w:rPr>
            </w:pPr>
            <w:r w:rsidRPr="00DB3AEC">
              <w:rPr>
                <w:sz w:val="16"/>
                <w:szCs w:val="16"/>
              </w:rPr>
              <w:t>18.223</w:t>
            </w:r>
          </w:p>
        </w:tc>
      </w:tr>
      <w:tr w:rsidR="0040635C" w:rsidRPr="00AA618D" w14:paraId="15A6B63C" w14:textId="77777777" w:rsidTr="0040635C">
        <w:trPr>
          <w:trHeight w:val="225"/>
        </w:trPr>
        <w:tc>
          <w:tcPr>
            <w:tcW w:w="962" w:type="pct"/>
            <w:shd w:val="clear" w:color="auto" w:fill="auto"/>
            <w:noWrap/>
            <w:vAlign w:val="bottom"/>
          </w:tcPr>
          <w:p w14:paraId="5C47C913" w14:textId="77777777" w:rsidR="0040635C" w:rsidRPr="00DB3AEC" w:rsidRDefault="0040635C" w:rsidP="00DB3AEC">
            <w:pPr>
              <w:rPr>
                <w:sz w:val="16"/>
                <w:szCs w:val="16"/>
              </w:rPr>
            </w:pPr>
            <w:r w:rsidRPr="00DB3AEC">
              <w:rPr>
                <w:sz w:val="16"/>
                <w:szCs w:val="16"/>
              </w:rPr>
              <w:t xml:space="preserve">– koruza </w:t>
            </w:r>
          </w:p>
        </w:tc>
        <w:tc>
          <w:tcPr>
            <w:tcW w:w="404" w:type="pct"/>
            <w:shd w:val="clear" w:color="auto" w:fill="auto"/>
            <w:vAlign w:val="bottom"/>
          </w:tcPr>
          <w:p w14:paraId="48F9B378" w14:textId="77777777" w:rsidR="0040635C" w:rsidRPr="00DB3AEC" w:rsidRDefault="0040635C" w:rsidP="00DB3AEC">
            <w:pPr>
              <w:rPr>
                <w:sz w:val="16"/>
                <w:szCs w:val="16"/>
              </w:rPr>
            </w:pPr>
            <w:r w:rsidRPr="00DB3AEC">
              <w:rPr>
                <w:sz w:val="16"/>
                <w:szCs w:val="16"/>
              </w:rPr>
              <w:t>124.102</w:t>
            </w:r>
          </w:p>
        </w:tc>
        <w:tc>
          <w:tcPr>
            <w:tcW w:w="404" w:type="pct"/>
            <w:shd w:val="clear" w:color="auto" w:fill="auto"/>
            <w:vAlign w:val="bottom"/>
          </w:tcPr>
          <w:p w14:paraId="2E66ED11" w14:textId="77777777" w:rsidR="0040635C" w:rsidRPr="00DB3AEC" w:rsidRDefault="0040635C" w:rsidP="00DB3AEC">
            <w:pPr>
              <w:rPr>
                <w:sz w:val="16"/>
                <w:szCs w:val="16"/>
              </w:rPr>
            </w:pPr>
            <w:r w:rsidRPr="00DB3AEC">
              <w:rPr>
                <w:sz w:val="16"/>
                <w:szCs w:val="16"/>
              </w:rPr>
              <w:t>118.600</w:t>
            </w:r>
          </w:p>
        </w:tc>
        <w:tc>
          <w:tcPr>
            <w:tcW w:w="404" w:type="pct"/>
            <w:shd w:val="clear" w:color="auto" w:fill="auto"/>
            <w:vAlign w:val="bottom"/>
          </w:tcPr>
          <w:p w14:paraId="3DA18349" w14:textId="77777777" w:rsidR="0040635C" w:rsidRPr="00DB3AEC" w:rsidRDefault="0040635C" w:rsidP="00DB3AEC">
            <w:pPr>
              <w:rPr>
                <w:sz w:val="16"/>
                <w:szCs w:val="16"/>
              </w:rPr>
            </w:pPr>
            <w:r w:rsidRPr="00DB3AEC">
              <w:rPr>
                <w:sz w:val="16"/>
                <w:szCs w:val="16"/>
              </w:rPr>
              <w:t>137.616</w:t>
            </w:r>
          </w:p>
        </w:tc>
        <w:tc>
          <w:tcPr>
            <w:tcW w:w="404" w:type="pct"/>
            <w:shd w:val="clear" w:color="auto" w:fill="auto"/>
            <w:vAlign w:val="bottom"/>
          </w:tcPr>
          <w:p w14:paraId="783666C0" w14:textId="77777777" w:rsidR="0040635C" w:rsidRPr="00DB3AEC" w:rsidRDefault="0040635C" w:rsidP="00DB3AEC">
            <w:pPr>
              <w:rPr>
                <w:sz w:val="16"/>
                <w:szCs w:val="16"/>
              </w:rPr>
            </w:pPr>
            <w:r w:rsidRPr="00DB3AEC">
              <w:rPr>
                <w:sz w:val="16"/>
                <w:szCs w:val="16"/>
              </w:rPr>
              <w:t>157.644</w:t>
            </w:r>
          </w:p>
        </w:tc>
        <w:tc>
          <w:tcPr>
            <w:tcW w:w="404" w:type="pct"/>
            <w:shd w:val="clear" w:color="auto" w:fill="auto"/>
            <w:vAlign w:val="bottom"/>
          </w:tcPr>
          <w:p w14:paraId="5A10CEC8" w14:textId="77777777" w:rsidR="0040635C" w:rsidRPr="00DB3AEC" w:rsidRDefault="0040635C" w:rsidP="00DB3AEC">
            <w:pPr>
              <w:rPr>
                <w:sz w:val="16"/>
                <w:szCs w:val="16"/>
              </w:rPr>
            </w:pPr>
            <w:r w:rsidRPr="00DB3AEC">
              <w:rPr>
                <w:sz w:val="16"/>
                <w:szCs w:val="16"/>
              </w:rPr>
              <w:t>225.707</w:t>
            </w:r>
          </w:p>
        </w:tc>
        <w:tc>
          <w:tcPr>
            <w:tcW w:w="404" w:type="pct"/>
            <w:shd w:val="clear" w:color="auto" w:fill="auto"/>
            <w:vAlign w:val="bottom"/>
          </w:tcPr>
          <w:p w14:paraId="51D9B263" w14:textId="77777777" w:rsidR="0040635C" w:rsidRPr="00DB3AEC" w:rsidRDefault="0040635C" w:rsidP="00DB3AEC">
            <w:pPr>
              <w:rPr>
                <w:sz w:val="16"/>
                <w:szCs w:val="16"/>
              </w:rPr>
            </w:pPr>
            <w:r w:rsidRPr="00DB3AEC">
              <w:rPr>
                <w:sz w:val="16"/>
                <w:szCs w:val="16"/>
              </w:rPr>
              <w:t>153.326</w:t>
            </w:r>
          </w:p>
        </w:tc>
        <w:tc>
          <w:tcPr>
            <w:tcW w:w="404" w:type="pct"/>
            <w:shd w:val="clear" w:color="auto" w:fill="auto"/>
            <w:vAlign w:val="bottom"/>
          </w:tcPr>
          <w:p w14:paraId="279D50BD" w14:textId="77777777" w:rsidR="0040635C" w:rsidRPr="00DB3AEC" w:rsidRDefault="0040635C" w:rsidP="00DB3AEC">
            <w:pPr>
              <w:rPr>
                <w:sz w:val="16"/>
                <w:szCs w:val="16"/>
              </w:rPr>
            </w:pPr>
            <w:r w:rsidRPr="00DB3AEC">
              <w:rPr>
                <w:sz w:val="16"/>
                <w:szCs w:val="16"/>
              </w:rPr>
              <w:t>138.343</w:t>
            </w:r>
          </w:p>
        </w:tc>
        <w:tc>
          <w:tcPr>
            <w:tcW w:w="404" w:type="pct"/>
            <w:shd w:val="clear" w:color="auto" w:fill="auto"/>
            <w:vAlign w:val="bottom"/>
          </w:tcPr>
          <w:p w14:paraId="592F3528" w14:textId="77777777" w:rsidR="0040635C" w:rsidRPr="00DB3AEC" w:rsidRDefault="0040635C" w:rsidP="00DB3AEC">
            <w:pPr>
              <w:rPr>
                <w:sz w:val="16"/>
                <w:szCs w:val="16"/>
              </w:rPr>
            </w:pPr>
            <w:r w:rsidRPr="00DB3AEC">
              <w:rPr>
                <w:sz w:val="16"/>
                <w:szCs w:val="16"/>
              </w:rPr>
              <w:t>191.066</w:t>
            </w:r>
          </w:p>
        </w:tc>
        <w:tc>
          <w:tcPr>
            <w:tcW w:w="404" w:type="pct"/>
            <w:shd w:val="clear" w:color="auto" w:fill="auto"/>
            <w:vAlign w:val="bottom"/>
          </w:tcPr>
          <w:p w14:paraId="031718DA" w14:textId="77777777" w:rsidR="0040635C" w:rsidRPr="00DB3AEC" w:rsidRDefault="0040635C" w:rsidP="00DB3AEC">
            <w:pPr>
              <w:rPr>
                <w:sz w:val="16"/>
                <w:szCs w:val="16"/>
              </w:rPr>
            </w:pPr>
            <w:r w:rsidRPr="00DB3AEC">
              <w:rPr>
                <w:sz w:val="16"/>
                <w:szCs w:val="16"/>
              </w:rPr>
              <w:t>210.826</w:t>
            </w:r>
          </w:p>
        </w:tc>
        <w:tc>
          <w:tcPr>
            <w:tcW w:w="402" w:type="pct"/>
            <w:shd w:val="clear" w:color="auto" w:fill="auto"/>
            <w:vAlign w:val="bottom"/>
          </w:tcPr>
          <w:p w14:paraId="28210417" w14:textId="77777777" w:rsidR="0040635C" w:rsidRPr="00DB3AEC" w:rsidRDefault="0040635C" w:rsidP="00DB3AEC">
            <w:pPr>
              <w:rPr>
                <w:sz w:val="16"/>
                <w:szCs w:val="16"/>
              </w:rPr>
            </w:pPr>
            <w:r w:rsidRPr="00DB3AEC">
              <w:rPr>
                <w:sz w:val="16"/>
                <w:szCs w:val="16"/>
              </w:rPr>
              <w:t>172.505</w:t>
            </w:r>
          </w:p>
        </w:tc>
      </w:tr>
      <w:tr w:rsidR="0040635C" w:rsidRPr="00AA618D" w14:paraId="7C630496" w14:textId="77777777" w:rsidTr="0040635C">
        <w:trPr>
          <w:trHeight w:val="225"/>
        </w:trPr>
        <w:tc>
          <w:tcPr>
            <w:tcW w:w="962" w:type="pct"/>
            <w:shd w:val="clear" w:color="auto" w:fill="auto"/>
            <w:noWrap/>
            <w:vAlign w:val="bottom"/>
          </w:tcPr>
          <w:p w14:paraId="37A9D80A" w14:textId="77777777" w:rsidR="0040635C" w:rsidRPr="00DB3AEC" w:rsidRDefault="0040635C" w:rsidP="00DB3AEC">
            <w:pPr>
              <w:rPr>
                <w:sz w:val="16"/>
                <w:szCs w:val="16"/>
              </w:rPr>
            </w:pPr>
            <w:r w:rsidRPr="00DB3AEC">
              <w:rPr>
                <w:sz w:val="16"/>
                <w:szCs w:val="16"/>
              </w:rPr>
              <w:t xml:space="preserve">– riž </w:t>
            </w:r>
          </w:p>
        </w:tc>
        <w:tc>
          <w:tcPr>
            <w:tcW w:w="404" w:type="pct"/>
            <w:shd w:val="clear" w:color="auto" w:fill="auto"/>
            <w:vAlign w:val="bottom"/>
          </w:tcPr>
          <w:p w14:paraId="09D1D2F9" w14:textId="77777777" w:rsidR="0040635C" w:rsidRPr="00DB3AEC" w:rsidRDefault="0040635C" w:rsidP="00DB3AEC">
            <w:pPr>
              <w:rPr>
                <w:sz w:val="16"/>
                <w:szCs w:val="16"/>
              </w:rPr>
            </w:pPr>
            <w:r w:rsidRPr="00DB3AEC">
              <w:rPr>
                <w:sz w:val="16"/>
                <w:szCs w:val="16"/>
              </w:rPr>
              <w:t>1.789</w:t>
            </w:r>
          </w:p>
        </w:tc>
        <w:tc>
          <w:tcPr>
            <w:tcW w:w="404" w:type="pct"/>
            <w:shd w:val="clear" w:color="auto" w:fill="auto"/>
            <w:vAlign w:val="bottom"/>
          </w:tcPr>
          <w:p w14:paraId="51975E0B" w14:textId="77777777" w:rsidR="0040635C" w:rsidRPr="00DB3AEC" w:rsidRDefault="0040635C" w:rsidP="00DB3AEC">
            <w:pPr>
              <w:rPr>
                <w:sz w:val="16"/>
                <w:szCs w:val="16"/>
              </w:rPr>
            </w:pPr>
            <w:r w:rsidRPr="00DB3AEC">
              <w:rPr>
                <w:sz w:val="16"/>
                <w:szCs w:val="16"/>
              </w:rPr>
              <w:t>1.665</w:t>
            </w:r>
          </w:p>
        </w:tc>
        <w:tc>
          <w:tcPr>
            <w:tcW w:w="404" w:type="pct"/>
            <w:shd w:val="clear" w:color="auto" w:fill="auto"/>
            <w:vAlign w:val="bottom"/>
          </w:tcPr>
          <w:p w14:paraId="36FF9FB1" w14:textId="77777777" w:rsidR="0040635C" w:rsidRPr="00DB3AEC" w:rsidRDefault="0040635C" w:rsidP="00DB3AEC">
            <w:pPr>
              <w:rPr>
                <w:sz w:val="16"/>
                <w:szCs w:val="16"/>
              </w:rPr>
            </w:pPr>
            <w:r w:rsidRPr="00DB3AEC">
              <w:rPr>
                <w:sz w:val="16"/>
                <w:szCs w:val="16"/>
              </w:rPr>
              <w:t>2.138</w:t>
            </w:r>
          </w:p>
        </w:tc>
        <w:tc>
          <w:tcPr>
            <w:tcW w:w="404" w:type="pct"/>
            <w:shd w:val="clear" w:color="auto" w:fill="auto"/>
            <w:vAlign w:val="bottom"/>
          </w:tcPr>
          <w:p w14:paraId="079E1F06" w14:textId="77777777" w:rsidR="0040635C" w:rsidRPr="00DB3AEC" w:rsidRDefault="0040635C" w:rsidP="00DB3AEC">
            <w:pPr>
              <w:rPr>
                <w:sz w:val="16"/>
                <w:szCs w:val="16"/>
              </w:rPr>
            </w:pPr>
            <w:r w:rsidRPr="00DB3AEC">
              <w:rPr>
                <w:sz w:val="16"/>
                <w:szCs w:val="16"/>
              </w:rPr>
              <w:t>2.387</w:t>
            </w:r>
          </w:p>
        </w:tc>
        <w:tc>
          <w:tcPr>
            <w:tcW w:w="404" w:type="pct"/>
            <w:shd w:val="clear" w:color="auto" w:fill="auto"/>
            <w:vAlign w:val="bottom"/>
          </w:tcPr>
          <w:p w14:paraId="5818D4DD" w14:textId="77777777" w:rsidR="0040635C" w:rsidRPr="00DB3AEC" w:rsidRDefault="0040635C" w:rsidP="00DB3AEC">
            <w:pPr>
              <w:rPr>
                <w:sz w:val="16"/>
                <w:szCs w:val="16"/>
              </w:rPr>
            </w:pPr>
            <w:r w:rsidRPr="00DB3AEC">
              <w:rPr>
                <w:sz w:val="16"/>
                <w:szCs w:val="16"/>
              </w:rPr>
              <w:t>2.813</w:t>
            </w:r>
          </w:p>
        </w:tc>
        <w:tc>
          <w:tcPr>
            <w:tcW w:w="404" w:type="pct"/>
            <w:shd w:val="clear" w:color="auto" w:fill="auto"/>
            <w:vAlign w:val="bottom"/>
          </w:tcPr>
          <w:p w14:paraId="4BAAF827" w14:textId="77777777" w:rsidR="0040635C" w:rsidRPr="00DB3AEC" w:rsidRDefault="0040635C" w:rsidP="00DB3AEC">
            <w:pPr>
              <w:rPr>
                <w:sz w:val="16"/>
                <w:szCs w:val="16"/>
              </w:rPr>
            </w:pPr>
            <w:r w:rsidRPr="00DB3AEC">
              <w:rPr>
                <w:sz w:val="16"/>
                <w:szCs w:val="16"/>
              </w:rPr>
              <w:t>8.078</w:t>
            </w:r>
          </w:p>
        </w:tc>
        <w:tc>
          <w:tcPr>
            <w:tcW w:w="404" w:type="pct"/>
            <w:shd w:val="clear" w:color="auto" w:fill="auto"/>
            <w:vAlign w:val="bottom"/>
          </w:tcPr>
          <w:p w14:paraId="78FED026" w14:textId="77777777" w:rsidR="0040635C" w:rsidRPr="00DB3AEC" w:rsidRDefault="0040635C" w:rsidP="00DB3AEC">
            <w:pPr>
              <w:rPr>
                <w:sz w:val="16"/>
                <w:szCs w:val="16"/>
              </w:rPr>
            </w:pPr>
            <w:r w:rsidRPr="00DB3AEC">
              <w:rPr>
                <w:sz w:val="16"/>
                <w:szCs w:val="16"/>
              </w:rPr>
              <w:t>8.399</w:t>
            </w:r>
          </w:p>
        </w:tc>
        <w:tc>
          <w:tcPr>
            <w:tcW w:w="404" w:type="pct"/>
            <w:shd w:val="clear" w:color="auto" w:fill="auto"/>
            <w:vAlign w:val="bottom"/>
          </w:tcPr>
          <w:p w14:paraId="628435CB" w14:textId="77777777" w:rsidR="0040635C" w:rsidRPr="00DB3AEC" w:rsidRDefault="0040635C" w:rsidP="00DB3AEC">
            <w:pPr>
              <w:rPr>
                <w:sz w:val="16"/>
                <w:szCs w:val="16"/>
              </w:rPr>
            </w:pPr>
            <w:r w:rsidRPr="00DB3AEC">
              <w:rPr>
                <w:sz w:val="16"/>
                <w:szCs w:val="16"/>
              </w:rPr>
              <w:t>8.986</w:t>
            </w:r>
          </w:p>
        </w:tc>
        <w:tc>
          <w:tcPr>
            <w:tcW w:w="404" w:type="pct"/>
            <w:shd w:val="clear" w:color="auto" w:fill="auto"/>
            <w:vAlign w:val="bottom"/>
          </w:tcPr>
          <w:p w14:paraId="05108D7C" w14:textId="77777777" w:rsidR="0040635C" w:rsidRPr="00DB3AEC" w:rsidRDefault="0040635C" w:rsidP="00DB3AEC">
            <w:pPr>
              <w:rPr>
                <w:sz w:val="16"/>
                <w:szCs w:val="16"/>
              </w:rPr>
            </w:pPr>
            <w:r w:rsidRPr="00DB3AEC">
              <w:rPr>
                <w:sz w:val="16"/>
                <w:szCs w:val="16"/>
              </w:rPr>
              <w:t>9.094</w:t>
            </w:r>
          </w:p>
        </w:tc>
        <w:tc>
          <w:tcPr>
            <w:tcW w:w="402" w:type="pct"/>
            <w:shd w:val="clear" w:color="auto" w:fill="auto"/>
            <w:vAlign w:val="bottom"/>
          </w:tcPr>
          <w:p w14:paraId="67106E44" w14:textId="77777777" w:rsidR="0040635C" w:rsidRPr="00DB3AEC" w:rsidRDefault="0040635C" w:rsidP="00DB3AEC">
            <w:pPr>
              <w:rPr>
                <w:sz w:val="16"/>
                <w:szCs w:val="16"/>
              </w:rPr>
            </w:pPr>
            <w:r w:rsidRPr="00DB3AEC">
              <w:rPr>
                <w:sz w:val="16"/>
                <w:szCs w:val="16"/>
              </w:rPr>
              <w:t>9.523</w:t>
            </w:r>
          </w:p>
        </w:tc>
      </w:tr>
    </w:tbl>
    <w:p w14:paraId="7DB3DF2E" w14:textId="77777777" w:rsidR="0040635C" w:rsidRPr="00FF4B40" w:rsidRDefault="0040635C" w:rsidP="00DB3AEC">
      <w:pPr>
        <w:rPr>
          <w:rFonts w:eastAsia="Times New Roman" w:cs="Arial"/>
          <w:sz w:val="16"/>
          <w:szCs w:val="16"/>
        </w:rPr>
      </w:pPr>
      <w:r w:rsidRPr="00FF4B40">
        <w:rPr>
          <w:rFonts w:eastAsia="Times New Roman" w:cs="Arial"/>
          <w:sz w:val="16"/>
          <w:szCs w:val="16"/>
        </w:rPr>
        <w:t>Vir:</w:t>
      </w:r>
      <w:r>
        <w:rPr>
          <w:rFonts w:eastAsia="Times New Roman" w:cs="Arial"/>
          <w:sz w:val="16"/>
          <w:szCs w:val="16"/>
        </w:rPr>
        <w:t>ZP-2019</w:t>
      </w:r>
    </w:p>
    <w:p w14:paraId="7885EF1A" w14:textId="77777777" w:rsidR="0040635C" w:rsidRPr="00DB3AEC" w:rsidRDefault="0040635C" w:rsidP="00DB3AEC">
      <w:pPr>
        <w:pStyle w:val="ZPtekst"/>
        <w:spacing w:before="200" w:after="200" w:line="360" w:lineRule="auto"/>
        <w:rPr>
          <w:bCs/>
          <w:szCs w:val="20"/>
        </w:rPr>
      </w:pPr>
      <w:r w:rsidRPr="00DB3AEC">
        <w:rPr>
          <w:bCs/>
          <w:szCs w:val="20"/>
        </w:rPr>
        <w:t xml:space="preserve">Velika spremenljivost cen žita na mednarodnih trgih se zaradi globalnega trga večinoma zelo hitro odrazi v odkupnih cenah v Sloveniji, kar opažamo tudi v letu 2019. V povprečju so bile cene žita v Slovenji leta 2019 pomembno nižje kot v letu prej in tudi nižje od povprečja zadnjega petletnega obdobja (2014–2018), na kar so ključno vplivale izrazito nižje cene koruze za zrnje. </w:t>
      </w:r>
    </w:p>
    <w:p w14:paraId="4532C157" w14:textId="77777777" w:rsidR="0040635C" w:rsidRDefault="0040635C" w:rsidP="0040635C">
      <w:pPr>
        <w:pStyle w:val="ZPtekst"/>
        <w:spacing w:before="200" w:after="200" w:line="360" w:lineRule="auto"/>
        <w:rPr>
          <w:szCs w:val="20"/>
        </w:rPr>
      </w:pPr>
      <w:r w:rsidRPr="006B6C3B">
        <w:rPr>
          <w:szCs w:val="20"/>
        </w:rPr>
        <w:lastRenderedPageBreak/>
        <w:t>Pridelovalci koruze so za zrnje leta 2019 v povprečju dobili 123,7 EUR/t, kar je za 16 % manj kot v letu prej in za 8 % pod povprečjem zadnjega petletnega obdobja. Še nižje so bile odkupne cene koruze za zrnje v jesenskem času, ko je bila povprečna odkupna cena le 119,5 EUR/t oziroma za 18 % nižja kot v enakih mesecih leta 2018.</w:t>
      </w:r>
      <w:r>
        <w:rPr>
          <w:szCs w:val="20"/>
        </w:rPr>
        <w:t xml:space="preserve"> L</w:t>
      </w:r>
      <w:r w:rsidRPr="00D628DB">
        <w:rPr>
          <w:szCs w:val="20"/>
        </w:rPr>
        <w:t xml:space="preserve">etna odkupna cena pšenice s 163,2 EUR/t </w:t>
      </w:r>
      <w:r>
        <w:rPr>
          <w:szCs w:val="20"/>
        </w:rPr>
        <w:t xml:space="preserve">v letu 2019 je bila </w:t>
      </w:r>
      <w:r w:rsidRPr="00D628DB">
        <w:rPr>
          <w:szCs w:val="20"/>
        </w:rPr>
        <w:t>za dobra 2 % višja kot leto prej in za 4 % nad povprečjem zadnjih petih let. V mesecih največjega odkupa (julij–september) letine 2019 pa je bila odkupna (sezonska) cena pšenice 156,5 EUR/t oziroma za 2 % višja kot v enakem obdobju leta 2018. Nižja kot v letu prej pa je bila odkupna cena ječmena (–4 %).</w:t>
      </w:r>
    </w:p>
    <w:p w14:paraId="69A165B8" w14:textId="2BF3A2DC" w:rsidR="0040635C" w:rsidRDefault="0040635C" w:rsidP="0040635C">
      <w:pPr>
        <w:keepNext/>
        <w:keepLines/>
        <w:spacing w:after="0" w:line="360" w:lineRule="auto"/>
      </w:pPr>
      <w:bookmarkStart w:id="243" w:name="_Toc55913804"/>
      <w:r>
        <w:t xml:space="preserve">Slika </w:t>
      </w:r>
      <w:r>
        <w:fldChar w:fldCharType="begin"/>
      </w:r>
      <w:r>
        <w:instrText xml:space="preserve"> SEQ Slika \* ARABIC </w:instrText>
      </w:r>
      <w:r>
        <w:fldChar w:fldCharType="separate"/>
      </w:r>
      <w:r>
        <w:rPr>
          <w:noProof/>
        </w:rPr>
        <w:t>55</w:t>
      </w:r>
      <w:r>
        <w:fldChar w:fldCharType="end"/>
      </w:r>
      <w:r>
        <w:t xml:space="preserve">: </w:t>
      </w:r>
      <w:r w:rsidRPr="0040635C">
        <w:t>Osnovni ekonomski kazalniki pri pridelavi pšenice (indeks; povprečje 2014–2018 = 100)</w:t>
      </w:r>
      <w:bookmarkEnd w:id="243"/>
    </w:p>
    <w:p w14:paraId="16BEF066" w14:textId="77777777" w:rsidR="0040635C" w:rsidRPr="00D628DB" w:rsidRDefault="0040635C" w:rsidP="0040635C">
      <w:pPr>
        <w:pStyle w:val="ZPslika"/>
        <w:spacing w:before="0" w:after="0" w:line="360" w:lineRule="auto"/>
        <w:rPr>
          <w:sz w:val="20"/>
          <w:szCs w:val="20"/>
        </w:rPr>
      </w:pPr>
      <w:r w:rsidRPr="00FF1FBF">
        <w:rPr>
          <w:sz w:val="20"/>
          <w:szCs w:val="20"/>
        </w:rPr>
        <w:drawing>
          <wp:inline distT="0" distB="0" distL="0" distR="0" wp14:anchorId="2A26A88E" wp14:editId="281D2ADA">
            <wp:extent cx="5709285" cy="2194560"/>
            <wp:effectExtent l="0" t="0" r="5715" b="0"/>
            <wp:docPr id="24169614" name="Slika 24169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09285" cy="2194560"/>
                    </a:xfrm>
                    <a:prstGeom prst="rect">
                      <a:avLst/>
                    </a:prstGeom>
                    <a:noFill/>
                    <a:ln>
                      <a:noFill/>
                    </a:ln>
                  </pic:spPr>
                </pic:pic>
              </a:graphicData>
            </a:graphic>
          </wp:inline>
        </w:drawing>
      </w:r>
    </w:p>
    <w:p w14:paraId="36194841" w14:textId="77777777" w:rsidR="0040635C" w:rsidRPr="00FF4B40" w:rsidRDefault="0040635C" w:rsidP="0040635C">
      <w:pPr>
        <w:spacing w:after="0" w:line="360" w:lineRule="auto"/>
        <w:rPr>
          <w:rFonts w:eastAsia="Times New Roman" w:cs="Arial"/>
          <w:sz w:val="16"/>
          <w:szCs w:val="16"/>
        </w:rPr>
      </w:pPr>
      <w:r w:rsidRPr="00FF4B40">
        <w:rPr>
          <w:rFonts w:eastAsia="Times New Roman" w:cs="Arial"/>
          <w:sz w:val="16"/>
          <w:szCs w:val="16"/>
        </w:rPr>
        <w:t>Vir:</w:t>
      </w:r>
      <w:r>
        <w:rPr>
          <w:rFonts w:eastAsia="Times New Roman" w:cs="Arial"/>
          <w:sz w:val="16"/>
          <w:szCs w:val="16"/>
        </w:rPr>
        <w:t xml:space="preserve"> Modelne kalkulacije KIS (ZP-2019)</w:t>
      </w:r>
    </w:p>
    <w:p w14:paraId="02F5BF3B" w14:textId="77777777" w:rsidR="0040635C" w:rsidRPr="00D628DB" w:rsidRDefault="0040635C" w:rsidP="0040635C">
      <w:pPr>
        <w:pStyle w:val="ZPtekst"/>
        <w:spacing w:before="200" w:after="200" w:line="360" w:lineRule="auto"/>
        <w:rPr>
          <w:szCs w:val="20"/>
        </w:rPr>
      </w:pPr>
      <w:r w:rsidRPr="00D628DB">
        <w:rPr>
          <w:szCs w:val="20"/>
        </w:rPr>
        <w:t>Ekonomski položaj tržnih pridelovalcev koruze v Sloveniji se je po dveh letih izboljševanja z letino 2019 ponovno močno poslabšal in je bil blizu najniž</w:t>
      </w:r>
      <w:r>
        <w:rPr>
          <w:szCs w:val="20"/>
        </w:rPr>
        <w:t xml:space="preserve">je ravni v zadnjih petih letih. </w:t>
      </w:r>
      <w:r w:rsidRPr="00D628DB">
        <w:rPr>
          <w:szCs w:val="20"/>
        </w:rPr>
        <w:t xml:space="preserve">Višji stroški pridelave so vplivali na poslabšanje cenovno-stroškovnih razmerij. Zaradi nižjih odkupnih cen so se cenovno-stroškovna razmerja poslabšala bolj pri ječmenu kot pri pšenici. Kljub poslabšanju prihodkovno-stroškovnega razmerja pa se je leta 2019 ekonomičnost pridelave </w:t>
      </w:r>
      <w:proofErr w:type="spellStart"/>
      <w:r w:rsidRPr="00D628DB">
        <w:rPr>
          <w:szCs w:val="20"/>
        </w:rPr>
        <w:t>strnega</w:t>
      </w:r>
      <w:proofErr w:type="spellEnd"/>
      <w:r w:rsidRPr="00D628DB">
        <w:rPr>
          <w:szCs w:val="20"/>
        </w:rPr>
        <w:t xml:space="preserve"> žita zaradi večjih pridelkov in dobre kakovosti pšenice izboljšala. Ocenjujemo, da so ekonomski rezultati pri pšenici in ječmenu nekoliko nad povprečjem zadnjega petletnega obdobja, ki so ga zaznamovala velika nihanja tako v obsegu pridelave kot v višini odkupnih cen.</w:t>
      </w:r>
    </w:p>
    <w:p w14:paraId="71DDE709" w14:textId="05B39549" w:rsidR="0040635C" w:rsidRDefault="0040635C" w:rsidP="0040635C">
      <w:pPr>
        <w:keepNext/>
        <w:keepLines/>
        <w:spacing w:after="0" w:line="360" w:lineRule="auto"/>
      </w:pPr>
      <w:bookmarkStart w:id="244" w:name="_Toc55913805"/>
      <w:r>
        <w:lastRenderedPageBreak/>
        <w:t xml:space="preserve">Slika </w:t>
      </w:r>
      <w:r>
        <w:fldChar w:fldCharType="begin"/>
      </w:r>
      <w:r>
        <w:instrText xml:space="preserve"> SEQ Slika \* ARABIC </w:instrText>
      </w:r>
      <w:r>
        <w:fldChar w:fldCharType="separate"/>
      </w:r>
      <w:r>
        <w:rPr>
          <w:noProof/>
        </w:rPr>
        <w:t>56</w:t>
      </w:r>
      <w:r>
        <w:fldChar w:fldCharType="end"/>
      </w:r>
      <w:r w:rsidRPr="0040635C">
        <w:t>: Osnovni ekonomski kazalniki pri pridelavi koruze za zrnje (indeks; povprečje 2014–2018 = 100)</w:t>
      </w:r>
      <w:bookmarkEnd w:id="244"/>
    </w:p>
    <w:p w14:paraId="67D94548" w14:textId="77777777" w:rsidR="0040635C" w:rsidRPr="00D628DB" w:rsidRDefault="0040635C" w:rsidP="0040635C">
      <w:pPr>
        <w:pStyle w:val="ZPslika"/>
        <w:spacing w:before="0" w:after="0" w:line="360" w:lineRule="auto"/>
        <w:rPr>
          <w:sz w:val="20"/>
          <w:szCs w:val="20"/>
        </w:rPr>
      </w:pPr>
      <w:r w:rsidRPr="00FF1FBF">
        <w:rPr>
          <w:sz w:val="20"/>
          <w:szCs w:val="20"/>
        </w:rPr>
        <w:drawing>
          <wp:inline distT="0" distB="0" distL="0" distR="0" wp14:anchorId="0201A9D1" wp14:editId="14DC6862">
            <wp:extent cx="5709285" cy="2194560"/>
            <wp:effectExtent l="0" t="0" r="5715" b="0"/>
            <wp:docPr id="24169615" name="Slika 24169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09285" cy="2194560"/>
                    </a:xfrm>
                    <a:prstGeom prst="rect">
                      <a:avLst/>
                    </a:prstGeom>
                    <a:noFill/>
                    <a:ln>
                      <a:noFill/>
                    </a:ln>
                  </pic:spPr>
                </pic:pic>
              </a:graphicData>
            </a:graphic>
          </wp:inline>
        </w:drawing>
      </w:r>
    </w:p>
    <w:p w14:paraId="1543BF43" w14:textId="77777777" w:rsidR="0040635C" w:rsidRPr="005718B1" w:rsidRDefault="0040635C" w:rsidP="0040635C">
      <w:pPr>
        <w:spacing w:after="0" w:line="360" w:lineRule="auto"/>
        <w:rPr>
          <w:rFonts w:eastAsia="Times New Roman" w:cs="Arial"/>
          <w:sz w:val="16"/>
          <w:szCs w:val="16"/>
        </w:rPr>
      </w:pPr>
      <w:r w:rsidRPr="00FF4B40">
        <w:rPr>
          <w:rFonts w:eastAsia="Times New Roman" w:cs="Arial"/>
          <w:sz w:val="16"/>
          <w:szCs w:val="16"/>
        </w:rPr>
        <w:t>Vir:</w:t>
      </w:r>
      <w:r>
        <w:rPr>
          <w:rFonts w:eastAsia="Times New Roman" w:cs="Arial"/>
          <w:sz w:val="16"/>
          <w:szCs w:val="16"/>
        </w:rPr>
        <w:t xml:space="preserve"> Modelne kalkulacije KIS (ZP-2019)</w:t>
      </w:r>
    </w:p>
    <w:p w14:paraId="630D3A97" w14:textId="77777777" w:rsidR="0040635C" w:rsidRPr="0040635C" w:rsidRDefault="0040635C" w:rsidP="0040635C">
      <w:pPr>
        <w:pStyle w:val="ZPtekst"/>
        <w:spacing w:before="200" w:after="200" w:line="360" w:lineRule="auto"/>
        <w:rPr>
          <w:szCs w:val="20"/>
        </w:rPr>
      </w:pPr>
      <w:r w:rsidRPr="0040635C">
        <w:rPr>
          <w:szCs w:val="20"/>
        </w:rPr>
        <w:t>Izrazit padec odkupnih cen koruze v jesenskem času (–18 %) je ob sočasnem zvišanju stroškov pridelave in majhnem znižanju proračunskih podpor ključno vplival na poslabšanje cenovno-stroškovnih razmerij. Cenovno-stroškovna pariteta je za več kot 15 odstotnih točk pod povprečjem zadnjih petih let, ko so bile ekonomske razmere v letih 2014–2016 tudi zelo slabe. Ekonomski rezultati pridelovalcev koruze so se v letu 2019 zaradi velikega znižanja odkupnih cen, kljub dobri letini, poslabšali in so na zelo nizki ravni.</w:t>
      </w:r>
    </w:p>
    <w:p w14:paraId="0D8D971D" w14:textId="77777777" w:rsidR="0040635C" w:rsidRPr="0040635C" w:rsidRDefault="0040635C" w:rsidP="0040635C">
      <w:pPr>
        <w:spacing w:before="200" w:line="360" w:lineRule="auto"/>
        <w:jc w:val="both"/>
        <w:rPr>
          <w:szCs w:val="20"/>
        </w:rPr>
      </w:pPr>
      <w:r w:rsidRPr="0040635C">
        <w:rPr>
          <w:szCs w:val="20"/>
        </w:rPr>
        <w:t xml:space="preserve">Oljna ogrščica: </w:t>
      </w:r>
      <w:r w:rsidRPr="0040635C">
        <w:rPr>
          <w:rFonts w:eastAsia="Times New Roman" w:cs="Arial"/>
          <w:szCs w:val="20"/>
        </w:rPr>
        <w:t xml:space="preserve">Gospodarske razmere na trgu z oljno ogrščico so se zaradi povišanja odkupnih cen in malenkost višjih stroškov pridelave rahlo izboljšale. V letu 2019 sta se zvišali povprečni odkupni ceni oljnih buč (+38 %) in oljne ogrščice (+3 %), že drugo leto zapored pa se je znižala odkupna cena soje (–6 %). </w:t>
      </w:r>
    </w:p>
    <w:p w14:paraId="0BEAE85D" w14:textId="77777777" w:rsidR="0040635C" w:rsidRPr="0040635C" w:rsidRDefault="0040635C" w:rsidP="0040635C">
      <w:pPr>
        <w:spacing w:before="200" w:line="360" w:lineRule="auto"/>
        <w:jc w:val="both"/>
        <w:rPr>
          <w:rFonts w:cs="Arial"/>
          <w:szCs w:val="20"/>
        </w:rPr>
      </w:pPr>
      <w:r w:rsidRPr="0040635C">
        <w:rPr>
          <w:rFonts w:cs="Arial"/>
          <w:szCs w:val="20"/>
        </w:rPr>
        <w:t>Krompir: V letu 2019 je bilo uvoženih približno 117 tisoč ton krompirja, od tega približno polovica v obliki predelanih proizvodov. V letu 2019 se je skupni uvoz krompirja povečal za 18 %. Uvoženega je bilo več svežega jedilnega krompirja (+48 %), blizu ravni leta prej je ostal uvoz predelanega in semenskega krompirja. Izvoz krompirja se v zadnjih letih povečuje. V primerjavi s prejšnjim letom se je povečal za 70 % in bil 187 % nad povprečjem zadnjega petletnega obdobja.</w:t>
      </w:r>
    </w:p>
    <w:p w14:paraId="4DE0ED6F" w14:textId="77777777" w:rsidR="0040635C" w:rsidRPr="0040635C" w:rsidRDefault="0040635C" w:rsidP="0040635C">
      <w:pPr>
        <w:pStyle w:val="ZPtekst"/>
        <w:spacing w:before="200" w:after="200" w:line="360" w:lineRule="auto"/>
        <w:rPr>
          <w:szCs w:val="20"/>
        </w:rPr>
      </w:pPr>
      <w:r w:rsidRPr="0040635C">
        <w:rPr>
          <w:szCs w:val="20"/>
        </w:rPr>
        <w:t xml:space="preserve">Po statističnih podatkih je odkupna cena poznega krompirja v jesenskem času (september–november, t. i. sezonska cena) zadnja leta v porastu, v letu 2019 se je zvišala za 19 % in je bila za skoraj 80 % nad povprečjem zadnjih 5 let. Ekonomske razmere, ki tudi pri pridelavi krompirja med leti zelo nihajo, so bile v letu 2019 zelo ugodne. Povprečne odkupne cene krompirja so bile precej višje kot v letu prej. </w:t>
      </w:r>
    </w:p>
    <w:p w14:paraId="50485FCF" w14:textId="7E5A6F51" w:rsidR="0040635C" w:rsidRDefault="0040635C" w:rsidP="0040635C">
      <w:pPr>
        <w:keepNext/>
        <w:keepLines/>
        <w:spacing w:after="0" w:line="360" w:lineRule="auto"/>
      </w:pPr>
      <w:bookmarkStart w:id="245" w:name="_Toc55913806"/>
      <w:r>
        <w:lastRenderedPageBreak/>
        <w:t xml:space="preserve">Slika </w:t>
      </w:r>
      <w:r>
        <w:fldChar w:fldCharType="begin"/>
      </w:r>
      <w:r>
        <w:instrText xml:space="preserve"> SEQ Slika \* ARABIC </w:instrText>
      </w:r>
      <w:r>
        <w:fldChar w:fldCharType="separate"/>
      </w:r>
      <w:r>
        <w:t>57</w:t>
      </w:r>
      <w:r>
        <w:fldChar w:fldCharType="end"/>
      </w:r>
      <w:r>
        <w:t xml:space="preserve">: </w:t>
      </w:r>
      <w:r w:rsidRPr="0040635C">
        <w:t>Osnovni ekonomski kazalniki pri pridelavi krompirja (indeks; povprečje 2014–2018 = 100)</w:t>
      </w:r>
      <w:bookmarkEnd w:id="245"/>
    </w:p>
    <w:p w14:paraId="5D14BA4F" w14:textId="77777777" w:rsidR="0040635C" w:rsidRPr="00D628DB" w:rsidRDefault="0040635C" w:rsidP="0040635C">
      <w:pPr>
        <w:pStyle w:val="ZPslika"/>
        <w:spacing w:before="0" w:after="0" w:line="360" w:lineRule="auto"/>
        <w:rPr>
          <w:sz w:val="20"/>
          <w:szCs w:val="20"/>
        </w:rPr>
      </w:pPr>
      <w:r w:rsidRPr="00FF1FBF">
        <w:rPr>
          <w:sz w:val="20"/>
          <w:szCs w:val="20"/>
        </w:rPr>
        <w:drawing>
          <wp:inline distT="0" distB="0" distL="0" distR="0" wp14:anchorId="669D2695" wp14:editId="35DE0EB3">
            <wp:extent cx="5702300" cy="2191385"/>
            <wp:effectExtent l="0" t="0" r="0" b="0"/>
            <wp:docPr id="24169616" name="Slika 2416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02300" cy="2191385"/>
                    </a:xfrm>
                    <a:prstGeom prst="rect">
                      <a:avLst/>
                    </a:prstGeom>
                    <a:noFill/>
                    <a:ln>
                      <a:noFill/>
                    </a:ln>
                  </pic:spPr>
                </pic:pic>
              </a:graphicData>
            </a:graphic>
          </wp:inline>
        </w:drawing>
      </w:r>
    </w:p>
    <w:p w14:paraId="7F3C41C9" w14:textId="77777777" w:rsidR="0040635C" w:rsidRPr="005718B1" w:rsidRDefault="0040635C" w:rsidP="0040635C">
      <w:pPr>
        <w:spacing w:after="0" w:line="360" w:lineRule="auto"/>
        <w:rPr>
          <w:rFonts w:eastAsia="Times New Roman" w:cs="Arial"/>
          <w:sz w:val="16"/>
          <w:szCs w:val="16"/>
        </w:rPr>
      </w:pPr>
      <w:r w:rsidRPr="00FF4B40">
        <w:rPr>
          <w:rFonts w:eastAsia="Times New Roman" w:cs="Arial"/>
          <w:sz w:val="16"/>
          <w:szCs w:val="16"/>
        </w:rPr>
        <w:t>Vir:</w:t>
      </w:r>
      <w:r>
        <w:rPr>
          <w:rFonts w:eastAsia="Times New Roman" w:cs="Arial"/>
          <w:sz w:val="16"/>
          <w:szCs w:val="16"/>
        </w:rPr>
        <w:t xml:space="preserve"> Modelne kalkulacije KIS (ZP-2019)</w:t>
      </w:r>
    </w:p>
    <w:p w14:paraId="45B4BB19" w14:textId="77777777" w:rsidR="0040635C" w:rsidRPr="0040635C" w:rsidRDefault="0040635C" w:rsidP="0040635C">
      <w:pPr>
        <w:pStyle w:val="ZPtekst"/>
        <w:spacing w:before="200" w:after="200" w:line="360" w:lineRule="auto"/>
        <w:rPr>
          <w:szCs w:val="20"/>
        </w:rPr>
      </w:pPr>
      <w:r w:rsidRPr="0040635C">
        <w:rPr>
          <w:szCs w:val="20"/>
        </w:rPr>
        <w:t xml:space="preserve">Na podlagi modelnih izračunov ocenjujemo (stroški v času spravila ne vključujejo stroškov skladiščenja), da je bila pridelava poznega krompirja letine 2019 za približno 8 % dražja. </w:t>
      </w:r>
    </w:p>
    <w:p w14:paraId="417A8A52" w14:textId="77777777" w:rsidR="0040635C" w:rsidRPr="0040635C" w:rsidRDefault="0040635C" w:rsidP="0040635C">
      <w:pPr>
        <w:spacing w:before="200" w:line="360" w:lineRule="auto"/>
        <w:jc w:val="both"/>
        <w:rPr>
          <w:szCs w:val="20"/>
        </w:rPr>
      </w:pPr>
      <w:r w:rsidRPr="0040635C">
        <w:rPr>
          <w:szCs w:val="20"/>
        </w:rPr>
        <w:t xml:space="preserve">V programskem obdobju 2014–2020 lahko pridelovalci žita na podlagi dodeljenih plačilnih pravic iz sheme neposrednih plačil pridobijo osnovno plačilo in plačilo za zeleno komponento. Pridelovalci </w:t>
      </w:r>
      <w:proofErr w:type="spellStart"/>
      <w:r w:rsidRPr="0040635C">
        <w:rPr>
          <w:szCs w:val="20"/>
        </w:rPr>
        <w:t>strnega</w:t>
      </w:r>
      <w:proofErr w:type="spellEnd"/>
      <w:r w:rsidRPr="0040635C">
        <w:rPr>
          <w:szCs w:val="20"/>
        </w:rPr>
        <w:t xml:space="preserve"> žita lahko uveljavljajo tudi pravico do proizvodno vezanega plačila (PVP). Višina proizvodno vezane podpore za </w:t>
      </w:r>
      <w:proofErr w:type="spellStart"/>
      <w:r w:rsidRPr="0040635C">
        <w:rPr>
          <w:szCs w:val="20"/>
        </w:rPr>
        <w:t>strno</w:t>
      </w:r>
      <w:proofErr w:type="spellEnd"/>
      <w:r w:rsidRPr="0040635C">
        <w:rPr>
          <w:szCs w:val="20"/>
        </w:rPr>
        <w:t xml:space="preserve"> žito je v posameznem letu odvisna od števila upravičenih hektarjev in je izračunana kot količnik med letno ovojnico za proizvodno vezana plačila za </w:t>
      </w:r>
      <w:proofErr w:type="spellStart"/>
      <w:r w:rsidRPr="0040635C">
        <w:rPr>
          <w:szCs w:val="20"/>
        </w:rPr>
        <w:t>strno</w:t>
      </w:r>
      <w:proofErr w:type="spellEnd"/>
      <w:r w:rsidRPr="0040635C">
        <w:rPr>
          <w:szCs w:val="20"/>
        </w:rPr>
        <w:t xml:space="preserve"> žito in številom upravičenih hektarjev v posameznem letu. V letu 2015 je bilo vključenih 21.103 KMG na skupno 55.779 ha, v letu 2019 pa se je zmanjšalo na 18.975 KMG na skupno 55.684 ha. V letih 2015–2018 je bilo za to shemo namenjenih 5 % letne nacionalne ovojnice za neposredna plačila. Povprečno PVP se je v letu 2018 zmanjšalo za skoraj 4 %, na 121,6 EUR/ha. Pridelovalci so od leta 2006 upravičeni do regresiranja zavarovanja, ki je bilo leta 2018 40-odstotno (v letih 2015–2017: 20-odstotno) in uveljavljajo lahko tudi pravico do vračila dela trošarine za gorivo, porabljeno v kmetijstvu (70 %). </w:t>
      </w:r>
    </w:p>
    <w:p w14:paraId="15193645" w14:textId="77777777" w:rsidR="0040635C" w:rsidRPr="0040635C" w:rsidRDefault="0040635C" w:rsidP="0040635C">
      <w:pPr>
        <w:spacing w:before="200" w:line="360" w:lineRule="auto"/>
        <w:jc w:val="both"/>
        <w:rPr>
          <w:szCs w:val="20"/>
        </w:rPr>
      </w:pPr>
      <w:r w:rsidRPr="0040635C">
        <w:rPr>
          <w:szCs w:val="20"/>
        </w:rPr>
        <w:t>V programskem obdobju 2014–2020 lahko pridelovalci oljnic na podlagi plačilnih pravic iz sheme neposrednih plačil pridobijo osnovno plačilo in plačilo za zeleno komponento. Soja je bila glede na shemo neposrednih plačil uvrščena med beljakovinske rastline, ki so bile v letih 2015 in 2016 upravičene do proizvodno vezanega plačila, ki pa je bilo leta 2017 ukinjeno. Od leta 2006 so pridelovalci upravičeni tudi do regresiranja zavarovanja pridelka, to se je leta 2018 zvišalo z 20 % na 40 % zavarovalne premije, ob tem lahko uveljavljajo tudi pravico do vračila dela trošarine za gorivo, porabljeno v kmetijstvu (70 %).</w:t>
      </w:r>
    </w:p>
    <w:p w14:paraId="0343BDAD" w14:textId="77777777" w:rsidR="0040635C" w:rsidRPr="0040635C" w:rsidRDefault="0040635C" w:rsidP="0040635C">
      <w:pPr>
        <w:spacing w:before="200" w:line="360" w:lineRule="auto"/>
        <w:jc w:val="both"/>
        <w:rPr>
          <w:szCs w:val="20"/>
        </w:rPr>
      </w:pPr>
      <w:r w:rsidRPr="0040635C">
        <w:rPr>
          <w:szCs w:val="20"/>
        </w:rPr>
        <w:t xml:space="preserve">Trg krompirja v EU, razen pridelave krompirja za predelavo v škrob, ni enotno urejen s tržnim redom. V programskem obdobju 2014–2020 lahko od leta 2015 pridelovalci krompirja na podlagi na novo dodeljenih plačilnih pravic iz sheme neposrednih plačil pridobijo osnovno plačilo in plačilo za zeleno komponento. Od leta 2006 lahko pridelovalci zavarujejo svoje pridelke po regresirani stopnji, ki se je leta 2018 zvišala z 20 %, kot je bila v letih 2015–2017, na 40 %. Poleg tega imajo pridelovalci možnost </w:t>
      </w:r>
      <w:r w:rsidRPr="0040635C">
        <w:rPr>
          <w:szCs w:val="20"/>
        </w:rPr>
        <w:lastRenderedPageBreak/>
        <w:t>pridobiti povračilo dela plačane trošarine za gorivo, porabljeno v kmetijstvu, ki je od sredine leta 2009 70-odstotno (prej 50-odstotno).</w:t>
      </w:r>
    </w:p>
    <w:p w14:paraId="58D049B2" w14:textId="77777777" w:rsidR="0040635C" w:rsidRPr="0040635C" w:rsidRDefault="0040635C" w:rsidP="0040635C">
      <w:pPr>
        <w:spacing w:before="200" w:line="360" w:lineRule="auto"/>
        <w:jc w:val="both"/>
        <w:rPr>
          <w:szCs w:val="20"/>
        </w:rPr>
      </w:pPr>
      <w:r w:rsidRPr="0040635C">
        <w:rPr>
          <w:szCs w:val="20"/>
        </w:rPr>
        <w:t>V spremenjenih podnebnih razmerah so pridelovalci poljščin zelo odvisni od vremenskih razmer v rastni dobi</w:t>
      </w:r>
      <w:r w:rsidRPr="0040635C">
        <w:rPr>
          <w:rFonts w:eastAsia="SimSun" w:cs="Arial"/>
          <w:color w:val="000000"/>
          <w:szCs w:val="20"/>
          <w:lang w:eastAsia="zh-CN"/>
        </w:rPr>
        <w:t xml:space="preserve"> (suša, visoke temperature, toča, poplave, pozeba). V Sloveniji bi bilo potrebno povečati delež namakalnih sistemov, </w:t>
      </w:r>
      <w:r w:rsidRPr="0040635C">
        <w:rPr>
          <w:szCs w:val="20"/>
        </w:rPr>
        <w:t xml:space="preserve">spodbujati uporabo specialne mehanizacije, ki bi tudi bistveno prispeva k ohranjanju okolja (npr. manjša raba FFS). Pridelovalci bi bilo potrebno spodbujati da posegajo po sortah, ki so bolj prilagojene ekstremnim vremenskim vplivom. Povečati bi bilo potrebno ekološko pridelavo, ki prispeva v večji biotski raznovrstnosti podeželja. </w:t>
      </w:r>
    </w:p>
    <w:p w14:paraId="49A8262E" w14:textId="77777777" w:rsidR="0040635C" w:rsidRPr="0040635C" w:rsidRDefault="0040635C" w:rsidP="0040635C">
      <w:pPr>
        <w:spacing w:before="200" w:line="360" w:lineRule="auto"/>
        <w:jc w:val="both"/>
        <w:rPr>
          <w:rFonts w:eastAsia="Arial" w:cs="Arial"/>
        </w:rPr>
      </w:pPr>
      <w:r w:rsidRPr="0040635C">
        <w:rPr>
          <w:rFonts w:eastAsia="Arial" w:cs="Arial"/>
        </w:rPr>
        <w:t>V Sloveniji želimo povečati delež samooskrbe z žiti, krompirjem, stročnicam, kar bi vodilo tudi k spodbujanju zaposlovanja na podeželju, predvsem mladih kmetov ter posledično bi prispevali k ohranjanju kulturne krajine in biotske raznovrstnosti. Za ta namen, bi bilo potrebno vzpostaviti učinkovit sistem komasacij, olajšati dostop do primernih kmetijskih zemljišč za pridelavo poljščin ter prilagoditi pridelavo na območjih z varstvenimi režimi (NATURA, VVO, itd.)</w:t>
      </w:r>
    </w:p>
    <w:p w14:paraId="52CD8E7F" w14:textId="77777777" w:rsidR="0040635C" w:rsidRPr="0040635C" w:rsidRDefault="0040635C" w:rsidP="0040635C">
      <w:pPr>
        <w:spacing w:before="200" w:line="360" w:lineRule="auto"/>
        <w:jc w:val="both"/>
        <w:rPr>
          <w:szCs w:val="20"/>
        </w:rPr>
      </w:pPr>
      <w:r w:rsidRPr="0040635C">
        <w:rPr>
          <w:szCs w:val="20"/>
        </w:rPr>
        <w:t>V Sloveniji je na področju poljedelstva vzpostavljena Javna služba na področju poljedelstva, v okviru katere se izvajajo naloge: žlahtnjenje poljščin, introdukcija poljščin in  ugotavljanje njihove vrednosti za predelavo, tehnologije pridelave poljščin in strokovno-tehnična koordinacija v poljedelstvu. Slednja je zelo pomembna za prenos znanja in rezultatov nalog javne službe, ki potekajo v sodelovanju z javno službo kmetijskega svetovanja. Ohranjanje rastlinskih genskih virov poljščin  poteka v okviru javne službe nalog rastlinske genske banke.</w:t>
      </w:r>
    </w:p>
    <w:p w14:paraId="32E08B88" w14:textId="77777777" w:rsidR="0040635C" w:rsidRPr="0040635C" w:rsidRDefault="0040635C" w:rsidP="0040635C">
      <w:pPr>
        <w:spacing w:before="200" w:line="360" w:lineRule="auto"/>
        <w:jc w:val="both"/>
        <w:rPr>
          <w:szCs w:val="20"/>
        </w:rPr>
      </w:pPr>
      <w:r w:rsidRPr="0040635C">
        <w:rPr>
          <w:szCs w:val="20"/>
        </w:rPr>
        <w:t xml:space="preserve">Nadaljnje raziskave bodo usmerjene v izboljšanje tehnologij pridelave poljščin z manjšo uporabo FFS ter povečati bi bilo potrebno delež ekološke pridelave poljščin. </w:t>
      </w:r>
    </w:p>
    <w:p w14:paraId="6A7A4736" w14:textId="14D1E598" w:rsidR="0040635C" w:rsidRDefault="0040635C" w:rsidP="0040635C">
      <w:pPr>
        <w:pStyle w:val="Naslov3"/>
        <w:keepNext w:val="0"/>
        <w:keepLines w:val="0"/>
      </w:pPr>
      <w:bookmarkStart w:id="246" w:name="_Toc55912238"/>
      <w:r w:rsidRPr="00B00FAD">
        <w:t>Ključne ugotovitve</w:t>
      </w:r>
      <w:bookmarkEnd w:id="246"/>
    </w:p>
    <w:p w14:paraId="68C4B224" w14:textId="77777777" w:rsidR="0040635C" w:rsidRPr="00770724" w:rsidRDefault="0040635C" w:rsidP="000A650F">
      <w:pPr>
        <w:numPr>
          <w:ilvl w:val="0"/>
          <w:numId w:val="47"/>
        </w:numPr>
        <w:spacing w:before="120" w:after="120" w:line="360" w:lineRule="auto"/>
        <w:ind w:left="357" w:hanging="357"/>
        <w:jc w:val="both"/>
        <w:rPr>
          <w:rFonts w:eastAsia="Times New Roman" w:cs="Arial"/>
          <w:szCs w:val="20"/>
          <w:lang w:eastAsia="en-GB"/>
        </w:rPr>
      </w:pPr>
      <w:r w:rsidRPr="00770724">
        <w:rPr>
          <w:rFonts w:eastAsia="Times New Roman" w:cs="Arial"/>
          <w:szCs w:val="20"/>
          <w:lang w:eastAsia="en-GB"/>
        </w:rPr>
        <w:t>Slovenija ima ugodne naravne danosti za pridelavo poljščin, vendar kljub temu ne dosega pridelovalnega in tržnega potenciala. Pridelovalci na trgu niso konkurenčni tako zaradi zastarelih tehnologij pridelave, razdrobljene strukture pridelave in tudi zaradi nepovezanosti pridelovalcev.</w:t>
      </w:r>
    </w:p>
    <w:p w14:paraId="5CF2ED1D" w14:textId="77777777" w:rsidR="0040635C" w:rsidRPr="00770724" w:rsidRDefault="0040635C" w:rsidP="000A650F">
      <w:pPr>
        <w:numPr>
          <w:ilvl w:val="0"/>
          <w:numId w:val="47"/>
        </w:numPr>
        <w:spacing w:before="120" w:after="120" w:line="360" w:lineRule="auto"/>
        <w:ind w:left="357" w:hanging="357"/>
        <w:jc w:val="both"/>
        <w:rPr>
          <w:rFonts w:eastAsia="Times New Roman" w:cs="Arial"/>
          <w:szCs w:val="20"/>
          <w:lang w:eastAsia="en-GB"/>
        </w:rPr>
      </w:pPr>
      <w:r w:rsidRPr="00770724">
        <w:rPr>
          <w:rFonts w:eastAsia="Times New Roman" w:cs="Arial"/>
          <w:szCs w:val="20"/>
          <w:lang w:eastAsia="en-GB"/>
        </w:rPr>
        <w:t xml:space="preserve">Vzporedno z razvojem pridelave je potrebno vzpostaviti tudi distribucijske centre (hladilne/skladiščne kapacitete, </w:t>
      </w:r>
      <w:proofErr w:type="spellStart"/>
      <w:r w:rsidRPr="00770724">
        <w:rPr>
          <w:rFonts w:eastAsia="Times New Roman" w:cs="Arial"/>
          <w:szCs w:val="20"/>
          <w:lang w:eastAsia="en-GB"/>
        </w:rPr>
        <w:t>sortirne</w:t>
      </w:r>
      <w:proofErr w:type="spellEnd"/>
      <w:r w:rsidRPr="00770724">
        <w:rPr>
          <w:rFonts w:eastAsia="Times New Roman" w:cs="Arial"/>
          <w:szCs w:val="20"/>
          <w:lang w:eastAsia="en-GB"/>
        </w:rPr>
        <w:t xml:space="preserve"> linije, pakirne linije) z ustrezno infrastrukturo, ki bodo omogočili večjo dodano vrednost pridelavi poljščin.</w:t>
      </w:r>
    </w:p>
    <w:p w14:paraId="6E7F49CC" w14:textId="77777777" w:rsidR="0040635C" w:rsidRPr="00770724" w:rsidRDefault="0040635C" w:rsidP="000A650F">
      <w:pPr>
        <w:numPr>
          <w:ilvl w:val="0"/>
          <w:numId w:val="47"/>
        </w:numPr>
        <w:spacing w:before="120" w:after="120" w:line="360" w:lineRule="auto"/>
        <w:ind w:left="357" w:hanging="357"/>
        <w:jc w:val="both"/>
        <w:rPr>
          <w:rFonts w:eastAsia="Times New Roman" w:cs="Arial"/>
          <w:szCs w:val="20"/>
          <w:lang w:eastAsia="en-GB"/>
        </w:rPr>
      </w:pPr>
      <w:r w:rsidRPr="00770724">
        <w:rPr>
          <w:rFonts w:eastAsia="Times New Roman" w:cs="Arial"/>
          <w:szCs w:val="20"/>
          <w:lang w:eastAsia="en-GB"/>
        </w:rPr>
        <w:t>Spremenjene podnebne spremembe imajo na poljedelstvo v zadnji desetih letih izjemen vpliv, zato bo potrebna še boljša prilagoditev panoge s sodobnejšimi tehnologijami in dodatnimi naložbami, sofinanciranjem zavarovalnih premij</w:t>
      </w:r>
      <w:r>
        <w:rPr>
          <w:rFonts w:eastAsia="Times New Roman" w:cs="Arial"/>
          <w:szCs w:val="20"/>
          <w:lang w:eastAsia="en-GB"/>
        </w:rPr>
        <w:t xml:space="preserve">, povečanju organskih snovi v </w:t>
      </w:r>
      <w:proofErr w:type="spellStart"/>
      <w:r>
        <w:rPr>
          <w:rFonts w:eastAsia="Times New Roman" w:cs="Arial"/>
          <w:szCs w:val="20"/>
          <w:lang w:eastAsia="en-GB"/>
        </w:rPr>
        <w:t>tkeh</w:t>
      </w:r>
      <w:proofErr w:type="spellEnd"/>
      <w:r>
        <w:rPr>
          <w:rFonts w:eastAsia="Times New Roman" w:cs="Arial"/>
          <w:szCs w:val="20"/>
          <w:lang w:eastAsia="en-GB"/>
        </w:rPr>
        <w:t>, izbiri kolobarja, uvajanje uporabe mešanih posevkov.</w:t>
      </w:r>
    </w:p>
    <w:p w14:paraId="5361C4B8" w14:textId="249E471F" w:rsidR="0040635C" w:rsidRPr="0040635C" w:rsidRDefault="0040635C" w:rsidP="000A650F">
      <w:pPr>
        <w:numPr>
          <w:ilvl w:val="0"/>
          <w:numId w:val="47"/>
        </w:numPr>
        <w:spacing w:before="120" w:after="120" w:line="360" w:lineRule="auto"/>
        <w:ind w:left="357" w:hanging="357"/>
        <w:jc w:val="both"/>
      </w:pPr>
      <w:r w:rsidRPr="0040635C">
        <w:rPr>
          <w:rFonts w:eastAsia="Times New Roman" w:cs="Arial"/>
          <w:szCs w:val="20"/>
          <w:lang w:eastAsia="en-GB"/>
        </w:rPr>
        <w:t>Vzpostaviti  je potrebno poštene odnose med deležniki v verigi od pridelovalca do prodajalca.</w:t>
      </w:r>
    </w:p>
    <w:p w14:paraId="0D95602C" w14:textId="680B5C72" w:rsidR="00C64F33" w:rsidRPr="00DE12FE" w:rsidRDefault="003C7942" w:rsidP="00DE12FE">
      <w:pPr>
        <w:rPr>
          <w:rFonts w:eastAsia="Calibri" w:cs="Arial"/>
          <w:b/>
          <w:szCs w:val="20"/>
        </w:rPr>
      </w:pPr>
      <w:r>
        <w:rPr>
          <w:rFonts w:eastAsia="Calibri" w:cs="Arial"/>
          <w:b/>
          <w:szCs w:val="20"/>
        </w:rPr>
        <w:br w:type="page"/>
      </w:r>
    </w:p>
    <w:p w14:paraId="0088A2AF" w14:textId="77777777" w:rsidR="00DE2E2A" w:rsidRDefault="00DE2E2A" w:rsidP="00DE2E2A"/>
    <w:p w14:paraId="14D5B811" w14:textId="77777777" w:rsidR="00DE2E2A" w:rsidRDefault="00BB1BE9" w:rsidP="00DE2E2A">
      <w:pPr>
        <w:pStyle w:val="Naslov1"/>
        <w:ind w:left="431" w:hanging="431"/>
      </w:pPr>
      <w:bookmarkStart w:id="247" w:name="_Toc55912239"/>
      <w:r>
        <w:t>VIRI IN LITERATURA</w:t>
      </w:r>
      <w:bookmarkEnd w:id="247"/>
    </w:p>
    <w:p w14:paraId="66032942" w14:textId="77777777" w:rsidR="00005858" w:rsidRPr="0048666D" w:rsidRDefault="00005858" w:rsidP="000A650F">
      <w:pPr>
        <w:numPr>
          <w:ilvl w:val="0"/>
          <w:numId w:val="48"/>
        </w:numPr>
        <w:tabs>
          <w:tab w:val="left" w:pos="283"/>
        </w:tabs>
        <w:spacing w:after="0" w:line="240" w:lineRule="auto"/>
        <w:ind w:left="0"/>
        <w:jc w:val="both"/>
        <w:rPr>
          <w:rFonts w:cs="Arial"/>
          <w:szCs w:val="20"/>
        </w:rPr>
      </w:pPr>
      <w:r w:rsidRPr="0048666D">
        <w:rPr>
          <w:rFonts w:cs="Arial"/>
          <w:szCs w:val="20"/>
        </w:rPr>
        <w:t xml:space="preserve">Agencija Republike Slovenije za javnopravne evidence in storitve: </w:t>
      </w:r>
      <w:hyperlink r:id="rId75" w:history="1">
        <w:r w:rsidRPr="0048666D">
          <w:rPr>
            <w:rFonts w:cs="Arial"/>
            <w:color w:val="0000FF"/>
            <w:szCs w:val="20"/>
            <w:u w:val="single"/>
          </w:rPr>
          <w:t>https://www.ajpes.si/</w:t>
        </w:r>
      </w:hyperlink>
    </w:p>
    <w:p w14:paraId="2252C074" w14:textId="77777777" w:rsidR="00005858" w:rsidRPr="0048666D" w:rsidRDefault="00005858" w:rsidP="000A650F">
      <w:pPr>
        <w:numPr>
          <w:ilvl w:val="0"/>
          <w:numId w:val="48"/>
        </w:numPr>
        <w:spacing w:after="0" w:line="240" w:lineRule="auto"/>
        <w:ind w:left="0"/>
        <w:jc w:val="both"/>
        <w:rPr>
          <w:rFonts w:cs="Arial"/>
          <w:szCs w:val="20"/>
        </w:rPr>
      </w:pPr>
      <w:proofErr w:type="spellStart"/>
      <w:r w:rsidRPr="0048666D">
        <w:rPr>
          <w:rFonts w:cs="Arial"/>
          <w:szCs w:val="20"/>
        </w:rPr>
        <w:t>Analytical</w:t>
      </w:r>
      <w:proofErr w:type="spellEnd"/>
      <w:r w:rsidRPr="0048666D">
        <w:rPr>
          <w:rFonts w:cs="Arial"/>
          <w:szCs w:val="20"/>
        </w:rPr>
        <w:t xml:space="preserve"> </w:t>
      </w:r>
      <w:proofErr w:type="spellStart"/>
      <w:r w:rsidRPr="0048666D">
        <w:rPr>
          <w:rFonts w:cs="Arial"/>
          <w:szCs w:val="20"/>
        </w:rPr>
        <w:t>factsheet</w:t>
      </w:r>
      <w:proofErr w:type="spellEnd"/>
      <w:r w:rsidRPr="0048666D">
        <w:rPr>
          <w:rFonts w:cs="Arial"/>
          <w:szCs w:val="20"/>
        </w:rPr>
        <w:t xml:space="preserve"> </w:t>
      </w:r>
      <w:proofErr w:type="spellStart"/>
      <w:r w:rsidRPr="0048666D">
        <w:rPr>
          <w:rFonts w:cs="Arial"/>
          <w:szCs w:val="20"/>
        </w:rPr>
        <w:t>for</w:t>
      </w:r>
      <w:proofErr w:type="spellEnd"/>
      <w:r w:rsidRPr="0048666D">
        <w:rPr>
          <w:rFonts w:cs="Arial"/>
          <w:szCs w:val="20"/>
        </w:rPr>
        <w:t xml:space="preserve"> </w:t>
      </w:r>
      <w:proofErr w:type="spellStart"/>
      <w:r w:rsidRPr="0048666D">
        <w:rPr>
          <w:rFonts w:cs="Arial"/>
          <w:szCs w:val="20"/>
        </w:rPr>
        <w:t>Slovenia</w:t>
      </w:r>
      <w:proofErr w:type="spellEnd"/>
      <w:r w:rsidRPr="0048666D">
        <w:rPr>
          <w:rFonts w:cs="Arial"/>
          <w:szCs w:val="20"/>
        </w:rPr>
        <w:t xml:space="preserve">: Nine </w:t>
      </w:r>
      <w:proofErr w:type="spellStart"/>
      <w:r w:rsidRPr="0048666D">
        <w:rPr>
          <w:rFonts w:cs="Arial"/>
          <w:szCs w:val="20"/>
        </w:rPr>
        <w:t>objectives</w:t>
      </w:r>
      <w:proofErr w:type="spellEnd"/>
      <w:r w:rsidRPr="0048666D">
        <w:rPr>
          <w:rFonts w:cs="Arial"/>
          <w:szCs w:val="20"/>
        </w:rPr>
        <w:t xml:space="preserve"> </w:t>
      </w:r>
      <w:proofErr w:type="spellStart"/>
      <w:r w:rsidRPr="0048666D">
        <w:rPr>
          <w:rFonts w:cs="Arial"/>
          <w:szCs w:val="20"/>
        </w:rPr>
        <w:t>for</w:t>
      </w:r>
      <w:proofErr w:type="spellEnd"/>
      <w:r w:rsidRPr="0048666D">
        <w:rPr>
          <w:rFonts w:cs="Arial"/>
          <w:szCs w:val="20"/>
        </w:rPr>
        <w:t xml:space="preserve"> a future </w:t>
      </w:r>
      <w:proofErr w:type="spellStart"/>
      <w:r w:rsidRPr="0048666D">
        <w:rPr>
          <w:rFonts w:cs="Arial"/>
          <w:szCs w:val="20"/>
        </w:rPr>
        <w:t>Common</w:t>
      </w:r>
      <w:proofErr w:type="spellEnd"/>
      <w:r w:rsidRPr="0048666D">
        <w:rPr>
          <w:rFonts w:cs="Arial"/>
          <w:szCs w:val="20"/>
        </w:rPr>
        <w:t xml:space="preserve"> </w:t>
      </w:r>
      <w:proofErr w:type="spellStart"/>
      <w:r w:rsidRPr="0048666D">
        <w:rPr>
          <w:rFonts w:cs="Arial"/>
          <w:szCs w:val="20"/>
        </w:rPr>
        <w:t>Agricultural</w:t>
      </w:r>
      <w:proofErr w:type="spellEnd"/>
      <w:r w:rsidRPr="0048666D">
        <w:rPr>
          <w:rFonts w:cs="Arial"/>
          <w:szCs w:val="20"/>
        </w:rPr>
        <w:t xml:space="preserve"> </w:t>
      </w:r>
      <w:proofErr w:type="spellStart"/>
      <w:r w:rsidRPr="0048666D">
        <w:rPr>
          <w:rFonts w:cs="Arial"/>
          <w:szCs w:val="20"/>
        </w:rPr>
        <w:t>Policy</w:t>
      </w:r>
      <w:proofErr w:type="spellEnd"/>
      <w:r w:rsidRPr="0048666D">
        <w:rPr>
          <w:rFonts w:cs="Arial"/>
          <w:szCs w:val="20"/>
        </w:rPr>
        <w:t xml:space="preserve">: </w:t>
      </w:r>
      <w:hyperlink r:id="rId76" w:history="1">
        <w:r w:rsidRPr="0048666D">
          <w:rPr>
            <w:rFonts w:cs="Arial"/>
            <w:color w:val="0000FF"/>
            <w:szCs w:val="20"/>
            <w:u w:val="single"/>
          </w:rPr>
          <w:t>https://ec.europa.eu/info/sites/info/files/food-farming-fisheries/by_country/documents/analytical_factsheet_sl.pdf</w:t>
        </w:r>
      </w:hyperlink>
    </w:p>
    <w:p w14:paraId="5BADDA7C" w14:textId="77777777" w:rsidR="00005858" w:rsidRPr="0048666D" w:rsidRDefault="00005858" w:rsidP="000A650F">
      <w:pPr>
        <w:numPr>
          <w:ilvl w:val="0"/>
          <w:numId w:val="48"/>
        </w:numPr>
        <w:spacing w:after="0" w:line="240" w:lineRule="auto"/>
        <w:ind w:left="0"/>
        <w:jc w:val="both"/>
        <w:rPr>
          <w:rFonts w:eastAsia="Times New Roman" w:cs="Arial"/>
          <w:szCs w:val="20"/>
          <w:lang w:eastAsia="en-GB"/>
        </w:rPr>
      </w:pPr>
      <w:r w:rsidRPr="0048666D">
        <w:rPr>
          <w:rFonts w:eastAsia="Times New Roman" w:cs="Arial"/>
          <w:i/>
          <w:szCs w:val="20"/>
          <w:lang w:eastAsia="en-GB"/>
        </w:rPr>
        <w:t>Anketa o konceptu pametnih vasi</w:t>
      </w:r>
      <w:r w:rsidRPr="0048666D">
        <w:rPr>
          <w:rFonts w:eastAsia="Times New Roman" w:cs="Arial"/>
          <w:szCs w:val="20"/>
          <w:lang w:eastAsia="en-GB"/>
        </w:rPr>
        <w:t>. (2020). Pridobljeno s https://www.program-podezelja.si/sl/podezelje-prihodnosti-pametne-vasi/252-pametne-vasi-novice/1171-anketa-o-konceptu-pametnih-vasi</w:t>
      </w:r>
      <w:r w:rsidRPr="0048666D" w:rsidDel="004B0DB6">
        <w:rPr>
          <w:rFonts w:eastAsia="Times New Roman" w:cs="Arial"/>
          <w:szCs w:val="20"/>
          <w:lang w:eastAsia="en-GB"/>
        </w:rPr>
        <w:t xml:space="preserve"> </w:t>
      </w:r>
    </w:p>
    <w:p w14:paraId="37A3B7AA" w14:textId="77777777" w:rsidR="00005858" w:rsidRPr="0048666D" w:rsidRDefault="00005858" w:rsidP="000A650F">
      <w:pPr>
        <w:numPr>
          <w:ilvl w:val="0"/>
          <w:numId w:val="48"/>
        </w:numPr>
        <w:spacing w:after="0" w:line="240" w:lineRule="auto"/>
        <w:ind w:left="0"/>
        <w:jc w:val="both"/>
        <w:rPr>
          <w:rFonts w:eastAsia="Times New Roman" w:cs="Arial"/>
          <w:szCs w:val="20"/>
          <w:lang w:eastAsia="en-GB"/>
        </w:rPr>
      </w:pPr>
      <w:r w:rsidRPr="0048666D">
        <w:rPr>
          <w:rFonts w:eastAsia="Times New Roman" w:cs="Arial"/>
          <w:i/>
          <w:szCs w:val="20"/>
          <w:lang w:eastAsia="en-GB"/>
        </w:rPr>
        <w:t>Blejska deklaracija</w:t>
      </w:r>
      <w:r w:rsidRPr="0048666D">
        <w:rPr>
          <w:rFonts w:eastAsia="Times New Roman" w:cs="Arial"/>
          <w:szCs w:val="20"/>
          <w:lang w:eastAsia="en-GB"/>
        </w:rPr>
        <w:t xml:space="preserve">. (2018). Pridobljeno s </w:t>
      </w:r>
      <w:hyperlink r:id="rId77" w:history="1">
        <w:r w:rsidRPr="0048666D">
          <w:rPr>
            <w:rFonts w:eastAsia="Times New Roman" w:cs="Arial"/>
            <w:color w:val="0000FF"/>
            <w:szCs w:val="20"/>
            <w:u w:val="single"/>
            <w:lang w:eastAsia="en-GB"/>
          </w:rPr>
          <w:t>http://pametne-vasi.info/wp-content/uploads/2018/04/Blejska-Deklaracije-Za-za-pametnej%C5%A1o-prihodnost-pode%C5%BEelskih-obmocij-v-EU.pdf</w:t>
        </w:r>
      </w:hyperlink>
    </w:p>
    <w:p w14:paraId="1EC9CED3" w14:textId="77777777" w:rsidR="00005858" w:rsidRPr="0048666D" w:rsidRDefault="00005858" w:rsidP="000A650F">
      <w:pPr>
        <w:numPr>
          <w:ilvl w:val="0"/>
          <w:numId w:val="48"/>
        </w:numPr>
        <w:spacing w:after="0" w:line="240" w:lineRule="auto"/>
        <w:ind w:left="0"/>
        <w:jc w:val="both"/>
        <w:rPr>
          <w:rFonts w:cs="Arial"/>
          <w:szCs w:val="20"/>
        </w:rPr>
      </w:pPr>
      <w:r w:rsidRPr="0048666D">
        <w:rPr>
          <w:rFonts w:cs="Arial"/>
          <w:szCs w:val="20"/>
        </w:rPr>
        <w:t xml:space="preserve">CAP </w:t>
      </w:r>
      <w:proofErr w:type="spellStart"/>
      <w:r w:rsidRPr="0048666D">
        <w:rPr>
          <w:rFonts w:cs="Arial"/>
          <w:szCs w:val="20"/>
        </w:rPr>
        <w:t>Indicators</w:t>
      </w:r>
      <w:proofErr w:type="spellEnd"/>
      <w:r w:rsidRPr="0048666D">
        <w:rPr>
          <w:rFonts w:cs="Arial"/>
          <w:szCs w:val="20"/>
        </w:rPr>
        <w:t xml:space="preserve">: </w:t>
      </w:r>
      <w:hyperlink r:id="rId78" w:history="1">
        <w:r w:rsidRPr="0048666D">
          <w:rPr>
            <w:rFonts w:cs="Arial"/>
            <w:color w:val="0000FF"/>
            <w:szCs w:val="20"/>
            <w:u w:val="single"/>
          </w:rPr>
          <w:t>https://agridata.ec.europa.eu/extensions/DataPortal/cmef_indicators.html</w:t>
        </w:r>
      </w:hyperlink>
    </w:p>
    <w:p w14:paraId="3F1034DE" w14:textId="77777777" w:rsidR="00005858" w:rsidRPr="0048666D" w:rsidRDefault="00005858" w:rsidP="000A650F">
      <w:pPr>
        <w:numPr>
          <w:ilvl w:val="0"/>
          <w:numId w:val="48"/>
        </w:numPr>
        <w:tabs>
          <w:tab w:val="left" w:pos="283"/>
        </w:tabs>
        <w:spacing w:after="0" w:line="240" w:lineRule="auto"/>
        <w:ind w:left="0"/>
        <w:jc w:val="both"/>
        <w:rPr>
          <w:rFonts w:eastAsia="Times New Roman" w:cs="Arial"/>
          <w:szCs w:val="20"/>
          <w:lang w:eastAsia="en-GB"/>
        </w:rPr>
      </w:pPr>
      <w:r w:rsidRPr="0048666D">
        <w:rPr>
          <w:rFonts w:eastAsia="Times New Roman" w:cs="Arial"/>
          <w:szCs w:val="20"/>
          <w:lang w:eastAsia="en-GB"/>
        </w:rPr>
        <w:t xml:space="preserve">Čelik T., 2015. Ljudje za Barje – ohranjanje biotske pestrosti na Ljubljanskem barju. Monitoring tarčnih vrst (DEJ 4.1): Barjanski </w:t>
      </w:r>
      <w:proofErr w:type="spellStart"/>
      <w:r w:rsidRPr="0048666D">
        <w:rPr>
          <w:rFonts w:eastAsia="Times New Roman" w:cs="Arial"/>
          <w:szCs w:val="20"/>
          <w:lang w:eastAsia="en-GB"/>
        </w:rPr>
        <w:t>okarček</w:t>
      </w:r>
      <w:proofErr w:type="spellEnd"/>
      <w:r w:rsidRPr="0048666D">
        <w:rPr>
          <w:rFonts w:eastAsia="Times New Roman" w:cs="Arial"/>
          <w:szCs w:val="20"/>
          <w:lang w:eastAsia="en-GB"/>
        </w:rPr>
        <w:t xml:space="preserve"> (</w:t>
      </w:r>
      <w:proofErr w:type="spellStart"/>
      <w:r w:rsidRPr="0048666D">
        <w:rPr>
          <w:rFonts w:eastAsia="Times New Roman" w:cs="Arial"/>
          <w:szCs w:val="20"/>
          <w:lang w:eastAsia="en-GB"/>
        </w:rPr>
        <w:t>Coenonympha</w:t>
      </w:r>
      <w:proofErr w:type="spellEnd"/>
      <w:r w:rsidRPr="0048666D">
        <w:rPr>
          <w:rFonts w:eastAsia="Times New Roman" w:cs="Arial"/>
          <w:szCs w:val="20"/>
          <w:lang w:eastAsia="en-GB"/>
        </w:rPr>
        <w:t xml:space="preserve"> </w:t>
      </w:r>
      <w:proofErr w:type="spellStart"/>
      <w:r w:rsidRPr="0048666D">
        <w:rPr>
          <w:rFonts w:eastAsia="Times New Roman" w:cs="Arial"/>
          <w:szCs w:val="20"/>
          <w:lang w:eastAsia="en-GB"/>
        </w:rPr>
        <w:t>oedippus</w:t>
      </w:r>
      <w:proofErr w:type="spellEnd"/>
      <w:r w:rsidRPr="0048666D">
        <w:rPr>
          <w:rFonts w:eastAsia="Times New Roman" w:cs="Arial"/>
          <w:szCs w:val="20"/>
          <w:lang w:eastAsia="en-GB"/>
        </w:rPr>
        <w:t xml:space="preserve">). Končno poročilo: </w:t>
      </w:r>
      <w:hyperlink r:id="rId79" w:history="1">
        <w:r w:rsidRPr="0048666D">
          <w:rPr>
            <w:rFonts w:eastAsia="Times New Roman" w:cs="Arial"/>
            <w:color w:val="0000FF"/>
            <w:szCs w:val="20"/>
            <w:u w:val="single"/>
            <w:lang w:eastAsia="en-GB"/>
          </w:rPr>
          <w:t>http://www.ljuba.si/wp-content/uploads/2015/04/20151201_Coedippus_Koncno-porocilo-2015_ZA-JAVNOST.pdf</w:t>
        </w:r>
      </w:hyperlink>
    </w:p>
    <w:p w14:paraId="6BC8F5AC" w14:textId="77777777" w:rsidR="00005858" w:rsidRPr="0048666D" w:rsidRDefault="00005858" w:rsidP="000A650F">
      <w:pPr>
        <w:numPr>
          <w:ilvl w:val="0"/>
          <w:numId w:val="48"/>
        </w:numPr>
        <w:tabs>
          <w:tab w:val="left" w:pos="283"/>
        </w:tabs>
        <w:spacing w:after="0" w:line="240" w:lineRule="auto"/>
        <w:ind w:left="0"/>
        <w:jc w:val="both"/>
        <w:rPr>
          <w:rFonts w:eastAsia="Times New Roman" w:cs="Arial"/>
          <w:color w:val="0000FF"/>
          <w:szCs w:val="20"/>
          <w:u w:val="single"/>
          <w:lang w:eastAsia="en-GB"/>
        </w:rPr>
      </w:pPr>
      <w:r w:rsidRPr="0048666D">
        <w:rPr>
          <w:rFonts w:eastAsia="Times New Roman" w:cs="Arial"/>
          <w:szCs w:val="20"/>
          <w:lang w:eastAsia="en-GB"/>
        </w:rPr>
        <w:t xml:space="preserve">Čelik, T., Šilc, U. in Vreš, B., 2018. </w:t>
      </w:r>
      <w:proofErr w:type="spellStart"/>
      <w:r w:rsidRPr="0048666D">
        <w:rPr>
          <w:rFonts w:eastAsia="Times New Roman" w:cs="Arial"/>
          <w:szCs w:val="20"/>
          <w:lang w:eastAsia="en-GB"/>
        </w:rPr>
        <w:t>PoLJUBA</w:t>
      </w:r>
      <w:proofErr w:type="spellEnd"/>
      <w:r w:rsidRPr="0048666D">
        <w:rPr>
          <w:rFonts w:eastAsia="Times New Roman" w:cs="Arial"/>
          <w:szCs w:val="20"/>
          <w:lang w:eastAsia="en-GB"/>
        </w:rPr>
        <w:t xml:space="preserve"> – Raziskava stanja potencialnih izvornih populacij vrste barjanski </w:t>
      </w:r>
      <w:proofErr w:type="spellStart"/>
      <w:r w:rsidRPr="0048666D">
        <w:rPr>
          <w:rFonts w:eastAsia="Times New Roman" w:cs="Arial"/>
          <w:szCs w:val="20"/>
          <w:lang w:eastAsia="en-GB"/>
        </w:rPr>
        <w:t>okarček</w:t>
      </w:r>
      <w:proofErr w:type="spellEnd"/>
      <w:r w:rsidRPr="0048666D">
        <w:rPr>
          <w:rFonts w:eastAsia="Times New Roman" w:cs="Arial"/>
          <w:szCs w:val="20"/>
          <w:lang w:eastAsia="en-GB"/>
        </w:rPr>
        <w:t xml:space="preserve"> (</w:t>
      </w:r>
      <w:proofErr w:type="spellStart"/>
      <w:r w:rsidRPr="0048666D">
        <w:rPr>
          <w:rFonts w:eastAsia="Times New Roman" w:cs="Arial"/>
          <w:i/>
          <w:szCs w:val="20"/>
          <w:lang w:eastAsia="en-GB"/>
        </w:rPr>
        <w:t>Coenonympha</w:t>
      </w:r>
      <w:proofErr w:type="spellEnd"/>
      <w:r w:rsidRPr="0048666D">
        <w:rPr>
          <w:rFonts w:eastAsia="Times New Roman" w:cs="Arial"/>
          <w:i/>
          <w:szCs w:val="20"/>
          <w:lang w:eastAsia="en-GB"/>
        </w:rPr>
        <w:t xml:space="preserve"> </w:t>
      </w:r>
      <w:proofErr w:type="spellStart"/>
      <w:r w:rsidRPr="0048666D">
        <w:rPr>
          <w:rFonts w:eastAsia="Times New Roman" w:cs="Arial"/>
          <w:i/>
          <w:szCs w:val="20"/>
          <w:lang w:eastAsia="en-GB"/>
        </w:rPr>
        <w:t>oedippus</w:t>
      </w:r>
      <w:proofErr w:type="spellEnd"/>
      <w:r w:rsidRPr="0048666D">
        <w:rPr>
          <w:rFonts w:eastAsia="Times New Roman" w:cs="Arial"/>
          <w:szCs w:val="20"/>
          <w:lang w:eastAsia="en-GB"/>
        </w:rPr>
        <w:t xml:space="preserve">) in stanja njihovega habitata s smernicami za ustrezno upravljanje. Prvo poročilo. ZRC SAZU: </w:t>
      </w:r>
      <w:hyperlink r:id="rId80" w:history="1">
        <w:r w:rsidRPr="0048666D">
          <w:rPr>
            <w:rFonts w:eastAsia="Times New Roman" w:cs="Arial"/>
            <w:color w:val="0000FF"/>
            <w:szCs w:val="20"/>
            <w:u w:val="single"/>
            <w:lang w:eastAsia="en-GB"/>
          </w:rPr>
          <w:t>https://www.poljuba.si/wp-content/uploads/2018/12/raziskava-stanja-potencialnih-izvornih-populacij-barjanskega-okarcka-na-ljubljanskem-barju-in-stanja-njihovega-habitata-s-smernicami.pdf</w:t>
        </w:r>
      </w:hyperlink>
    </w:p>
    <w:p w14:paraId="1785BD33" w14:textId="77777777" w:rsidR="00005858" w:rsidRPr="0048666D" w:rsidRDefault="00005858" w:rsidP="000A650F">
      <w:pPr>
        <w:numPr>
          <w:ilvl w:val="0"/>
          <w:numId w:val="48"/>
        </w:numPr>
        <w:tabs>
          <w:tab w:val="left" w:pos="283"/>
        </w:tabs>
        <w:spacing w:after="0" w:line="240" w:lineRule="auto"/>
        <w:ind w:left="0"/>
        <w:jc w:val="both"/>
        <w:rPr>
          <w:rFonts w:eastAsia="Arial" w:cs="Arial"/>
          <w:color w:val="0000FF"/>
          <w:szCs w:val="20"/>
          <w:u w:val="single"/>
        </w:rPr>
      </w:pPr>
      <w:r w:rsidRPr="0048666D">
        <w:rPr>
          <w:rFonts w:cs="Arial"/>
          <w:szCs w:val="20"/>
        </w:rPr>
        <w:t xml:space="preserve">Čelik, T., Vreš, B. in Seliškar, A. 2009. </w:t>
      </w:r>
      <w:proofErr w:type="spellStart"/>
      <w:r w:rsidRPr="0048666D">
        <w:rPr>
          <w:rFonts w:cs="Arial"/>
          <w:szCs w:val="20"/>
        </w:rPr>
        <w:t>Determinants</w:t>
      </w:r>
      <w:proofErr w:type="spellEnd"/>
      <w:r w:rsidRPr="0048666D">
        <w:rPr>
          <w:rFonts w:cs="Arial"/>
          <w:szCs w:val="20"/>
        </w:rPr>
        <w:t xml:space="preserve"> </w:t>
      </w:r>
      <w:proofErr w:type="spellStart"/>
      <w:r w:rsidRPr="0048666D">
        <w:rPr>
          <w:rFonts w:cs="Arial"/>
          <w:szCs w:val="20"/>
        </w:rPr>
        <w:t>of</w:t>
      </w:r>
      <w:proofErr w:type="spellEnd"/>
      <w:r w:rsidRPr="0048666D">
        <w:rPr>
          <w:rFonts w:cs="Arial"/>
          <w:szCs w:val="20"/>
        </w:rPr>
        <w:t xml:space="preserve"> </w:t>
      </w:r>
      <w:proofErr w:type="spellStart"/>
      <w:r w:rsidRPr="0048666D">
        <w:rPr>
          <w:rFonts w:cs="Arial"/>
          <w:szCs w:val="20"/>
        </w:rPr>
        <w:t>within-patch</w:t>
      </w:r>
      <w:proofErr w:type="spellEnd"/>
      <w:r w:rsidRPr="0048666D">
        <w:rPr>
          <w:rFonts w:cs="Arial"/>
          <w:szCs w:val="20"/>
        </w:rPr>
        <w:t xml:space="preserve"> </w:t>
      </w:r>
      <w:proofErr w:type="spellStart"/>
      <w:r w:rsidRPr="0048666D">
        <w:rPr>
          <w:rFonts w:cs="Arial"/>
          <w:szCs w:val="20"/>
        </w:rPr>
        <w:t>microdistribution</w:t>
      </w:r>
      <w:proofErr w:type="spellEnd"/>
      <w:r w:rsidRPr="0048666D">
        <w:rPr>
          <w:rFonts w:cs="Arial"/>
          <w:szCs w:val="20"/>
        </w:rPr>
        <w:t xml:space="preserve"> </w:t>
      </w:r>
      <w:proofErr w:type="spellStart"/>
      <w:r w:rsidRPr="0048666D">
        <w:rPr>
          <w:rFonts w:cs="Arial"/>
          <w:szCs w:val="20"/>
        </w:rPr>
        <w:t>and</w:t>
      </w:r>
      <w:proofErr w:type="spellEnd"/>
      <w:r w:rsidRPr="0048666D">
        <w:rPr>
          <w:rFonts w:cs="Arial"/>
          <w:szCs w:val="20"/>
        </w:rPr>
        <w:t xml:space="preserve"> </w:t>
      </w:r>
      <w:proofErr w:type="spellStart"/>
      <w:r w:rsidRPr="0048666D">
        <w:rPr>
          <w:rFonts w:cs="Arial"/>
          <w:szCs w:val="20"/>
        </w:rPr>
        <w:t>movements</w:t>
      </w:r>
      <w:proofErr w:type="spellEnd"/>
      <w:r w:rsidRPr="0048666D">
        <w:rPr>
          <w:rFonts w:cs="Arial"/>
          <w:szCs w:val="20"/>
        </w:rPr>
        <w:t xml:space="preserve"> </w:t>
      </w:r>
      <w:proofErr w:type="spellStart"/>
      <w:r w:rsidRPr="0048666D">
        <w:rPr>
          <w:rFonts w:cs="Arial"/>
          <w:szCs w:val="20"/>
        </w:rPr>
        <w:t>of</w:t>
      </w:r>
      <w:proofErr w:type="spellEnd"/>
      <w:r w:rsidRPr="0048666D">
        <w:rPr>
          <w:rFonts w:cs="Arial"/>
          <w:szCs w:val="20"/>
        </w:rPr>
        <w:t xml:space="preserve"> </w:t>
      </w:r>
      <w:proofErr w:type="spellStart"/>
      <w:r w:rsidRPr="0048666D">
        <w:rPr>
          <w:rFonts w:cs="Arial"/>
          <w:szCs w:val="20"/>
        </w:rPr>
        <w:t>endangered</w:t>
      </w:r>
      <w:proofErr w:type="spellEnd"/>
      <w:r w:rsidRPr="0048666D">
        <w:rPr>
          <w:rFonts w:cs="Arial"/>
          <w:szCs w:val="20"/>
        </w:rPr>
        <w:t xml:space="preserve"> </w:t>
      </w:r>
      <w:proofErr w:type="spellStart"/>
      <w:r w:rsidRPr="0048666D">
        <w:rPr>
          <w:rFonts w:cs="Arial"/>
          <w:szCs w:val="20"/>
        </w:rPr>
        <w:t>butterfly</w:t>
      </w:r>
      <w:proofErr w:type="spellEnd"/>
      <w:r w:rsidRPr="0048666D">
        <w:rPr>
          <w:rFonts w:cs="Arial"/>
          <w:szCs w:val="20"/>
        </w:rPr>
        <w:t xml:space="preserve"> </w:t>
      </w:r>
      <w:proofErr w:type="spellStart"/>
      <w:r w:rsidRPr="0048666D">
        <w:rPr>
          <w:rFonts w:cs="Arial"/>
          <w:i/>
          <w:szCs w:val="20"/>
        </w:rPr>
        <w:t>Coenonympha</w:t>
      </w:r>
      <w:proofErr w:type="spellEnd"/>
      <w:r w:rsidRPr="0048666D">
        <w:rPr>
          <w:rFonts w:cs="Arial"/>
          <w:i/>
          <w:szCs w:val="20"/>
        </w:rPr>
        <w:t xml:space="preserve"> </w:t>
      </w:r>
      <w:proofErr w:type="spellStart"/>
      <w:r w:rsidRPr="0048666D">
        <w:rPr>
          <w:rFonts w:cs="Arial"/>
          <w:i/>
          <w:szCs w:val="20"/>
        </w:rPr>
        <w:t>oedippus</w:t>
      </w:r>
      <w:proofErr w:type="spellEnd"/>
      <w:r w:rsidRPr="0048666D">
        <w:rPr>
          <w:rFonts w:cs="Arial"/>
          <w:szCs w:val="20"/>
        </w:rPr>
        <w:t>(</w:t>
      </w:r>
      <w:proofErr w:type="spellStart"/>
      <w:r w:rsidRPr="0048666D">
        <w:rPr>
          <w:rFonts w:cs="Arial"/>
          <w:szCs w:val="20"/>
        </w:rPr>
        <w:t>Fabricius</w:t>
      </w:r>
      <w:proofErr w:type="spellEnd"/>
      <w:r w:rsidRPr="0048666D">
        <w:rPr>
          <w:rFonts w:cs="Arial"/>
          <w:szCs w:val="20"/>
        </w:rPr>
        <w:t xml:space="preserve">, 1787) </w:t>
      </w:r>
      <w:proofErr w:type="spellStart"/>
      <w:r w:rsidRPr="0048666D">
        <w:rPr>
          <w:rFonts w:cs="Arial"/>
          <w:szCs w:val="20"/>
        </w:rPr>
        <w:t>Nymphalidae</w:t>
      </w:r>
      <w:proofErr w:type="spellEnd"/>
      <w:r w:rsidRPr="0048666D">
        <w:rPr>
          <w:rFonts w:cs="Arial"/>
          <w:szCs w:val="20"/>
        </w:rPr>
        <w:t xml:space="preserve">: </w:t>
      </w:r>
      <w:proofErr w:type="spellStart"/>
      <w:r w:rsidRPr="0048666D">
        <w:rPr>
          <w:rFonts w:cs="Arial"/>
          <w:szCs w:val="20"/>
        </w:rPr>
        <w:t>Satyrinae</w:t>
      </w:r>
      <w:proofErr w:type="spellEnd"/>
      <w:r w:rsidRPr="0048666D">
        <w:rPr>
          <w:rFonts w:cs="Arial"/>
          <w:szCs w:val="20"/>
        </w:rPr>
        <w:t xml:space="preserve">). </w:t>
      </w:r>
      <w:proofErr w:type="spellStart"/>
      <w:r w:rsidRPr="0048666D">
        <w:rPr>
          <w:rFonts w:cs="Arial"/>
          <w:szCs w:val="20"/>
        </w:rPr>
        <w:t>Hacquetia</w:t>
      </w:r>
      <w:proofErr w:type="spellEnd"/>
      <w:r w:rsidRPr="0048666D">
        <w:rPr>
          <w:rFonts w:cs="Arial"/>
          <w:szCs w:val="20"/>
        </w:rPr>
        <w:t xml:space="preserve"> 8/2: 115–128: </w:t>
      </w:r>
      <w:hyperlink r:id="rId81" w:history="1">
        <w:r w:rsidRPr="0048666D">
          <w:rPr>
            <w:rFonts w:cs="Arial"/>
            <w:color w:val="0000FF"/>
            <w:szCs w:val="20"/>
            <w:u w:val="single"/>
          </w:rPr>
          <w:t>https://www.dlib.si/stream/URN:NBN:SI:doc-6TX3U0DN/8775cf9c-bd4a-4522-913b-6f2a26c329ae/PDF</w:t>
        </w:r>
      </w:hyperlink>
    </w:p>
    <w:p w14:paraId="00B80ECB" w14:textId="77777777" w:rsidR="00005858" w:rsidRPr="0048666D" w:rsidRDefault="00005858" w:rsidP="000A650F">
      <w:pPr>
        <w:numPr>
          <w:ilvl w:val="0"/>
          <w:numId w:val="48"/>
        </w:numPr>
        <w:spacing w:after="0" w:line="240" w:lineRule="auto"/>
        <w:ind w:left="0"/>
        <w:jc w:val="both"/>
        <w:rPr>
          <w:rFonts w:eastAsia="Times New Roman" w:cs="Arial"/>
          <w:szCs w:val="20"/>
          <w:lang w:eastAsia="en-GB"/>
        </w:rPr>
      </w:pPr>
      <w:proofErr w:type="spellStart"/>
      <w:r w:rsidRPr="0048666D">
        <w:rPr>
          <w:rFonts w:eastAsia="Times New Roman" w:cs="Arial"/>
          <w:szCs w:val="20"/>
          <w:lang w:eastAsia="en-GB"/>
        </w:rPr>
        <w:t>Črnčič</w:t>
      </w:r>
      <w:proofErr w:type="spellEnd"/>
      <w:r w:rsidRPr="0048666D">
        <w:rPr>
          <w:rFonts w:eastAsia="Times New Roman" w:cs="Arial"/>
          <w:szCs w:val="20"/>
          <w:lang w:eastAsia="en-GB"/>
        </w:rPr>
        <w:t xml:space="preserve"> L. (2016). </w:t>
      </w:r>
      <w:r w:rsidRPr="0048666D">
        <w:rPr>
          <w:rFonts w:eastAsia="Times New Roman" w:cs="Arial"/>
          <w:i/>
          <w:szCs w:val="20"/>
          <w:lang w:eastAsia="en-GB"/>
        </w:rPr>
        <w:t>Akcijski prostor mladih na podeželju</w:t>
      </w:r>
      <w:r w:rsidRPr="0048666D">
        <w:rPr>
          <w:rFonts w:eastAsia="Times New Roman" w:cs="Arial"/>
          <w:szCs w:val="20"/>
          <w:lang w:eastAsia="en-GB"/>
        </w:rPr>
        <w:t xml:space="preserve"> (diplomsko delo). Filozofska fakulteta, Maribor.</w:t>
      </w:r>
    </w:p>
    <w:p w14:paraId="301C3D3E" w14:textId="77777777" w:rsidR="00005858" w:rsidRPr="0048666D" w:rsidRDefault="00005858" w:rsidP="000A650F">
      <w:pPr>
        <w:numPr>
          <w:ilvl w:val="0"/>
          <w:numId w:val="48"/>
        </w:numPr>
        <w:tabs>
          <w:tab w:val="left" w:pos="283"/>
        </w:tabs>
        <w:spacing w:after="0" w:line="240" w:lineRule="auto"/>
        <w:ind w:left="0"/>
        <w:jc w:val="both"/>
        <w:rPr>
          <w:rFonts w:cs="Arial"/>
          <w:szCs w:val="20"/>
        </w:rPr>
      </w:pPr>
      <w:r w:rsidRPr="0048666D">
        <w:rPr>
          <w:rFonts w:cs="Arial"/>
          <w:szCs w:val="20"/>
        </w:rPr>
        <w:t xml:space="preserve">Domsko varstvo starejših, pokritost potreb, Skupnost socialnih zavodov Slovenije: </w:t>
      </w:r>
      <w:hyperlink r:id="rId82" w:history="1">
        <w:r w:rsidRPr="0048666D">
          <w:rPr>
            <w:rFonts w:cs="Arial"/>
            <w:color w:val="0000FF"/>
            <w:szCs w:val="20"/>
            <w:u w:val="single"/>
          </w:rPr>
          <w:t>http://www.ssz-slo.si/wp-content/uploads/POKRITOST-RS-30.5.2019-korigirana-za-dele%C5%BE-starih-pod-65.pdf</w:t>
        </w:r>
      </w:hyperlink>
    </w:p>
    <w:p w14:paraId="46662F8B" w14:textId="77777777" w:rsidR="00005858" w:rsidRPr="0048666D" w:rsidRDefault="00005858" w:rsidP="000A650F">
      <w:pPr>
        <w:numPr>
          <w:ilvl w:val="0"/>
          <w:numId w:val="48"/>
        </w:numPr>
        <w:tabs>
          <w:tab w:val="left" w:pos="283"/>
        </w:tabs>
        <w:spacing w:after="0" w:line="240" w:lineRule="auto"/>
        <w:ind w:left="0"/>
        <w:jc w:val="both"/>
        <w:rPr>
          <w:rFonts w:cs="Arial"/>
          <w:szCs w:val="20"/>
        </w:rPr>
      </w:pPr>
      <w:r w:rsidRPr="0048666D">
        <w:rPr>
          <w:rFonts w:cs="Arial"/>
          <w:szCs w:val="20"/>
        </w:rPr>
        <w:t xml:space="preserve">Erjavec in sod. (2018): Strateško vrednotenje slovenske kmetijske politike 2015–2020. CRP  V4-1608: </w:t>
      </w:r>
      <w:hyperlink r:id="rId83" w:history="1">
        <w:r w:rsidRPr="0048666D">
          <w:rPr>
            <w:rFonts w:cs="Arial"/>
            <w:color w:val="0000FF"/>
            <w:szCs w:val="20"/>
            <w:u w:val="single"/>
          </w:rPr>
          <w:t>https://www.program-podezelja.si/sl/knjiznica/287-vrednotenje-slovenske-kmetijske-politike-v-obdobju-2015-2020/file</w:t>
        </w:r>
      </w:hyperlink>
    </w:p>
    <w:p w14:paraId="593AB96E" w14:textId="77777777" w:rsidR="00005858" w:rsidRPr="0048666D" w:rsidRDefault="00005858" w:rsidP="000A650F">
      <w:pPr>
        <w:numPr>
          <w:ilvl w:val="0"/>
          <w:numId w:val="48"/>
        </w:numPr>
        <w:tabs>
          <w:tab w:val="left" w:pos="283"/>
        </w:tabs>
        <w:spacing w:after="0" w:line="240" w:lineRule="auto"/>
        <w:ind w:left="0"/>
        <w:jc w:val="both"/>
        <w:rPr>
          <w:rFonts w:cs="Arial"/>
          <w:szCs w:val="20"/>
        </w:rPr>
      </w:pPr>
      <w:r w:rsidRPr="0048666D">
        <w:rPr>
          <w:rFonts w:cs="Arial"/>
          <w:szCs w:val="20"/>
          <w:lang w:val="en-GB"/>
        </w:rPr>
        <w:t xml:space="preserve">European Environmental Agency. Conservation Status and Trends: </w:t>
      </w:r>
      <w:hyperlink r:id="rId84" w:history="1">
        <w:r w:rsidRPr="0048666D">
          <w:rPr>
            <w:rFonts w:cs="Arial"/>
            <w:color w:val="0000FF"/>
            <w:szCs w:val="20"/>
            <w:u w:val="single"/>
            <w:lang w:val="en-GB"/>
          </w:rPr>
          <w:t>https://www.eea.europa.eu/themes/biodiversity/state-of-nature-in-the-eu/article-17-national-summary-dashboards/conservation-status-and-trends</w:t>
        </w:r>
      </w:hyperlink>
      <w:r w:rsidRPr="0048666D">
        <w:rPr>
          <w:rFonts w:cs="Arial"/>
          <w:szCs w:val="20"/>
          <w:lang w:val="en-GB"/>
        </w:rPr>
        <w:t>)</w:t>
      </w:r>
    </w:p>
    <w:p w14:paraId="3CE88F85" w14:textId="77777777" w:rsidR="00005858" w:rsidRPr="0048666D" w:rsidRDefault="00005858" w:rsidP="000A650F">
      <w:pPr>
        <w:numPr>
          <w:ilvl w:val="0"/>
          <w:numId w:val="48"/>
        </w:numPr>
        <w:tabs>
          <w:tab w:val="left" w:pos="283"/>
        </w:tabs>
        <w:spacing w:after="0" w:line="240" w:lineRule="auto"/>
        <w:ind w:left="0"/>
        <w:jc w:val="both"/>
        <w:rPr>
          <w:rFonts w:cs="Arial"/>
          <w:szCs w:val="20"/>
        </w:rPr>
      </w:pPr>
      <w:proofErr w:type="spellStart"/>
      <w:r w:rsidRPr="0048666D">
        <w:rPr>
          <w:rFonts w:cs="Arial"/>
          <w:szCs w:val="20"/>
        </w:rPr>
        <w:t>European</w:t>
      </w:r>
      <w:proofErr w:type="spellEnd"/>
      <w:r w:rsidRPr="0048666D">
        <w:rPr>
          <w:rFonts w:cs="Arial"/>
          <w:szCs w:val="20"/>
        </w:rPr>
        <w:t xml:space="preserve"> </w:t>
      </w:r>
      <w:proofErr w:type="spellStart"/>
      <w:r w:rsidRPr="0048666D">
        <w:rPr>
          <w:rFonts w:cs="Arial"/>
          <w:szCs w:val="20"/>
        </w:rPr>
        <w:t>innovation</w:t>
      </w:r>
      <w:proofErr w:type="spellEnd"/>
      <w:r w:rsidRPr="0048666D">
        <w:rPr>
          <w:rFonts w:cs="Arial"/>
          <w:szCs w:val="20"/>
        </w:rPr>
        <w:t xml:space="preserve"> </w:t>
      </w:r>
      <w:proofErr w:type="spellStart"/>
      <w:r w:rsidRPr="0048666D">
        <w:rPr>
          <w:rFonts w:cs="Arial"/>
          <w:szCs w:val="20"/>
        </w:rPr>
        <w:t>scoreboard</w:t>
      </w:r>
      <w:proofErr w:type="spellEnd"/>
      <w:r w:rsidRPr="0048666D">
        <w:rPr>
          <w:rFonts w:cs="Arial"/>
          <w:szCs w:val="20"/>
        </w:rPr>
        <w:t xml:space="preserve">: </w:t>
      </w:r>
      <w:hyperlink r:id="rId85" w:history="1">
        <w:r w:rsidRPr="0048666D">
          <w:rPr>
            <w:rFonts w:cs="Arial"/>
            <w:color w:val="0000FF"/>
            <w:szCs w:val="20"/>
            <w:u w:val="single"/>
          </w:rPr>
          <w:t>https://ec.europa.eu/growth/industry/policy/innovation/scoreboards_en</w:t>
        </w:r>
      </w:hyperlink>
    </w:p>
    <w:p w14:paraId="40D6C3FF" w14:textId="77777777" w:rsidR="00005858" w:rsidRPr="0048666D" w:rsidRDefault="00005858" w:rsidP="000A650F">
      <w:pPr>
        <w:numPr>
          <w:ilvl w:val="0"/>
          <w:numId w:val="48"/>
        </w:numPr>
        <w:tabs>
          <w:tab w:val="left" w:pos="283"/>
        </w:tabs>
        <w:spacing w:after="0" w:line="240" w:lineRule="auto"/>
        <w:ind w:left="0"/>
        <w:jc w:val="both"/>
        <w:rPr>
          <w:rFonts w:cs="Arial"/>
          <w:szCs w:val="20"/>
        </w:rPr>
      </w:pPr>
      <w:proofErr w:type="spellStart"/>
      <w:r w:rsidRPr="0048666D">
        <w:rPr>
          <w:rFonts w:cs="Arial"/>
          <w:szCs w:val="20"/>
        </w:rPr>
        <w:t>European</w:t>
      </w:r>
      <w:proofErr w:type="spellEnd"/>
      <w:r w:rsidRPr="0048666D">
        <w:rPr>
          <w:rFonts w:cs="Arial"/>
          <w:szCs w:val="20"/>
        </w:rPr>
        <w:t xml:space="preserve"> </w:t>
      </w:r>
      <w:proofErr w:type="spellStart"/>
      <w:r w:rsidRPr="0048666D">
        <w:rPr>
          <w:rFonts w:cs="Arial"/>
          <w:szCs w:val="20"/>
        </w:rPr>
        <w:t>Medicines</w:t>
      </w:r>
      <w:proofErr w:type="spellEnd"/>
      <w:r w:rsidRPr="0048666D">
        <w:rPr>
          <w:rFonts w:cs="Arial"/>
          <w:szCs w:val="20"/>
        </w:rPr>
        <w:t xml:space="preserve"> </w:t>
      </w:r>
      <w:proofErr w:type="spellStart"/>
      <w:r w:rsidRPr="0048666D">
        <w:rPr>
          <w:rFonts w:cs="Arial"/>
          <w:szCs w:val="20"/>
        </w:rPr>
        <w:t>Agency</w:t>
      </w:r>
      <w:proofErr w:type="spellEnd"/>
      <w:r w:rsidRPr="0048666D">
        <w:rPr>
          <w:rFonts w:cs="Arial"/>
          <w:szCs w:val="20"/>
        </w:rPr>
        <w:t xml:space="preserve">, </w:t>
      </w:r>
      <w:proofErr w:type="spellStart"/>
      <w:r w:rsidRPr="0048666D">
        <w:rPr>
          <w:rFonts w:cs="Arial"/>
          <w:szCs w:val="20"/>
        </w:rPr>
        <w:t>European</w:t>
      </w:r>
      <w:proofErr w:type="spellEnd"/>
      <w:r w:rsidRPr="0048666D">
        <w:rPr>
          <w:rFonts w:cs="Arial"/>
          <w:szCs w:val="20"/>
        </w:rPr>
        <w:t xml:space="preserve"> </w:t>
      </w:r>
      <w:proofErr w:type="spellStart"/>
      <w:r w:rsidRPr="0048666D">
        <w:rPr>
          <w:rFonts w:cs="Arial"/>
          <w:szCs w:val="20"/>
        </w:rPr>
        <w:t>Surveillance</w:t>
      </w:r>
      <w:proofErr w:type="spellEnd"/>
      <w:r w:rsidRPr="0048666D">
        <w:rPr>
          <w:rFonts w:cs="Arial"/>
          <w:szCs w:val="20"/>
        </w:rPr>
        <w:t xml:space="preserve"> </w:t>
      </w:r>
      <w:proofErr w:type="spellStart"/>
      <w:r w:rsidRPr="0048666D">
        <w:rPr>
          <w:rFonts w:cs="Arial"/>
          <w:szCs w:val="20"/>
        </w:rPr>
        <w:t>of</w:t>
      </w:r>
      <w:proofErr w:type="spellEnd"/>
      <w:r w:rsidRPr="0048666D">
        <w:rPr>
          <w:rFonts w:cs="Arial"/>
          <w:szCs w:val="20"/>
        </w:rPr>
        <w:t xml:space="preserve"> </w:t>
      </w:r>
      <w:proofErr w:type="spellStart"/>
      <w:r w:rsidRPr="0048666D">
        <w:rPr>
          <w:rFonts w:cs="Arial"/>
          <w:szCs w:val="20"/>
        </w:rPr>
        <w:t>Veterinary</w:t>
      </w:r>
      <w:proofErr w:type="spellEnd"/>
      <w:r w:rsidRPr="0048666D">
        <w:rPr>
          <w:rFonts w:cs="Arial"/>
          <w:szCs w:val="20"/>
        </w:rPr>
        <w:t xml:space="preserve"> </w:t>
      </w:r>
      <w:proofErr w:type="spellStart"/>
      <w:r w:rsidRPr="0048666D">
        <w:rPr>
          <w:rFonts w:cs="Arial"/>
          <w:szCs w:val="20"/>
        </w:rPr>
        <w:t>Antimicrobial</w:t>
      </w:r>
      <w:proofErr w:type="spellEnd"/>
      <w:r w:rsidRPr="0048666D">
        <w:rPr>
          <w:rFonts w:cs="Arial"/>
          <w:szCs w:val="20"/>
        </w:rPr>
        <w:t xml:space="preserve"> </w:t>
      </w:r>
      <w:proofErr w:type="spellStart"/>
      <w:r w:rsidRPr="0048666D">
        <w:rPr>
          <w:rFonts w:cs="Arial"/>
          <w:szCs w:val="20"/>
        </w:rPr>
        <w:t>Consumption</w:t>
      </w:r>
      <w:proofErr w:type="spellEnd"/>
      <w:r w:rsidRPr="0048666D">
        <w:rPr>
          <w:rFonts w:cs="Arial"/>
          <w:szCs w:val="20"/>
        </w:rPr>
        <w:t xml:space="preserve">, 2019. </w:t>
      </w:r>
      <w:proofErr w:type="spellStart"/>
      <w:r w:rsidRPr="0048666D">
        <w:rPr>
          <w:rFonts w:cs="Arial"/>
          <w:szCs w:val="20"/>
        </w:rPr>
        <w:t>Sales</w:t>
      </w:r>
      <w:proofErr w:type="spellEnd"/>
      <w:r w:rsidRPr="0048666D">
        <w:rPr>
          <w:rFonts w:cs="Arial"/>
          <w:szCs w:val="20"/>
        </w:rPr>
        <w:t xml:space="preserve"> </w:t>
      </w:r>
      <w:proofErr w:type="spellStart"/>
      <w:r w:rsidRPr="0048666D">
        <w:rPr>
          <w:rFonts w:cs="Arial"/>
          <w:szCs w:val="20"/>
        </w:rPr>
        <w:t>of</w:t>
      </w:r>
      <w:proofErr w:type="spellEnd"/>
      <w:r w:rsidRPr="0048666D">
        <w:rPr>
          <w:rFonts w:cs="Arial"/>
          <w:szCs w:val="20"/>
        </w:rPr>
        <w:t xml:space="preserve"> </w:t>
      </w:r>
      <w:proofErr w:type="spellStart"/>
      <w:r w:rsidRPr="0048666D">
        <w:rPr>
          <w:rFonts w:cs="Arial"/>
          <w:szCs w:val="20"/>
        </w:rPr>
        <w:t>veterinary</w:t>
      </w:r>
      <w:proofErr w:type="spellEnd"/>
      <w:r w:rsidRPr="0048666D">
        <w:rPr>
          <w:rFonts w:cs="Arial"/>
          <w:szCs w:val="20"/>
        </w:rPr>
        <w:t xml:space="preserve"> </w:t>
      </w:r>
      <w:proofErr w:type="spellStart"/>
      <w:r w:rsidRPr="0048666D">
        <w:rPr>
          <w:rFonts w:cs="Arial"/>
          <w:szCs w:val="20"/>
        </w:rPr>
        <w:t>antimicrobial</w:t>
      </w:r>
      <w:proofErr w:type="spellEnd"/>
      <w:r w:rsidRPr="0048666D">
        <w:rPr>
          <w:rFonts w:cs="Arial"/>
          <w:szCs w:val="20"/>
        </w:rPr>
        <w:t xml:space="preserve"> </w:t>
      </w:r>
      <w:proofErr w:type="spellStart"/>
      <w:r w:rsidRPr="0048666D">
        <w:rPr>
          <w:rFonts w:cs="Arial"/>
          <w:szCs w:val="20"/>
        </w:rPr>
        <w:t>agents</w:t>
      </w:r>
      <w:proofErr w:type="spellEnd"/>
      <w:r w:rsidRPr="0048666D">
        <w:rPr>
          <w:rFonts w:cs="Arial"/>
          <w:szCs w:val="20"/>
        </w:rPr>
        <w:t xml:space="preserve"> in 31 </w:t>
      </w:r>
      <w:proofErr w:type="spellStart"/>
      <w:r w:rsidRPr="0048666D">
        <w:rPr>
          <w:rFonts w:cs="Arial"/>
          <w:szCs w:val="20"/>
        </w:rPr>
        <w:t>European</w:t>
      </w:r>
      <w:proofErr w:type="spellEnd"/>
      <w:r w:rsidRPr="0048666D">
        <w:rPr>
          <w:rFonts w:cs="Arial"/>
          <w:szCs w:val="20"/>
        </w:rPr>
        <w:t xml:space="preserve"> </w:t>
      </w:r>
      <w:proofErr w:type="spellStart"/>
      <w:r w:rsidRPr="0048666D">
        <w:rPr>
          <w:rFonts w:cs="Arial"/>
          <w:szCs w:val="20"/>
        </w:rPr>
        <w:t>countries</w:t>
      </w:r>
      <w:proofErr w:type="spellEnd"/>
      <w:r w:rsidRPr="0048666D">
        <w:rPr>
          <w:rFonts w:cs="Arial"/>
          <w:szCs w:val="20"/>
        </w:rPr>
        <w:t xml:space="preserve"> in 2017: </w:t>
      </w:r>
      <w:hyperlink r:id="rId86" w:history="1">
        <w:r w:rsidRPr="0048666D">
          <w:rPr>
            <w:rFonts w:cs="Arial"/>
            <w:color w:val="0000FF"/>
            <w:szCs w:val="20"/>
            <w:u w:val="single"/>
          </w:rPr>
          <w:t>https://www.ema.europa.eu/en/documents/report/sales-veterinary-antimicrobial-agents-31-european-countries-2017_en.pdf</w:t>
        </w:r>
      </w:hyperlink>
    </w:p>
    <w:p w14:paraId="0A29EFF2" w14:textId="77777777" w:rsidR="00005858" w:rsidRPr="0048666D" w:rsidRDefault="00005858" w:rsidP="000A650F">
      <w:pPr>
        <w:numPr>
          <w:ilvl w:val="0"/>
          <w:numId w:val="48"/>
        </w:numPr>
        <w:tabs>
          <w:tab w:val="left" w:pos="283"/>
        </w:tabs>
        <w:spacing w:after="0" w:line="240" w:lineRule="auto"/>
        <w:ind w:left="0"/>
        <w:jc w:val="both"/>
        <w:rPr>
          <w:rFonts w:cs="Arial"/>
          <w:szCs w:val="20"/>
        </w:rPr>
      </w:pPr>
      <w:proofErr w:type="spellStart"/>
      <w:r w:rsidRPr="0048666D">
        <w:rPr>
          <w:rFonts w:cs="Arial"/>
          <w:szCs w:val="20"/>
        </w:rPr>
        <w:t>European</w:t>
      </w:r>
      <w:proofErr w:type="spellEnd"/>
      <w:r w:rsidRPr="0048666D">
        <w:rPr>
          <w:rFonts w:cs="Arial"/>
          <w:szCs w:val="20"/>
        </w:rPr>
        <w:t xml:space="preserve"> </w:t>
      </w:r>
      <w:proofErr w:type="spellStart"/>
      <w:r w:rsidRPr="0048666D">
        <w:rPr>
          <w:rFonts w:cs="Arial"/>
          <w:szCs w:val="20"/>
        </w:rPr>
        <w:t>Soil</w:t>
      </w:r>
      <w:proofErr w:type="spellEnd"/>
      <w:r w:rsidRPr="0048666D">
        <w:rPr>
          <w:rFonts w:cs="Arial"/>
          <w:szCs w:val="20"/>
        </w:rPr>
        <w:t xml:space="preserve"> Portal, JRC: </w:t>
      </w:r>
      <w:hyperlink r:id="rId87" w:history="1">
        <w:r w:rsidRPr="0048666D">
          <w:rPr>
            <w:rFonts w:cs="Arial"/>
            <w:color w:val="0000FF"/>
            <w:szCs w:val="20"/>
            <w:u w:val="single"/>
          </w:rPr>
          <w:t>https://esdac.jrc.ec.europa.eu/</w:t>
        </w:r>
      </w:hyperlink>
    </w:p>
    <w:p w14:paraId="05E6D662" w14:textId="77777777" w:rsidR="00674734" w:rsidRPr="0048666D" w:rsidRDefault="00005858" w:rsidP="000A650F">
      <w:pPr>
        <w:numPr>
          <w:ilvl w:val="0"/>
          <w:numId w:val="48"/>
        </w:numPr>
        <w:spacing w:after="0" w:line="240" w:lineRule="auto"/>
        <w:ind w:left="0"/>
        <w:contextualSpacing/>
        <w:jc w:val="both"/>
        <w:rPr>
          <w:rFonts w:cs="Arial"/>
          <w:szCs w:val="20"/>
        </w:rPr>
      </w:pPr>
      <w:r w:rsidRPr="0048666D">
        <w:rPr>
          <w:rFonts w:cs="Arial"/>
          <w:i/>
          <w:szCs w:val="20"/>
        </w:rPr>
        <w:t xml:space="preserve">Eurostat. </w:t>
      </w:r>
      <w:r w:rsidRPr="0048666D">
        <w:rPr>
          <w:rFonts w:cs="Arial"/>
          <w:szCs w:val="20"/>
        </w:rPr>
        <w:t xml:space="preserve">(2020). Pridobljeno s </w:t>
      </w:r>
      <w:hyperlink r:id="rId88" w:history="1">
        <w:r w:rsidRPr="0048666D">
          <w:rPr>
            <w:rFonts w:cs="Arial"/>
            <w:color w:val="0000FF"/>
            <w:szCs w:val="20"/>
            <w:u w:val="single"/>
          </w:rPr>
          <w:t>https://ec.europa.eu/eurostat/home</w:t>
        </w:r>
      </w:hyperlink>
      <w:r w:rsidRPr="0048666D">
        <w:rPr>
          <w:rFonts w:cs="Arial"/>
          <w:szCs w:val="20"/>
        </w:rPr>
        <w:t>?</w:t>
      </w:r>
    </w:p>
    <w:p w14:paraId="03BB1B50" w14:textId="77777777" w:rsidR="00005858" w:rsidRPr="0048666D" w:rsidRDefault="00005858" w:rsidP="000A650F">
      <w:pPr>
        <w:numPr>
          <w:ilvl w:val="0"/>
          <w:numId w:val="48"/>
        </w:numPr>
        <w:spacing w:after="0" w:line="240" w:lineRule="auto"/>
        <w:ind w:left="0"/>
        <w:jc w:val="both"/>
        <w:rPr>
          <w:rFonts w:cs="Arial"/>
          <w:szCs w:val="20"/>
        </w:rPr>
      </w:pPr>
      <w:r w:rsidRPr="0048666D">
        <w:rPr>
          <w:rFonts w:cs="Arial"/>
          <w:szCs w:val="20"/>
        </w:rPr>
        <w:t xml:space="preserve">EUROSTAT: </w:t>
      </w:r>
      <w:hyperlink r:id="rId89" w:history="1">
        <w:r w:rsidRPr="0048666D">
          <w:rPr>
            <w:rFonts w:cs="Arial"/>
            <w:color w:val="0000FF"/>
            <w:szCs w:val="20"/>
            <w:u w:val="single"/>
          </w:rPr>
          <w:t>https://ec.europa.eu/eurostat/</w:t>
        </w:r>
      </w:hyperlink>
    </w:p>
    <w:p w14:paraId="3C1377E5" w14:textId="77777777" w:rsidR="00005858" w:rsidRPr="0048666D" w:rsidRDefault="00005858" w:rsidP="000A650F">
      <w:pPr>
        <w:numPr>
          <w:ilvl w:val="0"/>
          <w:numId w:val="48"/>
        </w:numPr>
        <w:tabs>
          <w:tab w:val="left" w:pos="283"/>
        </w:tabs>
        <w:spacing w:after="0" w:line="240" w:lineRule="auto"/>
        <w:ind w:left="0"/>
        <w:jc w:val="both"/>
        <w:rPr>
          <w:rFonts w:cs="Arial"/>
          <w:szCs w:val="20"/>
        </w:rPr>
      </w:pPr>
      <w:r w:rsidRPr="0048666D">
        <w:rPr>
          <w:rFonts w:cs="Arial"/>
          <w:szCs w:val="20"/>
        </w:rPr>
        <w:t xml:space="preserve">Evropska komisija, DG AGRI: </w:t>
      </w:r>
      <w:hyperlink r:id="rId90" w:history="1">
        <w:r w:rsidRPr="0048666D">
          <w:rPr>
            <w:rFonts w:cs="Arial"/>
            <w:color w:val="0000FF"/>
            <w:szCs w:val="20"/>
            <w:u w:val="single"/>
          </w:rPr>
          <w:t>https://ec.europa.eu/info/food-farming-fisheries</w:t>
        </w:r>
      </w:hyperlink>
    </w:p>
    <w:p w14:paraId="51EB6FFF" w14:textId="77777777" w:rsidR="00005858" w:rsidRPr="0048666D" w:rsidRDefault="00005858" w:rsidP="000A650F">
      <w:pPr>
        <w:numPr>
          <w:ilvl w:val="0"/>
          <w:numId w:val="48"/>
        </w:numPr>
        <w:tabs>
          <w:tab w:val="left" w:pos="283"/>
        </w:tabs>
        <w:spacing w:after="0" w:line="240" w:lineRule="auto"/>
        <w:ind w:left="0"/>
        <w:jc w:val="both"/>
        <w:rPr>
          <w:rFonts w:cs="Arial"/>
          <w:szCs w:val="20"/>
        </w:rPr>
      </w:pPr>
      <w:r w:rsidRPr="0048666D">
        <w:rPr>
          <w:rFonts w:cs="Arial"/>
          <w:szCs w:val="20"/>
        </w:rPr>
        <w:t xml:space="preserve">Evropska komisija. Priročnik o zastopanju interesov ohranjanja narave – Izguba biotske raznovrstnosti, zaščita narave in strategija EU za varstvo narave: </w:t>
      </w:r>
      <w:hyperlink r:id="rId91" w:history="1">
        <w:r w:rsidRPr="0048666D">
          <w:rPr>
            <w:rFonts w:cs="Arial"/>
            <w:color w:val="0000FF"/>
            <w:szCs w:val="20"/>
            <w:u w:val="single"/>
          </w:rPr>
          <w:t>https://ec.europa.eu/info/sites/info/files/biodiversity_sl.pdf</w:t>
        </w:r>
      </w:hyperlink>
    </w:p>
    <w:p w14:paraId="50346161" w14:textId="77777777" w:rsidR="00005858" w:rsidRPr="0048666D" w:rsidRDefault="00005858" w:rsidP="000A650F">
      <w:pPr>
        <w:numPr>
          <w:ilvl w:val="0"/>
          <w:numId w:val="48"/>
        </w:numPr>
        <w:tabs>
          <w:tab w:val="left" w:pos="283"/>
        </w:tabs>
        <w:spacing w:after="0" w:line="240" w:lineRule="auto"/>
        <w:ind w:left="0"/>
        <w:jc w:val="both"/>
        <w:rPr>
          <w:rFonts w:cs="Arial"/>
          <w:szCs w:val="20"/>
        </w:rPr>
      </w:pPr>
      <w:r w:rsidRPr="0048666D">
        <w:rPr>
          <w:rFonts w:cs="Arial"/>
          <w:szCs w:val="20"/>
        </w:rPr>
        <w:t xml:space="preserve">FADN: </w:t>
      </w:r>
      <w:hyperlink r:id="rId92" w:history="1">
        <w:r w:rsidRPr="0048666D">
          <w:rPr>
            <w:rFonts w:cs="Arial"/>
            <w:color w:val="0000FF"/>
            <w:szCs w:val="20"/>
            <w:u w:val="single"/>
          </w:rPr>
          <w:t>https://ec.europa.eu/agriculture/rica/database/consult_std_reports_en.cfm</w:t>
        </w:r>
      </w:hyperlink>
    </w:p>
    <w:p w14:paraId="0488949E" w14:textId="77777777" w:rsidR="00005858" w:rsidRPr="0048666D" w:rsidRDefault="00005858" w:rsidP="000A650F">
      <w:pPr>
        <w:numPr>
          <w:ilvl w:val="0"/>
          <w:numId w:val="48"/>
        </w:numPr>
        <w:tabs>
          <w:tab w:val="left" w:pos="283"/>
        </w:tabs>
        <w:spacing w:after="0" w:line="240" w:lineRule="auto"/>
        <w:ind w:left="0"/>
        <w:jc w:val="both"/>
        <w:rPr>
          <w:rFonts w:cs="Arial"/>
          <w:szCs w:val="20"/>
        </w:rPr>
      </w:pPr>
      <w:r w:rsidRPr="0048666D">
        <w:rPr>
          <w:rFonts w:cs="Arial"/>
          <w:szCs w:val="20"/>
        </w:rPr>
        <w:t xml:space="preserve">FI </w:t>
      </w:r>
      <w:proofErr w:type="spellStart"/>
      <w:r w:rsidRPr="0048666D">
        <w:rPr>
          <w:rFonts w:cs="Arial"/>
          <w:szCs w:val="20"/>
        </w:rPr>
        <w:t>compass</w:t>
      </w:r>
      <w:proofErr w:type="spellEnd"/>
      <w:r w:rsidRPr="0048666D">
        <w:rPr>
          <w:rFonts w:cs="Arial"/>
          <w:szCs w:val="20"/>
        </w:rPr>
        <w:t xml:space="preserve">: </w:t>
      </w:r>
      <w:hyperlink r:id="rId93" w:history="1">
        <w:r w:rsidRPr="0048666D">
          <w:rPr>
            <w:rFonts w:cs="Arial"/>
            <w:color w:val="0000FF"/>
            <w:szCs w:val="20"/>
            <w:u w:val="single"/>
          </w:rPr>
          <w:t>https://www.fi-compass.eu/</w:t>
        </w:r>
      </w:hyperlink>
    </w:p>
    <w:p w14:paraId="06BA24BA" w14:textId="77777777" w:rsidR="00005858" w:rsidRPr="0048666D" w:rsidRDefault="00005858" w:rsidP="000A650F">
      <w:pPr>
        <w:numPr>
          <w:ilvl w:val="0"/>
          <w:numId w:val="48"/>
        </w:numPr>
        <w:tabs>
          <w:tab w:val="left" w:pos="283"/>
        </w:tabs>
        <w:spacing w:after="0" w:line="240" w:lineRule="auto"/>
        <w:ind w:left="0"/>
        <w:jc w:val="both"/>
        <w:rPr>
          <w:rFonts w:cs="Arial"/>
          <w:color w:val="0000FF"/>
          <w:szCs w:val="20"/>
          <w:u w:val="single"/>
        </w:rPr>
      </w:pPr>
      <w:proofErr w:type="spellStart"/>
      <w:r w:rsidRPr="0048666D">
        <w:rPr>
          <w:rFonts w:cs="Arial"/>
          <w:szCs w:val="20"/>
        </w:rPr>
        <w:t>Geoportal</w:t>
      </w:r>
      <w:proofErr w:type="spellEnd"/>
      <w:r w:rsidRPr="0048666D">
        <w:rPr>
          <w:rFonts w:cs="Arial"/>
          <w:szCs w:val="20"/>
        </w:rPr>
        <w:t xml:space="preserve"> ARSO, 2020: </w:t>
      </w:r>
      <w:hyperlink r:id="rId94" w:history="1">
        <w:r w:rsidRPr="0048666D">
          <w:rPr>
            <w:rFonts w:cs="Arial"/>
            <w:color w:val="0000FF"/>
            <w:szCs w:val="20"/>
            <w:u w:val="single"/>
          </w:rPr>
          <w:t>https://gis.arso.gov.si/geoportal/catalog/main/home.page</w:t>
        </w:r>
      </w:hyperlink>
    </w:p>
    <w:p w14:paraId="2E1FB74F" w14:textId="77777777" w:rsidR="00005858" w:rsidRPr="0048666D" w:rsidRDefault="00005858" w:rsidP="000A650F">
      <w:pPr>
        <w:numPr>
          <w:ilvl w:val="0"/>
          <w:numId w:val="48"/>
        </w:numPr>
        <w:tabs>
          <w:tab w:val="left" w:pos="283"/>
        </w:tabs>
        <w:spacing w:after="0" w:line="240" w:lineRule="auto"/>
        <w:ind w:left="0"/>
        <w:jc w:val="both"/>
        <w:rPr>
          <w:rFonts w:cs="Arial"/>
          <w:color w:val="0000FF"/>
          <w:szCs w:val="20"/>
          <w:u w:val="single"/>
        </w:rPr>
      </w:pPr>
      <w:r w:rsidRPr="0048666D">
        <w:rPr>
          <w:rFonts w:cs="Arial"/>
          <w:szCs w:val="20"/>
        </w:rPr>
        <w:t xml:space="preserve">Glavan, M. in sod. 2017. Prostorska analiza kmetijskih zemljišč v zaraščanju v Sloveniji. </w:t>
      </w:r>
      <w:proofErr w:type="spellStart"/>
      <w:r w:rsidRPr="0048666D">
        <w:rPr>
          <w:rFonts w:cs="Arial"/>
          <w:szCs w:val="20"/>
        </w:rPr>
        <w:t>Acta</w:t>
      </w:r>
      <w:proofErr w:type="spellEnd"/>
      <w:r w:rsidRPr="0048666D">
        <w:rPr>
          <w:rFonts w:cs="Arial"/>
          <w:szCs w:val="20"/>
        </w:rPr>
        <w:t xml:space="preserve"> </w:t>
      </w:r>
      <w:proofErr w:type="spellStart"/>
      <w:r w:rsidRPr="0048666D">
        <w:rPr>
          <w:rFonts w:cs="Arial"/>
          <w:szCs w:val="20"/>
        </w:rPr>
        <w:t>agriculturae</w:t>
      </w:r>
      <w:proofErr w:type="spellEnd"/>
      <w:r w:rsidRPr="0048666D">
        <w:rPr>
          <w:rFonts w:cs="Arial"/>
          <w:szCs w:val="20"/>
        </w:rPr>
        <w:t xml:space="preserve"> </w:t>
      </w:r>
      <w:proofErr w:type="spellStart"/>
      <w:r w:rsidRPr="0048666D">
        <w:rPr>
          <w:rFonts w:cs="Arial"/>
          <w:szCs w:val="20"/>
        </w:rPr>
        <w:t>Slovenica</w:t>
      </w:r>
      <w:proofErr w:type="spellEnd"/>
      <w:r w:rsidRPr="0048666D">
        <w:rPr>
          <w:rFonts w:cs="Arial"/>
          <w:szCs w:val="20"/>
        </w:rPr>
        <w:t xml:space="preserve">, 109(2), str. 261–279: </w:t>
      </w:r>
      <w:hyperlink r:id="rId95" w:history="1">
        <w:r w:rsidRPr="0048666D">
          <w:rPr>
            <w:rFonts w:cs="Arial"/>
            <w:color w:val="0000FF"/>
            <w:szCs w:val="20"/>
            <w:u w:val="single"/>
          </w:rPr>
          <w:t>http://ojs.aas.bf.uni-lj.si/index.php/AAS/article/view/313/195</w:t>
        </w:r>
      </w:hyperlink>
    </w:p>
    <w:p w14:paraId="11C80CF8" w14:textId="77777777" w:rsidR="00674734" w:rsidRPr="0048666D" w:rsidRDefault="00005858" w:rsidP="000A650F">
      <w:pPr>
        <w:numPr>
          <w:ilvl w:val="0"/>
          <w:numId w:val="48"/>
        </w:numPr>
        <w:spacing w:after="0" w:line="240" w:lineRule="auto"/>
        <w:ind w:left="0"/>
        <w:contextualSpacing/>
        <w:jc w:val="both"/>
        <w:rPr>
          <w:rFonts w:cs="Arial"/>
          <w:szCs w:val="20"/>
        </w:rPr>
      </w:pPr>
      <w:r w:rsidRPr="0048666D">
        <w:rPr>
          <w:rFonts w:cs="Arial"/>
          <w:szCs w:val="20"/>
        </w:rPr>
        <w:t xml:space="preserve">Hostnik B. (ur.). (2015). </w:t>
      </w:r>
      <w:r w:rsidRPr="0048666D">
        <w:rPr>
          <w:rFonts w:cs="Arial"/>
          <w:i/>
          <w:szCs w:val="20"/>
        </w:rPr>
        <w:t>Obnova objektov kulturne dediščine v okviru Programa razvoja podeželja Republike Slovenije 2007-2013</w:t>
      </w:r>
      <w:r w:rsidRPr="0048666D">
        <w:rPr>
          <w:rFonts w:cs="Arial"/>
          <w:szCs w:val="20"/>
        </w:rPr>
        <w:t>. Ljubljana : Ministrstvo za kmetijstvo, gozdarstvo in prehrano.</w:t>
      </w:r>
    </w:p>
    <w:p w14:paraId="42A65392" w14:textId="77777777" w:rsidR="00005858" w:rsidRPr="0048666D" w:rsidRDefault="00005858" w:rsidP="000A650F">
      <w:pPr>
        <w:numPr>
          <w:ilvl w:val="0"/>
          <w:numId w:val="48"/>
        </w:numPr>
        <w:tabs>
          <w:tab w:val="left" w:pos="283"/>
        </w:tabs>
        <w:spacing w:after="0" w:line="240" w:lineRule="auto"/>
        <w:ind w:left="0"/>
        <w:jc w:val="both"/>
        <w:rPr>
          <w:rFonts w:cs="Arial"/>
          <w:szCs w:val="20"/>
        </w:rPr>
      </w:pPr>
      <w:r w:rsidRPr="0048666D">
        <w:rPr>
          <w:rFonts w:cs="Arial"/>
          <w:szCs w:val="20"/>
        </w:rPr>
        <w:lastRenderedPageBreak/>
        <w:t xml:space="preserve">Indeks razvojne ogroženosti regij 2014-2020:  </w:t>
      </w:r>
      <w:hyperlink r:id="rId96" w:history="1">
        <w:r w:rsidRPr="0048666D">
          <w:rPr>
            <w:rFonts w:cs="Arial"/>
            <w:color w:val="0000FF"/>
            <w:szCs w:val="20"/>
            <w:u w:val="single"/>
          </w:rPr>
          <w:t>https://www.umar.gov.si/fileadmin/user_upload/publikacije/dz/2018/Indeks_razvojne_ogrozenosti_regij_2014_2020_metodologija_izracuna.pdf</w:t>
        </w:r>
      </w:hyperlink>
    </w:p>
    <w:p w14:paraId="01E0DAD7" w14:textId="77777777" w:rsidR="00674734" w:rsidRPr="0048666D" w:rsidRDefault="00005858" w:rsidP="000A650F">
      <w:pPr>
        <w:numPr>
          <w:ilvl w:val="0"/>
          <w:numId w:val="48"/>
        </w:numPr>
        <w:spacing w:after="0" w:line="240" w:lineRule="auto"/>
        <w:ind w:left="0"/>
        <w:contextualSpacing/>
        <w:jc w:val="both"/>
        <w:rPr>
          <w:rFonts w:cs="Arial"/>
          <w:szCs w:val="20"/>
        </w:rPr>
      </w:pPr>
      <w:r w:rsidRPr="0048666D">
        <w:rPr>
          <w:rFonts w:cs="Arial"/>
          <w:i/>
          <w:szCs w:val="20"/>
        </w:rPr>
        <w:t>Informacija o poslovanju društev v Republiki Sloveniji v letu 2008</w:t>
      </w:r>
      <w:r w:rsidRPr="0048666D">
        <w:rPr>
          <w:rFonts w:cs="Arial"/>
          <w:szCs w:val="20"/>
        </w:rPr>
        <w:t>. (2009). Pridobljeno s https://www.ajpes.si/doc/LP/Informacije/Informacija_LP_drustva_2008.pdf</w:t>
      </w:r>
    </w:p>
    <w:p w14:paraId="2A381292" w14:textId="77777777" w:rsidR="00674734" w:rsidRPr="0048666D" w:rsidRDefault="00005858" w:rsidP="000A650F">
      <w:pPr>
        <w:numPr>
          <w:ilvl w:val="0"/>
          <w:numId w:val="48"/>
        </w:numPr>
        <w:spacing w:after="0" w:line="240" w:lineRule="auto"/>
        <w:ind w:left="0"/>
        <w:contextualSpacing/>
        <w:jc w:val="both"/>
        <w:rPr>
          <w:rFonts w:cs="Arial"/>
          <w:szCs w:val="20"/>
        </w:rPr>
      </w:pPr>
      <w:r w:rsidRPr="0048666D">
        <w:rPr>
          <w:rFonts w:cs="Arial"/>
          <w:i/>
          <w:szCs w:val="20"/>
        </w:rPr>
        <w:t>Informacija o poslovanju društev v Republiki Sloveniji v letu 2013</w:t>
      </w:r>
      <w:r w:rsidRPr="0048666D">
        <w:rPr>
          <w:rFonts w:cs="Arial"/>
          <w:szCs w:val="20"/>
        </w:rPr>
        <w:t>. (2014). Pridobljeno s https://www.ajpes.si/doc/LP/Informacije/Informacija_LP_drustva_2013.pdf</w:t>
      </w:r>
    </w:p>
    <w:p w14:paraId="442D21D0" w14:textId="77777777" w:rsidR="00674734" w:rsidRPr="0048666D" w:rsidRDefault="00005858" w:rsidP="000A650F">
      <w:pPr>
        <w:numPr>
          <w:ilvl w:val="0"/>
          <w:numId w:val="48"/>
        </w:numPr>
        <w:spacing w:after="0" w:line="240" w:lineRule="auto"/>
        <w:ind w:left="0"/>
        <w:contextualSpacing/>
        <w:jc w:val="both"/>
        <w:rPr>
          <w:rFonts w:cs="Arial"/>
          <w:szCs w:val="20"/>
        </w:rPr>
      </w:pPr>
      <w:r w:rsidRPr="0048666D">
        <w:rPr>
          <w:rFonts w:cs="Arial"/>
          <w:i/>
          <w:szCs w:val="20"/>
        </w:rPr>
        <w:t>Informacija o poslovanju društev v Republiki Sloveniji v letu 2018</w:t>
      </w:r>
      <w:r w:rsidRPr="0048666D">
        <w:rPr>
          <w:rFonts w:cs="Arial"/>
          <w:szCs w:val="20"/>
        </w:rPr>
        <w:t xml:space="preserve">. (2019). Pridobljeno s </w:t>
      </w:r>
      <w:hyperlink r:id="rId97" w:history="1">
        <w:r w:rsidRPr="0048666D">
          <w:rPr>
            <w:rFonts w:cs="Arial"/>
            <w:color w:val="0000FF"/>
            <w:szCs w:val="20"/>
            <w:u w:val="single"/>
          </w:rPr>
          <w:t>https://www.ajpes.si/Doc/LP/Informacije/Informacija_LP_drustva_2018.pdf</w:t>
        </w:r>
      </w:hyperlink>
    </w:p>
    <w:p w14:paraId="127710F1" w14:textId="77777777" w:rsidR="00005858" w:rsidRPr="0048666D" w:rsidRDefault="00005858" w:rsidP="000A650F">
      <w:pPr>
        <w:numPr>
          <w:ilvl w:val="0"/>
          <w:numId w:val="48"/>
        </w:numPr>
        <w:spacing w:after="0" w:line="240" w:lineRule="auto"/>
        <w:ind w:left="0"/>
        <w:jc w:val="both"/>
        <w:rPr>
          <w:rFonts w:eastAsia="Times New Roman" w:cs="Arial"/>
          <w:szCs w:val="20"/>
          <w:lang w:eastAsia="en-GB"/>
        </w:rPr>
      </w:pPr>
      <w:r w:rsidRPr="0048666D">
        <w:rPr>
          <w:rFonts w:eastAsia="Times New Roman" w:cs="Arial"/>
          <w:i/>
          <w:szCs w:val="20"/>
          <w:lang w:eastAsia="en-GB"/>
        </w:rPr>
        <w:t>Informacija o poslovanju nepridobitnih organizacij – pravnih oseb zasebnega prava v Republiki Sloveniji v letu 2008</w:t>
      </w:r>
      <w:r w:rsidRPr="0048666D">
        <w:rPr>
          <w:rFonts w:eastAsia="Times New Roman" w:cs="Arial"/>
          <w:szCs w:val="20"/>
          <w:lang w:eastAsia="en-GB"/>
        </w:rPr>
        <w:t xml:space="preserve">. (2009). Pridobljeno s https://www.ajpes.si/doc/LP/Informacije/Informacija_LP_nepridobitne_organizacije_2008.pdf </w:t>
      </w:r>
    </w:p>
    <w:p w14:paraId="7CD1A1FF" w14:textId="77777777" w:rsidR="00005858" w:rsidRPr="0048666D" w:rsidRDefault="00005858" w:rsidP="000A650F">
      <w:pPr>
        <w:numPr>
          <w:ilvl w:val="0"/>
          <w:numId w:val="48"/>
        </w:numPr>
        <w:spacing w:after="0" w:line="240" w:lineRule="auto"/>
        <w:ind w:left="0"/>
        <w:jc w:val="both"/>
        <w:rPr>
          <w:rFonts w:eastAsia="Times New Roman" w:cs="Arial"/>
          <w:szCs w:val="20"/>
          <w:lang w:eastAsia="en-GB"/>
        </w:rPr>
      </w:pPr>
      <w:r w:rsidRPr="0048666D">
        <w:rPr>
          <w:rFonts w:eastAsia="Times New Roman" w:cs="Arial"/>
          <w:i/>
          <w:szCs w:val="20"/>
          <w:lang w:eastAsia="en-GB"/>
        </w:rPr>
        <w:t>Informacija o poslovanju nepridobitnih organizacij – pravnih oseb zasebnega prava v Republiki Sloveniji v letu 2013</w:t>
      </w:r>
      <w:r w:rsidRPr="0048666D">
        <w:rPr>
          <w:rFonts w:eastAsia="Times New Roman" w:cs="Arial"/>
          <w:szCs w:val="20"/>
          <w:lang w:eastAsia="en-GB"/>
        </w:rPr>
        <w:t xml:space="preserve">. (2014). Pridobljeno s </w:t>
      </w:r>
      <w:hyperlink r:id="rId98" w:history="1">
        <w:r w:rsidRPr="0048666D">
          <w:rPr>
            <w:rFonts w:eastAsia="Times New Roman" w:cs="Arial"/>
            <w:color w:val="0000FF"/>
            <w:szCs w:val="20"/>
            <w:u w:val="single"/>
            <w:lang w:eastAsia="en-GB"/>
          </w:rPr>
          <w:t>https://www.ajpes.si/doc/LP/Informacije/Informacija_LP_nepridobitne_organizacije_2013.pdf</w:t>
        </w:r>
      </w:hyperlink>
    </w:p>
    <w:p w14:paraId="1140B989" w14:textId="77777777" w:rsidR="00005858" w:rsidRPr="0048666D" w:rsidRDefault="00005858" w:rsidP="000A650F">
      <w:pPr>
        <w:numPr>
          <w:ilvl w:val="0"/>
          <w:numId w:val="48"/>
        </w:numPr>
        <w:spacing w:after="0" w:line="240" w:lineRule="auto"/>
        <w:ind w:left="0"/>
        <w:jc w:val="both"/>
        <w:rPr>
          <w:rFonts w:eastAsia="Times New Roman" w:cs="Arial"/>
          <w:szCs w:val="20"/>
          <w:lang w:eastAsia="en-GB"/>
        </w:rPr>
      </w:pPr>
      <w:r w:rsidRPr="0048666D">
        <w:rPr>
          <w:rFonts w:eastAsia="Times New Roman" w:cs="Arial"/>
          <w:i/>
          <w:szCs w:val="20"/>
          <w:lang w:eastAsia="en-GB"/>
        </w:rPr>
        <w:t>Informacija o poslovanju nepridobitnih organizacij – pravnih oseb zasebnega prava v Republiki Sloveniji v letu 2018</w:t>
      </w:r>
      <w:r w:rsidRPr="0048666D">
        <w:rPr>
          <w:rFonts w:eastAsia="Times New Roman" w:cs="Arial"/>
          <w:szCs w:val="20"/>
          <w:lang w:eastAsia="en-GB"/>
        </w:rPr>
        <w:t xml:space="preserve">. (2019). Pridobljeno s </w:t>
      </w:r>
      <w:hyperlink r:id="rId99" w:history="1">
        <w:r w:rsidRPr="0048666D">
          <w:rPr>
            <w:rFonts w:eastAsia="Times New Roman" w:cs="Arial"/>
            <w:color w:val="0000FF"/>
            <w:szCs w:val="20"/>
            <w:u w:val="single"/>
            <w:lang w:eastAsia="en-GB"/>
          </w:rPr>
          <w:t>https://www.ajpes.si/Doc/LP/Informacije/Informacija_LP_nepridobitne_organizacije_2018.pdf</w:t>
        </w:r>
      </w:hyperlink>
    </w:p>
    <w:p w14:paraId="7B1A8705" w14:textId="77777777" w:rsidR="00674734" w:rsidRPr="0048666D" w:rsidRDefault="00005858" w:rsidP="000A650F">
      <w:pPr>
        <w:numPr>
          <w:ilvl w:val="0"/>
          <w:numId w:val="48"/>
        </w:numPr>
        <w:spacing w:after="0" w:line="240" w:lineRule="auto"/>
        <w:ind w:left="0"/>
        <w:jc w:val="both"/>
        <w:rPr>
          <w:rFonts w:eastAsia="Times New Roman" w:cs="Arial"/>
          <w:szCs w:val="20"/>
          <w:lang w:eastAsia="en-GB"/>
        </w:rPr>
      </w:pPr>
      <w:r w:rsidRPr="0048666D">
        <w:rPr>
          <w:rFonts w:eastAsia="Times New Roman" w:cs="Arial"/>
          <w:i/>
          <w:szCs w:val="20"/>
          <w:lang w:eastAsia="en-GB"/>
        </w:rPr>
        <w:t xml:space="preserve">Izvajanje pomoči na domu, Analiza stanja v letu 2017 </w:t>
      </w:r>
      <w:r w:rsidRPr="0048666D">
        <w:rPr>
          <w:rFonts w:eastAsia="Times New Roman" w:cs="Arial"/>
          <w:szCs w:val="20"/>
          <w:lang w:eastAsia="en-GB"/>
        </w:rPr>
        <w:t xml:space="preserve">(končno poročilo). (2018). Pridobljeno s </w:t>
      </w:r>
      <w:hyperlink r:id="rId100" w:history="1">
        <w:r w:rsidRPr="0048666D">
          <w:rPr>
            <w:rFonts w:eastAsia="Times New Roman" w:cs="Arial"/>
            <w:color w:val="0000FF"/>
            <w:szCs w:val="20"/>
            <w:u w:val="single"/>
            <w:lang w:eastAsia="en-GB"/>
          </w:rPr>
          <w:t>https://www.irssv.si/upload2/Analiza%20izvajanja%20PND%20za%20leto%202017.pdf</w:t>
        </w:r>
      </w:hyperlink>
    </w:p>
    <w:p w14:paraId="43BACB3E" w14:textId="77777777" w:rsidR="00005858" w:rsidRPr="0048666D" w:rsidRDefault="00005858" w:rsidP="000A650F">
      <w:pPr>
        <w:numPr>
          <w:ilvl w:val="0"/>
          <w:numId w:val="48"/>
        </w:numPr>
        <w:spacing w:after="0" w:line="240" w:lineRule="auto"/>
        <w:ind w:left="0"/>
        <w:jc w:val="both"/>
        <w:rPr>
          <w:rFonts w:cs="Arial"/>
          <w:szCs w:val="20"/>
        </w:rPr>
      </w:pPr>
      <w:r w:rsidRPr="0048666D">
        <w:rPr>
          <w:rFonts w:cs="Arial"/>
          <w:szCs w:val="20"/>
        </w:rPr>
        <w:t xml:space="preserve">Javni pregledovalnik grafičnih podatkov MKGP-RKG: </w:t>
      </w:r>
      <w:hyperlink r:id="rId101" w:history="1">
        <w:r w:rsidRPr="0048666D">
          <w:rPr>
            <w:rFonts w:cs="Arial"/>
            <w:color w:val="0000FF"/>
            <w:szCs w:val="20"/>
            <w:u w:val="single"/>
          </w:rPr>
          <w:t>https://rkg.gov.si/vstop/</w:t>
        </w:r>
      </w:hyperlink>
    </w:p>
    <w:p w14:paraId="7013F03F" w14:textId="77777777" w:rsidR="00005858" w:rsidRPr="0048666D" w:rsidRDefault="00005858" w:rsidP="000A650F">
      <w:pPr>
        <w:numPr>
          <w:ilvl w:val="0"/>
          <w:numId w:val="48"/>
        </w:numPr>
        <w:tabs>
          <w:tab w:val="left" w:pos="283"/>
        </w:tabs>
        <w:spacing w:after="0" w:line="240" w:lineRule="auto"/>
        <w:ind w:left="0"/>
        <w:jc w:val="both"/>
        <w:rPr>
          <w:rFonts w:eastAsia="Times New Roman" w:cs="Arial"/>
          <w:szCs w:val="20"/>
          <w:lang w:eastAsia="en-GB"/>
        </w:rPr>
      </w:pPr>
      <w:r w:rsidRPr="0048666D">
        <w:rPr>
          <w:rFonts w:eastAsia="Times New Roman" w:cs="Arial"/>
          <w:szCs w:val="20"/>
          <w:lang w:eastAsia="en-GB"/>
        </w:rPr>
        <w:t xml:space="preserve">Jež. M. in Verovnik, R. 2017. Monitoring borovničevega mnogooka </w:t>
      </w:r>
      <w:proofErr w:type="spellStart"/>
      <w:r w:rsidRPr="0048666D">
        <w:rPr>
          <w:rFonts w:eastAsia="Times New Roman" w:cs="Arial"/>
          <w:i/>
          <w:szCs w:val="20"/>
          <w:lang w:eastAsia="en-GB"/>
        </w:rPr>
        <w:t>Plebejus</w:t>
      </w:r>
      <w:proofErr w:type="spellEnd"/>
      <w:r w:rsidRPr="0048666D">
        <w:rPr>
          <w:rFonts w:eastAsia="Times New Roman" w:cs="Arial"/>
          <w:i/>
          <w:szCs w:val="20"/>
          <w:lang w:eastAsia="en-GB"/>
        </w:rPr>
        <w:t xml:space="preserve"> </w:t>
      </w:r>
      <w:proofErr w:type="spellStart"/>
      <w:r w:rsidRPr="0048666D">
        <w:rPr>
          <w:rFonts w:eastAsia="Times New Roman" w:cs="Arial"/>
          <w:i/>
          <w:szCs w:val="20"/>
          <w:lang w:eastAsia="en-GB"/>
        </w:rPr>
        <w:t>optilete</w:t>
      </w:r>
      <w:proofErr w:type="spellEnd"/>
      <w:r w:rsidRPr="0048666D">
        <w:rPr>
          <w:rFonts w:eastAsia="Times New Roman" w:cs="Arial"/>
          <w:szCs w:val="20"/>
          <w:lang w:eastAsia="en-GB"/>
        </w:rPr>
        <w:t xml:space="preserve"> (</w:t>
      </w:r>
      <w:proofErr w:type="spellStart"/>
      <w:r w:rsidRPr="0048666D">
        <w:rPr>
          <w:rFonts w:eastAsia="Times New Roman" w:cs="Arial"/>
          <w:szCs w:val="20"/>
          <w:lang w:eastAsia="en-GB"/>
        </w:rPr>
        <w:t>Knoch</w:t>
      </w:r>
      <w:proofErr w:type="spellEnd"/>
      <w:r w:rsidRPr="0048666D">
        <w:rPr>
          <w:rFonts w:eastAsia="Times New Roman" w:cs="Arial"/>
          <w:szCs w:val="20"/>
          <w:lang w:eastAsia="en-GB"/>
        </w:rPr>
        <w:t>, 1781) (</w:t>
      </w:r>
      <w:proofErr w:type="spellStart"/>
      <w:r w:rsidRPr="0048666D">
        <w:rPr>
          <w:rFonts w:eastAsia="Times New Roman" w:cs="Arial"/>
          <w:szCs w:val="20"/>
          <w:lang w:eastAsia="en-GB"/>
        </w:rPr>
        <w:t>Lepidoptera</w:t>
      </w:r>
      <w:proofErr w:type="spellEnd"/>
      <w:r w:rsidRPr="0048666D">
        <w:rPr>
          <w:rFonts w:eastAsia="Times New Roman" w:cs="Arial"/>
          <w:szCs w:val="20"/>
          <w:lang w:eastAsia="en-GB"/>
        </w:rPr>
        <w:t xml:space="preserve">: </w:t>
      </w:r>
      <w:proofErr w:type="spellStart"/>
      <w:r w:rsidRPr="0048666D">
        <w:rPr>
          <w:rFonts w:eastAsia="Times New Roman" w:cs="Arial"/>
          <w:szCs w:val="20"/>
          <w:lang w:eastAsia="en-GB"/>
        </w:rPr>
        <w:t>Lycaenidae</w:t>
      </w:r>
      <w:proofErr w:type="spellEnd"/>
      <w:r w:rsidRPr="0048666D">
        <w:rPr>
          <w:rFonts w:eastAsia="Times New Roman" w:cs="Arial"/>
          <w:szCs w:val="20"/>
          <w:lang w:eastAsia="en-GB"/>
        </w:rPr>
        <w:t xml:space="preserve">) na Pohorju. </w:t>
      </w:r>
      <w:r w:rsidRPr="0048666D">
        <w:rPr>
          <w:rFonts w:eastAsia="Times New Roman" w:cs="Arial"/>
          <w:szCs w:val="20"/>
          <w:lang w:eastAsia="sl-SI"/>
        </w:rPr>
        <w:t xml:space="preserve">NATURA SLOVENIAE 19(2): 15-27: </w:t>
      </w:r>
      <w:hyperlink r:id="rId102" w:history="1">
        <w:r w:rsidRPr="0048666D">
          <w:rPr>
            <w:rFonts w:eastAsia="Times New Roman" w:cs="Arial"/>
            <w:color w:val="0000FF"/>
            <w:szCs w:val="20"/>
            <w:u w:val="single"/>
            <w:lang w:eastAsia="sl-SI"/>
          </w:rPr>
          <w:t>http://web.bf.uni-lj.si/bi/NATURA-SLOVENIAE/pdf/NatSlo_19_2_2.pdf</w:t>
        </w:r>
      </w:hyperlink>
    </w:p>
    <w:p w14:paraId="47F4A236" w14:textId="77777777" w:rsidR="00005858" w:rsidRPr="0048666D" w:rsidRDefault="00005858" w:rsidP="000A650F">
      <w:pPr>
        <w:numPr>
          <w:ilvl w:val="0"/>
          <w:numId w:val="48"/>
        </w:numPr>
        <w:tabs>
          <w:tab w:val="left" w:pos="283"/>
        </w:tabs>
        <w:spacing w:after="0" w:line="240" w:lineRule="auto"/>
        <w:ind w:left="0"/>
        <w:jc w:val="both"/>
        <w:rPr>
          <w:rFonts w:cs="Arial"/>
          <w:szCs w:val="20"/>
        </w:rPr>
      </w:pPr>
      <w:r w:rsidRPr="0048666D">
        <w:rPr>
          <w:rFonts w:cs="Arial"/>
          <w:szCs w:val="20"/>
        </w:rPr>
        <w:t xml:space="preserve">Kazalci okolja v Sloveniji, ARSO: </w:t>
      </w:r>
      <w:hyperlink r:id="rId103" w:history="1">
        <w:r w:rsidRPr="0048666D">
          <w:rPr>
            <w:rFonts w:cs="Arial"/>
            <w:color w:val="0000FF"/>
            <w:szCs w:val="20"/>
            <w:u w:val="single"/>
          </w:rPr>
          <w:t>http://kazalci.arso.gov.si/</w:t>
        </w:r>
      </w:hyperlink>
    </w:p>
    <w:p w14:paraId="0EFFDF3E" w14:textId="77777777" w:rsidR="00005858" w:rsidRPr="0048666D" w:rsidRDefault="00005858" w:rsidP="000A650F">
      <w:pPr>
        <w:numPr>
          <w:ilvl w:val="0"/>
          <w:numId w:val="48"/>
        </w:numPr>
        <w:spacing w:after="0" w:line="240" w:lineRule="auto"/>
        <w:ind w:left="0"/>
        <w:contextualSpacing/>
        <w:jc w:val="both"/>
        <w:rPr>
          <w:rFonts w:cs="Arial"/>
          <w:szCs w:val="20"/>
        </w:rPr>
      </w:pPr>
      <w:r w:rsidRPr="0048666D">
        <w:rPr>
          <w:rFonts w:cs="Arial"/>
          <w:szCs w:val="20"/>
          <w:lang w:eastAsia="sl-SI"/>
        </w:rPr>
        <w:t xml:space="preserve">Klemenčič M., Lampič B. in Potočnik Slavič I. (2008). </w:t>
      </w:r>
      <w:r w:rsidRPr="0048666D">
        <w:rPr>
          <w:rFonts w:cs="Arial"/>
          <w:i/>
          <w:szCs w:val="20"/>
          <w:lang w:eastAsia="sl-SI"/>
        </w:rPr>
        <w:t>Življenjska (ne)moč obrobnih podeželskih območij v Sloveniji</w:t>
      </w:r>
      <w:r w:rsidRPr="0048666D">
        <w:rPr>
          <w:rFonts w:cs="Arial"/>
          <w:szCs w:val="20"/>
          <w:lang w:eastAsia="sl-SI"/>
        </w:rPr>
        <w:t xml:space="preserve">. </w:t>
      </w:r>
      <w:r w:rsidRPr="0048666D">
        <w:rPr>
          <w:rFonts w:cs="Arial"/>
          <w:szCs w:val="20"/>
        </w:rPr>
        <w:t>Ljubljana : Znanstvena založba Filozofske fakultete, Oddelek za geografijo.</w:t>
      </w:r>
    </w:p>
    <w:p w14:paraId="0923F70A" w14:textId="77777777" w:rsidR="00005858" w:rsidRPr="0048666D" w:rsidRDefault="00005858" w:rsidP="000A650F">
      <w:pPr>
        <w:numPr>
          <w:ilvl w:val="0"/>
          <w:numId w:val="48"/>
        </w:numPr>
        <w:spacing w:after="0" w:line="240" w:lineRule="auto"/>
        <w:ind w:left="0"/>
        <w:jc w:val="both"/>
        <w:rPr>
          <w:rFonts w:cs="Arial"/>
          <w:szCs w:val="20"/>
        </w:rPr>
      </w:pPr>
      <w:r w:rsidRPr="0048666D">
        <w:rPr>
          <w:rFonts w:cs="Arial"/>
          <w:szCs w:val="20"/>
        </w:rPr>
        <w:t xml:space="preserve">Ključni cilji prihodnje SKP: </w:t>
      </w:r>
      <w:hyperlink r:id="rId104" w:history="1">
        <w:r w:rsidRPr="0048666D">
          <w:rPr>
            <w:rFonts w:cs="Arial"/>
            <w:color w:val="0000FF"/>
            <w:szCs w:val="20"/>
            <w:u w:val="single"/>
          </w:rPr>
          <w:t>https://ec.europa.eu/info/food-farming-fisheries/key-policies/common-agricultural-policy/future-cap/key-policy-objectives-future-cap_sl</w:t>
        </w:r>
      </w:hyperlink>
    </w:p>
    <w:p w14:paraId="43C8DFDF" w14:textId="77777777" w:rsidR="00005858" w:rsidRPr="0048666D" w:rsidRDefault="00005858" w:rsidP="000A650F">
      <w:pPr>
        <w:numPr>
          <w:ilvl w:val="0"/>
          <w:numId w:val="48"/>
        </w:numPr>
        <w:tabs>
          <w:tab w:val="left" w:pos="283"/>
        </w:tabs>
        <w:spacing w:after="0" w:line="240" w:lineRule="auto"/>
        <w:ind w:left="0"/>
        <w:jc w:val="both"/>
        <w:rPr>
          <w:rFonts w:cs="Arial"/>
          <w:color w:val="0000FF"/>
          <w:szCs w:val="20"/>
          <w:u w:val="single"/>
        </w:rPr>
      </w:pPr>
      <w:r w:rsidRPr="0048666D">
        <w:rPr>
          <w:rFonts w:cs="Arial"/>
          <w:szCs w:val="20"/>
        </w:rPr>
        <w:t xml:space="preserve">Kmetijski inštitut Slovenije in Inštitut za ekonomska raziskovanja. 2015. </w:t>
      </w:r>
      <w:r w:rsidRPr="0048666D">
        <w:rPr>
          <w:rFonts w:cs="Arial"/>
          <w:noProof/>
          <w:szCs w:val="20"/>
        </w:rPr>
        <w:t xml:space="preserve">Izdelava sprotnega vrednotenja Programa razvoja podeželja 2007–2013 v letu 2014 – Sklop 1: Vrednotenje vplivov plačil I. stebra SKP in investicijskih ukrepov na uspešnost izvajanja KOP (PRP 2007–2013) – končno poročilo: </w:t>
      </w:r>
      <w:hyperlink r:id="rId105" w:history="1">
        <w:r w:rsidRPr="0048666D">
          <w:rPr>
            <w:rFonts w:cs="Arial"/>
            <w:color w:val="0000FF"/>
            <w:szCs w:val="20"/>
            <w:u w:val="single"/>
          </w:rPr>
          <w:t>https://www.program-podezelja.si/images/SPLETNA_STRAN_PRP_NOVA/2_PRP_2007-2013/2_4_Spremljanje_in_vrednotenje/Vrednotenje/Sprotno_vrednotenje_2014_-_sklop_1.pdf</w:t>
        </w:r>
      </w:hyperlink>
    </w:p>
    <w:p w14:paraId="0C41526B" w14:textId="77777777" w:rsidR="00005858" w:rsidRPr="0048666D" w:rsidRDefault="00005858" w:rsidP="000A650F">
      <w:pPr>
        <w:numPr>
          <w:ilvl w:val="0"/>
          <w:numId w:val="48"/>
        </w:numPr>
        <w:spacing w:after="0" w:line="240" w:lineRule="auto"/>
        <w:ind w:left="0"/>
        <w:jc w:val="both"/>
        <w:rPr>
          <w:rFonts w:eastAsia="Times New Roman" w:cs="Arial"/>
          <w:szCs w:val="20"/>
          <w:lang w:eastAsia="en-GB"/>
        </w:rPr>
      </w:pPr>
      <w:r w:rsidRPr="0048666D">
        <w:rPr>
          <w:rFonts w:eastAsia="Times New Roman" w:cs="Arial"/>
          <w:i/>
          <w:szCs w:val="20"/>
          <w:lang w:eastAsia="en-GB"/>
        </w:rPr>
        <w:t>Kulturna dediščina, krajina in razvoj podeželja. Rezultati projekta, pridobljena spoznanja in splošna priporočila</w:t>
      </w:r>
      <w:r w:rsidRPr="0048666D">
        <w:rPr>
          <w:rFonts w:eastAsia="Times New Roman" w:cs="Arial"/>
          <w:szCs w:val="20"/>
          <w:lang w:eastAsia="en-GB"/>
        </w:rPr>
        <w:t>. (2014). Ljubljana: Univerza v Ljubljani.</w:t>
      </w:r>
    </w:p>
    <w:p w14:paraId="410395A2" w14:textId="77777777" w:rsidR="00005858" w:rsidRPr="0048666D" w:rsidRDefault="00005858" w:rsidP="000A650F">
      <w:pPr>
        <w:numPr>
          <w:ilvl w:val="0"/>
          <w:numId w:val="48"/>
        </w:numPr>
        <w:spacing w:after="0" w:line="240" w:lineRule="auto"/>
        <w:ind w:left="0"/>
        <w:jc w:val="both"/>
        <w:rPr>
          <w:rFonts w:eastAsia="Times New Roman" w:cs="Arial"/>
          <w:szCs w:val="20"/>
          <w:lang w:eastAsia="en-GB"/>
        </w:rPr>
      </w:pPr>
      <w:r w:rsidRPr="0048666D">
        <w:rPr>
          <w:rFonts w:eastAsia="Times New Roman" w:cs="Arial"/>
          <w:szCs w:val="20"/>
          <w:lang w:eastAsia="en-GB"/>
        </w:rPr>
        <w:t xml:space="preserve">Kump N. (2017). </w:t>
      </w:r>
      <w:r w:rsidRPr="0048666D">
        <w:rPr>
          <w:rFonts w:eastAsia="Times New Roman" w:cs="Arial"/>
          <w:i/>
          <w:szCs w:val="20"/>
          <w:lang w:eastAsia="en-GB"/>
        </w:rPr>
        <w:t>Socialno-ekonomski položaj upokojencev in starejšega prebivalstva v Sloveniji: končno poročilo</w:t>
      </w:r>
      <w:r w:rsidRPr="0048666D">
        <w:rPr>
          <w:rFonts w:eastAsia="Times New Roman" w:cs="Arial"/>
          <w:szCs w:val="20"/>
          <w:lang w:eastAsia="en-GB"/>
        </w:rPr>
        <w:t xml:space="preserve">. Pridobljeno s </w:t>
      </w:r>
      <w:hyperlink r:id="rId106" w:history="1">
        <w:r w:rsidRPr="0048666D">
          <w:rPr>
            <w:rFonts w:eastAsia="Times New Roman" w:cs="Arial"/>
            <w:color w:val="0000FF"/>
            <w:szCs w:val="20"/>
            <w:u w:val="single"/>
            <w:lang w:eastAsia="en-GB"/>
          </w:rPr>
          <w:t>https://www.zpiz.si/cms/engine/download.php?actionID=inf&amp;id=75&amp;name=Raziskava%20Socialno-ekonomski%20polo%C5%BEaj%20upokojencev%20v%20RS_2017.pdf</w:t>
        </w:r>
      </w:hyperlink>
    </w:p>
    <w:p w14:paraId="41903B9F" w14:textId="77777777" w:rsidR="00005858" w:rsidRPr="0048666D" w:rsidRDefault="00005858" w:rsidP="000A650F">
      <w:pPr>
        <w:numPr>
          <w:ilvl w:val="0"/>
          <w:numId w:val="48"/>
        </w:numPr>
        <w:spacing w:after="0" w:line="240" w:lineRule="auto"/>
        <w:ind w:left="0"/>
        <w:jc w:val="both"/>
        <w:rPr>
          <w:rFonts w:eastAsia="Times New Roman" w:cs="Arial"/>
          <w:szCs w:val="20"/>
          <w:lang w:eastAsia="en-GB"/>
        </w:rPr>
      </w:pPr>
      <w:r w:rsidRPr="0048666D">
        <w:rPr>
          <w:rFonts w:eastAsia="Times New Roman" w:cs="Arial"/>
          <w:szCs w:val="20"/>
          <w:lang w:eastAsia="en-GB"/>
        </w:rPr>
        <w:t xml:space="preserve">Kušar S. in Bobovnik N. (2019). Razvojna problematika obmejnih problemskih območij. V Nared J., Polajnar Horvat K. in Razpotnik </w:t>
      </w:r>
      <w:proofErr w:type="spellStart"/>
      <w:r w:rsidRPr="0048666D">
        <w:rPr>
          <w:rFonts w:eastAsia="Times New Roman" w:cs="Arial"/>
          <w:szCs w:val="20"/>
          <w:lang w:eastAsia="en-GB"/>
        </w:rPr>
        <w:t>Visković</w:t>
      </w:r>
      <w:proofErr w:type="spellEnd"/>
      <w:r w:rsidRPr="0048666D">
        <w:rPr>
          <w:rFonts w:eastAsia="Times New Roman" w:cs="Arial"/>
          <w:szCs w:val="20"/>
          <w:lang w:eastAsia="en-GB"/>
        </w:rPr>
        <w:t xml:space="preserve"> N. (ur.). </w:t>
      </w:r>
      <w:r w:rsidRPr="0048666D">
        <w:rPr>
          <w:rFonts w:eastAsia="Times New Roman" w:cs="Arial"/>
          <w:i/>
          <w:szCs w:val="20"/>
          <w:lang w:eastAsia="en-GB"/>
        </w:rPr>
        <w:t>Demografske spremembe in regionalni razvoj</w:t>
      </w:r>
      <w:r w:rsidRPr="0048666D">
        <w:rPr>
          <w:rFonts w:eastAsia="Times New Roman" w:cs="Arial"/>
          <w:szCs w:val="20"/>
          <w:lang w:eastAsia="en-GB"/>
        </w:rPr>
        <w:t>. Ljubljana: ZRC SAZU, Geografski inštitut Antona Melika</w:t>
      </w:r>
    </w:p>
    <w:p w14:paraId="554C1F72" w14:textId="77777777" w:rsidR="00005858" w:rsidRPr="0048666D" w:rsidRDefault="00005858" w:rsidP="000A650F">
      <w:pPr>
        <w:numPr>
          <w:ilvl w:val="0"/>
          <w:numId w:val="48"/>
        </w:numPr>
        <w:spacing w:after="0" w:line="240" w:lineRule="auto"/>
        <w:ind w:left="0"/>
        <w:jc w:val="both"/>
        <w:rPr>
          <w:rFonts w:cs="Arial"/>
          <w:szCs w:val="20"/>
        </w:rPr>
      </w:pPr>
      <w:r w:rsidRPr="0048666D">
        <w:rPr>
          <w:rFonts w:cs="Arial"/>
          <w:szCs w:val="20"/>
        </w:rPr>
        <w:t xml:space="preserve">Letna poročila o izvajanju Programa razvoja podeželja RS za obdobje 2014-2020: </w:t>
      </w:r>
      <w:hyperlink r:id="rId107" w:history="1">
        <w:r w:rsidRPr="0048666D">
          <w:rPr>
            <w:rFonts w:cs="Arial"/>
            <w:color w:val="0000FF"/>
            <w:szCs w:val="20"/>
            <w:u w:val="single"/>
          </w:rPr>
          <w:t>https://program-podezelja.si/sl/kaj-je-program-razvoja-podezelja-2014-2020/spremljanje-in-vrednotenje/spremljanje-prp</w:t>
        </w:r>
      </w:hyperlink>
    </w:p>
    <w:p w14:paraId="645F4CB3" w14:textId="77777777" w:rsidR="00005858" w:rsidRPr="0048666D" w:rsidRDefault="00005858" w:rsidP="000A650F">
      <w:pPr>
        <w:numPr>
          <w:ilvl w:val="0"/>
          <w:numId w:val="48"/>
        </w:numPr>
        <w:spacing w:after="0" w:line="240" w:lineRule="auto"/>
        <w:ind w:left="0"/>
        <w:jc w:val="both"/>
        <w:rPr>
          <w:rFonts w:eastAsia="Times New Roman" w:cs="Arial"/>
          <w:szCs w:val="20"/>
          <w:lang w:eastAsia="en-GB"/>
        </w:rPr>
      </w:pPr>
      <w:r w:rsidRPr="0048666D">
        <w:rPr>
          <w:rFonts w:eastAsia="Times New Roman" w:cs="Arial"/>
          <w:i/>
          <w:szCs w:val="20"/>
          <w:lang w:eastAsia="en-GB"/>
        </w:rPr>
        <w:t>Letno poročilo AJPES za leto 2016</w:t>
      </w:r>
      <w:r w:rsidRPr="0048666D">
        <w:rPr>
          <w:rFonts w:eastAsia="Times New Roman" w:cs="Arial"/>
          <w:szCs w:val="20"/>
          <w:lang w:eastAsia="en-GB"/>
        </w:rPr>
        <w:t xml:space="preserve">. (2017). Pridobljeno s </w:t>
      </w:r>
      <w:hyperlink r:id="rId108" w:history="1">
        <w:r w:rsidRPr="0048666D">
          <w:rPr>
            <w:rFonts w:eastAsia="Times New Roman" w:cs="Arial"/>
            <w:color w:val="0000FF"/>
            <w:szCs w:val="20"/>
            <w:u w:val="single"/>
            <w:lang w:eastAsia="en-GB"/>
          </w:rPr>
          <w:t>https://www.ajpes.si/Doc/AJPES/KIJZ/Letno_porocilo_AJPES_za_leto_2016.pdf</w:t>
        </w:r>
      </w:hyperlink>
    </w:p>
    <w:p w14:paraId="370E6BA2" w14:textId="77777777" w:rsidR="00674734" w:rsidRPr="0048666D" w:rsidRDefault="00005858" w:rsidP="000A650F">
      <w:pPr>
        <w:numPr>
          <w:ilvl w:val="0"/>
          <w:numId w:val="48"/>
        </w:numPr>
        <w:spacing w:after="0" w:line="240" w:lineRule="auto"/>
        <w:ind w:left="0"/>
        <w:jc w:val="both"/>
        <w:rPr>
          <w:rFonts w:eastAsia="Times New Roman" w:cs="Arial"/>
          <w:szCs w:val="20"/>
          <w:lang w:eastAsia="en-GB"/>
        </w:rPr>
      </w:pPr>
      <w:r w:rsidRPr="0048666D">
        <w:rPr>
          <w:rFonts w:eastAsia="Times New Roman" w:cs="Arial"/>
          <w:i/>
          <w:szCs w:val="20"/>
          <w:lang w:eastAsia="en-GB"/>
        </w:rPr>
        <w:t>Letno poročilo AJPES za leto 2019</w:t>
      </w:r>
      <w:r w:rsidRPr="0048666D">
        <w:rPr>
          <w:rFonts w:eastAsia="Times New Roman" w:cs="Arial"/>
          <w:szCs w:val="20"/>
          <w:lang w:eastAsia="en-GB"/>
        </w:rPr>
        <w:t>. (2020). Pridobljeno s https://www.ajpes.si/Doc/AJPES/KIJZ/Letno_porocilo_AJPES_za_leto_2019.pdf</w:t>
      </w:r>
    </w:p>
    <w:p w14:paraId="3F440250" w14:textId="77777777" w:rsidR="00674734" w:rsidRPr="0048666D" w:rsidRDefault="00005858" w:rsidP="000A650F">
      <w:pPr>
        <w:numPr>
          <w:ilvl w:val="0"/>
          <w:numId w:val="48"/>
        </w:numPr>
        <w:spacing w:after="0" w:line="240" w:lineRule="auto"/>
        <w:ind w:left="0"/>
        <w:contextualSpacing/>
        <w:jc w:val="both"/>
        <w:rPr>
          <w:rFonts w:cs="Arial"/>
          <w:szCs w:val="20"/>
        </w:rPr>
      </w:pPr>
      <w:r w:rsidRPr="0048666D">
        <w:rPr>
          <w:rFonts w:cs="Arial"/>
          <w:bCs/>
          <w:i/>
          <w:szCs w:val="20"/>
        </w:rPr>
        <w:t>Letno poročilo o izvajanju za ESPR 2019</w:t>
      </w:r>
      <w:r w:rsidRPr="0048666D">
        <w:rPr>
          <w:rFonts w:cs="Arial"/>
          <w:bCs/>
          <w:szCs w:val="20"/>
        </w:rPr>
        <w:t>. (2019). Pridobljeno s http://www.ribiski-sklad.si/f/docs/Dokumenti/Implementation_report_2014SI14MFOP001_2018_0_.pdf</w:t>
      </w:r>
    </w:p>
    <w:p w14:paraId="2F199673" w14:textId="77777777" w:rsidR="00005858" w:rsidRPr="0048666D" w:rsidRDefault="00005858" w:rsidP="000A650F">
      <w:pPr>
        <w:numPr>
          <w:ilvl w:val="0"/>
          <w:numId w:val="48"/>
        </w:numPr>
        <w:spacing w:after="0" w:line="240" w:lineRule="auto"/>
        <w:ind w:left="0"/>
        <w:jc w:val="both"/>
        <w:rPr>
          <w:rFonts w:eastAsia="Times New Roman" w:cs="Arial"/>
          <w:szCs w:val="20"/>
          <w:lang w:eastAsia="en-GB"/>
        </w:rPr>
      </w:pPr>
      <w:r w:rsidRPr="0048666D">
        <w:rPr>
          <w:rFonts w:eastAsia="Times New Roman" w:cs="Arial"/>
          <w:szCs w:val="20"/>
          <w:lang w:eastAsia="en-GB"/>
        </w:rPr>
        <w:t xml:space="preserve">Ministrstvo za kulturo. (2020). </w:t>
      </w:r>
      <w:r w:rsidRPr="0048666D">
        <w:rPr>
          <w:rFonts w:eastAsia="Times New Roman" w:cs="Arial"/>
          <w:i/>
          <w:szCs w:val="20"/>
          <w:lang w:eastAsia="en-GB"/>
        </w:rPr>
        <w:t>Kulturna dediščina podeželja, Kratka analiza</w:t>
      </w:r>
      <w:r w:rsidRPr="0048666D">
        <w:rPr>
          <w:rFonts w:eastAsia="Times New Roman" w:cs="Arial"/>
          <w:szCs w:val="20"/>
          <w:lang w:eastAsia="en-GB"/>
        </w:rPr>
        <w:t xml:space="preserve"> </w:t>
      </w:r>
      <w:r w:rsidRPr="0048666D">
        <w:rPr>
          <w:rFonts w:eastAsia="Times New Roman" w:cs="Arial"/>
          <w:i/>
          <w:szCs w:val="20"/>
          <w:lang w:eastAsia="en-GB"/>
        </w:rPr>
        <w:t>stanja</w:t>
      </w:r>
      <w:r w:rsidRPr="0048666D">
        <w:rPr>
          <w:rFonts w:eastAsia="Times New Roman" w:cs="Arial"/>
          <w:szCs w:val="20"/>
          <w:lang w:eastAsia="en-GB"/>
        </w:rPr>
        <w:t xml:space="preserve"> (interno gradivo). Ministrstvo za kulturo, Ljubljana.</w:t>
      </w:r>
    </w:p>
    <w:p w14:paraId="03AD7606" w14:textId="77777777" w:rsidR="00674734" w:rsidRPr="0048666D" w:rsidRDefault="00005858" w:rsidP="000A650F">
      <w:pPr>
        <w:widowControl w:val="0"/>
        <w:numPr>
          <w:ilvl w:val="0"/>
          <w:numId w:val="48"/>
        </w:numPr>
        <w:autoSpaceDE w:val="0"/>
        <w:autoSpaceDN w:val="0"/>
        <w:adjustRightInd w:val="0"/>
        <w:spacing w:after="0" w:line="240" w:lineRule="auto"/>
        <w:ind w:left="0"/>
        <w:contextualSpacing/>
        <w:jc w:val="both"/>
        <w:rPr>
          <w:rFonts w:cs="Arial"/>
          <w:szCs w:val="20"/>
        </w:rPr>
      </w:pPr>
      <w:r w:rsidRPr="0048666D">
        <w:rPr>
          <w:rFonts w:cs="Arial"/>
          <w:szCs w:val="20"/>
        </w:rPr>
        <w:t xml:space="preserve">MKGP. (2020). </w:t>
      </w:r>
      <w:r w:rsidRPr="0048666D">
        <w:rPr>
          <w:rFonts w:cs="Arial"/>
          <w:i/>
          <w:szCs w:val="20"/>
        </w:rPr>
        <w:t>Analiza ankete za pridobitev stališč o konceptu Pametnih vasi v Sloveniji</w:t>
      </w:r>
      <w:r w:rsidRPr="0048666D">
        <w:rPr>
          <w:rFonts w:cs="Arial"/>
          <w:szCs w:val="20"/>
        </w:rPr>
        <w:t xml:space="preserve"> (interno gradivo). Ministrstvo za kmetijstvo, gozdarstvo in prehrano, Ljubljana.</w:t>
      </w:r>
    </w:p>
    <w:p w14:paraId="30957928" w14:textId="77777777" w:rsidR="00674734" w:rsidRPr="0048666D" w:rsidRDefault="00005858" w:rsidP="000A650F">
      <w:pPr>
        <w:numPr>
          <w:ilvl w:val="0"/>
          <w:numId w:val="48"/>
        </w:numPr>
        <w:spacing w:after="0" w:line="240" w:lineRule="auto"/>
        <w:ind w:left="0"/>
        <w:jc w:val="both"/>
        <w:rPr>
          <w:rFonts w:eastAsia="Times New Roman" w:cs="Arial"/>
          <w:i/>
          <w:szCs w:val="20"/>
          <w:lang w:eastAsia="en-GB"/>
        </w:rPr>
      </w:pPr>
      <w:r w:rsidRPr="0048666D">
        <w:rPr>
          <w:rFonts w:eastAsia="Times New Roman" w:cs="Arial"/>
          <w:szCs w:val="20"/>
          <w:lang w:eastAsia="en-GB"/>
        </w:rPr>
        <w:lastRenderedPageBreak/>
        <w:t xml:space="preserve">MKGP. (2020). </w:t>
      </w:r>
      <w:r w:rsidRPr="0048666D">
        <w:rPr>
          <w:rFonts w:eastAsia="Times New Roman" w:cs="Arial"/>
          <w:i/>
          <w:szCs w:val="20"/>
          <w:lang w:eastAsia="en-GB"/>
        </w:rPr>
        <w:t>Analiza letnih poročil LAS za leto 2019</w:t>
      </w:r>
      <w:r w:rsidRPr="0048666D">
        <w:rPr>
          <w:rFonts w:eastAsia="Times New Roman" w:cs="Arial"/>
          <w:szCs w:val="20"/>
          <w:lang w:eastAsia="en-GB"/>
        </w:rPr>
        <w:t>, obdelava MKGP (interno gradivo). Ministrstvo za kmetijstvo, gozdarstvo in prehrano, Ljubljana.</w:t>
      </w:r>
      <w:r w:rsidRPr="0048666D">
        <w:rPr>
          <w:rFonts w:eastAsia="Times New Roman" w:cs="Arial"/>
          <w:i/>
          <w:szCs w:val="20"/>
          <w:lang w:eastAsia="en-GB"/>
        </w:rPr>
        <w:t xml:space="preserve"> </w:t>
      </w:r>
    </w:p>
    <w:p w14:paraId="7155B71D" w14:textId="77777777" w:rsidR="00005858" w:rsidRPr="0048666D" w:rsidRDefault="00005858" w:rsidP="000A650F">
      <w:pPr>
        <w:numPr>
          <w:ilvl w:val="0"/>
          <w:numId w:val="48"/>
        </w:numPr>
        <w:tabs>
          <w:tab w:val="left" w:pos="283"/>
        </w:tabs>
        <w:spacing w:after="0" w:line="240" w:lineRule="auto"/>
        <w:ind w:left="0"/>
        <w:jc w:val="both"/>
        <w:rPr>
          <w:rFonts w:cs="Arial"/>
          <w:szCs w:val="20"/>
        </w:rPr>
      </w:pPr>
      <w:r w:rsidRPr="0048666D">
        <w:rPr>
          <w:rFonts w:cs="Arial"/>
          <w:szCs w:val="20"/>
        </w:rPr>
        <w:t xml:space="preserve">Modelne kalkulacije Kmetijskega inštituta Slovenije: </w:t>
      </w:r>
      <w:hyperlink r:id="rId109" w:history="1">
        <w:r w:rsidRPr="0048666D">
          <w:rPr>
            <w:rFonts w:cs="Arial"/>
            <w:color w:val="0000FF"/>
            <w:szCs w:val="20"/>
            <w:u w:val="single"/>
          </w:rPr>
          <w:t>https://www.kis.si/Modelne_kalkulacije_OEK/</w:t>
        </w:r>
      </w:hyperlink>
    </w:p>
    <w:p w14:paraId="005ECD99" w14:textId="77777777" w:rsidR="00005858" w:rsidRPr="0048666D" w:rsidRDefault="00005858" w:rsidP="000A650F">
      <w:pPr>
        <w:numPr>
          <w:ilvl w:val="0"/>
          <w:numId w:val="48"/>
        </w:numPr>
        <w:tabs>
          <w:tab w:val="left" w:pos="283"/>
        </w:tabs>
        <w:spacing w:after="0" w:line="240" w:lineRule="auto"/>
        <w:ind w:left="0"/>
        <w:jc w:val="both"/>
        <w:rPr>
          <w:rFonts w:cs="Arial"/>
          <w:szCs w:val="20"/>
        </w:rPr>
      </w:pPr>
      <w:r w:rsidRPr="0048666D">
        <w:rPr>
          <w:rFonts w:cs="Arial"/>
          <w:szCs w:val="20"/>
        </w:rPr>
        <w:t xml:space="preserve">Monitoring splošno razširjenih vrst ptic za določitev indeksa ptic kmetijske krajine; Monitoring populacij izbranih ciljnih vrst na območjih Natura 2000; Monitoring izbranih ciljnih vrst metuljev: </w:t>
      </w:r>
      <w:hyperlink r:id="rId110" w:history="1">
        <w:r w:rsidRPr="0048666D">
          <w:rPr>
            <w:rFonts w:cs="Arial"/>
            <w:color w:val="0000FF"/>
            <w:szCs w:val="20"/>
            <w:u w:val="single"/>
          </w:rPr>
          <w:t>https://program-podezelja.si/sl/kaj-je-program-razvoja-podezelja-2014-2020/spremljanje-in-vrednotenje/monitoringi</w:t>
        </w:r>
      </w:hyperlink>
    </w:p>
    <w:p w14:paraId="50021603" w14:textId="77777777" w:rsidR="00005858" w:rsidRPr="0048666D" w:rsidRDefault="00005858" w:rsidP="000A650F">
      <w:pPr>
        <w:numPr>
          <w:ilvl w:val="0"/>
          <w:numId w:val="48"/>
        </w:numPr>
        <w:spacing w:after="0" w:line="240" w:lineRule="auto"/>
        <w:ind w:left="0"/>
        <w:jc w:val="both"/>
        <w:rPr>
          <w:rFonts w:eastAsia="Times New Roman" w:cs="Arial"/>
          <w:szCs w:val="20"/>
          <w:lang w:eastAsia="en-GB"/>
        </w:rPr>
      </w:pPr>
      <w:r w:rsidRPr="0048666D">
        <w:rPr>
          <w:rFonts w:eastAsia="Times New Roman" w:cs="Arial"/>
          <w:szCs w:val="20"/>
          <w:lang w:eastAsia="en-GB"/>
        </w:rPr>
        <w:t xml:space="preserve">Nagode M. (2011). </w:t>
      </w:r>
      <w:r w:rsidRPr="0048666D">
        <w:rPr>
          <w:rFonts w:eastAsia="Times New Roman" w:cs="Arial"/>
          <w:i/>
          <w:szCs w:val="20"/>
          <w:lang w:eastAsia="en-GB"/>
        </w:rPr>
        <w:t>Razširjenost in dostopnost socialnovarstvene storitve pomoči družini na domu v Sloveniji</w:t>
      </w:r>
      <w:r w:rsidRPr="0048666D">
        <w:rPr>
          <w:rFonts w:eastAsia="Times New Roman" w:cs="Arial"/>
          <w:szCs w:val="20"/>
          <w:lang w:eastAsia="en-GB"/>
        </w:rPr>
        <w:t xml:space="preserve">. Pridobljeno s </w:t>
      </w:r>
      <w:hyperlink r:id="rId111" w:history="1">
        <w:r w:rsidRPr="0048666D">
          <w:rPr>
            <w:rFonts w:eastAsia="Times New Roman" w:cs="Arial"/>
            <w:szCs w:val="20"/>
            <w:lang w:eastAsia="en-GB"/>
          </w:rPr>
          <w:t>https://www.irssv.si/upload2/Razsirjenost%20in%20dostopnost%20pomoci%20na%20domu.pdf</w:t>
        </w:r>
      </w:hyperlink>
    </w:p>
    <w:p w14:paraId="7B134A1A" w14:textId="77777777" w:rsidR="00005858" w:rsidRPr="0048666D" w:rsidRDefault="00005858" w:rsidP="000A650F">
      <w:pPr>
        <w:numPr>
          <w:ilvl w:val="0"/>
          <w:numId w:val="48"/>
        </w:numPr>
        <w:tabs>
          <w:tab w:val="left" w:pos="283"/>
        </w:tabs>
        <w:spacing w:after="0" w:line="240" w:lineRule="auto"/>
        <w:ind w:left="0"/>
        <w:jc w:val="both"/>
        <w:rPr>
          <w:rFonts w:cs="Arial"/>
          <w:color w:val="0000FF"/>
          <w:szCs w:val="20"/>
          <w:u w:val="single"/>
        </w:rPr>
      </w:pPr>
      <w:r w:rsidRPr="0048666D">
        <w:rPr>
          <w:rFonts w:cs="Arial"/>
          <w:szCs w:val="20"/>
        </w:rPr>
        <w:t xml:space="preserve">Naravovarstveni atlas: </w:t>
      </w:r>
      <w:hyperlink r:id="rId112" w:history="1">
        <w:r w:rsidRPr="0048666D">
          <w:rPr>
            <w:rFonts w:cs="Arial"/>
            <w:color w:val="0000FF"/>
            <w:szCs w:val="20"/>
            <w:u w:val="single"/>
          </w:rPr>
          <w:t>https://www.naravovarstveni-atlas.si/web/</w:t>
        </w:r>
      </w:hyperlink>
    </w:p>
    <w:p w14:paraId="2E0ECDF1" w14:textId="77777777" w:rsidR="00674734" w:rsidRPr="0048666D" w:rsidRDefault="00005858" w:rsidP="000A650F">
      <w:pPr>
        <w:numPr>
          <w:ilvl w:val="0"/>
          <w:numId w:val="48"/>
        </w:numPr>
        <w:spacing w:after="0" w:line="240" w:lineRule="auto"/>
        <w:ind w:left="0"/>
        <w:jc w:val="both"/>
        <w:rPr>
          <w:rFonts w:eastAsia="Times New Roman" w:cs="Arial"/>
          <w:szCs w:val="20"/>
          <w:lang w:eastAsia="en-GB"/>
        </w:rPr>
      </w:pPr>
      <w:r w:rsidRPr="0048666D">
        <w:rPr>
          <w:rFonts w:eastAsia="Times New Roman" w:cs="Arial"/>
          <w:szCs w:val="20"/>
          <w:lang w:eastAsia="en-GB"/>
        </w:rPr>
        <w:t xml:space="preserve">Nared J. (2019). </w:t>
      </w:r>
      <w:r w:rsidRPr="0048666D">
        <w:rPr>
          <w:rFonts w:eastAsia="Times New Roman" w:cs="Arial"/>
          <w:i/>
          <w:szCs w:val="20"/>
          <w:lang w:eastAsia="en-GB"/>
        </w:rPr>
        <w:t>Celovita demografska analiza s projekcijami za podeželska in urbana območja</w:t>
      </w:r>
      <w:r w:rsidRPr="0048666D">
        <w:rPr>
          <w:rFonts w:eastAsia="Times New Roman" w:cs="Arial"/>
          <w:szCs w:val="20"/>
          <w:lang w:eastAsia="en-GB"/>
        </w:rPr>
        <w:t xml:space="preserve"> (končno poročilo). Pridobljeno s https://www.gov.si/assets/ministrstva/MOP/Dokumenti/Prostorski-razvoj/SPRS/Celovita_demografska_analiza_podezelska_urbana_obmocja.pdf </w:t>
      </w:r>
    </w:p>
    <w:p w14:paraId="08FF7231" w14:textId="77777777" w:rsidR="00005858" w:rsidRPr="0048666D" w:rsidRDefault="00005858" w:rsidP="000A650F">
      <w:pPr>
        <w:numPr>
          <w:ilvl w:val="0"/>
          <w:numId w:val="48"/>
        </w:numPr>
        <w:spacing w:after="0" w:line="240" w:lineRule="auto"/>
        <w:ind w:left="0"/>
        <w:jc w:val="both"/>
        <w:rPr>
          <w:rFonts w:eastAsia="Times New Roman" w:cs="Arial"/>
          <w:szCs w:val="20"/>
          <w:lang w:eastAsia="en-GB"/>
        </w:rPr>
      </w:pPr>
      <w:r w:rsidRPr="0048666D">
        <w:rPr>
          <w:rFonts w:eastAsia="Times New Roman" w:cs="Arial"/>
          <w:szCs w:val="20"/>
          <w:lang w:eastAsia="en-GB"/>
        </w:rPr>
        <w:t xml:space="preserve">Nared J., Bole D., Breg Valjavec M., Ciglič R., </w:t>
      </w:r>
      <w:proofErr w:type="spellStart"/>
      <w:r w:rsidRPr="0048666D">
        <w:rPr>
          <w:rFonts w:eastAsia="Times New Roman" w:cs="Arial"/>
          <w:szCs w:val="20"/>
          <w:lang w:eastAsia="en-GB"/>
        </w:rPr>
        <w:t>Goluža</w:t>
      </w:r>
      <w:proofErr w:type="spellEnd"/>
      <w:r w:rsidRPr="0048666D">
        <w:rPr>
          <w:rFonts w:eastAsia="Times New Roman" w:cs="Arial"/>
          <w:szCs w:val="20"/>
          <w:lang w:eastAsia="en-GB"/>
        </w:rPr>
        <w:t xml:space="preserve"> M., Kozina J., Razpotnik </w:t>
      </w:r>
      <w:proofErr w:type="spellStart"/>
      <w:r w:rsidRPr="0048666D">
        <w:rPr>
          <w:rFonts w:eastAsia="Times New Roman" w:cs="Arial"/>
          <w:szCs w:val="20"/>
          <w:lang w:eastAsia="en-GB"/>
        </w:rPr>
        <w:t>Visković</w:t>
      </w:r>
      <w:proofErr w:type="spellEnd"/>
      <w:r w:rsidRPr="0048666D">
        <w:rPr>
          <w:rFonts w:eastAsia="Times New Roman" w:cs="Arial"/>
          <w:szCs w:val="20"/>
          <w:lang w:eastAsia="en-GB"/>
        </w:rPr>
        <w:t xml:space="preserve"> N., Repolusk P., Rus P., Tiran J. in Černič Istenič M. (2017). Central </w:t>
      </w:r>
      <w:proofErr w:type="spellStart"/>
      <w:r w:rsidRPr="0048666D">
        <w:rPr>
          <w:rFonts w:eastAsia="Times New Roman" w:cs="Arial"/>
          <w:szCs w:val="20"/>
          <w:lang w:eastAsia="en-GB"/>
        </w:rPr>
        <w:t>settlements</w:t>
      </w:r>
      <w:proofErr w:type="spellEnd"/>
      <w:r w:rsidRPr="0048666D">
        <w:rPr>
          <w:rFonts w:eastAsia="Times New Roman" w:cs="Arial"/>
          <w:szCs w:val="20"/>
          <w:lang w:eastAsia="en-GB"/>
        </w:rPr>
        <w:t xml:space="preserve"> in </w:t>
      </w:r>
      <w:proofErr w:type="spellStart"/>
      <w:r w:rsidRPr="0048666D">
        <w:rPr>
          <w:rFonts w:eastAsia="Times New Roman" w:cs="Arial"/>
          <w:szCs w:val="20"/>
          <w:lang w:eastAsia="en-GB"/>
        </w:rPr>
        <w:t>Slovenia</w:t>
      </w:r>
      <w:proofErr w:type="spellEnd"/>
      <w:r w:rsidRPr="0048666D">
        <w:rPr>
          <w:rFonts w:eastAsia="Times New Roman" w:cs="Arial"/>
          <w:szCs w:val="20"/>
          <w:lang w:eastAsia="en-GB"/>
        </w:rPr>
        <w:t xml:space="preserve"> in 2016. </w:t>
      </w:r>
      <w:proofErr w:type="spellStart"/>
      <w:r w:rsidRPr="0048666D">
        <w:rPr>
          <w:rFonts w:eastAsia="Times New Roman" w:cs="Arial"/>
          <w:i/>
          <w:szCs w:val="20"/>
          <w:lang w:eastAsia="en-GB"/>
        </w:rPr>
        <w:t>Acta</w:t>
      </w:r>
      <w:proofErr w:type="spellEnd"/>
      <w:r w:rsidRPr="0048666D">
        <w:rPr>
          <w:rFonts w:eastAsia="Times New Roman" w:cs="Arial"/>
          <w:i/>
          <w:szCs w:val="20"/>
          <w:lang w:eastAsia="en-GB"/>
        </w:rPr>
        <w:t xml:space="preserve"> </w:t>
      </w:r>
      <w:proofErr w:type="spellStart"/>
      <w:r w:rsidRPr="0048666D">
        <w:rPr>
          <w:rFonts w:eastAsia="Times New Roman" w:cs="Arial"/>
          <w:i/>
          <w:szCs w:val="20"/>
          <w:lang w:eastAsia="en-GB"/>
        </w:rPr>
        <w:t>geographica</w:t>
      </w:r>
      <w:proofErr w:type="spellEnd"/>
      <w:r w:rsidRPr="0048666D">
        <w:rPr>
          <w:rFonts w:eastAsia="Times New Roman" w:cs="Arial"/>
          <w:i/>
          <w:szCs w:val="20"/>
          <w:lang w:eastAsia="en-GB"/>
        </w:rPr>
        <w:t xml:space="preserve"> </w:t>
      </w:r>
      <w:proofErr w:type="spellStart"/>
      <w:r w:rsidRPr="0048666D">
        <w:rPr>
          <w:rFonts w:eastAsia="Times New Roman" w:cs="Arial"/>
          <w:i/>
          <w:szCs w:val="20"/>
          <w:lang w:eastAsia="en-GB"/>
        </w:rPr>
        <w:t>Slovenica</w:t>
      </w:r>
      <w:proofErr w:type="spellEnd"/>
      <w:r w:rsidRPr="0048666D">
        <w:rPr>
          <w:rFonts w:eastAsia="Times New Roman" w:cs="Arial"/>
          <w:i/>
          <w:szCs w:val="20"/>
          <w:lang w:eastAsia="en-GB"/>
        </w:rPr>
        <w:t xml:space="preserve"> 57-2</w:t>
      </w:r>
      <w:r w:rsidRPr="0048666D">
        <w:rPr>
          <w:rFonts w:eastAsia="Times New Roman" w:cs="Arial"/>
          <w:szCs w:val="20"/>
          <w:lang w:eastAsia="en-GB"/>
        </w:rPr>
        <w:t>. Pridobljeno s https://ojs.zrc-sazu.si/ags/article/view/4606/4720</w:t>
      </w:r>
    </w:p>
    <w:p w14:paraId="4ACC7AE5" w14:textId="77777777" w:rsidR="00005858" w:rsidRPr="0048666D" w:rsidRDefault="00005858" w:rsidP="000A650F">
      <w:pPr>
        <w:numPr>
          <w:ilvl w:val="0"/>
          <w:numId w:val="48"/>
        </w:numPr>
        <w:spacing w:after="0" w:line="240" w:lineRule="auto"/>
        <w:ind w:left="0"/>
        <w:jc w:val="both"/>
        <w:rPr>
          <w:rFonts w:eastAsia="Times New Roman" w:cs="Arial"/>
          <w:szCs w:val="20"/>
          <w:lang w:eastAsia="en-GB"/>
        </w:rPr>
      </w:pPr>
      <w:r w:rsidRPr="0048666D">
        <w:rPr>
          <w:rFonts w:eastAsia="Times New Roman" w:cs="Arial"/>
          <w:szCs w:val="20"/>
          <w:lang w:eastAsia="en-GB"/>
        </w:rPr>
        <w:t xml:space="preserve">Nared J., Polajnar Horvat K. in Razpotnik </w:t>
      </w:r>
      <w:proofErr w:type="spellStart"/>
      <w:r w:rsidRPr="0048666D">
        <w:rPr>
          <w:rFonts w:eastAsia="Times New Roman" w:cs="Arial"/>
          <w:szCs w:val="20"/>
          <w:lang w:eastAsia="en-GB"/>
        </w:rPr>
        <w:t>Visković</w:t>
      </w:r>
      <w:proofErr w:type="spellEnd"/>
      <w:r w:rsidRPr="0048666D">
        <w:rPr>
          <w:rFonts w:eastAsia="Times New Roman" w:cs="Arial"/>
          <w:szCs w:val="20"/>
          <w:lang w:eastAsia="en-GB"/>
        </w:rPr>
        <w:t xml:space="preserve"> N. (ur.). (2017).</w:t>
      </w:r>
      <w:r w:rsidRPr="0048666D">
        <w:rPr>
          <w:rFonts w:eastAsia="Times New Roman" w:cs="Arial"/>
          <w:i/>
          <w:szCs w:val="20"/>
          <w:lang w:eastAsia="en-GB"/>
        </w:rPr>
        <w:t>Prostor, regija, razvoj</w:t>
      </w:r>
      <w:r w:rsidRPr="0048666D">
        <w:rPr>
          <w:rFonts w:eastAsia="Times New Roman" w:cs="Arial"/>
          <w:szCs w:val="20"/>
          <w:lang w:eastAsia="en-GB"/>
        </w:rPr>
        <w:t>. Ljubljana: ZRC SAZU, Geografski inštitut Antona Melika.</w:t>
      </w:r>
    </w:p>
    <w:p w14:paraId="21938CC4" w14:textId="77777777" w:rsidR="00674734" w:rsidRPr="0048666D" w:rsidRDefault="00005858" w:rsidP="000A650F">
      <w:pPr>
        <w:numPr>
          <w:ilvl w:val="0"/>
          <w:numId w:val="48"/>
        </w:numPr>
        <w:spacing w:after="0" w:line="240" w:lineRule="auto"/>
        <w:ind w:left="0"/>
        <w:jc w:val="both"/>
        <w:rPr>
          <w:rFonts w:eastAsia="Times New Roman" w:cs="Arial"/>
          <w:szCs w:val="20"/>
          <w:lang w:eastAsia="en-GB"/>
        </w:rPr>
      </w:pPr>
      <w:r w:rsidRPr="0048666D">
        <w:rPr>
          <w:rFonts w:eastAsia="Times New Roman" w:cs="Arial"/>
          <w:szCs w:val="20"/>
          <w:lang w:eastAsia="en-GB"/>
        </w:rPr>
        <w:t xml:space="preserve">Nared J., Polajnar Horvat K. in Razpotnik </w:t>
      </w:r>
      <w:proofErr w:type="spellStart"/>
      <w:r w:rsidRPr="0048666D">
        <w:rPr>
          <w:rFonts w:eastAsia="Times New Roman" w:cs="Arial"/>
          <w:szCs w:val="20"/>
          <w:lang w:eastAsia="en-GB"/>
        </w:rPr>
        <w:t>Visković</w:t>
      </w:r>
      <w:proofErr w:type="spellEnd"/>
      <w:r w:rsidRPr="0048666D">
        <w:rPr>
          <w:rFonts w:eastAsia="Times New Roman" w:cs="Arial"/>
          <w:szCs w:val="20"/>
          <w:lang w:eastAsia="en-GB"/>
        </w:rPr>
        <w:t xml:space="preserve"> N. (ur.). (2019). </w:t>
      </w:r>
      <w:r w:rsidRPr="0048666D">
        <w:rPr>
          <w:rFonts w:eastAsia="Times New Roman" w:cs="Arial"/>
          <w:i/>
          <w:szCs w:val="20"/>
          <w:lang w:eastAsia="en-GB"/>
        </w:rPr>
        <w:t>Demografske spremembe in regionalni razvoj</w:t>
      </w:r>
      <w:r w:rsidRPr="0048666D">
        <w:rPr>
          <w:rFonts w:eastAsia="Times New Roman" w:cs="Arial"/>
          <w:szCs w:val="20"/>
          <w:lang w:eastAsia="en-GB"/>
        </w:rPr>
        <w:t>. Ljubljana: ZRC SAZU, Geografski inštitut Antona Melika.</w:t>
      </w:r>
    </w:p>
    <w:p w14:paraId="348C126C" w14:textId="77777777" w:rsidR="00005858" w:rsidRPr="0048666D" w:rsidRDefault="00005858" w:rsidP="000A650F">
      <w:pPr>
        <w:numPr>
          <w:ilvl w:val="0"/>
          <w:numId w:val="48"/>
        </w:numPr>
        <w:tabs>
          <w:tab w:val="left" w:pos="283"/>
        </w:tabs>
        <w:spacing w:after="0" w:line="240" w:lineRule="auto"/>
        <w:ind w:left="0"/>
        <w:jc w:val="both"/>
        <w:rPr>
          <w:rFonts w:cs="Arial"/>
          <w:szCs w:val="20"/>
        </w:rPr>
      </w:pPr>
      <w:proofErr w:type="spellStart"/>
      <w:r w:rsidRPr="0048666D">
        <w:rPr>
          <w:rFonts w:cs="Arial"/>
          <w:szCs w:val="20"/>
        </w:rPr>
        <w:t>National</w:t>
      </w:r>
      <w:proofErr w:type="spellEnd"/>
      <w:r w:rsidRPr="0048666D">
        <w:rPr>
          <w:rFonts w:cs="Arial"/>
          <w:szCs w:val="20"/>
        </w:rPr>
        <w:t xml:space="preserve"> </w:t>
      </w:r>
      <w:proofErr w:type="spellStart"/>
      <w:r w:rsidRPr="0048666D">
        <w:rPr>
          <w:rFonts w:cs="Arial"/>
          <w:szCs w:val="20"/>
        </w:rPr>
        <w:t>Inventory</w:t>
      </w:r>
      <w:proofErr w:type="spellEnd"/>
      <w:r w:rsidRPr="0048666D">
        <w:rPr>
          <w:rFonts w:cs="Arial"/>
          <w:szCs w:val="20"/>
        </w:rPr>
        <w:t xml:space="preserve"> </w:t>
      </w:r>
      <w:proofErr w:type="spellStart"/>
      <w:r w:rsidRPr="0048666D">
        <w:rPr>
          <w:rFonts w:cs="Arial"/>
          <w:szCs w:val="20"/>
        </w:rPr>
        <w:t>Submissions</w:t>
      </w:r>
      <w:proofErr w:type="spellEnd"/>
      <w:r w:rsidRPr="0048666D">
        <w:rPr>
          <w:rFonts w:cs="Arial"/>
          <w:szCs w:val="20"/>
        </w:rPr>
        <w:t xml:space="preserve">: </w:t>
      </w:r>
      <w:hyperlink r:id="rId113" w:history="1">
        <w:r w:rsidRPr="0048666D">
          <w:rPr>
            <w:rFonts w:cs="Arial"/>
            <w:color w:val="0000FF"/>
            <w:szCs w:val="20"/>
            <w:u w:val="single"/>
          </w:rPr>
          <w:t>https://unfccc.int/ghg-inventories-annex-i-parties/2020</w:t>
        </w:r>
      </w:hyperlink>
    </w:p>
    <w:p w14:paraId="7CAB7D31" w14:textId="77777777" w:rsidR="00005858" w:rsidRPr="0048666D" w:rsidRDefault="00005858" w:rsidP="000A650F">
      <w:pPr>
        <w:numPr>
          <w:ilvl w:val="0"/>
          <w:numId w:val="48"/>
        </w:numPr>
        <w:tabs>
          <w:tab w:val="left" w:pos="283"/>
        </w:tabs>
        <w:spacing w:after="0" w:line="240" w:lineRule="auto"/>
        <w:ind w:left="0"/>
        <w:jc w:val="both"/>
        <w:rPr>
          <w:rFonts w:cs="Arial"/>
          <w:color w:val="0000FF"/>
          <w:szCs w:val="20"/>
          <w:u w:val="single"/>
        </w:rPr>
      </w:pPr>
      <w:r w:rsidRPr="0048666D">
        <w:rPr>
          <w:rFonts w:cs="Arial"/>
          <w:color w:val="000000"/>
          <w:szCs w:val="20"/>
        </w:rPr>
        <w:t xml:space="preserve">Natura 2000 Barometer: </w:t>
      </w:r>
      <w:hyperlink r:id="rId114" w:history="1">
        <w:r w:rsidRPr="0048666D">
          <w:rPr>
            <w:rFonts w:cs="Arial"/>
            <w:color w:val="0000FF"/>
            <w:szCs w:val="20"/>
            <w:u w:val="single"/>
          </w:rPr>
          <w:t>https://www.eea.europa.eu/data-and-maps/dashboards/natura-2000-barometer</w:t>
        </w:r>
      </w:hyperlink>
    </w:p>
    <w:p w14:paraId="59EEB756" w14:textId="77777777" w:rsidR="00005858" w:rsidRPr="0048666D" w:rsidRDefault="00005858" w:rsidP="000A650F">
      <w:pPr>
        <w:numPr>
          <w:ilvl w:val="0"/>
          <w:numId w:val="48"/>
        </w:numPr>
        <w:tabs>
          <w:tab w:val="left" w:pos="283"/>
        </w:tabs>
        <w:spacing w:after="0" w:line="240" w:lineRule="auto"/>
        <w:ind w:left="0"/>
        <w:jc w:val="both"/>
        <w:rPr>
          <w:rFonts w:cs="Arial"/>
          <w:szCs w:val="20"/>
        </w:rPr>
      </w:pPr>
      <w:r w:rsidRPr="0048666D">
        <w:rPr>
          <w:rFonts w:cs="Arial"/>
          <w:szCs w:val="20"/>
        </w:rPr>
        <w:t xml:space="preserve">Natura 2000 v Sloveniji: </w:t>
      </w:r>
      <w:hyperlink r:id="rId115" w:history="1">
        <w:r w:rsidRPr="0048666D">
          <w:rPr>
            <w:rFonts w:cs="Arial"/>
            <w:color w:val="0000FF"/>
            <w:szCs w:val="20"/>
            <w:u w:val="single"/>
          </w:rPr>
          <w:t>http://www.natura2000.si/</w:t>
        </w:r>
      </w:hyperlink>
    </w:p>
    <w:p w14:paraId="35FC45DE" w14:textId="77777777" w:rsidR="00005858" w:rsidRPr="0048666D" w:rsidRDefault="00005858" w:rsidP="000A650F">
      <w:pPr>
        <w:numPr>
          <w:ilvl w:val="0"/>
          <w:numId w:val="48"/>
        </w:numPr>
        <w:tabs>
          <w:tab w:val="left" w:pos="283"/>
        </w:tabs>
        <w:spacing w:after="0" w:line="240" w:lineRule="auto"/>
        <w:ind w:left="0"/>
        <w:jc w:val="both"/>
        <w:rPr>
          <w:rFonts w:cs="Arial"/>
          <w:szCs w:val="20"/>
        </w:rPr>
      </w:pPr>
      <w:r w:rsidRPr="0048666D">
        <w:rPr>
          <w:rFonts w:cs="Arial"/>
          <w:szCs w:val="20"/>
        </w:rPr>
        <w:t xml:space="preserve">Nature </w:t>
      </w:r>
      <w:proofErr w:type="spellStart"/>
      <w:r w:rsidRPr="0048666D">
        <w:rPr>
          <w:rFonts w:cs="Arial"/>
          <w:szCs w:val="20"/>
        </w:rPr>
        <w:t>and</w:t>
      </w:r>
      <w:proofErr w:type="spellEnd"/>
      <w:r w:rsidRPr="0048666D">
        <w:rPr>
          <w:rFonts w:cs="Arial"/>
          <w:szCs w:val="20"/>
        </w:rPr>
        <w:t xml:space="preserve"> </w:t>
      </w:r>
      <w:proofErr w:type="spellStart"/>
      <w:r w:rsidRPr="0048666D">
        <w:rPr>
          <w:rFonts w:cs="Arial"/>
          <w:szCs w:val="20"/>
        </w:rPr>
        <w:t>Biodiversity</w:t>
      </w:r>
      <w:proofErr w:type="spellEnd"/>
      <w:r w:rsidRPr="0048666D">
        <w:rPr>
          <w:rFonts w:cs="Arial"/>
          <w:szCs w:val="20"/>
        </w:rPr>
        <w:t xml:space="preserve"> </w:t>
      </w:r>
      <w:proofErr w:type="spellStart"/>
      <w:r w:rsidRPr="0048666D">
        <w:rPr>
          <w:rFonts w:cs="Arial"/>
          <w:szCs w:val="20"/>
        </w:rPr>
        <w:t>Newsletter</w:t>
      </w:r>
      <w:proofErr w:type="spellEnd"/>
      <w:r w:rsidRPr="0048666D">
        <w:rPr>
          <w:rFonts w:cs="Arial"/>
          <w:szCs w:val="20"/>
        </w:rPr>
        <w:t xml:space="preserve">. 2020. Natura 2000 – </w:t>
      </w:r>
      <w:proofErr w:type="spellStart"/>
      <w:r w:rsidRPr="0048666D">
        <w:rPr>
          <w:rFonts w:cs="Arial"/>
          <w:szCs w:val="20"/>
        </w:rPr>
        <w:t>The</w:t>
      </w:r>
      <w:proofErr w:type="spellEnd"/>
      <w:r w:rsidRPr="0048666D">
        <w:rPr>
          <w:rFonts w:cs="Arial"/>
          <w:szCs w:val="20"/>
        </w:rPr>
        <w:t xml:space="preserve"> </w:t>
      </w:r>
      <w:proofErr w:type="spellStart"/>
      <w:r w:rsidRPr="0048666D">
        <w:rPr>
          <w:rFonts w:cs="Arial"/>
          <w:szCs w:val="20"/>
        </w:rPr>
        <w:t>new</w:t>
      </w:r>
      <w:proofErr w:type="spellEnd"/>
      <w:r w:rsidRPr="0048666D">
        <w:rPr>
          <w:rFonts w:cs="Arial"/>
          <w:szCs w:val="20"/>
        </w:rPr>
        <w:t xml:space="preserve"> </w:t>
      </w:r>
      <w:proofErr w:type="spellStart"/>
      <w:r w:rsidRPr="0048666D">
        <w:rPr>
          <w:rFonts w:cs="Arial"/>
          <w:szCs w:val="20"/>
        </w:rPr>
        <w:t>European</w:t>
      </w:r>
      <w:proofErr w:type="spellEnd"/>
      <w:r w:rsidRPr="0048666D">
        <w:rPr>
          <w:rFonts w:cs="Arial"/>
          <w:szCs w:val="20"/>
        </w:rPr>
        <w:t xml:space="preserve"> </w:t>
      </w:r>
      <w:proofErr w:type="spellStart"/>
      <w:r w:rsidRPr="0048666D">
        <w:rPr>
          <w:rFonts w:cs="Arial"/>
          <w:szCs w:val="20"/>
        </w:rPr>
        <w:t>Green</w:t>
      </w:r>
      <w:proofErr w:type="spellEnd"/>
      <w:r w:rsidRPr="0048666D">
        <w:rPr>
          <w:rFonts w:cs="Arial"/>
          <w:szCs w:val="20"/>
        </w:rPr>
        <w:t xml:space="preserve"> </w:t>
      </w:r>
      <w:proofErr w:type="spellStart"/>
      <w:r w:rsidRPr="0048666D">
        <w:rPr>
          <w:rFonts w:cs="Arial"/>
          <w:szCs w:val="20"/>
        </w:rPr>
        <w:t>Deal</w:t>
      </w:r>
      <w:proofErr w:type="spellEnd"/>
      <w:r w:rsidRPr="0048666D">
        <w:rPr>
          <w:rFonts w:cs="Arial"/>
          <w:szCs w:val="20"/>
        </w:rPr>
        <w:t xml:space="preserve">: </w:t>
      </w:r>
      <w:hyperlink r:id="rId116" w:history="1">
        <w:r w:rsidRPr="0048666D">
          <w:rPr>
            <w:rFonts w:cs="Arial"/>
            <w:color w:val="0000FF"/>
            <w:szCs w:val="20"/>
            <w:u w:val="single"/>
          </w:rPr>
          <w:t>https://ec.europa.eu/environment/nature/info/pubs/docs/nat2000newsl/ENG%20Nat2k47%20WEB.pdf</w:t>
        </w:r>
      </w:hyperlink>
    </w:p>
    <w:p w14:paraId="2A113782" w14:textId="77777777" w:rsidR="00005858" w:rsidRPr="0048666D" w:rsidRDefault="00005858" w:rsidP="000A650F">
      <w:pPr>
        <w:numPr>
          <w:ilvl w:val="0"/>
          <w:numId w:val="48"/>
        </w:numPr>
        <w:tabs>
          <w:tab w:val="left" w:pos="283"/>
        </w:tabs>
        <w:spacing w:after="0" w:line="240" w:lineRule="auto"/>
        <w:ind w:left="0"/>
        <w:jc w:val="both"/>
        <w:rPr>
          <w:rFonts w:cs="Arial"/>
          <w:szCs w:val="20"/>
        </w:rPr>
      </w:pPr>
      <w:r w:rsidRPr="0048666D">
        <w:rPr>
          <w:rFonts w:cs="Arial"/>
          <w:szCs w:val="20"/>
        </w:rPr>
        <w:t xml:space="preserve">OECD: </w:t>
      </w:r>
      <w:hyperlink r:id="rId117" w:history="1">
        <w:r w:rsidRPr="0048666D">
          <w:rPr>
            <w:rFonts w:cs="Arial"/>
            <w:color w:val="0000FF"/>
            <w:szCs w:val="20"/>
            <w:u w:val="single"/>
          </w:rPr>
          <w:t>https://data.oecd.org/</w:t>
        </w:r>
      </w:hyperlink>
    </w:p>
    <w:p w14:paraId="718B323E" w14:textId="77777777" w:rsidR="00005858" w:rsidRPr="0048666D" w:rsidRDefault="00005858" w:rsidP="000A650F">
      <w:pPr>
        <w:numPr>
          <w:ilvl w:val="0"/>
          <w:numId w:val="48"/>
        </w:numPr>
        <w:tabs>
          <w:tab w:val="left" w:pos="283"/>
        </w:tabs>
        <w:spacing w:after="0" w:line="240" w:lineRule="auto"/>
        <w:ind w:left="0"/>
        <w:jc w:val="both"/>
        <w:rPr>
          <w:rFonts w:cs="Arial"/>
          <w:color w:val="0000FF"/>
          <w:szCs w:val="20"/>
          <w:u w:val="single"/>
        </w:rPr>
      </w:pPr>
      <w:r w:rsidRPr="0048666D">
        <w:rPr>
          <w:rFonts w:cs="Arial"/>
          <w:szCs w:val="20"/>
        </w:rPr>
        <w:t xml:space="preserve">OIKOS, svetovanje za razvoj, d. o. o. 2015. </w:t>
      </w:r>
      <w:proofErr w:type="spellStart"/>
      <w:r w:rsidRPr="0048666D">
        <w:rPr>
          <w:rFonts w:cs="Arial"/>
          <w:szCs w:val="20"/>
        </w:rPr>
        <w:t>Okoljsko</w:t>
      </w:r>
      <w:proofErr w:type="spellEnd"/>
      <w:r w:rsidRPr="0048666D">
        <w:rPr>
          <w:rFonts w:cs="Arial"/>
          <w:szCs w:val="20"/>
        </w:rPr>
        <w:t xml:space="preserve"> poročilo za Program razvoja podeželja Republike Slovenije za obdobje 2014–2020: </w:t>
      </w:r>
      <w:hyperlink r:id="rId118" w:history="1">
        <w:r w:rsidRPr="0048666D">
          <w:rPr>
            <w:rFonts w:cs="Arial"/>
            <w:color w:val="0000FF"/>
            <w:szCs w:val="20"/>
            <w:u w:val="single"/>
          </w:rPr>
          <w:t>https://www.program-podezelja.si/images/SPLETNA_STRAN_PRP_NOVA/1_PRP_2014-2020/1_4_Spremljanje_in_vrednotenje/3_Vrednotenje/1463_SEA_PRP_koncni_15012015.pdf</w:t>
        </w:r>
      </w:hyperlink>
    </w:p>
    <w:p w14:paraId="04136153" w14:textId="77777777" w:rsidR="00674734" w:rsidRPr="0048666D" w:rsidRDefault="00005858" w:rsidP="000A650F">
      <w:pPr>
        <w:numPr>
          <w:ilvl w:val="0"/>
          <w:numId w:val="48"/>
        </w:numPr>
        <w:spacing w:after="0" w:line="240" w:lineRule="auto"/>
        <w:ind w:left="0"/>
        <w:contextualSpacing/>
        <w:jc w:val="both"/>
        <w:rPr>
          <w:rFonts w:cs="Arial"/>
          <w:szCs w:val="20"/>
        </w:rPr>
      </w:pPr>
      <w:r w:rsidRPr="0048666D">
        <w:rPr>
          <w:rFonts w:cs="Arial"/>
          <w:i/>
          <w:szCs w:val="20"/>
        </w:rPr>
        <w:t>Operativni program ESPR.</w:t>
      </w:r>
      <w:r w:rsidRPr="0048666D">
        <w:rPr>
          <w:rFonts w:cs="Arial"/>
          <w:szCs w:val="20"/>
        </w:rPr>
        <w:t xml:space="preserve"> (2015). Pridobljeno s </w:t>
      </w:r>
      <w:hyperlink r:id="rId119" w:history="1">
        <w:r w:rsidRPr="0048666D">
          <w:rPr>
            <w:rFonts w:cs="Arial"/>
            <w:color w:val="0000FF"/>
            <w:szCs w:val="20"/>
            <w:u w:val="single"/>
          </w:rPr>
          <w:t>http://ribiski-sklad.si/f/docs/Dokumenti/OP_ESPR_2014-2020_latest_version_SI.pdf</w:t>
        </w:r>
      </w:hyperlink>
    </w:p>
    <w:p w14:paraId="768956BC" w14:textId="77777777" w:rsidR="00674734" w:rsidRPr="0048666D" w:rsidRDefault="00005858" w:rsidP="000A650F">
      <w:pPr>
        <w:numPr>
          <w:ilvl w:val="0"/>
          <w:numId w:val="48"/>
        </w:numPr>
        <w:spacing w:after="0" w:line="240" w:lineRule="auto"/>
        <w:ind w:left="0"/>
        <w:contextualSpacing/>
        <w:jc w:val="both"/>
        <w:rPr>
          <w:rFonts w:cs="Arial"/>
          <w:szCs w:val="20"/>
        </w:rPr>
      </w:pPr>
      <w:r w:rsidRPr="0048666D">
        <w:rPr>
          <w:rFonts w:cs="Arial"/>
          <w:i/>
          <w:szCs w:val="20"/>
        </w:rPr>
        <w:t>Operativni program za izvajanje Evropske kohezijske politike v obdobju 2014–2020</w:t>
      </w:r>
      <w:r w:rsidRPr="0048666D">
        <w:rPr>
          <w:rFonts w:cs="Arial"/>
          <w:szCs w:val="20"/>
        </w:rPr>
        <w:t xml:space="preserve">. (2015) Pridobljeno s </w:t>
      </w:r>
      <w:hyperlink r:id="rId120" w:history="1">
        <w:r w:rsidRPr="0048666D">
          <w:rPr>
            <w:rFonts w:cs="Arial"/>
            <w:color w:val="0000FF"/>
            <w:szCs w:val="20"/>
            <w:u w:val="single"/>
          </w:rPr>
          <w:t>https://www.eu-skladi.si/sl/dokumenti/kljucni-dokumenti/op_slo_web.pdf</w:t>
        </w:r>
      </w:hyperlink>
    </w:p>
    <w:p w14:paraId="0DD1633C" w14:textId="77777777" w:rsidR="00005858" w:rsidRPr="0048666D" w:rsidRDefault="00005858" w:rsidP="000A650F">
      <w:pPr>
        <w:numPr>
          <w:ilvl w:val="0"/>
          <w:numId w:val="48"/>
        </w:numPr>
        <w:tabs>
          <w:tab w:val="left" w:pos="283"/>
        </w:tabs>
        <w:spacing w:after="0" w:line="240" w:lineRule="auto"/>
        <w:ind w:left="0"/>
        <w:jc w:val="both"/>
        <w:rPr>
          <w:rFonts w:cs="Arial"/>
          <w:szCs w:val="20"/>
        </w:rPr>
      </w:pPr>
      <w:proofErr w:type="spellStart"/>
      <w:r w:rsidRPr="0048666D">
        <w:rPr>
          <w:rFonts w:cs="Arial"/>
          <w:szCs w:val="20"/>
        </w:rPr>
        <w:t>Orgiazzi</w:t>
      </w:r>
      <w:proofErr w:type="spellEnd"/>
      <w:r w:rsidRPr="0048666D">
        <w:rPr>
          <w:rFonts w:cs="Arial"/>
          <w:szCs w:val="20"/>
        </w:rPr>
        <w:t xml:space="preserve">, A. in sod. 2016. </w:t>
      </w:r>
      <w:r w:rsidRPr="0048666D">
        <w:rPr>
          <w:rFonts w:eastAsia="Arial" w:cs="Arial"/>
          <w:szCs w:val="20"/>
        </w:rPr>
        <w:t xml:space="preserve">A </w:t>
      </w:r>
      <w:proofErr w:type="spellStart"/>
      <w:r w:rsidRPr="0048666D">
        <w:rPr>
          <w:rFonts w:eastAsia="Arial" w:cs="Arial"/>
          <w:szCs w:val="20"/>
        </w:rPr>
        <w:t>knowledge-based</w:t>
      </w:r>
      <w:proofErr w:type="spellEnd"/>
      <w:r w:rsidRPr="0048666D">
        <w:rPr>
          <w:rFonts w:eastAsia="Arial" w:cs="Arial"/>
          <w:szCs w:val="20"/>
        </w:rPr>
        <w:t xml:space="preserve"> </w:t>
      </w:r>
      <w:proofErr w:type="spellStart"/>
      <w:r w:rsidRPr="0048666D">
        <w:rPr>
          <w:rFonts w:eastAsia="Arial" w:cs="Arial"/>
          <w:szCs w:val="20"/>
        </w:rPr>
        <w:t>approach</w:t>
      </w:r>
      <w:proofErr w:type="spellEnd"/>
      <w:r w:rsidRPr="0048666D">
        <w:rPr>
          <w:rFonts w:eastAsia="Arial" w:cs="Arial"/>
          <w:szCs w:val="20"/>
        </w:rPr>
        <w:t xml:space="preserve"> to </w:t>
      </w:r>
      <w:proofErr w:type="spellStart"/>
      <w:r w:rsidRPr="0048666D">
        <w:rPr>
          <w:rFonts w:eastAsia="Arial" w:cs="Arial"/>
          <w:szCs w:val="20"/>
        </w:rPr>
        <w:t>estimating</w:t>
      </w:r>
      <w:proofErr w:type="spellEnd"/>
      <w:r w:rsidRPr="0048666D">
        <w:rPr>
          <w:rFonts w:eastAsia="Arial" w:cs="Arial"/>
          <w:szCs w:val="20"/>
        </w:rPr>
        <w:t xml:space="preserve"> </w:t>
      </w:r>
      <w:proofErr w:type="spellStart"/>
      <w:r w:rsidRPr="0048666D">
        <w:rPr>
          <w:rFonts w:eastAsia="Arial" w:cs="Arial"/>
          <w:szCs w:val="20"/>
        </w:rPr>
        <w:t>the</w:t>
      </w:r>
      <w:proofErr w:type="spellEnd"/>
      <w:r w:rsidRPr="0048666D">
        <w:rPr>
          <w:rFonts w:eastAsia="Arial" w:cs="Arial"/>
          <w:szCs w:val="20"/>
        </w:rPr>
        <w:t xml:space="preserve"> magnitude </w:t>
      </w:r>
      <w:proofErr w:type="spellStart"/>
      <w:r w:rsidRPr="0048666D">
        <w:rPr>
          <w:rFonts w:eastAsia="Arial" w:cs="Arial"/>
          <w:szCs w:val="20"/>
        </w:rPr>
        <w:t>and</w:t>
      </w:r>
      <w:proofErr w:type="spellEnd"/>
      <w:r w:rsidRPr="0048666D">
        <w:rPr>
          <w:rFonts w:eastAsia="Arial" w:cs="Arial"/>
          <w:szCs w:val="20"/>
        </w:rPr>
        <w:t xml:space="preserve"> </w:t>
      </w:r>
      <w:proofErr w:type="spellStart"/>
      <w:r w:rsidRPr="0048666D">
        <w:rPr>
          <w:rFonts w:eastAsia="Arial" w:cs="Arial"/>
          <w:szCs w:val="20"/>
        </w:rPr>
        <w:t>spatial</w:t>
      </w:r>
      <w:proofErr w:type="spellEnd"/>
      <w:r w:rsidRPr="0048666D">
        <w:rPr>
          <w:rFonts w:eastAsia="Arial" w:cs="Arial"/>
          <w:szCs w:val="20"/>
        </w:rPr>
        <w:t xml:space="preserve"> </w:t>
      </w:r>
      <w:proofErr w:type="spellStart"/>
      <w:r w:rsidRPr="0048666D">
        <w:rPr>
          <w:rFonts w:eastAsia="Arial" w:cs="Arial"/>
          <w:szCs w:val="20"/>
        </w:rPr>
        <w:t>patterns</w:t>
      </w:r>
      <w:proofErr w:type="spellEnd"/>
      <w:r w:rsidRPr="0048666D">
        <w:rPr>
          <w:rFonts w:eastAsia="Arial" w:cs="Arial"/>
          <w:szCs w:val="20"/>
        </w:rPr>
        <w:t xml:space="preserve"> </w:t>
      </w:r>
      <w:proofErr w:type="spellStart"/>
      <w:r w:rsidRPr="0048666D">
        <w:rPr>
          <w:rFonts w:eastAsia="Arial" w:cs="Arial"/>
          <w:szCs w:val="20"/>
        </w:rPr>
        <w:t>of</w:t>
      </w:r>
      <w:proofErr w:type="spellEnd"/>
      <w:r w:rsidRPr="0048666D">
        <w:rPr>
          <w:rFonts w:eastAsia="Arial" w:cs="Arial"/>
          <w:szCs w:val="20"/>
        </w:rPr>
        <w:t xml:space="preserve"> </w:t>
      </w:r>
      <w:proofErr w:type="spellStart"/>
      <w:r w:rsidRPr="0048666D">
        <w:rPr>
          <w:rFonts w:eastAsia="Arial" w:cs="Arial"/>
          <w:szCs w:val="20"/>
        </w:rPr>
        <w:t>potential</w:t>
      </w:r>
      <w:proofErr w:type="spellEnd"/>
      <w:r w:rsidRPr="0048666D">
        <w:rPr>
          <w:rFonts w:eastAsia="Arial" w:cs="Arial"/>
          <w:szCs w:val="20"/>
        </w:rPr>
        <w:t xml:space="preserve"> </w:t>
      </w:r>
      <w:proofErr w:type="spellStart"/>
      <w:r w:rsidRPr="0048666D">
        <w:rPr>
          <w:rFonts w:eastAsia="Arial" w:cs="Arial"/>
          <w:szCs w:val="20"/>
        </w:rPr>
        <w:t>threats</w:t>
      </w:r>
      <w:proofErr w:type="spellEnd"/>
      <w:r w:rsidRPr="0048666D">
        <w:rPr>
          <w:rFonts w:eastAsia="Arial" w:cs="Arial"/>
          <w:szCs w:val="20"/>
        </w:rPr>
        <w:t xml:space="preserve"> to </w:t>
      </w:r>
      <w:proofErr w:type="spellStart"/>
      <w:r w:rsidRPr="0048666D">
        <w:rPr>
          <w:rFonts w:eastAsia="Arial" w:cs="Arial"/>
          <w:szCs w:val="20"/>
        </w:rPr>
        <w:t>soil</w:t>
      </w:r>
      <w:proofErr w:type="spellEnd"/>
      <w:r w:rsidRPr="0048666D">
        <w:rPr>
          <w:rFonts w:eastAsia="Arial" w:cs="Arial"/>
          <w:szCs w:val="20"/>
        </w:rPr>
        <w:t xml:space="preserve"> </w:t>
      </w:r>
      <w:proofErr w:type="spellStart"/>
      <w:r w:rsidRPr="0048666D">
        <w:rPr>
          <w:rFonts w:eastAsia="Arial" w:cs="Arial"/>
          <w:szCs w:val="20"/>
        </w:rPr>
        <w:t>biodiversity</w:t>
      </w:r>
      <w:proofErr w:type="spellEnd"/>
      <w:r w:rsidRPr="0048666D">
        <w:rPr>
          <w:rFonts w:eastAsia="Arial" w:cs="Arial"/>
          <w:szCs w:val="20"/>
        </w:rPr>
        <w:t xml:space="preserve">. Science </w:t>
      </w:r>
      <w:proofErr w:type="spellStart"/>
      <w:r w:rsidRPr="0048666D">
        <w:rPr>
          <w:rFonts w:eastAsia="Arial" w:cs="Arial"/>
          <w:szCs w:val="20"/>
        </w:rPr>
        <w:t>of</w:t>
      </w:r>
      <w:proofErr w:type="spellEnd"/>
      <w:r w:rsidRPr="0048666D">
        <w:rPr>
          <w:rFonts w:eastAsia="Arial" w:cs="Arial"/>
          <w:szCs w:val="20"/>
        </w:rPr>
        <w:t xml:space="preserve"> </w:t>
      </w:r>
      <w:proofErr w:type="spellStart"/>
      <w:r w:rsidRPr="0048666D">
        <w:rPr>
          <w:rFonts w:eastAsia="Arial" w:cs="Arial"/>
          <w:szCs w:val="20"/>
        </w:rPr>
        <w:t>The</w:t>
      </w:r>
      <w:proofErr w:type="spellEnd"/>
      <w:r w:rsidRPr="0048666D">
        <w:rPr>
          <w:rFonts w:eastAsia="Arial" w:cs="Arial"/>
          <w:szCs w:val="20"/>
        </w:rPr>
        <w:t xml:space="preserve"> Total </w:t>
      </w:r>
      <w:proofErr w:type="spellStart"/>
      <w:r w:rsidRPr="0048666D">
        <w:rPr>
          <w:rFonts w:eastAsia="Arial" w:cs="Arial"/>
          <w:szCs w:val="20"/>
        </w:rPr>
        <w:t>Environment</w:t>
      </w:r>
      <w:proofErr w:type="spellEnd"/>
      <w:r w:rsidRPr="0048666D">
        <w:rPr>
          <w:rFonts w:eastAsia="Arial" w:cs="Arial"/>
          <w:szCs w:val="20"/>
        </w:rPr>
        <w:t xml:space="preserve">. Vol. 545–546, p. 11–20: </w:t>
      </w:r>
      <w:hyperlink r:id="rId121" w:history="1">
        <w:r w:rsidRPr="0048666D">
          <w:rPr>
            <w:rFonts w:eastAsia="Arial" w:cs="Arial"/>
            <w:color w:val="0000FF"/>
            <w:szCs w:val="20"/>
            <w:u w:val="single"/>
          </w:rPr>
          <w:t>https://www.sciencedirect.com/science/article/pii/S004896971531247X</w:t>
        </w:r>
      </w:hyperlink>
    </w:p>
    <w:p w14:paraId="34D8AEDE" w14:textId="77777777" w:rsidR="00674734" w:rsidRPr="0048666D" w:rsidRDefault="00005858" w:rsidP="000A650F">
      <w:pPr>
        <w:numPr>
          <w:ilvl w:val="0"/>
          <w:numId w:val="48"/>
        </w:numPr>
        <w:spacing w:after="0" w:line="240" w:lineRule="auto"/>
        <w:ind w:left="0"/>
        <w:jc w:val="both"/>
        <w:rPr>
          <w:rFonts w:eastAsia="Times New Roman" w:cs="Arial"/>
          <w:szCs w:val="20"/>
          <w:lang w:eastAsia="en-GB"/>
        </w:rPr>
      </w:pPr>
      <w:r w:rsidRPr="0048666D">
        <w:rPr>
          <w:rFonts w:eastAsia="Times New Roman" w:cs="Arial"/>
          <w:szCs w:val="20"/>
          <w:lang w:eastAsia="en-GB"/>
        </w:rPr>
        <w:t>Pečar J. (2018).</w:t>
      </w:r>
      <w:r w:rsidRPr="0048666D">
        <w:rPr>
          <w:rFonts w:eastAsia="Times New Roman" w:cs="Arial"/>
          <w:i/>
          <w:szCs w:val="20"/>
          <w:lang w:eastAsia="en-GB"/>
        </w:rPr>
        <w:t xml:space="preserve"> Indeks razvojne ogroženosti regij 2014–2020</w:t>
      </w:r>
      <w:r w:rsidRPr="0048666D">
        <w:rPr>
          <w:rFonts w:eastAsia="Times New Roman" w:cs="Arial"/>
          <w:szCs w:val="20"/>
          <w:lang w:eastAsia="en-GB"/>
        </w:rPr>
        <w:t xml:space="preserve">, </w:t>
      </w:r>
      <w:r w:rsidRPr="0048666D">
        <w:rPr>
          <w:rFonts w:eastAsia="Times New Roman" w:cs="Arial"/>
          <w:i/>
          <w:szCs w:val="20"/>
          <w:lang w:eastAsia="en-GB"/>
        </w:rPr>
        <w:t>metodologija izračuna</w:t>
      </w:r>
      <w:r w:rsidRPr="0048666D">
        <w:rPr>
          <w:rFonts w:eastAsia="Times New Roman" w:cs="Arial"/>
          <w:szCs w:val="20"/>
          <w:lang w:eastAsia="en-GB"/>
        </w:rPr>
        <w:t>. Pridobljeno s https://www.umar.gov.si/fileadmin/user_upload/publikacije/dz/2018/Indeks_razvojne_ogrozenosti_regij_2014_2020_metodologija_izracuna.pdf</w:t>
      </w:r>
    </w:p>
    <w:p w14:paraId="77B94BB8" w14:textId="77777777" w:rsidR="00005858" w:rsidRPr="0048666D" w:rsidRDefault="00005858" w:rsidP="000A650F">
      <w:pPr>
        <w:numPr>
          <w:ilvl w:val="0"/>
          <w:numId w:val="48"/>
        </w:numPr>
        <w:tabs>
          <w:tab w:val="left" w:pos="283"/>
        </w:tabs>
        <w:spacing w:after="0" w:line="240" w:lineRule="auto"/>
        <w:ind w:left="0"/>
        <w:jc w:val="both"/>
        <w:rPr>
          <w:rFonts w:cs="Arial"/>
          <w:color w:val="0000FF"/>
          <w:szCs w:val="20"/>
          <w:u w:val="single"/>
        </w:rPr>
      </w:pPr>
      <w:r w:rsidRPr="0048666D">
        <w:rPr>
          <w:rFonts w:cs="Arial"/>
          <w:color w:val="000000"/>
          <w:szCs w:val="20"/>
        </w:rPr>
        <w:t xml:space="preserve">Podnebno ogledalo: </w:t>
      </w:r>
      <w:hyperlink r:id="rId122" w:history="1">
        <w:r w:rsidRPr="0048666D">
          <w:rPr>
            <w:rFonts w:cs="Arial"/>
            <w:color w:val="0000FF"/>
            <w:szCs w:val="20"/>
            <w:u w:val="single"/>
          </w:rPr>
          <w:t>https://www.podnebnapot2050.si/rezultati-slovenije/letno-podnebno-ogledalo/</w:t>
        </w:r>
      </w:hyperlink>
    </w:p>
    <w:p w14:paraId="1A9AC037" w14:textId="77777777" w:rsidR="00005858" w:rsidRPr="0048666D" w:rsidRDefault="00005858" w:rsidP="000A650F">
      <w:pPr>
        <w:numPr>
          <w:ilvl w:val="0"/>
          <w:numId w:val="48"/>
        </w:numPr>
        <w:spacing w:after="0" w:line="240" w:lineRule="auto"/>
        <w:ind w:left="0"/>
        <w:jc w:val="both"/>
        <w:rPr>
          <w:rFonts w:cs="Arial"/>
          <w:szCs w:val="20"/>
        </w:rPr>
      </w:pPr>
      <w:r w:rsidRPr="0048666D">
        <w:rPr>
          <w:rFonts w:cs="Arial"/>
          <w:szCs w:val="20"/>
        </w:rPr>
        <w:t xml:space="preserve">Poročila o stanju v kmetijstvu: </w:t>
      </w:r>
      <w:hyperlink r:id="rId123" w:history="1">
        <w:r w:rsidRPr="0048666D">
          <w:rPr>
            <w:rFonts w:cs="Arial"/>
            <w:color w:val="0000FF"/>
            <w:szCs w:val="20"/>
            <w:u w:val="single"/>
          </w:rPr>
          <w:t>https://www.kis.si/Porocila_o_stanju_v_kmetijstvu_OEK/</w:t>
        </w:r>
      </w:hyperlink>
    </w:p>
    <w:p w14:paraId="3DCCC6E3" w14:textId="77777777" w:rsidR="00674734" w:rsidRPr="0048666D" w:rsidRDefault="00005858" w:rsidP="000A650F">
      <w:pPr>
        <w:numPr>
          <w:ilvl w:val="0"/>
          <w:numId w:val="48"/>
        </w:numPr>
        <w:spacing w:after="0" w:line="240" w:lineRule="auto"/>
        <w:ind w:left="0"/>
        <w:contextualSpacing/>
        <w:jc w:val="both"/>
        <w:rPr>
          <w:rFonts w:cs="Arial"/>
          <w:szCs w:val="20"/>
        </w:rPr>
      </w:pPr>
      <w:r w:rsidRPr="0048666D">
        <w:rPr>
          <w:rFonts w:cs="Arial"/>
          <w:szCs w:val="20"/>
        </w:rPr>
        <w:t xml:space="preserve">Poročilo o izvajanju Evropske kohezijske politike 2014–2020 za obdobje od januarja 2014 do konca marca 2020. (2020). Pridobljeno s </w:t>
      </w:r>
      <w:hyperlink r:id="rId124" w:history="1">
        <w:r w:rsidRPr="0048666D">
          <w:rPr>
            <w:rFonts w:cs="Arial"/>
            <w:color w:val="0000FF"/>
            <w:szCs w:val="20"/>
            <w:u w:val="single"/>
          </w:rPr>
          <w:t>https://www.eu-skladi.si/portal/sl/ekp/izvajanje/porocila-1</w:t>
        </w:r>
      </w:hyperlink>
    </w:p>
    <w:p w14:paraId="73F6C230" w14:textId="77777777" w:rsidR="00005858" w:rsidRPr="0048666D" w:rsidRDefault="00005858" w:rsidP="000A650F">
      <w:pPr>
        <w:numPr>
          <w:ilvl w:val="0"/>
          <w:numId w:val="48"/>
        </w:numPr>
        <w:tabs>
          <w:tab w:val="left" w:pos="283"/>
        </w:tabs>
        <w:spacing w:after="0" w:line="240" w:lineRule="auto"/>
        <w:ind w:left="0"/>
        <w:jc w:val="both"/>
        <w:rPr>
          <w:rFonts w:cs="Arial"/>
          <w:color w:val="0000FF"/>
          <w:szCs w:val="20"/>
          <w:u w:val="single"/>
        </w:rPr>
      </w:pPr>
      <w:r w:rsidRPr="0048666D">
        <w:rPr>
          <w:rFonts w:cs="Arial"/>
          <w:color w:val="000000"/>
          <w:szCs w:val="20"/>
        </w:rPr>
        <w:t xml:space="preserve">Poročilo o izvajanju programa </w:t>
      </w:r>
      <w:proofErr w:type="spellStart"/>
      <w:r w:rsidRPr="0048666D">
        <w:rPr>
          <w:rFonts w:cs="Arial"/>
          <w:color w:val="000000"/>
          <w:szCs w:val="20"/>
        </w:rPr>
        <w:t>Programa</w:t>
      </w:r>
      <w:proofErr w:type="spellEnd"/>
      <w:r w:rsidRPr="0048666D">
        <w:rPr>
          <w:rFonts w:cs="Arial"/>
          <w:color w:val="000000"/>
          <w:szCs w:val="20"/>
        </w:rPr>
        <w:t xml:space="preserve"> upravljanja območij Natura 2000 (2015–2020) za leto 2018 : </w:t>
      </w:r>
      <w:hyperlink r:id="rId125" w:history="1">
        <w:r w:rsidRPr="0048666D">
          <w:rPr>
            <w:rFonts w:cs="Arial"/>
            <w:color w:val="0000FF"/>
            <w:szCs w:val="20"/>
            <w:u w:val="single"/>
          </w:rPr>
          <w:t>http://www.natura2000.si/fileadmin/user_upload/Novice/Life_IP_Natura_SI/porocilo_PUN_2018.pdf</w:t>
        </w:r>
      </w:hyperlink>
    </w:p>
    <w:p w14:paraId="5C848F77" w14:textId="77777777" w:rsidR="00005858" w:rsidRPr="0048666D" w:rsidRDefault="00005858" w:rsidP="000A650F">
      <w:pPr>
        <w:numPr>
          <w:ilvl w:val="0"/>
          <w:numId w:val="48"/>
        </w:numPr>
        <w:tabs>
          <w:tab w:val="left" w:pos="283"/>
        </w:tabs>
        <w:spacing w:after="0" w:line="240" w:lineRule="auto"/>
        <w:ind w:left="0"/>
        <w:jc w:val="both"/>
        <w:rPr>
          <w:rFonts w:cs="Arial"/>
          <w:color w:val="0000FF"/>
          <w:szCs w:val="20"/>
          <w:u w:val="single"/>
        </w:rPr>
      </w:pPr>
      <w:r w:rsidRPr="0048666D">
        <w:rPr>
          <w:rFonts w:cs="Arial"/>
          <w:szCs w:val="20"/>
        </w:rPr>
        <w:t xml:space="preserve">Poročilo o okolju v Republiki Sloveniji 2017: </w:t>
      </w:r>
      <w:hyperlink r:id="rId126" w:history="1">
        <w:r w:rsidRPr="0048666D">
          <w:rPr>
            <w:rFonts w:cs="Arial"/>
            <w:color w:val="0000FF"/>
            <w:szCs w:val="20"/>
            <w:u w:val="single"/>
          </w:rPr>
          <w:t>http://www.mop.gov.si/fileadmin/mop.gov.si/pageuploads/pomembni_dokumenti/porocilo_o_okolju_2017.pdf</w:t>
        </w:r>
      </w:hyperlink>
    </w:p>
    <w:p w14:paraId="6480B4F3" w14:textId="77777777" w:rsidR="00005858" w:rsidRPr="0048666D" w:rsidRDefault="00005858" w:rsidP="000A650F">
      <w:pPr>
        <w:numPr>
          <w:ilvl w:val="0"/>
          <w:numId w:val="48"/>
        </w:numPr>
        <w:spacing w:after="0" w:line="240" w:lineRule="auto"/>
        <w:ind w:left="0"/>
        <w:jc w:val="both"/>
        <w:rPr>
          <w:rFonts w:eastAsia="Times New Roman" w:cs="Arial"/>
          <w:szCs w:val="20"/>
          <w:lang w:eastAsia="en-GB"/>
        </w:rPr>
      </w:pPr>
      <w:r w:rsidRPr="0048666D">
        <w:rPr>
          <w:rFonts w:eastAsia="Times New Roman" w:cs="Arial"/>
          <w:i/>
          <w:szCs w:val="20"/>
          <w:lang w:eastAsia="en-GB"/>
        </w:rPr>
        <w:t>Poročilo o razvoju 2020</w:t>
      </w:r>
      <w:r w:rsidRPr="0048666D">
        <w:rPr>
          <w:rFonts w:eastAsia="Times New Roman" w:cs="Arial"/>
          <w:szCs w:val="20"/>
          <w:lang w:eastAsia="en-GB"/>
        </w:rPr>
        <w:t xml:space="preserve">. (2020). Pridobljeno s </w:t>
      </w:r>
      <w:hyperlink r:id="rId127" w:history="1">
        <w:r w:rsidRPr="0048666D">
          <w:rPr>
            <w:rFonts w:eastAsia="Times New Roman" w:cs="Arial"/>
            <w:color w:val="0000FF"/>
            <w:szCs w:val="20"/>
            <w:u w:val="single"/>
            <w:lang w:eastAsia="en-GB"/>
          </w:rPr>
          <w:t>https://www.umar.gov.si/razvoj-slovenije/porocilo/news/porocilo-o-razvoju-2020-1/?tx_news_pi1%5Bcontroller%5D=News&amp;tx_news_pi1%5Baction%5D=detail&amp;cHash=ff829b79ddcf921917a8a54fa6870d6d</w:t>
        </w:r>
      </w:hyperlink>
    </w:p>
    <w:p w14:paraId="38AABD9F" w14:textId="77777777" w:rsidR="00005858" w:rsidRPr="0048666D" w:rsidRDefault="00005858" w:rsidP="000A650F">
      <w:pPr>
        <w:numPr>
          <w:ilvl w:val="0"/>
          <w:numId w:val="48"/>
        </w:numPr>
        <w:tabs>
          <w:tab w:val="left" w:pos="283"/>
        </w:tabs>
        <w:spacing w:after="0" w:line="240" w:lineRule="auto"/>
        <w:ind w:left="0"/>
        <w:jc w:val="both"/>
        <w:rPr>
          <w:rFonts w:cs="Arial"/>
          <w:szCs w:val="20"/>
        </w:rPr>
      </w:pPr>
      <w:r w:rsidRPr="0048666D">
        <w:rPr>
          <w:rFonts w:cs="Arial"/>
          <w:szCs w:val="20"/>
        </w:rPr>
        <w:t xml:space="preserve">Poslovanje kmetijskih in živilskih podjetij v Sloveniji v 2018: </w:t>
      </w:r>
      <w:hyperlink r:id="rId128" w:history="1">
        <w:r w:rsidRPr="0048666D">
          <w:rPr>
            <w:rFonts w:cs="Arial"/>
            <w:color w:val="0000FF"/>
            <w:szCs w:val="20"/>
            <w:u w:val="single"/>
          </w:rPr>
          <w:t>https://www.gzs.si/Portals/Panoga-Kmetijska-Zivilska/brosura%20zpi%202018%20v2_web.pdf</w:t>
        </w:r>
      </w:hyperlink>
    </w:p>
    <w:p w14:paraId="09395375" w14:textId="77777777" w:rsidR="00005858" w:rsidRPr="0048666D" w:rsidRDefault="00005858" w:rsidP="000A650F">
      <w:pPr>
        <w:numPr>
          <w:ilvl w:val="0"/>
          <w:numId w:val="48"/>
        </w:numPr>
        <w:spacing w:after="0" w:line="240" w:lineRule="auto"/>
        <w:ind w:left="0"/>
        <w:jc w:val="both"/>
        <w:rPr>
          <w:rFonts w:eastAsia="Times New Roman" w:cs="Arial"/>
          <w:szCs w:val="20"/>
          <w:lang w:eastAsia="en-GB"/>
        </w:rPr>
      </w:pPr>
      <w:r w:rsidRPr="0048666D">
        <w:rPr>
          <w:rFonts w:eastAsia="Times New Roman" w:cs="Arial"/>
          <w:szCs w:val="20"/>
          <w:lang w:eastAsia="en-GB"/>
        </w:rPr>
        <w:lastRenderedPageBreak/>
        <w:t xml:space="preserve">Potočnik Slavič I. (2019). Staranje na podeželju: dejstva, pričakovanja in prostorske razsežnosti. V Nared J., Polajnar Horvat K. in Razpotnik </w:t>
      </w:r>
      <w:proofErr w:type="spellStart"/>
      <w:r w:rsidRPr="0048666D">
        <w:rPr>
          <w:rFonts w:eastAsia="Times New Roman" w:cs="Arial"/>
          <w:szCs w:val="20"/>
          <w:lang w:eastAsia="en-GB"/>
        </w:rPr>
        <w:t>Visković</w:t>
      </w:r>
      <w:proofErr w:type="spellEnd"/>
      <w:r w:rsidRPr="0048666D">
        <w:rPr>
          <w:rFonts w:eastAsia="Times New Roman" w:cs="Arial"/>
          <w:szCs w:val="20"/>
          <w:lang w:eastAsia="en-GB"/>
        </w:rPr>
        <w:t xml:space="preserve"> N. (ur.). </w:t>
      </w:r>
      <w:r w:rsidRPr="0048666D">
        <w:rPr>
          <w:rFonts w:eastAsia="Times New Roman" w:cs="Arial"/>
          <w:i/>
          <w:szCs w:val="20"/>
          <w:lang w:eastAsia="en-GB"/>
        </w:rPr>
        <w:t>Demografske spremembe in regionalni razvoj</w:t>
      </w:r>
      <w:r w:rsidRPr="0048666D">
        <w:rPr>
          <w:rFonts w:eastAsia="Times New Roman" w:cs="Arial"/>
          <w:szCs w:val="20"/>
          <w:lang w:eastAsia="en-GB"/>
        </w:rPr>
        <w:t>. Ljubljana: ZRC SAZU, Geografski inštitut Antona Melika.</w:t>
      </w:r>
    </w:p>
    <w:p w14:paraId="7743690C" w14:textId="77777777" w:rsidR="00005858" w:rsidRPr="0048666D" w:rsidRDefault="00005858" w:rsidP="000A650F">
      <w:pPr>
        <w:numPr>
          <w:ilvl w:val="0"/>
          <w:numId w:val="48"/>
        </w:numPr>
        <w:spacing w:after="0" w:line="240" w:lineRule="auto"/>
        <w:ind w:left="0"/>
        <w:jc w:val="both"/>
        <w:rPr>
          <w:rFonts w:cs="Arial"/>
          <w:szCs w:val="20"/>
        </w:rPr>
      </w:pPr>
      <w:r w:rsidRPr="0048666D">
        <w:rPr>
          <w:rFonts w:cs="Arial"/>
          <w:szCs w:val="20"/>
        </w:rPr>
        <w:t xml:space="preserve">Prihodnost skupne kmetijske politike: </w:t>
      </w:r>
      <w:hyperlink r:id="rId129" w:history="1">
        <w:r w:rsidRPr="0048666D">
          <w:rPr>
            <w:rFonts w:cs="Arial"/>
            <w:color w:val="0000FF"/>
            <w:szCs w:val="20"/>
            <w:u w:val="single"/>
          </w:rPr>
          <w:t>https://ec.europa.eu/info/food-farming-fisheries/key-policies/common-agricultural-policy/future-cap_sl</w:t>
        </w:r>
      </w:hyperlink>
    </w:p>
    <w:p w14:paraId="7021DE61" w14:textId="77777777" w:rsidR="00005858" w:rsidRPr="0048666D" w:rsidRDefault="00005858" w:rsidP="000A650F">
      <w:pPr>
        <w:numPr>
          <w:ilvl w:val="0"/>
          <w:numId w:val="48"/>
        </w:numPr>
        <w:spacing w:after="0" w:line="240" w:lineRule="auto"/>
        <w:ind w:left="0"/>
        <w:jc w:val="both"/>
        <w:rPr>
          <w:rFonts w:eastAsia="Times New Roman" w:cs="Arial"/>
          <w:szCs w:val="20"/>
          <w:lang w:eastAsia="en-GB"/>
        </w:rPr>
      </w:pPr>
      <w:r w:rsidRPr="0048666D">
        <w:rPr>
          <w:rFonts w:eastAsia="Times New Roman" w:cs="Arial"/>
          <w:i/>
          <w:szCs w:val="20"/>
          <w:lang w:eastAsia="en-GB"/>
        </w:rPr>
        <w:t>Priložnosti dediščine slovenskega podeželja</w:t>
      </w:r>
      <w:r w:rsidRPr="0048666D">
        <w:rPr>
          <w:rFonts w:eastAsia="Times New Roman" w:cs="Arial"/>
          <w:szCs w:val="20"/>
          <w:lang w:eastAsia="en-GB"/>
        </w:rPr>
        <w:t xml:space="preserve">. (2019). Pridobljeno s </w:t>
      </w:r>
      <w:hyperlink r:id="rId130" w:history="1">
        <w:r w:rsidRPr="0048666D">
          <w:rPr>
            <w:rFonts w:eastAsia="Times New Roman" w:cs="Arial"/>
            <w:szCs w:val="20"/>
            <w:lang w:eastAsia="en-GB"/>
          </w:rPr>
          <w:t>http://mao.si/Dogodek/Priloznosti-Dediscina-Slovenskega-Podezelja.aspx</w:t>
        </w:r>
      </w:hyperlink>
    </w:p>
    <w:p w14:paraId="5E5D142A" w14:textId="77777777" w:rsidR="00005858" w:rsidRPr="0048666D" w:rsidRDefault="00005858" w:rsidP="000A650F">
      <w:pPr>
        <w:numPr>
          <w:ilvl w:val="0"/>
          <w:numId w:val="48"/>
        </w:numPr>
        <w:tabs>
          <w:tab w:val="left" w:pos="283"/>
        </w:tabs>
        <w:spacing w:after="0" w:line="240" w:lineRule="auto"/>
        <w:ind w:left="0"/>
        <w:jc w:val="both"/>
        <w:rPr>
          <w:rFonts w:cs="Arial"/>
          <w:szCs w:val="20"/>
        </w:rPr>
      </w:pPr>
      <w:r w:rsidRPr="0048666D">
        <w:rPr>
          <w:rFonts w:cs="Arial"/>
          <w:szCs w:val="20"/>
        </w:rPr>
        <w:t xml:space="preserve">Priložnosti dediščine slovenskega podeželja: </w:t>
      </w:r>
      <w:hyperlink r:id="rId131" w:history="1">
        <w:r w:rsidRPr="0048666D">
          <w:rPr>
            <w:rFonts w:cs="Arial"/>
            <w:color w:val="0000FF"/>
            <w:szCs w:val="20"/>
            <w:u w:val="single"/>
          </w:rPr>
          <w:t>http://mao.si/Dogodek/Priloznosti-Dediscina-Slovenskega-Podezelja.aspx</w:t>
        </w:r>
      </w:hyperlink>
    </w:p>
    <w:p w14:paraId="33DB82E0" w14:textId="77777777" w:rsidR="00005858" w:rsidRPr="0048666D" w:rsidRDefault="00005858" w:rsidP="000A650F">
      <w:pPr>
        <w:numPr>
          <w:ilvl w:val="0"/>
          <w:numId w:val="48"/>
        </w:numPr>
        <w:tabs>
          <w:tab w:val="left" w:pos="283"/>
        </w:tabs>
        <w:spacing w:after="0" w:line="240" w:lineRule="auto"/>
        <w:ind w:left="0"/>
        <w:jc w:val="both"/>
        <w:rPr>
          <w:rFonts w:cs="Arial"/>
          <w:color w:val="0000FF"/>
          <w:szCs w:val="20"/>
          <w:u w:val="single"/>
        </w:rPr>
      </w:pPr>
      <w:r w:rsidRPr="0048666D">
        <w:rPr>
          <w:rFonts w:cs="Arial"/>
          <w:szCs w:val="20"/>
        </w:rPr>
        <w:t xml:space="preserve">Program upravljanja Program upravljanja območij Natura 2000 za območij Natura 2000 za obdobje 2015–2020: </w:t>
      </w:r>
      <w:hyperlink r:id="rId132" w:history="1">
        <w:r w:rsidRPr="0048666D">
          <w:rPr>
            <w:rFonts w:cs="Arial"/>
            <w:color w:val="0000FF"/>
            <w:szCs w:val="20"/>
            <w:u w:val="single"/>
          </w:rPr>
          <w:t>http://www.natura2000.si/natura-2000/life-upravljanje/program-upravljanja/</w:t>
        </w:r>
      </w:hyperlink>
    </w:p>
    <w:p w14:paraId="07388945" w14:textId="77777777" w:rsidR="00005858" w:rsidRPr="0048666D" w:rsidRDefault="00005858" w:rsidP="000A650F">
      <w:pPr>
        <w:numPr>
          <w:ilvl w:val="0"/>
          <w:numId w:val="48"/>
        </w:numPr>
        <w:spacing w:after="0" w:line="240" w:lineRule="auto"/>
        <w:ind w:left="0"/>
        <w:jc w:val="both"/>
        <w:rPr>
          <w:rFonts w:cs="Arial"/>
          <w:szCs w:val="20"/>
        </w:rPr>
      </w:pPr>
      <w:r w:rsidRPr="0048666D">
        <w:rPr>
          <w:rFonts w:cs="Arial"/>
          <w:szCs w:val="20"/>
        </w:rPr>
        <w:t xml:space="preserve">Resolucija o nacionalnem programu o strateških usmeritvah razvoja slovenskega kmetijstva in živilstva »Naša hrana, podeželje in naravni viri od leta 2021«: </w:t>
      </w:r>
      <w:hyperlink r:id="rId133" w:history="1">
        <w:r w:rsidRPr="0048666D">
          <w:rPr>
            <w:rFonts w:cs="Arial"/>
            <w:color w:val="0000FF"/>
            <w:szCs w:val="20"/>
            <w:u w:val="single"/>
          </w:rPr>
          <w:t>http://www.pisrs.si/Pis.web/pregledPredpisa?id=RESO125</w:t>
        </w:r>
      </w:hyperlink>
    </w:p>
    <w:p w14:paraId="1EF6D0E5" w14:textId="77777777" w:rsidR="00005858" w:rsidRPr="0048666D" w:rsidRDefault="00005858" w:rsidP="000A650F">
      <w:pPr>
        <w:numPr>
          <w:ilvl w:val="0"/>
          <w:numId w:val="48"/>
        </w:numPr>
        <w:tabs>
          <w:tab w:val="left" w:pos="283"/>
        </w:tabs>
        <w:spacing w:after="0" w:line="240" w:lineRule="auto"/>
        <w:ind w:left="0"/>
        <w:jc w:val="both"/>
        <w:rPr>
          <w:rFonts w:cs="Arial"/>
          <w:color w:val="0000FF"/>
          <w:szCs w:val="20"/>
          <w:u w:val="single"/>
        </w:rPr>
      </w:pPr>
      <w:r w:rsidRPr="0048666D">
        <w:rPr>
          <w:rFonts w:cs="Arial"/>
          <w:szCs w:val="20"/>
        </w:rPr>
        <w:t xml:space="preserve">Resolucija o Nacionalnem programu varstva okolja za obdobje 2020–2030: </w:t>
      </w:r>
      <w:hyperlink r:id="rId134" w:history="1">
        <w:r w:rsidRPr="0048666D">
          <w:rPr>
            <w:rFonts w:cs="Arial"/>
            <w:color w:val="0000FF"/>
            <w:szCs w:val="20"/>
            <w:u w:val="single"/>
          </w:rPr>
          <w:t>http://www.pisrs.si/Pis.web/pregledPredpisa?id=ODLO1985</w:t>
        </w:r>
      </w:hyperlink>
    </w:p>
    <w:p w14:paraId="7DB896D6" w14:textId="77777777" w:rsidR="00005858" w:rsidRPr="0048666D" w:rsidRDefault="00005858" w:rsidP="000A650F">
      <w:pPr>
        <w:numPr>
          <w:ilvl w:val="0"/>
          <w:numId w:val="48"/>
        </w:numPr>
        <w:spacing w:after="0" w:line="240" w:lineRule="auto"/>
        <w:ind w:left="0"/>
        <w:jc w:val="both"/>
        <w:rPr>
          <w:rFonts w:eastAsia="Times New Roman" w:cs="Arial"/>
          <w:szCs w:val="20"/>
          <w:lang w:eastAsia="en-GB"/>
        </w:rPr>
      </w:pPr>
      <w:r w:rsidRPr="0048666D">
        <w:rPr>
          <w:rFonts w:eastAsia="Times New Roman" w:cs="Arial"/>
          <w:szCs w:val="20"/>
          <w:lang w:eastAsia="en-GB"/>
        </w:rPr>
        <w:t xml:space="preserve">Rupert J. in </w:t>
      </w:r>
      <w:proofErr w:type="spellStart"/>
      <w:r w:rsidRPr="0048666D">
        <w:rPr>
          <w:rFonts w:eastAsia="Times New Roman" w:cs="Arial"/>
          <w:szCs w:val="20"/>
          <w:lang w:eastAsia="en-GB"/>
        </w:rPr>
        <w:t>Vilič</w:t>
      </w:r>
      <w:proofErr w:type="spellEnd"/>
      <w:r w:rsidRPr="0048666D">
        <w:rPr>
          <w:rFonts w:eastAsia="Times New Roman" w:cs="Arial"/>
          <w:szCs w:val="20"/>
          <w:lang w:eastAsia="en-GB"/>
        </w:rPr>
        <w:t xml:space="preserve"> Klenovšek T. (2010). </w:t>
      </w:r>
      <w:r w:rsidRPr="0048666D">
        <w:rPr>
          <w:rFonts w:eastAsia="Times New Roman" w:cs="Arial"/>
          <w:i/>
          <w:szCs w:val="20"/>
          <w:lang w:eastAsia="en-GB"/>
        </w:rPr>
        <w:t>Značilnosti izbranih ranljivih skupin odraslih in svetovalno delo za izobraževanje odraslih</w:t>
      </w:r>
      <w:r w:rsidRPr="0048666D">
        <w:rPr>
          <w:rFonts w:eastAsia="Times New Roman" w:cs="Arial"/>
          <w:szCs w:val="20"/>
          <w:lang w:eastAsia="en-GB"/>
        </w:rPr>
        <w:t xml:space="preserve">. Pridobljeno s </w:t>
      </w:r>
      <w:hyperlink r:id="rId135" w:history="1">
        <w:r w:rsidRPr="0048666D">
          <w:rPr>
            <w:rFonts w:eastAsia="Times New Roman" w:cs="Arial"/>
            <w:color w:val="0000FF"/>
            <w:szCs w:val="20"/>
            <w:u w:val="single"/>
            <w:lang w:eastAsia="en-GB"/>
          </w:rPr>
          <w:t>https://arhiv.acs.si/ucna_gradiva/ISIO_nadaljnje-Rupert_Vilic-Klenovsek.pdf</w:t>
        </w:r>
      </w:hyperlink>
    </w:p>
    <w:p w14:paraId="2D7F920B" w14:textId="77777777" w:rsidR="00005858" w:rsidRPr="0048666D" w:rsidRDefault="00005858" w:rsidP="000A650F">
      <w:pPr>
        <w:numPr>
          <w:ilvl w:val="0"/>
          <w:numId w:val="48"/>
        </w:numPr>
        <w:spacing w:after="0" w:line="240" w:lineRule="auto"/>
        <w:ind w:left="0"/>
        <w:jc w:val="both"/>
        <w:rPr>
          <w:rFonts w:eastAsia="Times New Roman" w:cs="Arial"/>
          <w:szCs w:val="20"/>
          <w:lang w:eastAsia="en-GB"/>
        </w:rPr>
      </w:pPr>
      <w:r w:rsidRPr="0048666D">
        <w:rPr>
          <w:rFonts w:eastAsia="Times New Roman" w:cs="Arial"/>
          <w:i/>
          <w:szCs w:val="20"/>
          <w:lang w:eastAsia="en-GB"/>
        </w:rPr>
        <w:t>Skupno poročilo o prostovoljstvu v Republiki Sloveniji za leto 2013</w:t>
      </w:r>
      <w:r w:rsidRPr="0048666D">
        <w:rPr>
          <w:rFonts w:eastAsia="Times New Roman" w:cs="Arial"/>
          <w:szCs w:val="20"/>
          <w:lang w:eastAsia="en-GB"/>
        </w:rPr>
        <w:t xml:space="preserve">. (b. l.) Pridobljeno s https://www.ajpes.si/doc/LP/Prostovoljske_organizacije/Skupno_porocilo_o_prostovoljstvu_2013.pdf </w:t>
      </w:r>
    </w:p>
    <w:p w14:paraId="1212850B" w14:textId="77777777" w:rsidR="00005858" w:rsidRPr="0048666D" w:rsidRDefault="00005858" w:rsidP="000A650F">
      <w:pPr>
        <w:numPr>
          <w:ilvl w:val="0"/>
          <w:numId w:val="48"/>
        </w:numPr>
        <w:spacing w:after="0" w:line="240" w:lineRule="auto"/>
        <w:ind w:left="0"/>
        <w:jc w:val="both"/>
        <w:rPr>
          <w:rFonts w:eastAsia="Times New Roman" w:cs="Arial"/>
          <w:szCs w:val="20"/>
          <w:lang w:eastAsia="en-GB"/>
        </w:rPr>
      </w:pPr>
      <w:r w:rsidRPr="0048666D">
        <w:rPr>
          <w:rFonts w:eastAsia="Times New Roman" w:cs="Arial"/>
          <w:i/>
          <w:szCs w:val="20"/>
          <w:lang w:eastAsia="en-GB"/>
        </w:rPr>
        <w:t>Skupno poročilo o prostovoljstvu v Republiki Sloveniji za leto 2018</w:t>
      </w:r>
      <w:r w:rsidRPr="0048666D">
        <w:rPr>
          <w:rFonts w:eastAsia="Times New Roman" w:cs="Arial"/>
          <w:szCs w:val="20"/>
          <w:lang w:eastAsia="en-GB"/>
        </w:rPr>
        <w:t xml:space="preserve">. (b. l.) Pridobljeno s </w:t>
      </w:r>
      <w:hyperlink r:id="rId136" w:history="1">
        <w:r w:rsidRPr="0048666D">
          <w:rPr>
            <w:rFonts w:eastAsia="Times New Roman" w:cs="Arial"/>
            <w:color w:val="0000FF"/>
            <w:szCs w:val="20"/>
            <w:u w:val="single"/>
            <w:lang w:eastAsia="en-GB"/>
          </w:rPr>
          <w:t>https://www.ajpes.si/Doc/LP/Prostovoljske_organizacije/Porocilo_o_prostovoljstvu_2018.pdf</w:t>
        </w:r>
      </w:hyperlink>
    </w:p>
    <w:p w14:paraId="6B86B0B0" w14:textId="77777777" w:rsidR="00005858" w:rsidRPr="0048666D" w:rsidRDefault="00005858" w:rsidP="000A650F">
      <w:pPr>
        <w:numPr>
          <w:ilvl w:val="0"/>
          <w:numId w:val="48"/>
        </w:numPr>
        <w:tabs>
          <w:tab w:val="left" w:pos="283"/>
        </w:tabs>
        <w:spacing w:after="0" w:line="240" w:lineRule="auto"/>
        <w:ind w:left="0"/>
        <w:jc w:val="both"/>
        <w:rPr>
          <w:rFonts w:cs="Arial"/>
          <w:szCs w:val="20"/>
        </w:rPr>
      </w:pPr>
      <w:r w:rsidRPr="0048666D">
        <w:rPr>
          <w:rFonts w:cs="Arial"/>
          <w:szCs w:val="20"/>
        </w:rPr>
        <w:t xml:space="preserve">Skupnost socialnih zavodov Slovenije. (2020). Pridobljeno s </w:t>
      </w:r>
      <w:hyperlink r:id="rId137" w:history="1">
        <w:r w:rsidRPr="0048666D">
          <w:rPr>
            <w:rFonts w:cs="Arial"/>
            <w:color w:val="0000FF"/>
            <w:szCs w:val="20"/>
            <w:u w:val="single"/>
          </w:rPr>
          <w:t>http://www.ssz-slo.si/splosno-o-domovih-in-posebnih-zavodih/</w:t>
        </w:r>
      </w:hyperlink>
    </w:p>
    <w:p w14:paraId="29354AE6" w14:textId="77777777" w:rsidR="00005858" w:rsidRPr="0048666D" w:rsidRDefault="00005858" w:rsidP="000A650F">
      <w:pPr>
        <w:numPr>
          <w:ilvl w:val="0"/>
          <w:numId w:val="48"/>
        </w:numPr>
        <w:tabs>
          <w:tab w:val="left" w:pos="283"/>
        </w:tabs>
        <w:spacing w:after="0" w:line="240" w:lineRule="auto"/>
        <w:ind w:left="0"/>
        <w:jc w:val="both"/>
        <w:rPr>
          <w:rFonts w:cs="Arial"/>
          <w:szCs w:val="20"/>
        </w:rPr>
      </w:pPr>
      <w:r w:rsidRPr="0048666D">
        <w:rPr>
          <w:rFonts w:cs="Arial"/>
          <w:szCs w:val="20"/>
        </w:rPr>
        <w:t xml:space="preserve">Slovenska podjetniška demografija in prenos podjetij, Slovenski podjetniški observatorij: </w:t>
      </w:r>
      <w:hyperlink r:id="rId138" w:history="1">
        <w:r w:rsidRPr="0048666D">
          <w:rPr>
            <w:rFonts w:cs="Arial"/>
            <w:color w:val="0000FF"/>
            <w:szCs w:val="20"/>
            <w:u w:val="single"/>
          </w:rPr>
          <w:t>http://ipmmp.um.si/wp-content/uploads/2019/03/SPO-2018-monografija.pdf</w:t>
        </w:r>
      </w:hyperlink>
      <w:r w:rsidRPr="0048666D">
        <w:rPr>
          <w:rFonts w:cs="Arial"/>
          <w:szCs w:val="20"/>
        </w:rPr>
        <w:t xml:space="preserve"> </w:t>
      </w:r>
    </w:p>
    <w:p w14:paraId="7C870FE0" w14:textId="77777777" w:rsidR="00005858" w:rsidRPr="0048666D" w:rsidRDefault="00005858" w:rsidP="000A650F">
      <w:pPr>
        <w:numPr>
          <w:ilvl w:val="0"/>
          <w:numId w:val="48"/>
        </w:numPr>
        <w:tabs>
          <w:tab w:val="left" w:pos="283"/>
        </w:tabs>
        <w:spacing w:after="0" w:line="240" w:lineRule="auto"/>
        <w:ind w:left="0"/>
        <w:jc w:val="both"/>
        <w:rPr>
          <w:rFonts w:cs="Arial"/>
          <w:szCs w:val="20"/>
        </w:rPr>
      </w:pPr>
      <w:proofErr w:type="spellStart"/>
      <w:r w:rsidRPr="0048666D">
        <w:rPr>
          <w:rFonts w:cs="Arial"/>
          <w:szCs w:val="20"/>
        </w:rPr>
        <w:t>Smit</w:t>
      </w:r>
      <w:proofErr w:type="spellEnd"/>
      <w:r w:rsidRPr="0048666D">
        <w:rPr>
          <w:rFonts w:cs="Arial"/>
          <w:szCs w:val="20"/>
        </w:rPr>
        <w:t xml:space="preserve">, H.J., </w:t>
      </w:r>
      <w:proofErr w:type="spellStart"/>
      <w:r w:rsidRPr="0048666D">
        <w:rPr>
          <w:rFonts w:cs="Arial"/>
          <w:szCs w:val="20"/>
        </w:rPr>
        <w:t>Metzger</w:t>
      </w:r>
      <w:proofErr w:type="spellEnd"/>
      <w:r w:rsidRPr="0048666D">
        <w:rPr>
          <w:rFonts w:cs="Arial"/>
          <w:szCs w:val="20"/>
        </w:rPr>
        <w:t xml:space="preserve">, M.J., </w:t>
      </w:r>
      <w:proofErr w:type="spellStart"/>
      <w:r w:rsidRPr="0048666D">
        <w:rPr>
          <w:rFonts w:cs="Arial"/>
          <w:szCs w:val="20"/>
        </w:rPr>
        <w:t>Ewert</w:t>
      </w:r>
      <w:proofErr w:type="spellEnd"/>
      <w:r w:rsidRPr="0048666D">
        <w:rPr>
          <w:rFonts w:cs="Arial"/>
          <w:szCs w:val="20"/>
        </w:rPr>
        <w:t xml:space="preserve">, F., 2008. </w:t>
      </w:r>
      <w:proofErr w:type="spellStart"/>
      <w:r w:rsidRPr="0048666D">
        <w:rPr>
          <w:rFonts w:cs="Arial"/>
          <w:szCs w:val="20"/>
        </w:rPr>
        <w:t>Spatial</w:t>
      </w:r>
      <w:proofErr w:type="spellEnd"/>
      <w:r w:rsidRPr="0048666D">
        <w:rPr>
          <w:rFonts w:cs="Arial"/>
          <w:szCs w:val="20"/>
        </w:rPr>
        <w:t xml:space="preserve"> </w:t>
      </w:r>
      <w:proofErr w:type="spellStart"/>
      <w:r w:rsidRPr="0048666D">
        <w:rPr>
          <w:rFonts w:cs="Arial"/>
          <w:szCs w:val="20"/>
        </w:rPr>
        <w:t>distrubution</w:t>
      </w:r>
      <w:proofErr w:type="spellEnd"/>
      <w:r w:rsidRPr="0048666D">
        <w:rPr>
          <w:rFonts w:cs="Arial"/>
          <w:szCs w:val="20"/>
        </w:rPr>
        <w:t xml:space="preserve"> </w:t>
      </w:r>
      <w:proofErr w:type="spellStart"/>
      <w:r w:rsidRPr="0048666D">
        <w:rPr>
          <w:rFonts w:cs="Arial"/>
          <w:szCs w:val="20"/>
        </w:rPr>
        <w:t>of</w:t>
      </w:r>
      <w:proofErr w:type="spellEnd"/>
      <w:r w:rsidRPr="0048666D">
        <w:rPr>
          <w:rFonts w:cs="Arial"/>
          <w:szCs w:val="20"/>
        </w:rPr>
        <w:t xml:space="preserve"> </w:t>
      </w:r>
      <w:proofErr w:type="spellStart"/>
      <w:r w:rsidRPr="0048666D">
        <w:rPr>
          <w:rFonts w:cs="Arial"/>
          <w:szCs w:val="20"/>
        </w:rPr>
        <w:t>grassland</w:t>
      </w:r>
      <w:proofErr w:type="spellEnd"/>
      <w:r w:rsidRPr="0048666D">
        <w:rPr>
          <w:rFonts w:cs="Arial"/>
          <w:szCs w:val="20"/>
        </w:rPr>
        <w:t xml:space="preserve"> </w:t>
      </w:r>
      <w:proofErr w:type="spellStart"/>
      <w:r w:rsidRPr="0048666D">
        <w:rPr>
          <w:rFonts w:cs="Arial"/>
          <w:szCs w:val="20"/>
        </w:rPr>
        <w:t>productivity</w:t>
      </w:r>
      <w:proofErr w:type="spellEnd"/>
      <w:r w:rsidRPr="0048666D">
        <w:rPr>
          <w:rFonts w:cs="Arial"/>
          <w:szCs w:val="20"/>
        </w:rPr>
        <w:t xml:space="preserve"> </w:t>
      </w:r>
      <w:proofErr w:type="spellStart"/>
      <w:r w:rsidRPr="0048666D">
        <w:rPr>
          <w:rFonts w:cs="Arial"/>
          <w:szCs w:val="20"/>
        </w:rPr>
        <w:t>and</w:t>
      </w:r>
      <w:proofErr w:type="spellEnd"/>
      <w:r w:rsidRPr="0048666D">
        <w:rPr>
          <w:rFonts w:cs="Arial"/>
          <w:szCs w:val="20"/>
        </w:rPr>
        <w:t xml:space="preserve"> </w:t>
      </w:r>
      <w:proofErr w:type="spellStart"/>
      <w:r w:rsidRPr="0048666D">
        <w:rPr>
          <w:rFonts w:cs="Arial"/>
          <w:szCs w:val="20"/>
        </w:rPr>
        <w:t>land</w:t>
      </w:r>
      <w:proofErr w:type="spellEnd"/>
      <w:r w:rsidRPr="0048666D">
        <w:rPr>
          <w:rFonts w:cs="Arial"/>
          <w:szCs w:val="20"/>
        </w:rPr>
        <w:t xml:space="preserve"> </w:t>
      </w:r>
      <w:proofErr w:type="spellStart"/>
      <w:r w:rsidRPr="0048666D">
        <w:rPr>
          <w:rFonts w:cs="Arial"/>
          <w:szCs w:val="20"/>
        </w:rPr>
        <w:t>use</w:t>
      </w:r>
      <w:proofErr w:type="spellEnd"/>
      <w:r w:rsidRPr="0048666D">
        <w:rPr>
          <w:rFonts w:cs="Arial"/>
          <w:szCs w:val="20"/>
        </w:rPr>
        <w:t xml:space="preserve"> in </w:t>
      </w:r>
      <w:proofErr w:type="spellStart"/>
      <w:r w:rsidRPr="0048666D">
        <w:rPr>
          <w:rFonts w:cs="Arial"/>
          <w:szCs w:val="20"/>
        </w:rPr>
        <w:t>Europe</w:t>
      </w:r>
      <w:proofErr w:type="spellEnd"/>
      <w:r w:rsidRPr="0048666D">
        <w:rPr>
          <w:rFonts w:cs="Arial"/>
          <w:szCs w:val="20"/>
        </w:rPr>
        <w:t xml:space="preserve">. </w:t>
      </w:r>
      <w:proofErr w:type="spellStart"/>
      <w:r w:rsidRPr="0048666D">
        <w:rPr>
          <w:rFonts w:cs="Arial"/>
          <w:szCs w:val="20"/>
        </w:rPr>
        <w:t>Agricultural</w:t>
      </w:r>
      <w:proofErr w:type="spellEnd"/>
      <w:r w:rsidRPr="0048666D">
        <w:rPr>
          <w:rFonts w:cs="Arial"/>
          <w:szCs w:val="20"/>
        </w:rPr>
        <w:t xml:space="preserve"> </w:t>
      </w:r>
      <w:proofErr w:type="spellStart"/>
      <w:r w:rsidRPr="0048666D">
        <w:rPr>
          <w:rFonts w:cs="Arial"/>
          <w:szCs w:val="20"/>
        </w:rPr>
        <w:t>Systems</w:t>
      </w:r>
      <w:proofErr w:type="spellEnd"/>
      <w:r w:rsidRPr="0048666D">
        <w:rPr>
          <w:rFonts w:cs="Arial"/>
          <w:szCs w:val="20"/>
        </w:rPr>
        <w:t>, 98, 208-219:</w:t>
      </w:r>
      <w:r w:rsidRPr="0048666D">
        <w:rPr>
          <w:rFonts w:cs="Arial"/>
          <w:color w:val="0000FF"/>
          <w:szCs w:val="20"/>
          <w:u w:val="single"/>
        </w:rPr>
        <w:t xml:space="preserve"> </w:t>
      </w:r>
      <w:hyperlink r:id="rId139" w:history="1">
        <w:r w:rsidRPr="0048666D">
          <w:rPr>
            <w:rFonts w:cs="Arial"/>
            <w:color w:val="0000FF"/>
            <w:szCs w:val="20"/>
            <w:u w:val="single"/>
          </w:rPr>
          <w:t>https://www.sciencedirect.com/science/article/abs/pii/S0308521X08000784</w:t>
        </w:r>
      </w:hyperlink>
    </w:p>
    <w:p w14:paraId="6478F8A9" w14:textId="77777777" w:rsidR="00005858" w:rsidRPr="0048666D" w:rsidRDefault="00005858" w:rsidP="000A650F">
      <w:pPr>
        <w:numPr>
          <w:ilvl w:val="0"/>
          <w:numId w:val="48"/>
        </w:numPr>
        <w:tabs>
          <w:tab w:val="left" w:pos="283"/>
        </w:tabs>
        <w:spacing w:after="0" w:line="240" w:lineRule="auto"/>
        <w:ind w:left="0"/>
        <w:jc w:val="both"/>
        <w:rPr>
          <w:rFonts w:cs="Arial"/>
          <w:szCs w:val="20"/>
        </w:rPr>
      </w:pPr>
      <w:r w:rsidRPr="0048666D">
        <w:rPr>
          <w:rFonts w:cs="Arial"/>
          <w:szCs w:val="20"/>
        </w:rPr>
        <w:t xml:space="preserve">Stopnja centralnosti glede na prebivalstvo in storitve: </w:t>
      </w:r>
      <w:hyperlink r:id="rId140" w:history="1">
        <w:r w:rsidRPr="0048666D">
          <w:rPr>
            <w:rFonts w:cs="Arial"/>
            <w:color w:val="0000FF"/>
            <w:szCs w:val="20"/>
            <w:u w:val="single"/>
          </w:rPr>
          <w:t>https://ojs.zrc-sazu.si/ags/article/view/4606/4720</w:t>
        </w:r>
      </w:hyperlink>
    </w:p>
    <w:p w14:paraId="0FE86801" w14:textId="77777777" w:rsidR="00005858" w:rsidRPr="0048666D" w:rsidRDefault="00005858" w:rsidP="000A650F">
      <w:pPr>
        <w:numPr>
          <w:ilvl w:val="0"/>
          <w:numId w:val="48"/>
        </w:numPr>
        <w:tabs>
          <w:tab w:val="left" w:pos="283"/>
        </w:tabs>
        <w:spacing w:after="0" w:line="240" w:lineRule="auto"/>
        <w:ind w:left="0"/>
        <w:jc w:val="both"/>
        <w:rPr>
          <w:rFonts w:cs="Arial"/>
          <w:szCs w:val="20"/>
        </w:rPr>
      </w:pPr>
      <w:r w:rsidRPr="0048666D">
        <w:rPr>
          <w:rFonts w:cs="Arial"/>
          <w:i/>
          <w:szCs w:val="20"/>
        </w:rPr>
        <w:t>S</w:t>
      </w:r>
      <w:r w:rsidRPr="0048666D">
        <w:rPr>
          <w:rFonts w:cs="Arial"/>
          <w:iCs/>
          <w:szCs w:val="20"/>
        </w:rPr>
        <w:t xml:space="preserve">trategija </w:t>
      </w:r>
      <w:r w:rsidRPr="0048666D">
        <w:rPr>
          <w:rFonts w:cs="Arial"/>
          <w:i/>
          <w:szCs w:val="20"/>
        </w:rPr>
        <w:t xml:space="preserve">EU </w:t>
      </w:r>
      <w:r w:rsidRPr="0048666D">
        <w:rPr>
          <w:rFonts w:cs="Arial"/>
          <w:szCs w:val="20"/>
        </w:rPr>
        <w:t xml:space="preserve">za biotsko raznovrstnost do leta 2020: </w:t>
      </w:r>
      <w:hyperlink r:id="rId141" w:history="1">
        <w:r w:rsidRPr="0048666D">
          <w:rPr>
            <w:rFonts w:cs="Arial"/>
            <w:color w:val="0000FF"/>
            <w:szCs w:val="20"/>
            <w:u w:val="single"/>
          </w:rPr>
          <w:t>https://ec.europa.eu/environment/nature/biodiversity/strategy/index_en.htm</w:t>
        </w:r>
      </w:hyperlink>
    </w:p>
    <w:p w14:paraId="61EAA476" w14:textId="77777777" w:rsidR="00005858" w:rsidRPr="0048666D" w:rsidRDefault="00005858" w:rsidP="000A650F">
      <w:pPr>
        <w:numPr>
          <w:ilvl w:val="0"/>
          <w:numId w:val="48"/>
        </w:numPr>
        <w:spacing w:after="0" w:line="240" w:lineRule="auto"/>
        <w:ind w:left="0"/>
        <w:jc w:val="both"/>
        <w:rPr>
          <w:rFonts w:cs="Arial"/>
          <w:szCs w:val="20"/>
        </w:rPr>
      </w:pPr>
      <w:r w:rsidRPr="0048666D">
        <w:rPr>
          <w:rFonts w:cs="Arial"/>
          <w:szCs w:val="20"/>
        </w:rPr>
        <w:t xml:space="preserve">SURS: </w:t>
      </w:r>
      <w:hyperlink r:id="rId142" w:history="1">
        <w:r w:rsidRPr="0048666D">
          <w:rPr>
            <w:rFonts w:cs="Arial"/>
            <w:color w:val="0000FF"/>
            <w:szCs w:val="20"/>
            <w:u w:val="single"/>
          </w:rPr>
          <w:t>https://pxweb.stat.si/SiStat</w:t>
        </w:r>
      </w:hyperlink>
    </w:p>
    <w:p w14:paraId="01B42241" w14:textId="77777777" w:rsidR="00005858" w:rsidRPr="0048666D" w:rsidRDefault="00005858" w:rsidP="000A650F">
      <w:pPr>
        <w:numPr>
          <w:ilvl w:val="0"/>
          <w:numId w:val="48"/>
        </w:numPr>
        <w:spacing w:after="0" w:line="240" w:lineRule="auto"/>
        <w:ind w:left="0"/>
        <w:jc w:val="both"/>
        <w:rPr>
          <w:rFonts w:cs="Arial"/>
          <w:szCs w:val="20"/>
        </w:rPr>
      </w:pPr>
      <w:r w:rsidRPr="0048666D">
        <w:rPr>
          <w:rFonts w:cs="Arial"/>
          <w:szCs w:val="20"/>
        </w:rPr>
        <w:t xml:space="preserve">Študija </w:t>
      </w:r>
      <w:proofErr w:type="spellStart"/>
      <w:r w:rsidRPr="0048666D">
        <w:rPr>
          <w:rFonts w:cs="Arial"/>
          <w:szCs w:val="20"/>
        </w:rPr>
        <w:t>Proakis</w:t>
      </w:r>
      <w:proofErr w:type="spellEnd"/>
      <w:r w:rsidRPr="0048666D">
        <w:rPr>
          <w:rFonts w:cs="Arial"/>
          <w:szCs w:val="20"/>
        </w:rPr>
        <w:t xml:space="preserve">, financirana iz sedmega okvirnega raziskovalnega programa: </w:t>
      </w:r>
      <w:hyperlink r:id="rId143" w:history="1">
        <w:r w:rsidRPr="0048666D">
          <w:rPr>
            <w:rFonts w:cs="Arial"/>
            <w:color w:val="0000FF"/>
            <w:szCs w:val="20"/>
            <w:u w:val="single"/>
          </w:rPr>
          <w:t>https://430a.uni-hohenheim.de/fileadmin/einrichtungen/430a/PRO_AKIS/About/OVERVIEW.OF.AKIS.IN.EUROPE.AKIS_characterisation_briefing_final.pdf</w:t>
        </w:r>
      </w:hyperlink>
      <w:r w:rsidRPr="0048666D">
        <w:rPr>
          <w:rFonts w:cs="Arial"/>
          <w:szCs w:val="20"/>
        </w:rPr>
        <w:t>.</w:t>
      </w:r>
    </w:p>
    <w:p w14:paraId="7692D3DA" w14:textId="77777777" w:rsidR="00005858" w:rsidRPr="0048666D" w:rsidRDefault="00005858" w:rsidP="000A650F">
      <w:pPr>
        <w:numPr>
          <w:ilvl w:val="0"/>
          <w:numId w:val="48"/>
        </w:numPr>
        <w:tabs>
          <w:tab w:val="left" w:pos="283"/>
        </w:tabs>
        <w:spacing w:after="0" w:line="240" w:lineRule="auto"/>
        <w:ind w:left="0"/>
        <w:jc w:val="both"/>
        <w:rPr>
          <w:rFonts w:eastAsia="Times New Roman" w:cs="Arial"/>
          <w:szCs w:val="20"/>
          <w:lang w:val="en-GB" w:eastAsia="en-GB"/>
        </w:rPr>
      </w:pPr>
      <w:r w:rsidRPr="0048666D">
        <w:rPr>
          <w:rFonts w:eastAsia="Times New Roman" w:cs="Arial"/>
          <w:szCs w:val="20"/>
          <w:lang w:val="en-GB" w:eastAsia="en-GB"/>
        </w:rPr>
        <w:t>The EU Butterfly Indicator for Grassland species: 1990-2017:</w:t>
      </w:r>
      <w:hyperlink r:id="rId144" w:history="1">
        <w:r w:rsidRPr="0048666D">
          <w:rPr>
            <w:rFonts w:eastAsia="Times New Roman" w:cs="Arial"/>
            <w:color w:val="0000FF"/>
            <w:szCs w:val="20"/>
            <w:u w:val="single"/>
            <w:lang w:val="en-GB" w:eastAsia="en-GB"/>
          </w:rPr>
          <w:t>https://butterfly-monitoring.net/sites/default/files/Publications/Technical%2520report%2520EU%2520Grassland%2520indicator%25201990-2017%2520June%25202019%2520v4%2520%283%29.pdf</w:t>
        </w:r>
      </w:hyperlink>
    </w:p>
    <w:p w14:paraId="79D653E5" w14:textId="77777777" w:rsidR="00005858" w:rsidRPr="0048666D" w:rsidRDefault="00005858" w:rsidP="000A650F">
      <w:pPr>
        <w:numPr>
          <w:ilvl w:val="0"/>
          <w:numId w:val="48"/>
        </w:numPr>
        <w:tabs>
          <w:tab w:val="left" w:pos="283"/>
        </w:tabs>
        <w:spacing w:after="0" w:line="240" w:lineRule="auto"/>
        <w:ind w:left="0"/>
        <w:jc w:val="both"/>
        <w:rPr>
          <w:rFonts w:cs="Arial"/>
          <w:szCs w:val="20"/>
        </w:rPr>
      </w:pPr>
      <w:r w:rsidRPr="0048666D">
        <w:rPr>
          <w:rFonts w:cs="Arial"/>
          <w:szCs w:val="20"/>
        </w:rPr>
        <w:t xml:space="preserve">Udovč, A. in sod. 2019. Cilji raziskovalni projekt (V4-1814): </w:t>
      </w:r>
      <w:r w:rsidRPr="0048666D">
        <w:rPr>
          <w:rFonts w:eastAsia="Arial" w:cs="Arial"/>
          <w:szCs w:val="20"/>
        </w:rPr>
        <w:t xml:space="preserve">Analitične podpore za večjo učinkovitost in ciljnost kmetijske politike do okolja in narave v Sloveniji: </w:t>
      </w:r>
      <w:hyperlink r:id="rId145" w:history="1">
        <w:r w:rsidRPr="0048666D">
          <w:rPr>
            <w:rFonts w:eastAsia="Arial" w:cs="Arial"/>
            <w:color w:val="0000FF"/>
            <w:szCs w:val="20"/>
            <w:u w:val="single"/>
          </w:rPr>
          <w:t>http://www.bf.uni-lj.si/index.php?eID=dumpFile&amp;t=f&amp;f=38497&amp;token=02fb88e9c177b37fdb2c4216c30c30d1e1c0ab73</w:t>
        </w:r>
      </w:hyperlink>
    </w:p>
    <w:p w14:paraId="2E5D7925" w14:textId="77777777" w:rsidR="00005858" w:rsidRPr="0048666D" w:rsidRDefault="00005858" w:rsidP="000A650F">
      <w:pPr>
        <w:numPr>
          <w:ilvl w:val="0"/>
          <w:numId w:val="48"/>
        </w:numPr>
        <w:tabs>
          <w:tab w:val="left" w:pos="283"/>
        </w:tabs>
        <w:spacing w:after="0" w:line="240" w:lineRule="auto"/>
        <w:ind w:left="0"/>
        <w:jc w:val="both"/>
        <w:rPr>
          <w:rFonts w:cs="Arial"/>
          <w:szCs w:val="20"/>
        </w:rPr>
      </w:pPr>
      <w:r w:rsidRPr="0048666D">
        <w:rPr>
          <w:rFonts w:cs="Arial"/>
          <w:szCs w:val="20"/>
        </w:rPr>
        <w:t xml:space="preserve">Uprava za varno hrano, veterinarstvo in varstvo rastlin: </w:t>
      </w:r>
      <w:hyperlink r:id="rId146" w:history="1">
        <w:r w:rsidRPr="0048666D">
          <w:rPr>
            <w:rFonts w:cs="Arial"/>
            <w:color w:val="0000FF"/>
            <w:szCs w:val="20"/>
            <w:u w:val="single"/>
          </w:rPr>
          <w:t>http://spletni2.furs.gov.si/</w:t>
        </w:r>
      </w:hyperlink>
    </w:p>
    <w:p w14:paraId="52FD4B25" w14:textId="77777777" w:rsidR="00005858" w:rsidRPr="0048666D" w:rsidRDefault="00005858" w:rsidP="000A650F">
      <w:pPr>
        <w:numPr>
          <w:ilvl w:val="0"/>
          <w:numId w:val="48"/>
        </w:numPr>
        <w:tabs>
          <w:tab w:val="left" w:pos="283"/>
        </w:tabs>
        <w:spacing w:after="0" w:line="240" w:lineRule="auto"/>
        <w:ind w:left="0"/>
        <w:jc w:val="both"/>
        <w:rPr>
          <w:rFonts w:cs="Arial"/>
          <w:szCs w:val="20"/>
        </w:rPr>
      </w:pPr>
      <w:r w:rsidRPr="0048666D">
        <w:rPr>
          <w:rFonts w:cs="Arial"/>
          <w:i/>
          <w:szCs w:val="20"/>
        </w:rPr>
        <w:t>Urad RS za makroekonomske analize in razvoj - UMAR</w:t>
      </w:r>
      <w:r w:rsidRPr="0048666D">
        <w:rPr>
          <w:rFonts w:cs="Arial"/>
          <w:szCs w:val="20"/>
        </w:rPr>
        <w:t xml:space="preserve">. (2020). Pridobljeno s: </w:t>
      </w:r>
      <w:hyperlink r:id="rId147" w:history="1">
        <w:r w:rsidRPr="0048666D">
          <w:rPr>
            <w:rFonts w:cs="Arial"/>
            <w:color w:val="0000FF"/>
            <w:szCs w:val="20"/>
            <w:u w:val="single"/>
          </w:rPr>
          <w:t>https://www.umar.gov.si/?no_cache=1</w:t>
        </w:r>
      </w:hyperlink>
    </w:p>
    <w:p w14:paraId="5A38A7F3" w14:textId="77777777" w:rsidR="00005858" w:rsidRPr="0048666D" w:rsidRDefault="00005858" w:rsidP="000A650F">
      <w:pPr>
        <w:numPr>
          <w:ilvl w:val="0"/>
          <w:numId w:val="48"/>
        </w:numPr>
        <w:tabs>
          <w:tab w:val="left" w:pos="283"/>
        </w:tabs>
        <w:spacing w:after="0" w:line="240" w:lineRule="auto"/>
        <w:ind w:left="0"/>
        <w:jc w:val="both"/>
        <w:rPr>
          <w:rFonts w:cs="Arial"/>
          <w:szCs w:val="20"/>
        </w:rPr>
      </w:pPr>
      <w:r w:rsidRPr="0048666D">
        <w:rPr>
          <w:rFonts w:cs="Arial"/>
          <w:szCs w:val="20"/>
        </w:rPr>
        <w:t>Uredba o spremembi Uredbe o določitvi obmejnih problemskih območij. (2020). Uradni list Republike Slovenije št. 101.</w:t>
      </w:r>
    </w:p>
    <w:p w14:paraId="4A90097E" w14:textId="77777777" w:rsidR="00674734" w:rsidRPr="0048666D" w:rsidRDefault="00005858" w:rsidP="000A650F">
      <w:pPr>
        <w:numPr>
          <w:ilvl w:val="0"/>
          <w:numId w:val="48"/>
        </w:numPr>
        <w:spacing w:after="0" w:line="240" w:lineRule="auto"/>
        <w:ind w:left="0"/>
        <w:jc w:val="both"/>
        <w:rPr>
          <w:rFonts w:eastAsia="Times New Roman" w:cs="Arial"/>
          <w:szCs w:val="20"/>
          <w:lang w:eastAsia="en-GB"/>
        </w:rPr>
      </w:pPr>
      <w:r w:rsidRPr="0048666D">
        <w:rPr>
          <w:rFonts w:eastAsia="Times New Roman" w:cs="Arial"/>
          <w:szCs w:val="20"/>
          <w:lang w:eastAsia="en-GB"/>
        </w:rPr>
        <w:t>Verbič, J. in sod. 2019. Cilji raziskovalni projekt (V4-1619): Kmetovanje na vrstno  bogatih travnikih: https://www.kis.si/CRP_OZ/Projekt_V4-  1610_Kmetovanje_na_vrstno_bogatih_travnikih/</w:t>
      </w:r>
    </w:p>
    <w:p w14:paraId="12C8F60D" w14:textId="77777777" w:rsidR="00005858" w:rsidRPr="0048666D" w:rsidRDefault="00005858" w:rsidP="000A650F">
      <w:pPr>
        <w:numPr>
          <w:ilvl w:val="0"/>
          <w:numId w:val="48"/>
        </w:numPr>
        <w:spacing w:after="0" w:line="240" w:lineRule="auto"/>
        <w:ind w:left="0"/>
        <w:jc w:val="both"/>
        <w:rPr>
          <w:rFonts w:cs="Arial"/>
          <w:szCs w:val="20"/>
        </w:rPr>
      </w:pPr>
      <w:r w:rsidRPr="0048666D">
        <w:rPr>
          <w:rFonts w:cs="Arial"/>
          <w:szCs w:val="20"/>
        </w:rPr>
        <w:t xml:space="preserve">Vrednotenje PRP 2014–2020: </w:t>
      </w:r>
      <w:hyperlink r:id="rId148" w:history="1">
        <w:r w:rsidRPr="0048666D">
          <w:rPr>
            <w:rFonts w:cs="Arial"/>
            <w:color w:val="0000FF"/>
            <w:szCs w:val="20"/>
            <w:u w:val="single"/>
          </w:rPr>
          <w:t>https://program-podezelja.si/sl/kaj-je-program-razvoja-podezelja-2014-2020/spremljanje-in-vrednotenje/vrednotenje</w:t>
        </w:r>
      </w:hyperlink>
    </w:p>
    <w:p w14:paraId="42940AF1" w14:textId="77777777" w:rsidR="00005858" w:rsidRPr="0048666D" w:rsidRDefault="00005858" w:rsidP="000A650F">
      <w:pPr>
        <w:numPr>
          <w:ilvl w:val="0"/>
          <w:numId w:val="48"/>
        </w:numPr>
        <w:tabs>
          <w:tab w:val="left" w:pos="283"/>
        </w:tabs>
        <w:spacing w:after="0" w:line="240" w:lineRule="auto"/>
        <w:ind w:left="0"/>
        <w:jc w:val="both"/>
        <w:rPr>
          <w:rFonts w:cs="Arial"/>
          <w:color w:val="0000FF"/>
          <w:szCs w:val="20"/>
          <w:u w:val="single"/>
        </w:rPr>
      </w:pPr>
      <w:r w:rsidRPr="0048666D">
        <w:rPr>
          <w:rFonts w:cs="Arial"/>
          <w:szCs w:val="20"/>
          <w:lang w:val="de-DE"/>
        </w:rPr>
        <w:t xml:space="preserve">Vreš, B., Šilc, U., Čelik, T. 2016. </w:t>
      </w:r>
      <w:r w:rsidRPr="0048666D">
        <w:rPr>
          <w:rFonts w:cs="Arial"/>
          <w:szCs w:val="20"/>
        </w:rPr>
        <w:t xml:space="preserve">Ljudje za Barje – ohranjanje biotske pestrosti na Ljubljanskem barju, Monitoring tarčnih habitatnih tipov: HT 6510, HT 6410 in HT 7230. Ljudje za Barje-ohranjanje biotske pestrosti na Ljubljanskem barju. Končno poročilo. Biološki inštitut Jovana Hadžija ZRC SAZU, Ljubljana, 162 s.: </w:t>
      </w:r>
      <w:hyperlink r:id="rId149" w:history="1">
        <w:r w:rsidRPr="0048666D">
          <w:rPr>
            <w:rFonts w:cs="Arial"/>
            <w:color w:val="0000FF"/>
            <w:szCs w:val="20"/>
            <w:u w:val="single"/>
          </w:rPr>
          <w:t>http://www.ljuba.si/wp-content/uploads/2016/11/ZRC-SAZU_LJUBA-Monitoring-HT-2015_Koncno-porocilo_19052016.pdf</w:t>
        </w:r>
      </w:hyperlink>
    </w:p>
    <w:p w14:paraId="44749E8F" w14:textId="77777777" w:rsidR="00005858" w:rsidRPr="0048666D" w:rsidRDefault="00005858" w:rsidP="000A650F">
      <w:pPr>
        <w:numPr>
          <w:ilvl w:val="0"/>
          <w:numId w:val="48"/>
        </w:numPr>
        <w:tabs>
          <w:tab w:val="left" w:pos="283"/>
        </w:tabs>
        <w:spacing w:after="0" w:line="240" w:lineRule="auto"/>
        <w:ind w:left="0"/>
        <w:jc w:val="both"/>
        <w:rPr>
          <w:rFonts w:cs="Arial"/>
          <w:szCs w:val="20"/>
        </w:rPr>
      </w:pPr>
      <w:proofErr w:type="spellStart"/>
      <w:r w:rsidRPr="0048666D">
        <w:rPr>
          <w:rFonts w:cs="Arial"/>
          <w:szCs w:val="20"/>
          <w:lang w:eastAsia="sl-SI"/>
        </w:rPr>
        <w:lastRenderedPageBreak/>
        <w:t>World</w:t>
      </w:r>
      <w:proofErr w:type="spellEnd"/>
      <w:r w:rsidRPr="0048666D">
        <w:rPr>
          <w:rFonts w:cs="Arial"/>
          <w:szCs w:val="20"/>
          <w:lang w:eastAsia="sl-SI"/>
        </w:rPr>
        <w:t xml:space="preserve"> </w:t>
      </w:r>
      <w:proofErr w:type="spellStart"/>
      <w:r w:rsidRPr="0048666D">
        <w:rPr>
          <w:rFonts w:cs="Arial"/>
          <w:szCs w:val="20"/>
          <w:lang w:eastAsia="sl-SI"/>
        </w:rPr>
        <w:t>Resources</w:t>
      </w:r>
      <w:proofErr w:type="spellEnd"/>
      <w:r w:rsidRPr="0048666D">
        <w:rPr>
          <w:rFonts w:cs="Arial"/>
          <w:szCs w:val="20"/>
          <w:lang w:eastAsia="sl-SI"/>
        </w:rPr>
        <w:t xml:space="preserve"> Institute. </w:t>
      </w:r>
      <w:proofErr w:type="spellStart"/>
      <w:r w:rsidRPr="0048666D">
        <w:rPr>
          <w:rFonts w:cs="Arial"/>
          <w:szCs w:val="20"/>
          <w:lang w:eastAsia="sl-SI"/>
        </w:rPr>
        <w:t>Accelerating</w:t>
      </w:r>
      <w:proofErr w:type="spellEnd"/>
      <w:r w:rsidRPr="0048666D">
        <w:rPr>
          <w:rFonts w:cs="Arial"/>
          <w:szCs w:val="20"/>
          <w:lang w:eastAsia="sl-SI"/>
        </w:rPr>
        <w:t xml:space="preserve"> </w:t>
      </w:r>
      <w:proofErr w:type="spellStart"/>
      <w:r w:rsidRPr="0048666D">
        <w:rPr>
          <w:rFonts w:cs="Arial"/>
          <w:szCs w:val="20"/>
          <w:lang w:eastAsia="sl-SI"/>
        </w:rPr>
        <w:t>Building</w:t>
      </w:r>
      <w:proofErr w:type="spellEnd"/>
      <w:r w:rsidRPr="0048666D">
        <w:rPr>
          <w:rFonts w:cs="Arial"/>
          <w:szCs w:val="20"/>
          <w:lang w:eastAsia="sl-SI"/>
        </w:rPr>
        <w:t xml:space="preserve"> </w:t>
      </w:r>
      <w:proofErr w:type="spellStart"/>
      <w:r w:rsidRPr="0048666D">
        <w:rPr>
          <w:rFonts w:cs="Arial"/>
          <w:szCs w:val="20"/>
          <w:lang w:eastAsia="sl-SI"/>
        </w:rPr>
        <w:t>Efficiency</w:t>
      </w:r>
      <w:proofErr w:type="spellEnd"/>
      <w:r w:rsidRPr="0048666D">
        <w:rPr>
          <w:rFonts w:cs="Arial"/>
          <w:szCs w:val="20"/>
          <w:lang w:eastAsia="sl-SI"/>
        </w:rPr>
        <w:t xml:space="preserve">. </w:t>
      </w:r>
      <w:proofErr w:type="spellStart"/>
      <w:r w:rsidRPr="0048666D">
        <w:rPr>
          <w:rFonts w:cs="Arial"/>
          <w:szCs w:val="20"/>
          <w:lang w:eastAsia="sl-SI"/>
        </w:rPr>
        <w:t>Eight</w:t>
      </w:r>
      <w:proofErr w:type="spellEnd"/>
      <w:r w:rsidRPr="0048666D">
        <w:rPr>
          <w:rFonts w:cs="Arial"/>
          <w:szCs w:val="20"/>
          <w:lang w:eastAsia="sl-SI"/>
        </w:rPr>
        <w:t xml:space="preserve"> </w:t>
      </w:r>
      <w:proofErr w:type="spellStart"/>
      <w:r w:rsidRPr="0048666D">
        <w:rPr>
          <w:rFonts w:cs="Arial"/>
          <w:szCs w:val="20"/>
          <w:lang w:eastAsia="sl-SI"/>
        </w:rPr>
        <w:t>Actions</w:t>
      </w:r>
      <w:proofErr w:type="spellEnd"/>
      <w:r w:rsidRPr="0048666D">
        <w:rPr>
          <w:rFonts w:cs="Arial"/>
          <w:szCs w:val="20"/>
          <w:lang w:eastAsia="sl-SI"/>
        </w:rPr>
        <w:t xml:space="preserve"> </w:t>
      </w:r>
      <w:proofErr w:type="spellStart"/>
      <w:r w:rsidRPr="0048666D">
        <w:rPr>
          <w:rFonts w:cs="Arial"/>
          <w:szCs w:val="20"/>
          <w:lang w:eastAsia="sl-SI"/>
        </w:rPr>
        <w:t>for</w:t>
      </w:r>
      <w:proofErr w:type="spellEnd"/>
      <w:r w:rsidRPr="0048666D">
        <w:rPr>
          <w:rFonts w:cs="Arial"/>
          <w:szCs w:val="20"/>
          <w:lang w:eastAsia="sl-SI"/>
        </w:rPr>
        <w:t xml:space="preserve"> Urban </w:t>
      </w:r>
      <w:proofErr w:type="spellStart"/>
      <w:r w:rsidRPr="0048666D">
        <w:rPr>
          <w:rFonts w:cs="Arial"/>
          <w:szCs w:val="20"/>
          <w:lang w:eastAsia="sl-SI"/>
        </w:rPr>
        <w:t>Leaders</w:t>
      </w:r>
      <w:proofErr w:type="spellEnd"/>
      <w:r w:rsidRPr="0048666D">
        <w:rPr>
          <w:rFonts w:cs="Arial"/>
          <w:szCs w:val="20"/>
          <w:lang w:eastAsia="sl-SI"/>
        </w:rPr>
        <w:t xml:space="preserve">: </w:t>
      </w:r>
      <w:hyperlink r:id="rId150" w:history="1">
        <w:r w:rsidRPr="0048666D">
          <w:rPr>
            <w:rFonts w:cs="Arial"/>
            <w:color w:val="0000FF"/>
            <w:szCs w:val="20"/>
            <w:u w:val="single"/>
            <w:lang w:eastAsia="sl-SI"/>
          </w:rPr>
          <w:t>http://publications.wri.org/buildingefficiency/</w:t>
        </w:r>
      </w:hyperlink>
    </w:p>
    <w:p w14:paraId="48F3BA14" w14:textId="77777777" w:rsidR="00005858" w:rsidRPr="0048666D" w:rsidRDefault="00005858" w:rsidP="000A650F">
      <w:pPr>
        <w:numPr>
          <w:ilvl w:val="0"/>
          <w:numId w:val="48"/>
        </w:numPr>
        <w:tabs>
          <w:tab w:val="left" w:pos="283"/>
        </w:tabs>
        <w:spacing w:after="0" w:line="240" w:lineRule="auto"/>
        <w:ind w:left="0"/>
        <w:jc w:val="both"/>
        <w:rPr>
          <w:rFonts w:cs="Arial"/>
          <w:szCs w:val="20"/>
        </w:rPr>
      </w:pPr>
      <w:r w:rsidRPr="0048666D">
        <w:rPr>
          <w:rFonts w:cs="Arial"/>
          <w:szCs w:val="20"/>
        </w:rPr>
        <w:t>Zakon o spodbujanju skladnega regionalnega razvoja (ZSRR-2). (2011). Uradni list Republike Slovenije št. 20.</w:t>
      </w:r>
    </w:p>
    <w:p w14:paraId="49365AD8" w14:textId="77777777" w:rsidR="00005858" w:rsidRPr="0048666D" w:rsidRDefault="00005858" w:rsidP="000A650F">
      <w:pPr>
        <w:numPr>
          <w:ilvl w:val="0"/>
          <w:numId w:val="48"/>
        </w:numPr>
        <w:tabs>
          <w:tab w:val="left" w:pos="283"/>
        </w:tabs>
        <w:spacing w:after="0" w:line="240" w:lineRule="auto"/>
        <w:ind w:left="0"/>
        <w:jc w:val="both"/>
        <w:rPr>
          <w:rFonts w:eastAsia="Times New Roman" w:cs="Arial"/>
          <w:color w:val="0000FF"/>
          <w:szCs w:val="20"/>
          <w:u w:val="single"/>
          <w:lang w:eastAsia="en-GB"/>
        </w:rPr>
      </w:pPr>
      <w:r w:rsidRPr="0048666D">
        <w:rPr>
          <w:rFonts w:eastAsia="Times New Roman" w:cs="Arial"/>
          <w:szCs w:val="20"/>
          <w:lang w:eastAsia="en-GB"/>
        </w:rPr>
        <w:t>Zakšek, B. in  Kogovšek, N. 2018. Analiza stanja temnega (</w:t>
      </w:r>
      <w:proofErr w:type="spellStart"/>
      <w:r w:rsidRPr="0048666D">
        <w:rPr>
          <w:rFonts w:eastAsia="Times New Roman" w:cs="Arial"/>
          <w:i/>
          <w:szCs w:val="20"/>
          <w:lang w:eastAsia="en-GB"/>
        </w:rPr>
        <w:t>Phengaris</w:t>
      </w:r>
      <w:proofErr w:type="spellEnd"/>
      <w:r w:rsidRPr="0048666D">
        <w:rPr>
          <w:rFonts w:eastAsia="Times New Roman" w:cs="Arial"/>
          <w:i/>
          <w:szCs w:val="20"/>
          <w:lang w:eastAsia="en-GB"/>
        </w:rPr>
        <w:t xml:space="preserve"> </w:t>
      </w:r>
      <w:proofErr w:type="spellStart"/>
      <w:r w:rsidRPr="0048666D">
        <w:rPr>
          <w:rFonts w:eastAsia="Times New Roman" w:cs="Arial"/>
          <w:i/>
          <w:szCs w:val="20"/>
          <w:lang w:eastAsia="en-GB"/>
        </w:rPr>
        <w:t>nausithous</w:t>
      </w:r>
      <w:proofErr w:type="spellEnd"/>
      <w:r w:rsidRPr="0048666D">
        <w:rPr>
          <w:rFonts w:eastAsia="Times New Roman" w:cs="Arial"/>
          <w:szCs w:val="20"/>
          <w:lang w:eastAsia="en-GB"/>
        </w:rPr>
        <w:t xml:space="preserve">) in </w:t>
      </w:r>
      <w:proofErr w:type="spellStart"/>
      <w:r w:rsidRPr="0048666D">
        <w:rPr>
          <w:rFonts w:eastAsia="Times New Roman" w:cs="Arial"/>
          <w:szCs w:val="20"/>
          <w:lang w:eastAsia="en-GB"/>
        </w:rPr>
        <w:t>strašničinega</w:t>
      </w:r>
      <w:proofErr w:type="spellEnd"/>
      <w:r w:rsidRPr="0048666D">
        <w:rPr>
          <w:rFonts w:eastAsia="Times New Roman" w:cs="Arial"/>
          <w:szCs w:val="20"/>
          <w:lang w:eastAsia="en-GB"/>
        </w:rPr>
        <w:t xml:space="preserve"> </w:t>
      </w:r>
      <w:proofErr w:type="spellStart"/>
      <w:r w:rsidRPr="0048666D">
        <w:rPr>
          <w:rFonts w:eastAsia="Times New Roman" w:cs="Arial"/>
          <w:szCs w:val="20"/>
          <w:lang w:eastAsia="en-GB"/>
        </w:rPr>
        <w:t>mravljiščarja</w:t>
      </w:r>
      <w:proofErr w:type="spellEnd"/>
      <w:r w:rsidRPr="0048666D">
        <w:rPr>
          <w:rFonts w:eastAsia="Times New Roman" w:cs="Arial"/>
          <w:szCs w:val="20"/>
          <w:lang w:eastAsia="en-GB"/>
        </w:rPr>
        <w:t xml:space="preserve"> (</w:t>
      </w:r>
      <w:r w:rsidRPr="0048666D">
        <w:rPr>
          <w:rFonts w:eastAsia="Times New Roman" w:cs="Arial"/>
          <w:i/>
          <w:szCs w:val="20"/>
          <w:lang w:eastAsia="en-GB"/>
        </w:rPr>
        <w:t xml:space="preserve">P. </w:t>
      </w:r>
      <w:proofErr w:type="spellStart"/>
      <w:r w:rsidRPr="0048666D">
        <w:rPr>
          <w:rFonts w:eastAsia="Times New Roman" w:cs="Arial"/>
          <w:i/>
          <w:szCs w:val="20"/>
          <w:lang w:eastAsia="en-GB"/>
        </w:rPr>
        <w:t>teleius</w:t>
      </w:r>
      <w:proofErr w:type="spellEnd"/>
      <w:r w:rsidRPr="0048666D">
        <w:rPr>
          <w:rFonts w:eastAsia="Times New Roman" w:cs="Arial"/>
          <w:szCs w:val="20"/>
          <w:lang w:eastAsia="en-GB"/>
        </w:rPr>
        <w:t xml:space="preserve">) na izbranih travnikih na območju Natura 2000 Goričko v letu 2018. Center za kartografijo favne in flore, Miklavž na Dravskem polju. 16 str.: </w:t>
      </w:r>
      <w:hyperlink r:id="rId151" w:history="1">
        <w:r w:rsidRPr="0048666D">
          <w:rPr>
            <w:rFonts w:eastAsia="Times New Roman" w:cs="Arial"/>
            <w:color w:val="0000FF"/>
            <w:szCs w:val="20"/>
            <w:u w:val="single"/>
            <w:lang w:eastAsia="en-GB"/>
          </w:rPr>
          <w:t>https://www.park-goricko.info/data/attachment/a52b27e785768645815cc7cb4f28d4278538de42/1567778190Analiza_stanja_temnega_in_strasnicinega_mravljiscarja_na_izbranih_travnikih_na_obmocju_Natura_2000_Gori_ko_v_letu_2018..pdf</w:t>
        </w:r>
      </w:hyperlink>
    </w:p>
    <w:p w14:paraId="4547F88B" w14:textId="77777777" w:rsidR="00005858" w:rsidRPr="0048666D" w:rsidRDefault="00005858" w:rsidP="000A650F">
      <w:pPr>
        <w:numPr>
          <w:ilvl w:val="0"/>
          <w:numId w:val="48"/>
        </w:numPr>
        <w:tabs>
          <w:tab w:val="left" w:pos="283"/>
        </w:tabs>
        <w:spacing w:after="0" w:line="240" w:lineRule="auto"/>
        <w:ind w:left="0"/>
        <w:jc w:val="both"/>
        <w:rPr>
          <w:rFonts w:eastAsia="Times New Roman" w:cs="Arial"/>
          <w:szCs w:val="20"/>
          <w:lang w:eastAsia="en-GB"/>
        </w:rPr>
      </w:pPr>
      <w:r w:rsidRPr="0048666D">
        <w:rPr>
          <w:rFonts w:eastAsia="Times New Roman" w:cs="Arial"/>
          <w:szCs w:val="20"/>
          <w:lang w:eastAsia="sl-SI"/>
        </w:rPr>
        <w:t xml:space="preserve">Zakšek, B. in Kogovšek, N. 2018. Ocena stanja ohranjenosti in spremljanje stanja populacije barjanskega </w:t>
      </w:r>
      <w:proofErr w:type="spellStart"/>
      <w:r w:rsidRPr="0048666D">
        <w:rPr>
          <w:rFonts w:eastAsia="Times New Roman" w:cs="Arial"/>
          <w:szCs w:val="20"/>
          <w:lang w:eastAsia="sl-SI"/>
        </w:rPr>
        <w:t>okarčka</w:t>
      </w:r>
      <w:proofErr w:type="spellEnd"/>
      <w:r w:rsidRPr="0048666D">
        <w:rPr>
          <w:rFonts w:eastAsia="Times New Roman" w:cs="Arial"/>
          <w:szCs w:val="20"/>
          <w:lang w:eastAsia="sl-SI"/>
        </w:rPr>
        <w:t xml:space="preserve"> (</w:t>
      </w:r>
      <w:proofErr w:type="spellStart"/>
      <w:r w:rsidRPr="0048666D">
        <w:rPr>
          <w:rFonts w:eastAsia="Times New Roman" w:cs="Arial"/>
          <w:i/>
          <w:szCs w:val="20"/>
          <w:lang w:eastAsia="sl-SI"/>
        </w:rPr>
        <w:t>Coenonympha</w:t>
      </w:r>
      <w:proofErr w:type="spellEnd"/>
      <w:r w:rsidRPr="0048666D">
        <w:rPr>
          <w:rFonts w:eastAsia="Times New Roman" w:cs="Arial"/>
          <w:i/>
          <w:szCs w:val="20"/>
          <w:lang w:eastAsia="sl-SI"/>
        </w:rPr>
        <w:t xml:space="preserve"> </w:t>
      </w:r>
      <w:proofErr w:type="spellStart"/>
      <w:r w:rsidRPr="0048666D">
        <w:rPr>
          <w:rFonts w:eastAsia="Times New Roman" w:cs="Arial"/>
          <w:i/>
          <w:szCs w:val="20"/>
          <w:lang w:eastAsia="sl-SI"/>
        </w:rPr>
        <w:t>oedippus</w:t>
      </w:r>
      <w:proofErr w:type="spellEnd"/>
      <w:r w:rsidRPr="0048666D">
        <w:rPr>
          <w:rFonts w:eastAsia="Times New Roman" w:cs="Arial"/>
          <w:szCs w:val="20"/>
          <w:lang w:eastAsia="sl-SI"/>
        </w:rPr>
        <w:t xml:space="preserve">) na projektnem območju Stržene luže v letu 2018. Prvo delno poročilo: </w:t>
      </w:r>
      <w:hyperlink r:id="rId152" w:history="1">
        <w:r w:rsidRPr="0048666D">
          <w:rPr>
            <w:rFonts w:eastAsia="Times New Roman" w:cs="Arial"/>
            <w:color w:val="0000FF"/>
            <w:szCs w:val="20"/>
            <w:u w:val="single"/>
            <w:lang w:eastAsia="en-GB"/>
          </w:rPr>
          <w:t>https://www.malabarja-marja.si/wp-content/uploads/2019/11/1-delno-porocilo-c_oedippus_strzene_luze_2018.pdf</w:t>
        </w:r>
      </w:hyperlink>
    </w:p>
    <w:p w14:paraId="7516D1CC" w14:textId="77777777" w:rsidR="00DE2E2A" w:rsidRPr="00DE2E2A" w:rsidRDefault="00DE2E2A" w:rsidP="0048666D"/>
    <w:sectPr w:rsidR="00DE2E2A" w:rsidRPr="00DE2E2A">
      <w:footerReference w:type="default" r:id="rId1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9F60B4" w14:textId="77777777" w:rsidR="000A650F" w:rsidRDefault="000A650F" w:rsidP="00003B4D">
      <w:pPr>
        <w:spacing w:after="0" w:line="240" w:lineRule="auto"/>
      </w:pPr>
      <w:r>
        <w:separator/>
      </w:r>
    </w:p>
  </w:endnote>
  <w:endnote w:type="continuationSeparator" w:id="0">
    <w:p w14:paraId="5B389A44" w14:textId="77777777" w:rsidR="000A650F" w:rsidRDefault="000A650F" w:rsidP="00003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aramond">
    <w:charset w:val="00"/>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Times New Roman Bold">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FTERJY+MyriadPro-Regular">
    <w:altName w:val="Arial"/>
    <w:panose1 w:val="00000000000000000000"/>
    <w:charset w:val="00"/>
    <w:family w:val="swiss"/>
    <w:notTrueType/>
    <w:pitch w:val="default"/>
    <w:sig w:usb0="00000001" w:usb1="00000000" w:usb2="00000000" w:usb3="00000000" w:csb0="00000003" w:csb1="00000000"/>
  </w:font>
  <w:font w:name="Source Sans Pro Light">
    <w:charset w:val="00"/>
    <w:family w:val="swiss"/>
    <w:pitch w:val="variable"/>
    <w:sig w:usb0="600002F7" w:usb1="02000001" w:usb2="00000000" w:usb3="00000000" w:csb0="0000019F" w:csb1="00000000"/>
  </w:font>
  <w:font w:name="Myriad Pro Light">
    <w:altName w:val="Arial"/>
    <w:panose1 w:val="00000000000000000000"/>
    <w:charset w:val="EE"/>
    <w:family w:val="swiss"/>
    <w:notTrueType/>
    <w:pitch w:val="default"/>
    <w:sig w:usb0="00000001" w:usb1="00000000" w:usb2="00000000" w:usb3="00000000" w:csb0="00000003" w:csb1="00000000"/>
  </w:font>
  <w:font w:name="Candara">
    <w:panose1 w:val="020E0502030303020204"/>
    <w:charset w:val="EE"/>
    <w:family w:val="swiss"/>
    <w:pitch w:val="variable"/>
    <w:sig w:usb0="A00002EF" w:usb1="4000A44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Calibri">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2665320"/>
      <w:docPartObj>
        <w:docPartGallery w:val="Page Numbers (Bottom of Page)"/>
        <w:docPartUnique/>
      </w:docPartObj>
    </w:sdtPr>
    <w:sdtContent>
      <w:p w14:paraId="535E4773" w14:textId="5CC9902D" w:rsidR="00ED2796" w:rsidRDefault="00ED2796">
        <w:pPr>
          <w:pStyle w:val="Noga"/>
          <w:jc w:val="center"/>
        </w:pPr>
        <w:r>
          <w:fldChar w:fldCharType="begin"/>
        </w:r>
        <w:r>
          <w:instrText>PAGE   \* MERGEFORMAT</w:instrText>
        </w:r>
        <w:r>
          <w:fldChar w:fldCharType="separate"/>
        </w:r>
        <w:r>
          <w:rPr>
            <w:noProof/>
          </w:rPr>
          <w:t>21</w:t>
        </w:r>
        <w:r>
          <w:fldChar w:fldCharType="end"/>
        </w:r>
      </w:p>
    </w:sdtContent>
  </w:sdt>
  <w:p w14:paraId="62E7FB97" w14:textId="77777777" w:rsidR="00ED2796" w:rsidRDefault="00ED2796">
    <w:pPr>
      <w:pStyle w:val="Noga"/>
    </w:pPr>
  </w:p>
  <w:p w14:paraId="1703E331" w14:textId="77777777" w:rsidR="00ED2796" w:rsidRDefault="00ED2796"/>
  <w:p w14:paraId="65A218C3" w14:textId="77777777" w:rsidR="00ED2796" w:rsidRDefault="00ED27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4C5955" w14:textId="77777777" w:rsidR="000A650F" w:rsidRDefault="000A650F" w:rsidP="00003B4D">
      <w:pPr>
        <w:spacing w:after="0" w:line="240" w:lineRule="auto"/>
      </w:pPr>
      <w:r>
        <w:separator/>
      </w:r>
    </w:p>
  </w:footnote>
  <w:footnote w:type="continuationSeparator" w:id="0">
    <w:p w14:paraId="102E113A" w14:textId="77777777" w:rsidR="000A650F" w:rsidRDefault="000A650F" w:rsidP="00003B4D">
      <w:pPr>
        <w:spacing w:after="0" w:line="240" w:lineRule="auto"/>
      </w:pPr>
      <w:r>
        <w:continuationSeparator/>
      </w:r>
    </w:p>
  </w:footnote>
  <w:footnote w:id="1">
    <w:p w14:paraId="3E764F5C" w14:textId="77777777" w:rsidR="00ED2796" w:rsidRPr="00B62A70" w:rsidRDefault="00ED2796" w:rsidP="006C63D5">
      <w:pPr>
        <w:pStyle w:val="Sprotnaopomba-besedilo"/>
        <w:rPr>
          <w:rFonts w:cs="Arial"/>
          <w:sz w:val="16"/>
          <w:szCs w:val="16"/>
          <w:lang w:val="de-DE"/>
        </w:rPr>
      </w:pPr>
      <w:r w:rsidRPr="00B62A70">
        <w:rPr>
          <w:rStyle w:val="Sprotnaopomba-sklic"/>
          <w:rFonts w:cs="Arial"/>
          <w:sz w:val="16"/>
          <w:szCs w:val="16"/>
        </w:rPr>
        <w:footnoteRef/>
      </w:r>
      <w:r w:rsidRPr="00B62A70">
        <w:rPr>
          <w:rFonts w:cs="Arial"/>
          <w:sz w:val="16"/>
          <w:szCs w:val="16"/>
          <w:lang w:val="de-DE"/>
        </w:rPr>
        <w:t xml:space="preserve"> </w:t>
      </w:r>
      <w:r w:rsidRPr="00B62A70">
        <w:rPr>
          <w:rFonts w:cs="Arial"/>
          <w:sz w:val="16"/>
          <w:szCs w:val="16"/>
        </w:rPr>
        <w:t>Razvojna problematika obmejnih problemskih območij</w:t>
      </w:r>
    </w:p>
  </w:footnote>
  <w:footnote w:id="2">
    <w:p w14:paraId="3A3EB042" w14:textId="77777777" w:rsidR="00ED2796" w:rsidRPr="003F13D3" w:rsidRDefault="00ED2796" w:rsidP="006C63D5">
      <w:pPr>
        <w:pStyle w:val="Sprotnaopomba-besedilo"/>
        <w:ind w:left="0" w:firstLine="0"/>
        <w:rPr>
          <w:sz w:val="16"/>
          <w:szCs w:val="16"/>
          <w:lang w:val="it-IT"/>
        </w:rPr>
      </w:pPr>
      <w:r w:rsidRPr="003F13D3">
        <w:rPr>
          <w:rStyle w:val="Sprotnaopomba-sklic"/>
          <w:sz w:val="16"/>
          <w:szCs w:val="16"/>
        </w:rPr>
        <w:footnoteRef/>
      </w:r>
      <w:r w:rsidRPr="003F13D3">
        <w:rPr>
          <w:sz w:val="16"/>
          <w:szCs w:val="16"/>
          <w:lang w:val="it-IT"/>
        </w:rPr>
        <w:t xml:space="preserve"> </w:t>
      </w:r>
      <w:r>
        <w:rPr>
          <w:sz w:val="16"/>
          <w:szCs w:val="16"/>
          <w:lang w:val="it-IT"/>
        </w:rPr>
        <w:t>Poročilo KIS o stanju…. za leto</w:t>
      </w:r>
      <w:r w:rsidRPr="003F13D3">
        <w:rPr>
          <w:sz w:val="16"/>
          <w:szCs w:val="16"/>
          <w:lang w:val="it-IT"/>
        </w:rPr>
        <w:t xml:space="preserve"> 2018</w:t>
      </w:r>
    </w:p>
  </w:footnote>
  <w:footnote w:id="3">
    <w:p w14:paraId="11FC994A" w14:textId="77777777" w:rsidR="00ED2796" w:rsidRPr="00F66C90" w:rsidRDefault="00ED2796" w:rsidP="006C63D5">
      <w:pPr>
        <w:pStyle w:val="Sprotnaopomba-besedilo"/>
        <w:ind w:left="0" w:firstLine="0"/>
        <w:rPr>
          <w:sz w:val="16"/>
        </w:rPr>
      </w:pPr>
      <w:r w:rsidRPr="003F13D3">
        <w:rPr>
          <w:rStyle w:val="Sprotnaopomba-sklic"/>
          <w:sz w:val="16"/>
          <w:szCs w:val="16"/>
        </w:rPr>
        <w:footnoteRef/>
      </w:r>
      <w:r w:rsidRPr="003F13D3">
        <w:rPr>
          <w:sz w:val="16"/>
          <w:szCs w:val="16"/>
        </w:rPr>
        <w:t xml:space="preserve"> </w:t>
      </w:r>
      <w:r w:rsidRPr="003F13D3">
        <w:rPr>
          <w:sz w:val="16"/>
          <w:szCs w:val="16"/>
        </w:rPr>
        <w:t xml:space="preserve">SURS (2016): Struktura kmetijskih gospodarstev. Dostopno na </w:t>
      </w:r>
      <w:hyperlink r:id="rId1" w:history="1">
        <w:r w:rsidRPr="003F13D3">
          <w:rPr>
            <w:rStyle w:val="Hiperpovezava"/>
            <w:sz w:val="16"/>
            <w:szCs w:val="16"/>
          </w:rPr>
          <w:t>https://www.stat.si/StatWeb/News/Index/6208</w:t>
        </w:r>
      </w:hyperlink>
      <w:r w:rsidRPr="003F13D3">
        <w:rPr>
          <w:sz w:val="16"/>
          <w:szCs w:val="16"/>
        </w:rPr>
        <w:t>.</w:t>
      </w:r>
      <w:r w:rsidRPr="00F66C90">
        <w:rPr>
          <w:sz w:val="16"/>
        </w:rPr>
        <w:t xml:space="preserve"> </w:t>
      </w:r>
    </w:p>
  </w:footnote>
  <w:footnote w:id="4">
    <w:p w14:paraId="22916009" w14:textId="77777777" w:rsidR="00ED2796" w:rsidRPr="009E1E83" w:rsidRDefault="00ED2796" w:rsidP="006C63D5">
      <w:pPr>
        <w:pStyle w:val="Sprotnaopomba-besedilo"/>
        <w:rPr>
          <w:sz w:val="16"/>
          <w:szCs w:val="16"/>
        </w:rPr>
      </w:pPr>
      <w:r w:rsidRPr="009E1E83">
        <w:rPr>
          <w:rStyle w:val="Sprotnaopomba-sklic"/>
          <w:sz w:val="16"/>
          <w:szCs w:val="16"/>
        </w:rPr>
        <w:footnoteRef/>
      </w:r>
      <w:r w:rsidRPr="009E1E83">
        <w:rPr>
          <w:sz w:val="16"/>
          <w:szCs w:val="16"/>
        </w:rPr>
        <w:t xml:space="preserve"> </w:t>
      </w:r>
      <w:r w:rsidRPr="00B263FD">
        <w:rPr>
          <w:sz w:val="16"/>
          <w:szCs w:val="16"/>
        </w:rPr>
        <w:t>http://kazalci.arso.gov.si/sl/content/intenzivnost-kmetijstva-2</w:t>
      </w:r>
    </w:p>
  </w:footnote>
  <w:footnote w:id="5">
    <w:p w14:paraId="1510E210" w14:textId="77777777" w:rsidR="00ED2796" w:rsidRDefault="00ED2796" w:rsidP="00450F36">
      <w:pPr>
        <w:pStyle w:val="Sprotnaopomba-besedilo"/>
        <w:ind w:left="426" w:firstLine="0"/>
      </w:pPr>
      <w:r>
        <w:rPr>
          <w:rStyle w:val="Sprotnaopomba-sklic"/>
        </w:rPr>
        <w:footnoteRef/>
      </w:r>
      <w:r>
        <w:t xml:space="preserve"> </w:t>
      </w:r>
      <w:r w:rsidRPr="00D54368">
        <w:rPr>
          <w:sz w:val="16"/>
        </w:rPr>
        <w:t>Mejne vrednosti so bile določene tako, da je KZU v EU enakovredno razdeljen na tri kategorije za prvo leto analize (2004 za EU-25) -&gt; konstantna 342 EUR na ha za najvišjo kategorijo, &lt; 150 EUR stalnica na ha za najnižjo kategorijo. Te stopnje ne predstavljajo resničnih meja ekstenzivnega in intenzivnega kmetovanja. Postavljeni so na pragmatičen način za preučevanje razvoja intenzivnosti kmetovanja skozi čas.</w:t>
      </w:r>
    </w:p>
  </w:footnote>
  <w:footnote w:id="6">
    <w:p w14:paraId="1F7D1120" w14:textId="77777777" w:rsidR="00ED2796" w:rsidRPr="005F10D0" w:rsidRDefault="00ED2796" w:rsidP="006C63D5">
      <w:pPr>
        <w:pStyle w:val="Sprotnaopomba-besedilo"/>
        <w:rPr>
          <w:sz w:val="16"/>
        </w:rPr>
      </w:pPr>
      <w:r w:rsidRPr="005F10D0">
        <w:rPr>
          <w:rStyle w:val="Sprotnaopomba-sklic"/>
          <w:sz w:val="16"/>
        </w:rPr>
        <w:footnoteRef/>
      </w:r>
      <w:r w:rsidRPr="005F10D0">
        <w:rPr>
          <w:sz w:val="16"/>
        </w:rPr>
        <w:t xml:space="preserve"> </w:t>
      </w:r>
      <w:r>
        <w:rPr>
          <w:sz w:val="16"/>
        </w:rPr>
        <w:t>Poročilo KIS o stanju… za leto</w:t>
      </w:r>
      <w:r w:rsidRPr="005F10D0">
        <w:rPr>
          <w:sz w:val="16"/>
        </w:rPr>
        <w:t xml:space="preserve"> 2018</w:t>
      </w:r>
    </w:p>
  </w:footnote>
  <w:footnote w:id="7">
    <w:p w14:paraId="1C06CA39" w14:textId="77777777" w:rsidR="00ED2796" w:rsidRPr="0071609D" w:rsidRDefault="00ED2796" w:rsidP="006C63D5">
      <w:pPr>
        <w:pStyle w:val="Sprotnaopomba-besedilo"/>
      </w:pPr>
      <w:r w:rsidRPr="005F10D0">
        <w:rPr>
          <w:rStyle w:val="Sprotnaopomba-sklic"/>
          <w:sz w:val="16"/>
        </w:rPr>
        <w:footnoteRef/>
      </w:r>
      <w:r w:rsidRPr="005F10D0">
        <w:rPr>
          <w:sz w:val="16"/>
        </w:rPr>
        <w:t xml:space="preserve"> </w:t>
      </w:r>
      <w:r w:rsidRPr="005F10D0">
        <w:rPr>
          <w:sz w:val="16"/>
        </w:rPr>
        <w:t>SURS</w:t>
      </w:r>
    </w:p>
  </w:footnote>
  <w:footnote w:id="8">
    <w:p w14:paraId="4B88BF21" w14:textId="77777777" w:rsidR="00ED2796" w:rsidRPr="005F10D0" w:rsidRDefault="00ED2796" w:rsidP="006C63D5">
      <w:pPr>
        <w:pStyle w:val="Sprotnaopomba-besedilo"/>
        <w:rPr>
          <w:sz w:val="16"/>
          <w:szCs w:val="16"/>
        </w:rPr>
      </w:pPr>
      <w:r w:rsidRPr="005F10D0">
        <w:rPr>
          <w:rStyle w:val="Sprotnaopomba-sklic"/>
          <w:sz w:val="16"/>
          <w:szCs w:val="16"/>
        </w:rPr>
        <w:footnoteRef/>
      </w:r>
      <w:r w:rsidRPr="005F10D0">
        <w:rPr>
          <w:sz w:val="16"/>
          <w:szCs w:val="16"/>
        </w:rPr>
        <w:t xml:space="preserve"> </w:t>
      </w:r>
      <w:r>
        <w:rPr>
          <w:sz w:val="16"/>
        </w:rPr>
        <w:t>Poročilo KIS o stanju… za leto</w:t>
      </w:r>
      <w:r w:rsidRPr="005F10D0">
        <w:rPr>
          <w:sz w:val="16"/>
        </w:rPr>
        <w:t xml:space="preserve"> 2018</w:t>
      </w:r>
    </w:p>
  </w:footnote>
  <w:footnote w:id="9">
    <w:p w14:paraId="58192755" w14:textId="77777777" w:rsidR="00ED2796" w:rsidRPr="005F10D0" w:rsidRDefault="00ED2796" w:rsidP="006C63D5">
      <w:pPr>
        <w:pStyle w:val="Sprotnaopomba-besedilo"/>
        <w:rPr>
          <w:sz w:val="16"/>
          <w:szCs w:val="16"/>
        </w:rPr>
      </w:pPr>
      <w:r w:rsidRPr="005F10D0">
        <w:rPr>
          <w:rStyle w:val="Sprotnaopomba-sklic"/>
          <w:sz w:val="16"/>
          <w:szCs w:val="16"/>
        </w:rPr>
        <w:footnoteRef/>
      </w:r>
      <w:r w:rsidRPr="005F10D0">
        <w:rPr>
          <w:sz w:val="16"/>
          <w:szCs w:val="16"/>
        </w:rPr>
        <w:t xml:space="preserve"> </w:t>
      </w:r>
      <w:r w:rsidRPr="005F10D0">
        <w:rPr>
          <w:sz w:val="16"/>
          <w:szCs w:val="16"/>
        </w:rPr>
        <w:t>SURS</w:t>
      </w:r>
    </w:p>
  </w:footnote>
  <w:footnote w:id="10">
    <w:p w14:paraId="5806D99E" w14:textId="77777777" w:rsidR="00ED2796" w:rsidRPr="005F10D0" w:rsidRDefault="00ED2796" w:rsidP="006C63D5">
      <w:pPr>
        <w:pStyle w:val="Sprotnaopomba-besedilo"/>
        <w:rPr>
          <w:sz w:val="16"/>
          <w:szCs w:val="16"/>
        </w:rPr>
      </w:pPr>
      <w:r w:rsidRPr="005F10D0">
        <w:rPr>
          <w:rStyle w:val="Sprotnaopomba-sklic"/>
          <w:sz w:val="16"/>
          <w:szCs w:val="16"/>
        </w:rPr>
        <w:footnoteRef/>
      </w:r>
      <w:r w:rsidRPr="005F10D0">
        <w:rPr>
          <w:sz w:val="16"/>
          <w:szCs w:val="16"/>
        </w:rPr>
        <w:t xml:space="preserve"> </w:t>
      </w:r>
      <w:r>
        <w:rPr>
          <w:sz w:val="16"/>
        </w:rPr>
        <w:t>Poročilo KIS o stanju… za leto</w:t>
      </w:r>
      <w:r w:rsidRPr="005F10D0">
        <w:rPr>
          <w:sz w:val="16"/>
        </w:rPr>
        <w:t xml:space="preserve"> 2018</w:t>
      </w:r>
    </w:p>
  </w:footnote>
  <w:footnote w:id="11">
    <w:p w14:paraId="19D77843" w14:textId="77777777" w:rsidR="00ED2796" w:rsidRPr="005F10D0" w:rsidRDefault="00ED2796" w:rsidP="006C63D5">
      <w:pPr>
        <w:pStyle w:val="Sprotnaopomba-besedilo"/>
        <w:rPr>
          <w:sz w:val="16"/>
          <w:szCs w:val="16"/>
        </w:rPr>
      </w:pPr>
      <w:r w:rsidRPr="005F10D0">
        <w:rPr>
          <w:rStyle w:val="Sprotnaopomba-sklic"/>
          <w:sz w:val="16"/>
          <w:szCs w:val="16"/>
        </w:rPr>
        <w:footnoteRef/>
      </w:r>
      <w:r w:rsidRPr="005F10D0">
        <w:rPr>
          <w:sz w:val="16"/>
          <w:szCs w:val="16"/>
        </w:rPr>
        <w:t xml:space="preserve"> </w:t>
      </w:r>
      <w:r w:rsidRPr="005F10D0">
        <w:rPr>
          <w:sz w:val="16"/>
          <w:szCs w:val="16"/>
        </w:rPr>
        <w:t>SURS</w:t>
      </w:r>
    </w:p>
  </w:footnote>
  <w:footnote w:id="12">
    <w:p w14:paraId="7A2D7176" w14:textId="77777777" w:rsidR="00ED2796" w:rsidRPr="005F10D0" w:rsidRDefault="00ED2796" w:rsidP="006C63D5">
      <w:pPr>
        <w:pStyle w:val="Sprotnaopomba-besedilo"/>
        <w:rPr>
          <w:sz w:val="16"/>
          <w:szCs w:val="16"/>
        </w:rPr>
      </w:pPr>
      <w:r w:rsidRPr="005F10D0">
        <w:rPr>
          <w:rStyle w:val="Sprotnaopomba-sklic"/>
          <w:sz w:val="16"/>
          <w:szCs w:val="16"/>
        </w:rPr>
        <w:footnoteRef/>
      </w:r>
      <w:r w:rsidRPr="005F10D0">
        <w:rPr>
          <w:sz w:val="16"/>
          <w:szCs w:val="16"/>
        </w:rPr>
        <w:t xml:space="preserve"> </w:t>
      </w:r>
      <w:r>
        <w:rPr>
          <w:sz w:val="16"/>
        </w:rPr>
        <w:t>Poročilo KIS o stanju… za leto</w:t>
      </w:r>
      <w:r w:rsidRPr="005F10D0">
        <w:rPr>
          <w:sz w:val="16"/>
        </w:rPr>
        <w:t xml:space="preserve"> 2018</w:t>
      </w:r>
    </w:p>
  </w:footnote>
  <w:footnote w:id="13">
    <w:p w14:paraId="3C66B4E0" w14:textId="77777777" w:rsidR="00ED2796" w:rsidRPr="005F10D0" w:rsidRDefault="00ED2796" w:rsidP="006C63D5">
      <w:pPr>
        <w:pStyle w:val="Sprotnaopomba-besedilo"/>
      </w:pPr>
      <w:r w:rsidRPr="005F10D0">
        <w:rPr>
          <w:rStyle w:val="Sprotnaopomba-sklic"/>
          <w:sz w:val="16"/>
          <w:szCs w:val="16"/>
        </w:rPr>
        <w:footnoteRef/>
      </w:r>
      <w:r w:rsidRPr="005F10D0">
        <w:rPr>
          <w:sz w:val="16"/>
          <w:szCs w:val="16"/>
        </w:rPr>
        <w:t xml:space="preserve"> </w:t>
      </w:r>
      <w:r w:rsidRPr="005F10D0">
        <w:rPr>
          <w:sz w:val="16"/>
          <w:szCs w:val="16"/>
        </w:rPr>
        <w:t>SURS</w:t>
      </w:r>
    </w:p>
  </w:footnote>
  <w:footnote w:id="14">
    <w:p w14:paraId="4B35DCB3" w14:textId="77777777" w:rsidR="00ED2796" w:rsidRPr="00E4051A" w:rsidRDefault="00ED2796" w:rsidP="006C63D5">
      <w:pPr>
        <w:pStyle w:val="Sprotnaopomba-besedilo"/>
        <w:rPr>
          <w:sz w:val="16"/>
          <w:szCs w:val="16"/>
        </w:rPr>
      </w:pPr>
      <w:r w:rsidRPr="00E4051A">
        <w:rPr>
          <w:rStyle w:val="Sprotnaopomba-sklic"/>
          <w:sz w:val="16"/>
          <w:szCs w:val="16"/>
        </w:rPr>
        <w:footnoteRef/>
      </w:r>
      <w:r w:rsidRPr="00E4051A">
        <w:rPr>
          <w:sz w:val="16"/>
          <w:szCs w:val="16"/>
        </w:rPr>
        <w:t xml:space="preserve"> </w:t>
      </w:r>
      <w:r w:rsidRPr="00E4051A">
        <w:rPr>
          <w:sz w:val="16"/>
          <w:szCs w:val="16"/>
        </w:rPr>
        <w:t>Poročilo KIS o stanju… za leto 2018</w:t>
      </w:r>
    </w:p>
  </w:footnote>
  <w:footnote w:id="15">
    <w:p w14:paraId="6C60AB5F" w14:textId="77777777" w:rsidR="00ED2796" w:rsidRPr="00E4051A" w:rsidRDefault="00ED2796" w:rsidP="006C63D5">
      <w:pPr>
        <w:pStyle w:val="Sprotnaopomba-besedilo"/>
        <w:rPr>
          <w:sz w:val="16"/>
          <w:szCs w:val="16"/>
        </w:rPr>
      </w:pPr>
      <w:r w:rsidRPr="00E4051A">
        <w:rPr>
          <w:rStyle w:val="Sprotnaopomba-sklic"/>
          <w:sz w:val="16"/>
          <w:szCs w:val="16"/>
        </w:rPr>
        <w:footnoteRef/>
      </w:r>
      <w:r w:rsidRPr="00E4051A">
        <w:rPr>
          <w:sz w:val="16"/>
          <w:szCs w:val="16"/>
        </w:rPr>
        <w:t xml:space="preserve"> </w:t>
      </w:r>
      <w:r w:rsidRPr="00E4051A">
        <w:rPr>
          <w:sz w:val="16"/>
          <w:szCs w:val="16"/>
        </w:rPr>
        <w:t>SURS</w:t>
      </w:r>
    </w:p>
  </w:footnote>
  <w:footnote w:id="16">
    <w:p w14:paraId="539B4E60" w14:textId="77777777" w:rsidR="00ED2796" w:rsidRPr="00E4051A" w:rsidRDefault="00ED2796" w:rsidP="006C63D5">
      <w:pPr>
        <w:pStyle w:val="Sprotnaopomba-besedilo"/>
        <w:rPr>
          <w:sz w:val="16"/>
          <w:szCs w:val="16"/>
          <w:lang w:val="it-IT"/>
        </w:rPr>
      </w:pPr>
      <w:r w:rsidRPr="00E4051A">
        <w:rPr>
          <w:rStyle w:val="Sprotnaopomba-sklic"/>
          <w:sz w:val="16"/>
          <w:szCs w:val="16"/>
        </w:rPr>
        <w:footnoteRef/>
      </w:r>
      <w:r w:rsidRPr="00E4051A">
        <w:rPr>
          <w:sz w:val="16"/>
          <w:szCs w:val="16"/>
        </w:rPr>
        <w:t xml:space="preserve"> </w:t>
      </w:r>
      <w:r w:rsidRPr="00E4051A">
        <w:rPr>
          <w:sz w:val="16"/>
          <w:szCs w:val="16"/>
        </w:rPr>
        <w:t>Slovensko kmetijstvo v številkah 2019</w:t>
      </w:r>
    </w:p>
  </w:footnote>
  <w:footnote w:id="17">
    <w:p w14:paraId="081AA440" w14:textId="77777777" w:rsidR="00ED2796" w:rsidRPr="00E4051A" w:rsidRDefault="00ED2796" w:rsidP="006C63D5">
      <w:pPr>
        <w:pStyle w:val="Sprotnaopomba-besedilo"/>
        <w:rPr>
          <w:sz w:val="16"/>
          <w:szCs w:val="16"/>
        </w:rPr>
      </w:pPr>
      <w:r w:rsidRPr="00E4051A">
        <w:rPr>
          <w:rStyle w:val="Sprotnaopomba-sklic"/>
          <w:sz w:val="16"/>
          <w:szCs w:val="16"/>
        </w:rPr>
        <w:footnoteRef/>
      </w:r>
      <w:r w:rsidRPr="00E4051A">
        <w:rPr>
          <w:sz w:val="16"/>
          <w:szCs w:val="16"/>
          <w:lang w:val="it-IT"/>
        </w:rPr>
        <w:t xml:space="preserve"> </w:t>
      </w:r>
      <w:r w:rsidRPr="00E4051A">
        <w:rPr>
          <w:sz w:val="16"/>
          <w:szCs w:val="16"/>
        </w:rPr>
        <w:t>Poročilo KIS o stanju… za leto 2018</w:t>
      </w:r>
    </w:p>
  </w:footnote>
  <w:footnote w:id="18">
    <w:p w14:paraId="011BE9E5" w14:textId="77777777" w:rsidR="00ED2796" w:rsidRPr="00992326" w:rsidRDefault="00ED2796" w:rsidP="006C63D5">
      <w:pPr>
        <w:pStyle w:val="Sprotnaopomba-besedilo"/>
        <w:rPr>
          <w:lang w:val="it-IT"/>
        </w:rPr>
      </w:pPr>
      <w:r w:rsidRPr="00E4051A">
        <w:rPr>
          <w:rStyle w:val="Sprotnaopomba-sklic"/>
          <w:sz w:val="16"/>
          <w:szCs w:val="16"/>
        </w:rPr>
        <w:footnoteRef/>
      </w:r>
      <w:r w:rsidRPr="00E4051A">
        <w:rPr>
          <w:sz w:val="16"/>
          <w:szCs w:val="16"/>
          <w:lang w:val="it-IT"/>
        </w:rPr>
        <w:t xml:space="preserve"> </w:t>
      </w:r>
      <w:r w:rsidRPr="00E4051A">
        <w:rPr>
          <w:sz w:val="16"/>
          <w:szCs w:val="16"/>
          <w:lang w:val="it-IT"/>
        </w:rPr>
        <w:t>SURS</w:t>
      </w:r>
    </w:p>
  </w:footnote>
  <w:footnote w:id="19">
    <w:p w14:paraId="26E8A3F9" w14:textId="77777777" w:rsidR="00ED2796" w:rsidRPr="001C736F" w:rsidRDefault="00ED2796" w:rsidP="006C63D5">
      <w:pPr>
        <w:pStyle w:val="Sprotnaopomba-besedilo"/>
      </w:pPr>
      <w:r w:rsidRPr="001C736F">
        <w:rPr>
          <w:rStyle w:val="Sprotnaopomba-sklic"/>
          <w:sz w:val="16"/>
        </w:rPr>
        <w:footnoteRef/>
      </w:r>
      <w:r w:rsidRPr="001C736F">
        <w:rPr>
          <w:sz w:val="16"/>
        </w:rPr>
        <w:t xml:space="preserve"> </w:t>
      </w:r>
      <w:r w:rsidRPr="001C736F">
        <w:rPr>
          <w:sz w:val="16"/>
        </w:rPr>
        <w:t>SURS</w:t>
      </w:r>
    </w:p>
  </w:footnote>
  <w:footnote w:id="20">
    <w:p w14:paraId="45E7609F" w14:textId="77777777" w:rsidR="00ED2796" w:rsidRPr="00D70122" w:rsidRDefault="00ED2796" w:rsidP="006C63D5">
      <w:pPr>
        <w:pStyle w:val="Sprotnaopomba-besedilo"/>
      </w:pPr>
      <w:r w:rsidRPr="00D70122">
        <w:rPr>
          <w:rStyle w:val="Sprotnaopomba-sklic"/>
          <w:sz w:val="16"/>
        </w:rPr>
        <w:footnoteRef/>
      </w:r>
      <w:r w:rsidRPr="00D70122">
        <w:rPr>
          <w:sz w:val="16"/>
        </w:rPr>
        <w:t xml:space="preserve"> </w:t>
      </w:r>
      <w:r>
        <w:rPr>
          <w:sz w:val="16"/>
        </w:rPr>
        <w:t>Poročilo o stanju kmetijstva….za leto</w:t>
      </w:r>
      <w:r w:rsidRPr="00D70122">
        <w:rPr>
          <w:sz w:val="16"/>
        </w:rPr>
        <w:t xml:space="preserve"> 2018</w:t>
      </w:r>
    </w:p>
  </w:footnote>
  <w:footnote w:id="21">
    <w:p w14:paraId="58729EF2" w14:textId="77777777" w:rsidR="00ED2796" w:rsidRPr="00867A95" w:rsidRDefault="00ED2796" w:rsidP="006C63D5">
      <w:pPr>
        <w:pStyle w:val="Sprotnaopomba-besedilo"/>
        <w:ind w:left="0" w:firstLine="0"/>
        <w:rPr>
          <w:sz w:val="16"/>
        </w:rPr>
      </w:pPr>
      <w:r w:rsidRPr="00867A95">
        <w:rPr>
          <w:rStyle w:val="Sprotnaopomba-sklic"/>
          <w:sz w:val="16"/>
        </w:rPr>
        <w:footnoteRef/>
      </w:r>
      <w:r w:rsidRPr="00867A95">
        <w:rPr>
          <w:sz w:val="16"/>
        </w:rPr>
        <w:t xml:space="preserve"> </w:t>
      </w:r>
      <w:r>
        <w:rPr>
          <w:sz w:val="16"/>
        </w:rPr>
        <w:t>Poročilo o stanju kmetijstva….v letu</w:t>
      </w:r>
      <w:r w:rsidRPr="00867A95">
        <w:rPr>
          <w:sz w:val="16"/>
        </w:rPr>
        <w:t xml:space="preserve"> 2018</w:t>
      </w:r>
    </w:p>
  </w:footnote>
  <w:footnote w:id="22">
    <w:p w14:paraId="404890B7" w14:textId="7271558C" w:rsidR="00ED2796" w:rsidRDefault="00ED2796" w:rsidP="006C63D5">
      <w:pPr>
        <w:pStyle w:val="Sprotnaopomba-besedilo"/>
        <w:ind w:left="0" w:firstLine="0"/>
      </w:pPr>
      <w:r>
        <w:rPr>
          <w:rStyle w:val="Sprotnaopomba-sklic"/>
        </w:rPr>
        <w:footnoteRef/>
      </w:r>
      <w:r>
        <w:t xml:space="preserve"> </w:t>
      </w:r>
      <w:proofErr w:type="spellStart"/>
      <w:r w:rsidRPr="009C2866">
        <w:rPr>
          <w:sz w:val="16"/>
          <w:szCs w:val="16"/>
        </w:rPr>
        <w:t>Dashboard</w:t>
      </w:r>
      <w:proofErr w:type="spellEnd"/>
      <w:r>
        <w:rPr>
          <w:sz w:val="16"/>
          <w:szCs w:val="16"/>
        </w:rPr>
        <w:t xml:space="preserve"> </w:t>
      </w:r>
      <w:proofErr w:type="spellStart"/>
      <w:r w:rsidRPr="009C2866">
        <w:rPr>
          <w:sz w:val="16"/>
          <w:szCs w:val="16"/>
        </w:rPr>
        <w:t>Indicators</w:t>
      </w:r>
      <w:proofErr w:type="spellEnd"/>
    </w:p>
  </w:footnote>
  <w:footnote w:id="23">
    <w:p w14:paraId="3AE49E6A" w14:textId="77777777" w:rsidR="00ED2796" w:rsidRPr="00F66C90" w:rsidRDefault="00ED2796" w:rsidP="006C63D5">
      <w:pPr>
        <w:pStyle w:val="Sprotnaopomba-besedilo"/>
        <w:ind w:left="0" w:firstLine="0"/>
        <w:rPr>
          <w:sz w:val="16"/>
        </w:rPr>
      </w:pPr>
      <w:r w:rsidRPr="00F66C90">
        <w:rPr>
          <w:rStyle w:val="Sprotnaopomba-sklic"/>
          <w:sz w:val="16"/>
        </w:rPr>
        <w:footnoteRef/>
      </w:r>
      <w:r w:rsidRPr="00F66C90">
        <w:rPr>
          <w:sz w:val="16"/>
        </w:rPr>
        <w:t xml:space="preserve"> </w:t>
      </w:r>
      <w:r w:rsidRPr="00F66C90">
        <w:rPr>
          <w:sz w:val="16"/>
        </w:rPr>
        <w:t xml:space="preserve">KIS (2019): </w:t>
      </w:r>
      <w:r w:rsidRPr="009C2866">
        <w:rPr>
          <w:sz w:val="16"/>
          <w:szCs w:val="16"/>
        </w:rPr>
        <w:t>Poročilo</w:t>
      </w:r>
      <w:r w:rsidRPr="00F66C90">
        <w:rPr>
          <w:sz w:val="16"/>
        </w:rPr>
        <w:t xml:space="preserve"> o stanju….2018.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6B95064B"/>
    <w:lvl w:ilvl="0" w:tplc="C8FE66AA">
      <w:start w:val="1"/>
      <w:numFmt w:val="bullet"/>
      <w:pStyle w:val="Oznaenseznam5"/>
      <w:lvlText w:val="·"/>
      <w:lvlJc w:val="left"/>
      <w:pPr>
        <w:tabs>
          <w:tab w:val="left" w:pos="1492"/>
        </w:tabs>
        <w:ind w:left="1852" w:hanging="360"/>
      </w:pPr>
      <w:rPr>
        <w:rFonts w:ascii="Symbol" w:eastAsia="Symbol" w:hAnsi="Symbol"/>
        <w:w w:val="100"/>
        <w:sz w:val="20"/>
        <w:szCs w:val="20"/>
        <w:shd w:val="clear" w:color="auto" w:fill="auto"/>
      </w:rPr>
    </w:lvl>
    <w:lvl w:ilvl="1" w:tplc="122A1A0C">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2" w:tplc="B3228BAC">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3" w:tplc="C520134E">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4" w:tplc="DAF818A4">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5" w:tplc="8E4C9386">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6" w:tplc="1C08E422">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7" w:tplc="9918ABCE">
      <w:start w:val="1"/>
      <w:numFmt w:val="bullet"/>
      <w:lvlText w:val="·"/>
      <w:lvlJc w:val="left"/>
      <w:pPr>
        <w:tabs>
          <w:tab w:val="left" w:pos="1492"/>
        </w:tabs>
        <w:ind w:left="1852" w:hanging="360"/>
      </w:pPr>
      <w:rPr>
        <w:rFonts w:ascii="Symbol" w:eastAsia="Symbol" w:hAnsi="Symbol"/>
        <w:w w:val="100"/>
        <w:sz w:val="20"/>
        <w:szCs w:val="20"/>
        <w:shd w:val="clear" w:color="auto" w:fill="auto"/>
      </w:rPr>
    </w:lvl>
    <w:lvl w:ilvl="8" w:tplc="82DE02BA">
      <w:start w:val="1"/>
      <w:numFmt w:val="bullet"/>
      <w:lvlText w:val="·"/>
      <w:lvlJc w:val="left"/>
      <w:pPr>
        <w:tabs>
          <w:tab w:val="left" w:pos="1492"/>
        </w:tabs>
        <w:ind w:left="1852" w:hanging="360"/>
      </w:pPr>
      <w:rPr>
        <w:rFonts w:ascii="Symbol" w:eastAsia="Symbol" w:hAnsi="Symbol"/>
        <w:w w:val="100"/>
        <w:sz w:val="20"/>
        <w:szCs w:val="20"/>
        <w:shd w:val="clear" w:color="auto" w:fill="auto"/>
      </w:rPr>
    </w:lvl>
  </w:abstractNum>
  <w:abstractNum w:abstractNumId="1" w15:restartNumberingAfterBreak="0">
    <w:nsid w:val="00000002"/>
    <w:multiLevelType w:val="multilevel"/>
    <w:tmpl w:val="2D3A1E03"/>
    <w:lvl w:ilvl="0">
      <w:start w:val="1"/>
      <w:numFmt w:val="decimal"/>
      <w:pStyle w:val="Otevilenseznam3"/>
      <w:lvlText w:val="(%1)"/>
      <w:lvlJc w:val="left"/>
      <w:pPr>
        <w:tabs>
          <w:tab w:val="left" w:pos="2625"/>
        </w:tabs>
        <w:ind w:left="3334" w:hanging="709"/>
      </w:pPr>
    </w:lvl>
    <w:lvl w:ilvl="1">
      <w:start w:val="1"/>
      <w:numFmt w:val="lowerLetter"/>
      <w:pStyle w:val="ListNumber3Level2"/>
      <w:lvlText w:val="(%2)"/>
      <w:lvlJc w:val="left"/>
      <w:pPr>
        <w:tabs>
          <w:tab w:val="left" w:pos="3333"/>
        </w:tabs>
        <w:ind w:left="4041" w:hanging="708"/>
      </w:pPr>
    </w:lvl>
    <w:lvl w:ilvl="2">
      <w:start w:val="1"/>
      <w:numFmt w:val="bullet"/>
      <w:pStyle w:val="ListNumber3Level3"/>
      <w:lvlText w:val="–"/>
      <w:lvlJc w:val="left"/>
      <w:pPr>
        <w:tabs>
          <w:tab w:val="left" w:pos="4042"/>
        </w:tabs>
        <w:ind w:left="4751" w:hanging="709"/>
      </w:pPr>
      <w:rPr>
        <w:rFonts w:ascii="Times New Roman" w:eastAsia="Times New Roman" w:hAnsi="Times New Roman"/>
        <w:w w:val="100"/>
        <w:sz w:val="20"/>
        <w:szCs w:val="20"/>
        <w:shd w:val="clear" w:color="auto" w:fill="auto"/>
      </w:rPr>
    </w:lvl>
    <w:lvl w:ilvl="3">
      <w:start w:val="1"/>
      <w:numFmt w:val="bullet"/>
      <w:pStyle w:val="ListNumber3Level4"/>
      <w:lvlText w:val="·"/>
      <w:lvlJc w:val="left"/>
      <w:pPr>
        <w:tabs>
          <w:tab w:val="left" w:pos="4751"/>
        </w:tabs>
        <w:ind w:left="5460"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2" w15:restartNumberingAfterBreak="0">
    <w:nsid w:val="00000004"/>
    <w:multiLevelType w:val="hybridMultilevel"/>
    <w:tmpl w:val="28CAECBD"/>
    <w:lvl w:ilvl="0" w:tplc="7884EAA8">
      <w:start w:val="1"/>
      <w:numFmt w:val="bullet"/>
      <w:pStyle w:val="Oznaenseznam4"/>
      <w:lvlText w:val="·"/>
      <w:lvlJc w:val="left"/>
      <w:pPr>
        <w:tabs>
          <w:tab w:val="left" w:pos="3163"/>
        </w:tabs>
        <w:ind w:left="3446" w:hanging="283"/>
      </w:pPr>
      <w:rPr>
        <w:rFonts w:ascii="Symbol" w:eastAsia="Symbol" w:hAnsi="Symbol"/>
        <w:w w:val="100"/>
        <w:sz w:val="20"/>
        <w:szCs w:val="20"/>
        <w:shd w:val="clear" w:color="auto" w:fill="auto"/>
      </w:rPr>
    </w:lvl>
    <w:lvl w:ilvl="1" w:tplc="BAA61C4E">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2" w:tplc="6002ADC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3" w:tplc="0C2421D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4" w:tplc="57805F7C">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5" w:tplc="86E2F798">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6" w:tplc="208E6F76">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7" w:tplc="A4CE02D0">
      <w:start w:val="1"/>
      <w:numFmt w:val="bullet"/>
      <w:lvlText w:val="·"/>
      <w:lvlJc w:val="left"/>
      <w:pPr>
        <w:tabs>
          <w:tab w:val="left" w:pos="3163"/>
        </w:tabs>
        <w:ind w:left="3446" w:hanging="283"/>
      </w:pPr>
      <w:rPr>
        <w:rFonts w:ascii="Symbol" w:eastAsia="Symbol" w:hAnsi="Symbol"/>
        <w:w w:val="100"/>
        <w:sz w:val="20"/>
        <w:szCs w:val="20"/>
        <w:shd w:val="clear" w:color="auto" w:fill="auto"/>
      </w:rPr>
    </w:lvl>
    <w:lvl w:ilvl="8" w:tplc="3874329C">
      <w:start w:val="1"/>
      <w:numFmt w:val="bullet"/>
      <w:lvlText w:val="·"/>
      <w:lvlJc w:val="left"/>
      <w:pPr>
        <w:tabs>
          <w:tab w:val="left" w:pos="3163"/>
        </w:tabs>
        <w:ind w:left="3446" w:hanging="283"/>
      </w:pPr>
      <w:rPr>
        <w:rFonts w:ascii="Symbol" w:eastAsia="Symbol" w:hAnsi="Symbol"/>
        <w:w w:val="100"/>
        <w:sz w:val="20"/>
        <w:szCs w:val="20"/>
        <w:shd w:val="clear" w:color="auto" w:fill="auto"/>
      </w:rPr>
    </w:lvl>
  </w:abstractNum>
  <w:abstractNum w:abstractNumId="3" w15:restartNumberingAfterBreak="0">
    <w:nsid w:val="00000005"/>
    <w:multiLevelType w:val="hybridMultilevel"/>
    <w:tmpl w:val="71767CA5"/>
    <w:lvl w:ilvl="0" w:tplc="671E5E06">
      <w:start w:val="1"/>
      <w:numFmt w:val="bullet"/>
      <w:pStyle w:val="Oznaenseznam3"/>
      <w:lvlText w:val="·"/>
      <w:lvlJc w:val="left"/>
      <w:pPr>
        <w:tabs>
          <w:tab w:val="left" w:pos="2199"/>
        </w:tabs>
        <w:ind w:left="2482" w:hanging="283"/>
      </w:pPr>
      <w:rPr>
        <w:rFonts w:ascii="Symbol" w:eastAsia="Symbol" w:hAnsi="Symbol"/>
        <w:w w:val="100"/>
        <w:sz w:val="20"/>
        <w:szCs w:val="20"/>
        <w:shd w:val="clear" w:color="auto" w:fill="auto"/>
      </w:rPr>
    </w:lvl>
    <w:lvl w:ilvl="1" w:tplc="63C01414">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2" w:tplc="A596EB3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3" w:tplc="01F6A0FE">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4" w:tplc="BE5A03B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5" w:tplc="AC4EA34E">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6" w:tplc="5C327E60">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7" w:tplc="BB10D3EC">
      <w:start w:val="1"/>
      <w:numFmt w:val="bullet"/>
      <w:lvlText w:val="·"/>
      <w:lvlJc w:val="left"/>
      <w:pPr>
        <w:tabs>
          <w:tab w:val="left" w:pos="2199"/>
        </w:tabs>
        <w:ind w:left="2482" w:hanging="283"/>
      </w:pPr>
      <w:rPr>
        <w:rFonts w:ascii="Symbol" w:eastAsia="Symbol" w:hAnsi="Symbol"/>
        <w:w w:val="100"/>
        <w:sz w:val="20"/>
        <w:szCs w:val="20"/>
        <w:shd w:val="clear" w:color="auto" w:fill="auto"/>
      </w:rPr>
    </w:lvl>
    <w:lvl w:ilvl="8" w:tplc="8A8464A6">
      <w:start w:val="1"/>
      <w:numFmt w:val="bullet"/>
      <w:lvlText w:val="·"/>
      <w:lvlJc w:val="left"/>
      <w:pPr>
        <w:tabs>
          <w:tab w:val="left" w:pos="2199"/>
        </w:tabs>
        <w:ind w:left="2482" w:hanging="283"/>
      </w:pPr>
      <w:rPr>
        <w:rFonts w:ascii="Symbol" w:eastAsia="Symbol" w:hAnsi="Symbol"/>
        <w:w w:val="100"/>
        <w:sz w:val="20"/>
        <w:szCs w:val="20"/>
        <w:shd w:val="clear" w:color="auto" w:fill="auto"/>
      </w:rPr>
    </w:lvl>
  </w:abstractNum>
  <w:abstractNum w:abstractNumId="4" w15:restartNumberingAfterBreak="0">
    <w:nsid w:val="00000009"/>
    <w:multiLevelType w:val="multilevel"/>
    <w:tmpl w:val="311D9A0E"/>
    <w:lvl w:ilvl="0">
      <w:start w:val="1"/>
      <w:numFmt w:val="decimal"/>
      <w:pStyle w:val="Point0number"/>
      <w:lvlText w:val="(%1)"/>
      <w:lvlJc w:val="left"/>
      <w:pPr>
        <w:tabs>
          <w:tab w:val="left" w:pos="850"/>
        </w:tabs>
        <w:ind w:left="1700" w:hanging="850"/>
      </w:pPr>
    </w:lvl>
    <w:lvl w:ilvl="1">
      <w:start w:val="1"/>
      <w:numFmt w:val="lowerLetter"/>
      <w:pStyle w:val="Point0letter"/>
      <w:lvlText w:val="(%2)"/>
      <w:lvlJc w:val="left"/>
      <w:pPr>
        <w:tabs>
          <w:tab w:val="left" w:pos="850"/>
        </w:tabs>
        <w:ind w:left="1700" w:hanging="850"/>
      </w:pPr>
    </w:lvl>
    <w:lvl w:ilvl="2">
      <w:start w:val="1"/>
      <w:numFmt w:val="decimal"/>
      <w:pStyle w:val="Point1number"/>
      <w:lvlText w:val="(%3)"/>
      <w:lvlJc w:val="left"/>
      <w:pPr>
        <w:tabs>
          <w:tab w:val="left" w:pos="1417"/>
        </w:tabs>
        <w:ind w:left="1984" w:hanging="567"/>
      </w:pPr>
    </w:lvl>
    <w:lvl w:ilvl="3">
      <w:start w:val="1"/>
      <w:numFmt w:val="lowerLetter"/>
      <w:pStyle w:val="Point1letter"/>
      <w:lvlText w:val="(%4)"/>
      <w:lvlJc w:val="left"/>
      <w:pPr>
        <w:tabs>
          <w:tab w:val="left" w:pos="1417"/>
        </w:tabs>
        <w:ind w:left="1984" w:hanging="567"/>
      </w:pPr>
    </w:lvl>
    <w:lvl w:ilvl="4">
      <w:start w:val="1"/>
      <w:numFmt w:val="decimal"/>
      <w:pStyle w:val="Point2number"/>
      <w:lvlText w:val="(%5)"/>
      <w:lvlJc w:val="left"/>
      <w:pPr>
        <w:tabs>
          <w:tab w:val="left" w:pos="1984"/>
        </w:tabs>
        <w:ind w:left="2551" w:hanging="567"/>
      </w:pPr>
    </w:lvl>
    <w:lvl w:ilvl="5">
      <w:start w:val="1"/>
      <w:numFmt w:val="lowerLetter"/>
      <w:pStyle w:val="Point2letter"/>
      <w:lvlText w:val="(%6)"/>
      <w:lvlJc w:val="left"/>
      <w:pPr>
        <w:tabs>
          <w:tab w:val="left" w:pos="1984"/>
        </w:tabs>
        <w:ind w:left="2551" w:hanging="567"/>
      </w:pPr>
    </w:lvl>
    <w:lvl w:ilvl="6">
      <w:start w:val="1"/>
      <w:numFmt w:val="decimal"/>
      <w:pStyle w:val="Point3number"/>
      <w:lvlText w:val="(%7)"/>
      <w:lvlJc w:val="left"/>
      <w:pPr>
        <w:tabs>
          <w:tab w:val="left" w:pos="2551"/>
        </w:tabs>
        <w:ind w:left="3118" w:hanging="567"/>
      </w:pPr>
    </w:lvl>
    <w:lvl w:ilvl="7">
      <w:start w:val="1"/>
      <w:numFmt w:val="lowerLetter"/>
      <w:pStyle w:val="Point3letter"/>
      <w:lvlText w:val="(%8)"/>
      <w:lvlJc w:val="left"/>
      <w:pPr>
        <w:tabs>
          <w:tab w:val="left" w:pos="2551"/>
        </w:tabs>
        <w:ind w:left="3118" w:hanging="567"/>
      </w:pPr>
    </w:lvl>
    <w:lvl w:ilvl="8">
      <w:start w:val="1"/>
      <w:numFmt w:val="lowerLetter"/>
      <w:pStyle w:val="Point4letter"/>
      <w:lvlText w:val="(%9)"/>
      <w:lvlJc w:val="left"/>
      <w:pPr>
        <w:tabs>
          <w:tab w:val="left" w:pos="3118"/>
        </w:tabs>
        <w:ind w:left="3685" w:hanging="567"/>
      </w:pPr>
    </w:lvl>
  </w:abstractNum>
  <w:abstractNum w:abstractNumId="5" w15:restartNumberingAfterBreak="0">
    <w:nsid w:val="0000000C"/>
    <w:multiLevelType w:val="hybridMultilevel"/>
    <w:tmpl w:val="732E6D08"/>
    <w:lvl w:ilvl="0" w:tplc="5ABC5740">
      <w:start w:val="1"/>
      <w:numFmt w:val="bullet"/>
      <w:pStyle w:val="ListDash4"/>
      <w:lvlText w:val="–"/>
      <w:lvlJc w:val="left"/>
      <w:pPr>
        <w:tabs>
          <w:tab w:val="left" w:pos="3163"/>
        </w:tabs>
        <w:ind w:left="3446" w:hanging="283"/>
      </w:pPr>
      <w:rPr>
        <w:rFonts w:ascii="Times New Roman" w:eastAsia="Times New Roman" w:hAnsi="Times New Roman"/>
        <w:w w:val="100"/>
        <w:sz w:val="20"/>
        <w:szCs w:val="20"/>
        <w:shd w:val="clear" w:color="auto" w:fill="auto"/>
      </w:rPr>
    </w:lvl>
    <w:lvl w:ilvl="1" w:tplc="930CA7A2">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2" w:tplc="63647A5C">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3" w:tplc="B4DCCED6">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4" w:tplc="5E3C94B8">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5" w:tplc="DA84978C">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6" w:tplc="58D8CF96">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7" w:tplc="4A089F0E">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lvl w:ilvl="8" w:tplc="5CB87298">
      <w:start w:val="1"/>
      <w:numFmt w:val="bullet"/>
      <w:lvlText w:val="–"/>
      <w:lvlJc w:val="left"/>
      <w:pPr>
        <w:tabs>
          <w:tab w:val="left" w:pos="3163"/>
        </w:tabs>
        <w:ind w:left="3446" w:hanging="283"/>
      </w:pPr>
      <w:rPr>
        <w:rFonts w:ascii="Times New Roman" w:eastAsia="Times New Roman" w:hAnsi="Times New Roman"/>
        <w:w w:val="100"/>
        <w:sz w:val="20"/>
        <w:szCs w:val="20"/>
        <w:shd w:val="clear" w:color="auto" w:fill="auto"/>
      </w:rPr>
    </w:lvl>
  </w:abstractNum>
  <w:abstractNum w:abstractNumId="6" w15:restartNumberingAfterBreak="0">
    <w:nsid w:val="0000000D"/>
    <w:multiLevelType w:val="hybridMultilevel"/>
    <w:tmpl w:val="14EF12DE"/>
    <w:lvl w:ilvl="0" w:tplc="6C52EBAE">
      <w:start w:val="1"/>
      <w:numFmt w:val="bullet"/>
      <w:pStyle w:val="Oznaenseznam2"/>
      <w:lvlText w:val="·"/>
      <w:lvlJc w:val="left"/>
      <w:pPr>
        <w:tabs>
          <w:tab w:val="left" w:pos="1360"/>
        </w:tabs>
        <w:ind w:left="1643" w:hanging="283"/>
      </w:pPr>
      <w:rPr>
        <w:rFonts w:ascii="Symbol" w:eastAsia="Symbol" w:hAnsi="Symbol"/>
        <w:w w:val="100"/>
        <w:sz w:val="20"/>
        <w:szCs w:val="20"/>
        <w:shd w:val="clear" w:color="auto" w:fill="auto"/>
      </w:rPr>
    </w:lvl>
    <w:lvl w:ilvl="1" w:tplc="FB78BD0A">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2" w:tplc="D4FECBE2">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3" w:tplc="1138EF36">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4" w:tplc="6EC4F7EC">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5" w:tplc="C01A2C40">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6" w:tplc="EB5243EE">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7" w:tplc="517090E2">
      <w:start w:val="1"/>
      <w:numFmt w:val="bullet"/>
      <w:lvlText w:val="·"/>
      <w:lvlJc w:val="left"/>
      <w:pPr>
        <w:tabs>
          <w:tab w:val="left" w:pos="1360"/>
        </w:tabs>
        <w:ind w:left="1643" w:hanging="283"/>
      </w:pPr>
      <w:rPr>
        <w:rFonts w:ascii="Symbol" w:eastAsia="Symbol" w:hAnsi="Symbol"/>
        <w:w w:val="100"/>
        <w:sz w:val="20"/>
        <w:szCs w:val="20"/>
        <w:shd w:val="clear" w:color="auto" w:fill="auto"/>
      </w:rPr>
    </w:lvl>
    <w:lvl w:ilvl="8" w:tplc="D9B6DCBA">
      <w:start w:val="1"/>
      <w:numFmt w:val="bullet"/>
      <w:lvlText w:val="·"/>
      <w:lvlJc w:val="left"/>
      <w:pPr>
        <w:tabs>
          <w:tab w:val="left" w:pos="1360"/>
        </w:tabs>
        <w:ind w:left="1643" w:hanging="283"/>
      </w:pPr>
      <w:rPr>
        <w:rFonts w:ascii="Symbol" w:eastAsia="Symbol" w:hAnsi="Symbol"/>
        <w:w w:val="100"/>
        <w:sz w:val="20"/>
        <w:szCs w:val="20"/>
        <w:shd w:val="clear" w:color="auto" w:fill="auto"/>
      </w:rPr>
    </w:lvl>
  </w:abstractNum>
  <w:abstractNum w:abstractNumId="7" w15:restartNumberingAfterBreak="0">
    <w:nsid w:val="0000000E"/>
    <w:multiLevelType w:val="multilevel"/>
    <w:tmpl w:val="145C747A"/>
    <w:lvl w:ilvl="0">
      <w:start w:val="1"/>
      <w:numFmt w:val="decimal"/>
      <w:pStyle w:val="LegalNumPar"/>
      <w:lvlText w:val="%1."/>
      <w:lvlJc w:val="left"/>
      <w:pPr>
        <w:ind w:left="952" w:hanging="476"/>
      </w:pPr>
    </w:lvl>
    <w:lvl w:ilvl="1">
      <w:start w:val="1"/>
      <w:numFmt w:val="lowerLetter"/>
      <w:pStyle w:val="LegalNumPar2"/>
      <w:lvlText w:val="%2."/>
      <w:lvlJc w:val="left"/>
      <w:pPr>
        <w:ind w:left="1430" w:hanging="477"/>
      </w:pPr>
    </w:lvl>
    <w:lvl w:ilvl="2">
      <w:start w:val="1"/>
      <w:numFmt w:val="lowerRoman"/>
      <w:pStyle w:val="LegalNumPar3"/>
      <w:lvlText w:val="%3."/>
      <w:lvlJc w:val="left"/>
      <w:pPr>
        <w:ind w:left="1905" w:hanging="476"/>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50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660" w:hanging="180"/>
      </w:pPr>
    </w:lvl>
  </w:abstractNum>
  <w:abstractNum w:abstractNumId="8" w15:restartNumberingAfterBreak="0">
    <w:nsid w:val="00000011"/>
    <w:multiLevelType w:val="hybridMultilevel"/>
    <w:tmpl w:val="4A95E1AB"/>
    <w:lvl w:ilvl="0" w:tplc="31284166">
      <w:start w:val="1"/>
      <w:numFmt w:val="bullet"/>
      <w:pStyle w:val="ListBullet1"/>
      <w:lvlText w:val="·"/>
      <w:lvlJc w:val="left"/>
      <w:pPr>
        <w:tabs>
          <w:tab w:val="left" w:pos="765"/>
        </w:tabs>
        <w:ind w:left="1048" w:hanging="283"/>
      </w:pPr>
      <w:rPr>
        <w:rFonts w:ascii="Symbol" w:eastAsia="Symbol" w:hAnsi="Symbol"/>
        <w:w w:val="100"/>
        <w:sz w:val="20"/>
        <w:szCs w:val="20"/>
        <w:shd w:val="clear" w:color="auto" w:fill="auto"/>
      </w:rPr>
    </w:lvl>
    <w:lvl w:ilvl="1" w:tplc="4E04828E">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2" w:tplc="238E8172">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3" w:tplc="4F584F90">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4" w:tplc="D8B8A9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5" w:tplc="AA8EA6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6" w:tplc="96CA3FEA">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7" w:tplc="3E362ED8">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8" w:tplc="76D437B2">
      <w:start w:val="1"/>
      <w:numFmt w:val="bullet"/>
      <w:lvlText w:val="·"/>
      <w:lvlJc w:val="left"/>
      <w:pPr>
        <w:tabs>
          <w:tab w:val="left" w:pos="765"/>
        </w:tabs>
        <w:ind w:left="1048" w:hanging="283"/>
      </w:pPr>
      <w:rPr>
        <w:rFonts w:ascii="Symbol" w:eastAsia="Symbol" w:hAnsi="Symbol"/>
        <w:w w:val="100"/>
        <w:sz w:val="20"/>
        <w:szCs w:val="20"/>
        <w:shd w:val="clear" w:color="auto" w:fill="auto"/>
      </w:rPr>
    </w:lvl>
  </w:abstractNum>
  <w:abstractNum w:abstractNumId="9" w15:restartNumberingAfterBreak="0">
    <w:nsid w:val="00000013"/>
    <w:multiLevelType w:val="multilevel"/>
    <w:tmpl w:val="31FB3083"/>
    <w:lvl w:ilvl="0">
      <w:start w:val="1"/>
      <w:numFmt w:val="decimal"/>
      <w:pStyle w:val="Otevilenseznam"/>
      <w:lvlText w:val="(%1)"/>
      <w:lvlJc w:val="left"/>
      <w:pPr>
        <w:tabs>
          <w:tab w:val="left" w:pos="709"/>
        </w:tabs>
        <w:ind w:left="1418" w:hanging="709"/>
      </w:pPr>
    </w:lvl>
    <w:lvl w:ilvl="1">
      <w:start w:val="1"/>
      <w:numFmt w:val="lowerLetter"/>
      <w:pStyle w:val="ListNumberLevel2"/>
      <w:lvlText w:val="(%2)"/>
      <w:lvlJc w:val="left"/>
      <w:pPr>
        <w:tabs>
          <w:tab w:val="left" w:pos="1417"/>
        </w:tabs>
        <w:ind w:left="2125" w:hanging="708"/>
      </w:pPr>
    </w:lvl>
    <w:lvl w:ilvl="2">
      <w:start w:val="1"/>
      <w:numFmt w:val="bullet"/>
      <w:pStyle w:val="ListNumberLevel3"/>
      <w:lvlText w:val="–"/>
      <w:lvlJc w:val="left"/>
      <w:pPr>
        <w:tabs>
          <w:tab w:val="left" w:pos="2126"/>
        </w:tabs>
        <w:ind w:left="2835" w:hanging="709"/>
      </w:pPr>
      <w:rPr>
        <w:rFonts w:ascii="Times New Roman" w:eastAsia="Times New Roman" w:hAnsi="Times New Roman"/>
        <w:w w:val="100"/>
        <w:sz w:val="20"/>
        <w:szCs w:val="20"/>
        <w:shd w:val="clear" w:color="auto" w:fill="auto"/>
      </w:rPr>
    </w:lvl>
    <w:lvl w:ilvl="3">
      <w:start w:val="1"/>
      <w:numFmt w:val="bullet"/>
      <w:pStyle w:val="ListNumberLevel4"/>
      <w:lvlText w:val="·"/>
      <w:lvlJc w:val="left"/>
      <w:pPr>
        <w:tabs>
          <w:tab w:val="left" w:pos="2835"/>
        </w:tabs>
        <w:ind w:left="3544"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0" w15:restartNumberingAfterBreak="0">
    <w:nsid w:val="00000015"/>
    <w:multiLevelType w:val="multilevel"/>
    <w:tmpl w:val="5F06390C"/>
    <w:lvl w:ilvl="0">
      <w:start w:val="1"/>
      <w:numFmt w:val="decimal"/>
      <w:pStyle w:val="Otevilenseznam2"/>
      <w:lvlText w:val="(%1)"/>
      <w:lvlJc w:val="left"/>
      <w:pPr>
        <w:tabs>
          <w:tab w:val="left" w:pos="1786"/>
        </w:tabs>
        <w:ind w:left="2495" w:hanging="709"/>
      </w:pPr>
    </w:lvl>
    <w:lvl w:ilvl="1">
      <w:start w:val="1"/>
      <w:numFmt w:val="lowerLetter"/>
      <w:pStyle w:val="ListNumber2Level2"/>
      <w:lvlText w:val="(%2)"/>
      <w:lvlJc w:val="left"/>
      <w:pPr>
        <w:tabs>
          <w:tab w:val="left" w:pos="2494"/>
        </w:tabs>
        <w:ind w:left="3202" w:hanging="708"/>
      </w:pPr>
    </w:lvl>
    <w:lvl w:ilvl="2">
      <w:start w:val="1"/>
      <w:numFmt w:val="bullet"/>
      <w:pStyle w:val="ListNumber2Level3"/>
      <w:lvlText w:val="–"/>
      <w:lvlJc w:val="left"/>
      <w:pPr>
        <w:tabs>
          <w:tab w:val="left" w:pos="3203"/>
        </w:tabs>
        <w:ind w:left="3912" w:hanging="709"/>
      </w:pPr>
      <w:rPr>
        <w:rFonts w:ascii="Times New Roman" w:eastAsia="Times New Roman" w:hAnsi="Times New Roman"/>
        <w:w w:val="100"/>
        <w:sz w:val="20"/>
        <w:szCs w:val="20"/>
        <w:shd w:val="clear" w:color="auto" w:fill="auto"/>
      </w:rPr>
    </w:lvl>
    <w:lvl w:ilvl="3">
      <w:start w:val="1"/>
      <w:numFmt w:val="bullet"/>
      <w:pStyle w:val="ListNumber2Level4"/>
      <w:lvlText w:val="·"/>
      <w:lvlJc w:val="left"/>
      <w:pPr>
        <w:tabs>
          <w:tab w:val="left" w:pos="3912"/>
        </w:tabs>
        <w:ind w:left="4621"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1" w15:restartNumberingAfterBreak="0">
    <w:nsid w:val="00000016"/>
    <w:multiLevelType w:val="multilevel"/>
    <w:tmpl w:val="2636164A"/>
    <w:lvl w:ilvl="0">
      <w:start w:val="1"/>
      <w:numFmt w:val="decimal"/>
      <w:pStyle w:val="ListNumber1"/>
      <w:lvlText w:val="(%1)"/>
      <w:lvlJc w:val="left"/>
      <w:pPr>
        <w:tabs>
          <w:tab w:val="left" w:pos="1191"/>
        </w:tabs>
        <w:ind w:left="1900" w:hanging="709"/>
      </w:pPr>
    </w:lvl>
    <w:lvl w:ilvl="1">
      <w:start w:val="1"/>
      <w:numFmt w:val="lowerLetter"/>
      <w:pStyle w:val="ListNumber1Level2"/>
      <w:lvlText w:val="(%2)"/>
      <w:lvlJc w:val="left"/>
      <w:pPr>
        <w:tabs>
          <w:tab w:val="left" w:pos="1899"/>
        </w:tabs>
        <w:ind w:left="2607" w:hanging="708"/>
      </w:pPr>
    </w:lvl>
    <w:lvl w:ilvl="2">
      <w:start w:val="1"/>
      <w:numFmt w:val="bullet"/>
      <w:pStyle w:val="ListNumber1Level3"/>
      <w:lvlText w:val="–"/>
      <w:lvlJc w:val="left"/>
      <w:pPr>
        <w:tabs>
          <w:tab w:val="left" w:pos="2608"/>
        </w:tabs>
        <w:ind w:left="3317" w:hanging="709"/>
      </w:pPr>
      <w:rPr>
        <w:rFonts w:ascii="Times New Roman" w:eastAsia="Times New Roman" w:hAnsi="Times New Roman"/>
        <w:w w:val="100"/>
        <w:sz w:val="20"/>
        <w:szCs w:val="20"/>
        <w:shd w:val="clear" w:color="auto" w:fill="auto"/>
      </w:rPr>
    </w:lvl>
    <w:lvl w:ilvl="3">
      <w:start w:val="1"/>
      <w:numFmt w:val="bullet"/>
      <w:pStyle w:val="ListNumber1Level4"/>
      <w:lvlText w:val="·"/>
      <w:lvlJc w:val="left"/>
      <w:pPr>
        <w:tabs>
          <w:tab w:val="left" w:pos="3317"/>
        </w:tabs>
        <w:ind w:left="4026"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2" w15:restartNumberingAfterBreak="0">
    <w:nsid w:val="00000018"/>
    <w:multiLevelType w:val="multilevel"/>
    <w:tmpl w:val="33D6788F"/>
    <w:lvl w:ilvl="0">
      <w:start w:val="1"/>
      <w:numFmt w:val="decimal"/>
      <w:pStyle w:val="Otevilenseznam4"/>
      <w:lvlText w:val="(%1)"/>
      <w:lvlJc w:val="left"/>
      <w:pPr>
        <w:tabs>
          <w:tab w:val="left" w:pos="3589"/>
        </w:tabs>
        <w:ind w:left="4298" w:hanging="709"/>
      </w:pPr>
    </w:lvl>
    <w:lvl w:ilvl="1">
      <w:start w:val="1"/>
      <w:numFmt w:val="lowerLetter"/>
      <w:pStyle w:val="ListNumber4Level2"/>
      <w:lvlText w:val="(%2)"/>
      <w:lvlJc w:val="left"/>
      <w:pPr>
        <w:tabs>
          <w:tab w:val="left" w:pos="4297"/>
        </w:tabs>
        <w:ind w:left="5005" w:hanging="708"/>
      </w:pPr>
    </w:lvl>
    <w:lvl w:ilvl="2">
      <w:start w:val="1"/>
      <w:numFmt w:val="bullet"/>
      <w:pStyle w:val="ListNumber4Level3"/>
      <w:lvlText w:val="–"/>
      <w:lvlJc w:val="left"/>
      <w:pPr>
        <w:tabs>
          <w:tab w:val="left" w:pos="5006"/>
        </w:tabs>
        <w:ind w:left="5715" w:hanging="709"/>
      </w:pPr>
      <w:rPr>
        <w:rFonts w:ascii="Times New Roman" w:eastAsia="Times New Roman" w:hAnsi="Times New Roman"/>
        <w:w w:val="100"/>
        <w:sz w:val="20"/>
        <w:szCs w:val="20"/>
        <w:shd w:val="clear" w:color="auto" w:fill="auto"/>
      </w:rPr>
    </w:lvl>
    <w:lvl w:ilvl="3">
      <w:start w:val="1"/>
      <w:numFmt w:val="bullet"/>
      <w:pStyle w:val="ListNumber4Level4"/>
      <w:lvlText w:val="·"/>
      <w:lvlJc w:val="left"/>
      <w:pPr>
        <w:tabs>
          <w:tab w:val="left" w:pos="5715"/>
        </w:tabs>
        <w:ind w:left="6424" w:hanging="709"/>
      </w:pPr>
      <w:rPr>
        <w:rFonts w:ascii="Symbol" w:eastAsia="Symbol" w:hAnsi="Symbol"/>
        <w:w w:val="100"/>
        <w:sz w:val="20"/>
        <w:szCs w:val="20"/>
        <w:shd w:val="clear" w:color="auto" w:fill="auto"/>
      </w:rPr>
    </w:lvl>
    <w:lvl w:ilvl="4">
      <w:start w:val="1"/>
      <w:numFmt w:val="lowerLetter"/>
      <w:lvlText w:val="(%5)"/>
      <w:lvlJc w:val="left"/>
      <w:pPr>
        <w:tabs>
          <w:tab w:val="left" w:pos="1800"/>
        </w:tabs>
        <w:ind w:left="2160" w:hanging="360"/>
      </w:pPr>
    </w:lvl>
    <w:lvl w:ilvl="5">
      <w:start w:val="1"/>
      <w:numFmt w:val="lowerRoman"/>
      <w:lvlText w:val="(%6)"/>
      <w:lvlJc w:val="left"/>
      <w:pPr>
        <w:tabs>
          <w:tab w:val="left" w:pos="2160"/>
        </w:tabs>
        <w:ind w:left="2520" w:hanging="360"/>
      </w:pPr>
    </w:lvl>
    <w:lvl w:ilvl="6">
      <w:start w:val="1"/>
      <w:numFmt w:val="decimal"/>
      <w:lvlText w:val="%7."/>
      <w:lvlJc w:val="left"/>
      <w:pPr>
        <w:tabs>
          <w:tab w:val="left" w:pos="2520"/>
        </w:tabs>
        <w:ind w:left="2880" w:hanging="360"/>
      </w:pPr>
    </w:lvl>
    <w:lvl w:ilvl="7">
      <w:start w:val="1"/>
      <w:numFmt w:val="lowerLetter"/>
      <w:lvlText w:val="%8."/>
      <w:lvlJc w:val="left"/>
      <w:pPr>
        <w:tabs>
          <w:tab w:val="left" w:pos="2880"/>
        </w:tabs>
        <w:ind w:left="3240" w:hanging="360"/>
      </w:pPr>
    </w:lvl>
    <w:lvl w:ilvl="8">
      <w:start w:val="1"/>
      <w:numFmt w:val="lowerRoman"/>
      <w:lvlText w:val="%9."/>
      <w:lvlJc w:val="left"/>
      <w:pPr>
        <w:tabs>
          <w:tab w:val="left" w:pos="3240"/>
        </w:tabs>
        <w:ind w:left="3600" w:hanging="360"/>
      </w:pPr>
    </w:lvl>
  </w:abstractNum>
  <w:abstractNum w:abstractNumId="13" w15:restartNumberingAfterBreak="0">
    <w:nsid w:val="0000001C"/>
    <w:multiLevelType w:val="hybridMultilevel"/>
    <w:tmpl w:val="6C59517F"/>
    <w:lvl w:ilvl="0" w:tplc="F6B65248">
      <w:start w:val="1"/>
      <w:numFmt w:val="bullet"/>
      <w:pStyle w:val="Oznaenseznam"/>
      <w:lvlText w:val="·"/>
      <w:lvlJc w:val="left"/>
      <w:pPr>
        <w:tabs>
          <w:tab w:val="left" w:pos="283"/>
        </w:tabs>
        <w:ind w:left="566" w:hanging="283"/>
      </w:pPr>
      <w:rPr>
        <w:rFonts w:ascii="Symbol" w:eastAsia="Symbol" w:hAnsi="Symbol"/>
        <w:w w:val="100"/>
        <w:sz w:val="20"/>
        <w:szCs w:val="20"/>
        <w:shd w:val="clear" w:color="auto" w:fill="auto"/>
      </w:rPr>
    </w:lvl>
    <w:lvl w:ilvl="1" w:tplc="2DF43E68">
      <w:start w:val="1"/>
      <w:numFmt w:val="bullet"/>
      <w:lvlText w:val="·"/>
      <w:lvlJc w:val="left"/>
      <w:pPr>
        <w:tabs>
          <w:tab w:val="left" w:pos="283"/>
        </w:tabs>
        <w:ind w:left="566" w:hanging="283"/>
      </w:pPr>
      <w:rPr>
        <w:rFonts w:ascii="Symbol" w:eastAsia="Symbol" w:hAnsi="Symbol"/>
        <w:w w:val="100"/>
        <w:sz w:val="20"/>
        <w:szCs w:val="20"/>
        <w:shd w:val="clear" w:color="auto" w:fill="auto"/>
      </w:rPr>
    </w:lvl>
    <w:lvl w:ilvl="2" w:tplc="77FEC27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3" w:tplc="0466059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4" w:tplc="CDFAA390">
      <w:start w:val="1"/>
      <w:numFmt w:val="bullet"/>
      <w:lvlText w:val="·"/>
      <w:lvlJc w:val="left"/>
      <w:pPr>
        <w:tabs>
          <w:tab w:val="left" w:pos="283"/>
        </w:tabs>
        <w:ind w:left="566" w:hanging="283"/>
      </w:pPr>
      <w:rPr>
        <w:rFonts w:ascii="Symbol" w:eastAsia="Symbol" w:hAnsi="Symbol"/>
        <w:w w:val="100"/>
        <w:sz w:val="20"/>
        <w:szCs w:val="20"/>
        <w:shd w:val="clear" w:color="auto" w:fill="auto"/>
      </w:rPr>
    </w:lvl>
    <w:lvl w:ilvl="5" w:tplc="33B61DAE">
      <w:start w:val="1"/>
      <w:numFmt w:val="bullet"/>
      <w:lvlText w:val="·"/>
      <w:lvlJc w:val="left"/>
      <w:pPr>
        <w:tabs>
          <w:tab w:val="left" w:pos="283"/>
        </w:tabs>
        <w:ind w:left="566" w:hanging="283"/>
      </w:pPr>
      <w:rPr>
        <w:rFonts w:ascii="Symbol" w:eastAsia="Symbol" w:hAnsi="Symbol"/>
        <w:w w:val="100"/>
        <w:sz w:val="20"/>
        <w:szCs w:val="20"/>
        <w:shd w:val="clear" w:color="auto" w:fill="auto"/>
      </w:rPr>
    </w:lvl>
    <w:lvl w:ilvl="6" w:tplc="1A049262">
      <w:start w:val="1"/>
      <w:numFmt w:val="bullet"/>
      <w:lvlText w:val="·"/>
      <w:lvlJc w:val="left"/>
      <w:pPr>
        <w:tabs>
          <w:tab w:val="left" w:pos="283"/>
        </w:tabs>
        <w:ind w:left="566" w:hanging="283"/>
      </w:pPr>
      <w:rPr>
        <w:rFonts w:ascii="Symbol" w:eastAsia="Symbol" w:hAnsi="Symbol"/>
        <w:w w:val="100"/>
        <w:sz w:val="20"/>
        <w:szCs w:val="20"/>
        <w:shd w:val="clear" w:color="auto" w:fill="auto"/>
      </w:rPr>
    </w:lvl>
    <w:lvl w:ilvl="7" w:tplc="4E68751C">
      <w:start w:val="1"/>
      <w:numFmt w:val="bullet"/>
      <w:lvlText w:val="·"/>
      <w:lvlJc w:val="left"/>
      <w:pPr>
        <w:tabs>
          <w:tab w:val="left" w:pos="283"/>
        </w:tabs>
        <w:ind w:left="566" w:hanging="283"/>
      </w:pPr>
      <w:rPr>
        <w:rFonts w:ascii="Symbol" w:eastAsia="Symbol" w:hAnsi="Symbol"/>
        <w:w w:val="100"/>
        <w:sz w:val="20"/>
        <w:szCs w:val="20"/>
        <w:shd w:val="clear" w:color="auto" w:fill="auto"/>
      </w:rPr>
    </w:lvl>
    <w:lvl w:ilvl="8" w:tplc="17547810">
      <w:start w:val="1"/>
      <w:numFmt w:val="bullet"/>
      <w:lvlText w:val="·"/>
      <w:lvlJc w:val="left"/>
      <w:pPr>
        <w:tabs>
          <w:tab w:val="left" w:pos="283"/>
        </w:tabs>
        <w:ind w:left="566" w:hanging="283"/>
      </w:pPr>
      <w:rPr>
        <w:rFonts w:ascii="Symbol" w:eastAsia="Symbol" w:hAnsi="Symbol"/>
        <w:w w:val="100"/>
        <w:sz w:val="20"/>
        <w:szCs w:val="20"/>
        <w:shd w:val="clear" w:color="auto" w:fill="auto"/>
      </w:rPr>
    </w:lvl>
  </w:abstractNum>
  <w:abstractNum w:abstractNumId="14" w15:restartNumberingAfterBreak="0">
    <w:nsid w:val="00000021"/>
    <w:multiLevelType w:val="hybridMultilevel"/>
    <w:tmpl w:val="21FF94EB"/>
    <w:lvl w:ilvl="0" w:tplc="48EE2614">
      <w:start w:val="1"/>
      <w:numFmt w:val="bullet"/>
      <w:pStyle w:val="ListDash2"/>
      <w:lvlText w:val="–"/>
      <w:lvlJc w:val="left"/>
      <w:pPr>
        <w:tabs>
          <w:tab w:val="left" w:pos="1360"/>
        </w:tabs>
        <w:ind w:left="1643" w:hanging="283"/>
      </w:pPr>
      <w:rPr>
        <w:rFonts w:ascii="Times New Roman" w:eastAsia="Times New Roman" w:hAnsi="Times New Roman"/>
        <w:w w:val="100"/>
        <w:sz w:val="20"/>
        <w:szCs w:val="20"/>
        <w:shd w:val="clear" w:color="auto" w:fill="auto"/>
      </w:rPr>
    </w:lvl>
    <w:lvl w:ilvl="1" w:tplc="3978438E">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2" w:tplc="0EB6B8BE">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3" w:tplc="E93C5750">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4" w:tplc="1892F440">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5" w:tplc="DCA41CFA">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6" w:tplc="217884B2">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7" w:tplc="16E00206">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lvl w:ilvl="8" w:tplc="E82A58F4">
      <w:start w:val="1"/>
      <w:numFmt w:val="bullet"/>
      <w:lvlText w:val="–"/>
      <w:lvlJc w:val="left"/>
      <w:pPr>
        <w:tabs>
          <w:tab w:val="left" w:pos="1360"/>
        </w:tabs>
        <w:ind w:left="1643" w:hanging="283"/>
      </w:pPr>
      <w:rPr>
        <w:rFonts w:ascii="Times New Roman" w:eastAsia="Times New Roman" w:hAnsi="Times New Roman"/>
        <w:w w:val="100"/>
        <w:sz w:val="20"/>
        <w:szCs w:val="20"/>
        <w:shd w:val="clear" w:color="auto" w:fill="auto"/>
      </w:rPr>
    </w:lvl>
  </w:abstractNum>
  <w:abstractNum w:abstractNumId="15" w15:restartNumberingAfterBreak="0">
    <w:nsid w:val="00000022"/>
    <w:multiLevelType w:val="hybridMultilevel"/>
    <w:tmpl w:val="7DCAD37F"/>
    <w:lvl w:ilvl="0" w:tplc="AC04BC26">
      <w:start w:val="1"/>
      <w:numFmt w:val="bullet"/>
      <w:pStyle w:val="ListDash1"/>
      <w:lvlText w:val="–"/>
      <w:lvlJc w:val="left"/>
      <w:pPr>
        <w:tabs>
          <w:tab w:val="left" w:pos="765"/>
        </w:tabs>
        <w:ind w:left="1048" w:hanging="283"/>
      </w:pPr>
      <w:rPr>
        <w:rFonts w:ascii="Times New Roman" w:eastAsia="Times New Roman" w:hAnsi="Times New Roman"/>
        <w:w w:val="100"/>
        <w:sz w:val="20"/>
        <w:szCs w:val="20"/>
        <w:shd w:val="clear" w:color="auto" w:fill="auto"/>
      </w:rPr>
    </w:lvl>
    <w:lvl w:ilvl="1" w:tplc="89E6ACDE">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2" w:tplc="6B9466D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3" w:tplc="D11A8E24">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4" w:tplc="6A40AA3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5" w:tplc="5D388442">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6" w:tplc="41249112">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7" w:tplc="09508C30">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lvl w:ilvl="8" w:tplc="82E28E66">
      <w:start w:val="1"/>
      <w:numFmt w:val="bullet"/>
      <w:lvlText w:val="–"/>
      <w:lvlJc w:val="left"/>
      <w:pPr>
        <w:tabs>
          <w:tab w:val="left" w:pos="765"/>
        </w:tabs>
        <w:ind w:left="1048" w:hanging="283"/>
      </w:pPr>
      <w:rPr>
        <w:rFonts w:ascii="Times New Roman" w:eastAsia="Times New Roman" w:hAnsi="Times New Roman"/>
        <w:w w:val="100"/>
        <w:sz w:val="20"/>
        <w:szCs w:val="20"/>
        <w:shd w:val="clear" w:color="auto" w:fill="auto"/>
      </w:rPr>
    </w:lvl>
  </w:abstractNum>
  <w:abstractNum w:abstractNumId="16" w15:restartNumberingAfterBreak="0">
    <w:nsid w:val="00000023"/>
    <w:multiLevelType w:val="hybridMultilevel"/>
    <w:tmpl w:val="2744BC33"/>
    <w:lvl w:ilvl="0" w:tplc="646CD900">
      <w:start w:val="1"/>
      <w:numFmt w:val="bullet"/>
      <w:pStyle w:val="Tiret2"/>
      <w:lvlText w:val="–"/>
      <w:lvlJc w:val="left"/>
      <w:pPr>
        <w:tabs>
          <w:tab w:val="left" w:pos="1984"/>
        </w:tabs>
        <w:ind w:left="2551" w:hanging="567"/>
      </w:pPr>
    </w:lvl>
    <w:lvl w:ilvl="1" w:tplc="60E4820E">
      <w:start w:val="1"/>
      <w:numFmt w:val="bullet"/>
      <w:lvlText w:val="–"/>
      <w:lvlJc w:val="left"/>
      <w:pPr>
        <w:tabs>
          <w:tab w:val="left" w:pos="1984"/>
        </w:tabs>
        <w:ind w:left="2551" w:hanging="567"/>
      </w:pPr>
    </w:lvl>
    <w:lvl w:ilvl="2" w:tplc="C238958C">
      <w:start w:val="1"/>
      <w:numFmt w:val="bullet"/>
      <w:lvlText w:val="–"/>
      <w:lvlJc w:val="left"/>
      <w:pPr>
        <w:tabs>
          <w:tab w:val="left" w:pos="1984"/>
        </w:tabs>
        <w:ind w:left="2551" w:hanging="567"/>
      </w:pPr>
    </w:lvl>
    <w:lvl w:ilvl="3" w:tplc="90B28960">
      <w:start w:val="1"/>
      <w:numFmt w:val="bullet"/>
      <w:lvlText w:val="–"/>
      <w:lvlJc w:val="left"/>
      <w:pPr>
        <w:tabs>
          <w:tab w:val="left" w:pos="1984"/>
        </w:tabs>
        <w:ind w:left="2551" w:hanging="567"/>
      </w:pPr>
    </w:lvl>
    <w:lvl w:ilvl="4" w:tplc="87F2D462">
      <w:start w:val="1"/>
      <w:numFmt w:val="bullet"/>
      <w:lvlText w:val="–"/>
      <w:lvlJc w:val="left"/>
      <w:pPr>
        <w:tabs>
          <w:tab w:val="left" w:pos="1984"/>
        </w:tabs>
        <w:ind w:left="2551" w:hanging="567"/>
      </w:pPr>
    </w:lvl>
    <w:lvl w:ilvl="5" w:tplc="425AE4F6">
      <w:start w:val="1"/>
      <w:numFmt w:val="bullet"/>
      <w:lvlText w:val="–"/>
      <w:lvlJc w:val="left"/>
      <w:pPr>
        <w:tabs>
          <w:tab w:val="left" w:pos="1984"/>
        </w:tabs>
        <w:ind w:left="2551" w:hanging="567"/>
      </w:pPr>
    </w:lvl>
    <w:lvl w:ilvl="6" w:tplc="62A25CE8">
      <w:start w:val="1"/>
      <w:numFmt w:val="bullet"/>
      <w:lvlText w:val="–"/>
      <w:lvlJc w:val="left"/>
      <w:pPr>
        <w:tabs>
          <w:tab w:val="left" w:pos="1984"/>
        </w:tabs>
        <w:ind w:left="2551" w:hanging="567"/>
      </w:pPr>
    </w:lvl>
    <w:lvl w:ilvl="7" w:tplc="94422C3C">
      <w:start w:val="1"/>
      <w:numFmt w:val="bullet"/>
      <w:lvlText w:val="–"/>
      <w:lvlJc w:val="left"/>
      <w:pPr>
        <w:tabs>
          <w:tab w:val="left" w:pos="1984"/>
        </w:tabs>
        <w:ind w:left="2551" w:hanging="567"/>
      </w:pPr>
    </w:lvl>
    <w:lvl w:ilvl="8" w:tplc="5148A726">
      <w:start w:val="1"/>
      <w:numFmt w:val="bullet"/>
      <w:lvlText w:val="–"/>
      <w:lvlJc w:val="left"/>
      <w:pPr>
        <w:tabs>
          <w:tab w:val="left" w:pos="1984"/>
        </w:tabs>
        <w:ind w:left="2551" w:hanging="567"/>
      </w:pPr>
    </w:lvl>
  </w:abstractNum>
  <w:abstractNum w:abstractNumId="17" w15:restartNumberingAfterBreak="0">
    <w:nsid w:val="00000026"/>
    <w:multiLevelType w:val="hybridMultilevel"/>
    <w:tmpl w:val="1B3131CD"/>
    <w:lvl w:ilvl="0" w:tplc="2A22CACC">
      <w:start w:val="1"/>
      <w:numFmt w:val="bullet"/>
      <w:pStyle w:val="ListDash3"/>
      <w:lvlText w:val="–"/>
      <w:lvlJc w:val="left"/>
      <w:pPr>
        <w:tabs>
          <w:tab w:val="left" w:pos="2199"/>
        </w:tabs>
        <w:ind w:left="2482" w:hanging="283"/>
      </w:pPr>
      <w:rPr>
        <w:rFonts w:ascii="Times New Roman" w:eastAsia="Times New Roman" w:hAnsi="Times New Roman"/>
        <w:w w:val="100"/>
        <w:sz w:val="20"/>
        <w:szCs w:val="20"/>
        <w:shd w:val="clear" w:color="auto" w:fill="auto"/>
      </w:rPr>
    </w:lvl>
    <w:lvl w:ilvl="1" w:tplc="AD28554A">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2" w:tplc="8B723852">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3" w:tplc="F9501AFE">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4" w:tplc="D2F823D8">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5" w:tplc="6584F67A">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6" w:tplc="4DA080D6">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7" w:tplc="25720512">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lvl w:ilvl="8" w:tplc="C96CD8BE">
      <w:start w:val="1"/>
      <w:numFmt w:val="bullet"/>
      <w:lvlText w:val="–"/>
      <w:lvlJc w:val="left"/>
      <w:pPr>
        <w:tabs>
          <w:tab w:val="left" w:pos="2199"/>
        </w:tabs>
        <w:ind w:left="2482" w:hanging="283"/>
      </w:pPr>
      <w:rPr>
        <w:rFonts w:ascii="Times New Roman" w:eastAsia="Times New Roman" w:hAnsi="Times New Roman"/>
        <w:w w:val="100"/>
        <w:sz w:val="20"/>
        <w:szCs w:val="20"/>
        <w:shd w:val="clear" w:color="auto" w:fill="auto"/>
      </w:rPr>
    </w:lvl>
  </w:abstractNum>
  <w:abstractNum w:abstractNumId="18" w15:restartNumberingAfterBreak="0">
    <w:nsid w:val="00000027"/>
    <w:multiLevelType w:val="hybridMultilevel"/>
    <w:tmpl w:val="716502FA"/>
    <w:lvl w:ilvl="0" w:tplc="314458CE">
      <w:numFmt w:val="bullet"/>
      <w:pStyle w:val="StyleHeading3BoldNotItalic"/>
      <w:lvlText w:val="-"/>
      <w:lvlJc w:val="left"/>
      <w:pPr>
        <w:ind w:left="1080" w:hanging="360"/>
      </w:pPr>
      <w:rPr>
        <w:rFonts w:ascii="Times New Roman" w:eastAsia="Times New Roman" w:hAnsi="Times New Roman"/>
        <w:w w:val="100"/>
        <w:sz w:val="20"/>
        <w:szCs w:val="20"/>
        <w:shd w:val="clear" w:color="auto" w:fill="auto"/>
      </w:rPr>
    </w:lvl>
    <w:lvl w:ilvl="1" w:tplc="35CAFFFC">
      <w:start w:val="1"/>
      <w:numFmt w:val="bullet"/>
      <w:lvlText w:val="o"/>
      <w:lvlJc w:val="left"/>
      <w:pPr>
        <w:ind w:left="1800" w:hanging="360"/>
      </w:pPr>
      <w:rPr>
        <w:rFonts w:ascii="Courier New" w:eastAsia="Courier New" w:hAnsi="Courier New"/>
        <w:w w:val="100"/>
        <w:sz w:val="20"/>
        <w:szCs w:val="20"/>
        <w:shd w:val="clear" w:color="auto" w:fill="auto"/>
      </w:rPr>
    </w:lvl>
    <w:lvl w:ilvl="2" w:tplc="354C1A56">
      <w:start w:val="1"/>
      <w:numFmt w:val="bullet"/>
      <w:lvlText w:val="§"/>
      <w:lvlJc w:val="left"/>
      <w:pPr>
        <w:ind w:left="2520" w:hanging="360"/>
      </w:pPr>
      <w:rPr>
        <w:rFonts w:ascii="Wingdings" w:eastAsia="Wingdings" w:hAnsi="Wingdings"/>
        <w:w w:val="100"/>
        <w:sz w:val="20"/>
        <w:szCs w:val="20"/>
        <w:shd w:val="clear" w:color="auto" w:fill="auto"/>
      </w:rPr>
    </w:lvl>
    <w:lvl w:ilvl="3" w:tplc="CB52BED4">
      <w:start w:val="1"/>
      <w:numFmt w:val="bullet"/>
      <w:lvlText w:val="·"/>
      <w:lvlJc w:val="left"/>
      <w:pPr>
        <w:ind w:left="3240" w:hanging="360"/>
      </w:pPr>
      <w:rPr>
        <w:rFonts w:ascii="Symbol" w:eastAsia="Symbol" w:hAnsi="Symbol"/>
        <w:w w:val="100"/>
        <w:sz w:val="20"/>
        <w:szCs w:val="20"/>
        <w:shd w:val="clear" w:color="auto" w:fill="auto"/>
      </w:rPr>
    </w:lvl>
    <w:lvl w:ilvl="4" w:tplc="5BF642B0">
      <w:start w:val="1"/>
      <w:numFmt w:val="bullet"/>
      <w:lvlText w:val="o"/>
      <w:lvlJc w:val="left"/>
      <w:pPr>
        <w:ind w:left="3960" w:hanging="360"/>
      </w:pPr>
      <w:rPr>
        <w:rFonts w:ascii="Courier New" w:eastAsia="Courier New" w:hAnsi="Courier New"/>
        <w:w w:val="100"/>
        <w:sz w:val="20"/>
        <w:szCs w:val="20"/>
        <w:shd w:val="clear" w:color="auto" w:fill="auto"/>
      </w:rPr>
    </w:lvl>
    <w:lvl w:ilvl="5" w:tplc="ADEA8E46">
      <w:start w:val="1"/>
      <w:numFmt w:val="bullet"/>
      <w:lvlText w:val="§"/>
      <w:lvlJc w:val="left"/>
      <w:pPr>
        <w:ind w:left="4680" w:hanging="360"/>
      </w:pPr>
      <w:rPr>
        <w:rFonts w:ascii="Wingdings" w:eastAsia="Wingdings" w:hAnsi="Wingdings"/>
        <w:w w:val="100"/>
        <w:sz w:val="20"/>
        <w:szCs w:val="20"/>
        <w:shd w:val="clear" w:color="auto" w:fill="auto"/>
      </w:rPr>
    </w:lvl>
    <w:lvl w:ilvl="6" w:tplc="9A5AE0FE">
      <w:start w:val="1"/>
      <w:numFmt w:val="bullet"/>
      <w:lvlText w:val="·"/>
      <w:lvlJc w:val="left"/>
      <w:pPr>
        <w:ind w:left="5400" w:hanging="360"/>
      </w:pPr>
      <w:rPr>
        <w:rFonts w:ascii="Symbol" w:eastAsia="Symbol" w:hAnsi="Symbol"/>
        <w:w w:val="100"/>
        <w:sz w:val="20"/>
        <w:szCs w:val="20"/>
        <w:shd w:val="clear" w:color="auto" w:fill="auto"/>
      </w:rPr>
    </w:lvl>
    <w:lvl w:ilvl="7" w:tplc="29B8F03E">
      <w:start w:val="1"/>
      <w:numFmt w:val="bullet"/>
      <w:lvlText w:val="o"/>
      <w:lvlJc w:val="left"/>
      <w:pPr>
        <w:ind w:left="6120" w:hanging="360"/>
      </w:pPr>
      <w:rPr>
        <w:rFonts w:ascii="Courier New" w:eastAsia="Courier New" w:hAnsi="Courier New"/>
        <w:w w:val="100"/>
        <w:sz w:val="20"/>
        <w:szCs w:val="20"/>
        <w:shd w:val="clear" w:color="auto" w:fill="auto"/>
      </w:rPr>
    </w:lvl>
    <w:lvl w:ilvl="8" w:tplc="1568BD62">
      <w:start w:val="1"/>
      <w:numFmt w:val="bullet"/>
      <w:lvlText w:val="§"/>
      <w:lvlJc w:val="left"/>
      <w:pPr>
        <w:ind w:left="6840" w:hanging="360"/>
      </w:pPr>
      <w:rPr>
        <w:rFonts w:ascii="Wingdings" w:eastAsia="Wingdings" w:hAnsi="Wingdings"/>
        <w:w w:val="100"/>
        <w:sz w:val="20"/>
        <w:szCs w:val="20"/>
        <w:shd w:val="clear" w:color="auto" w:fill="auto"/>
      </w:rPr>
    </w:lvl>
  </w:abstractNum>
  <w:abstractNum w:abstractNumId="19" w15:restartNumberingAfterBreak="0">
    <w:nsid w:val="00000028"/>
    <w:multiLevelType w:val="hybridMultilevel"/>
    <w:tmpl w:val="26FF0100"/>
    <w:lvl w:ilvl="0" w:tplc="43045DF0">
      <w:start w:val="1"/>
      <w:numFmt w:val="decimal"/>
      <w:pStyle w:val="Tim"/>
      <w:lvlText w:val="%1."/>
      <w:lvlJc w:val="left"/>
      <w:pPr>
        <w:ind w:left="1506" w:hanging="360"/>
      </w:pPr>
    </w:lvl>
    <w:lvl w:ilvl="1" w:tplc="2DC650CE">
      <w:start w:val="1"/>
      <w:numFmt w:val="lowerLetter"/>
      <w:lvlText w:val="%2."/>
      <w:lvlJc w:val="left"/>
      <w:pPr>
        <w:ind w:left="2226" w:hanging="360"/>
      </w:pPr>
    </w:lvl>
    <w:lvl w:ilvl="2" w:tplc="833C35BC">
      <w:start w:val="1"/>
      <w:numFmt w:val="lowerRoman"/>
      <w:lvlText w:val="%3."/>
      <w:lvlJc w:val="right"/>
      <w:pPr>
        <w:ind w:left="2766" w:hanging="180"/>
      </w:pPr>
    </w:lvl>
    <w:lvl w:ilvl="3" w:tplc="BC06BA96">
      <w:start w:val="1"/>
      <w:numFmt w:val="decimal"/>
      <w:lvlText w:val="%4."/>
      <w:lvlJc w:val="left"/>
      <w:pPr>
        <w:ind w:left="3666" w:hanging="360"/>
      </w:pPr>
    </w:lvl>
    <w:lvl w:ilvl="4" w:tplc="9312AB10">
      <w:start w:val="1"/>
      <w:numFmt w:val="lowerLetter"/>
      <w:lvlText w:val="%5."/>
      <w:lvlJc w:val="left"/>
      <w:pPr>
        <w:ind w:left="4386" w:hanging="360"/>
      </w:pPr>
    </w:lvl>
    <w:lvl w:ilvl="5" w:tplc="2A6AA7E2">
      <w:start w:val="1"/>
      <w:numFmt w:val="lowerRoman"/>
      <w:lvlText w:val="%6."/>
      <w:lvlJc w:val="right"/>
      <w:pPr>
        <w:ind w:left="4926" w:hanging="180"/>
      </w:pPr>
    </w:lvl>
    <w:lvl w:ilvl="6" w:tplc="3984C96E">
      <w:start w:val="1"/>
      <w:numFmt w:val="decimal"/>
      <w:lvlText w:val="%7."/>
      <w:lvlJc w:val="left"/>
      <w:pPr>
        <w:ind w:left="5826" w:hanging="360"/>
      </w:pPr>
    </w:lvl>
    <w:lvl w:ilvl="7" w:tplc="F4920636">
      <w:start w:val="1"/>
      <w:numFmt w:val="lowerLetter"/>
      <w:lvlText w:val="%8."/>
      <w:lvlJc w:val="left"/>
      <w:pPr>
        <w:ind w:left="6546" w:hanging="360"/>
      </w:pPr>
    </w:lvl>
    <w:lvl w:ilvl="8" w:tplc="B82A9F80">
      <w:start w:val="1"/>
      <w:numFmt w:val="lowerRoman"/>
      <w:lvlText w:val="%9."/>
      <w:lvlJc w:val="right"/>
      <w:pPr>
        <w:ind w:left="7086" w:hanging="180"/>
      </w:pPr>
    </w:lvl>
  </w:abstractNum>
  <w:abstractNum w:abstractNumId="20" w15:restartNumberingAfterBreak="0">
    <w:nsid w:val="00683379"/>
    <w:multiLevelType w:val="hybridMultilevel"/>
    <w:tmpl w:val="D0200188"/>
    <w:lvl w:ilvl="0" w:tplc="1082BBEE">
      <w:start w:val="1"/>
      <w:numFmt w:val="bullet"/>
      <w:pStyle w:val="SLIKA"/>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1CB6735"/>
    <w:multiLevelType w:val="hybridMultilevel"/>
    <w:tmpl w:val="6FEC338A"/>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02465DF5"/>
    <w:multiLevelType w:val="hybridMultilevel"/>
    <w:tmpl w:val="A0404D50"/>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0297060B"/>
    <w:multiLevelType w:val="hybridMultilevel"/>
    <w:tmpl w:val="258A7EF6"/>
    <w:lvl w:ilvl="0" w:tplc="48C625DC">
      <w:numFmt w:val="bullet"/>
      <w:lvlText w:val="-"/>
      <w:lvlJc w:val="left"/>
      <w:pPr>
        <w:ind w:left="1068" w:hanging="360"/>
      </w:pPr>
      <w:rPr>
        <w:rFonts w:ascii="Arial" w:eastAsiaTheme="minorEastAsia" w:hAnsi="Arial"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4" w15:restartNumberingAfterBreak="0">
    <w:nsid w:val="0875192D"/>
    <w:multiLevelType w:val="hybridMultilevel"/>
    <w:tmpl w:val="334E8050"/>
    <w:lvl w:ilvl="0" w:tplc="04240005">
      <w:start w:val="1"/>
      <w:numFmt w:val="bullet"/>
      <w:lvlText w:val=""/>
      <w:lvlJc w:val="left"/>
      <w:pPr>
        <w:ind w:left="717" w:hanging="360"/>
      </w:pPr>
      <w:rPr>
        <w:rFonts w:ascii="Wingdings" w:hAnsi="Wingdings" w:hint="default"/>
      </w:rPr>
    </w:lvl>
    <w:lvl w:ilvl="1" w:tplc="04240003" w:tentative="1">
      <w:start w:val="1"/>
      <w:numFmt w:val="bullet"/>
      <w:lvlText w:val="o"/>
      <w:lvlJc w:val="left"/>
      <w:pPr>
        <w:ind w:left="1437" w:hanging="360"/>
      </w:pPr>
      <w:rPr>
        <w:rFonts w:ascii="Courier New" w:hAnsi="Courier New" w:cs="Courier New" w:hint="default"/>
      </w:rPr>
    </w:lvl>
    <w:lvl w:ilvl="2" w:tplc="04240005" w:tentative="1">
      <w:start w:val="1"/>
      <w:numFmt w:val="bullet"/>
      <w:lvlText w:val=""/>
      <w:lvlJc w:val="left"/>
      <w:pPr>
        <w:ind w:left="2157" w:hanging="360"/>
      </w:pPr>
      <w:rPr>
        <w:rFonts w:ascii="Wingdings" w:hAnsi="Wingdings" w:hint="default"/>
      </w:rPr>
    </w:lvl>
    <w:lvl w:ilvl="3" w:tplc="04240001" w:tentative="1">
      <w:start w:val="1"/>
      <w:numFmt w:val="bullet"/>
      <w:lvlText w:val=""/>
      <w:lvlJc w:val="left"/>
      <w:pPr>
        <w:ind w:left="2877" w:hanging="360"/>
      </w:pPr>
      <w:rPr>
        <w:rFonts w:ascii="Symbol" w:hAnsi="Symbol" w:hint="default"/>
      </w:rPr>
    </w:lvl>
    <w:lvl w:ilvl="4" w:tplc="04240003" w:tentative="1">
      <w:start w:val="1"/>
      <w:numFmt w:val="bullet"/>
      <w:lvlText w:val="o"/>
      <w:lvlJc w:val="left"/>
      <w:pPr>
        <w:ind w:left="3597" w:hanging="360"/>
      </w:pPr>
      <w:rPr>
        <w:rFonts w:ascii="Courier New" w:hAnsi="Courier New" w:cs="Courier New" w:hint="default"/>
      </w:rPr>
    </w:lvl>
    <w:lvl w:ilvl="5" w:tplc="04240005" w:tentative="1">
      <w:start w:val="1"/>
      <w:numFmt w:val="bullet"/>
      <w:lvlText w:val=""/>
      <w:lvlJc w:val="left"/>
      <w:pPr>
        <w:ind w:left="4317" w:hanging="360"/>
      </w:pPr>
      <w:rPr>
        <w:rFonts w:ascii="Wingdings" w:hAnsi="Wingdings" w:hint="default"/>
      </w:rPr>
    </w:lvl>
    <w:lvl w:ilvl="6" w:tplc="04240001" w:tentative="1">
      <w:start w:val="1"/>
      <w:numFmt w:val="bullet"/>
      <w:lvlText w:val=""/>
      <w:lvlJc w:val="left"/>
      <w:pPr>
        <w:ind w:left="5037" w:hanging="360"/>
      </w:pPr>
      <w:rPr>
        <w:rFonts w:ascii="Symbol" w:hAnsi="Symbol" w:hint="default"/>
      </w:rPr>
    </w:lvl>
    <w:lvl w:ilvl="7" w:tplc="04240003" w:tentative="1">
      <w:start w:val="1"/>
      <w:numFmt w:val="bullet"/>
      <w:lvlText w:val="o"/>
      <w:lvlJc w:val="left"/>
      <w:pPr>
        <w:ind w:left="5757" w:hanging="360"/>
      </w:pPr>
      <w:rPr>
        <w:rFonts w:ascii="Courier New" w:hAnsi="Courier New" w:cs="Courier New" w:hint="default"/>
      </w:rPr>
    </w:lvl>
    <w:lvl w:ilvl="8" w:tplc="04240005" w:tentative="1">
      <w:start w:val="1"/>
      <w:numFmt w:val="bullet"/>
      <w:lvlText w:val=""/>
      <w:lvlJc w:val="left"/>
      <w:pPr>
        <w:ind w:left="6477" w:hanging="360"/>
      </w:pPr>
      <w:rPr>
        <w:rFonts w:ascii="Wingdings" w:hAnsi="Wingdings" w:hint="default"/>
      </w:rPr>
    </w:lvl>
  </w:abstractNum>
  <w:abstractNum w:abstractNumId="25" w15:restartNumberingAfterBreak="0">
    <w:nsid w:val="08C478A0"/>
    <w:multiLevelType w:val="hybridMultilevel"/>
    <w:tmpl w:val="D206DAEC"/>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0D371D1D"/>
    <w:multiLevelType w:val="singleLevel"/>
    <w:tmpl w:val="84CAD166"/>
    <w:lvl w:ilvl="0">
      <w:start w:val="1"/>
      <w:numFmt w:val="bullet"/>
      <w:pStyle w:val="alineja"/>
      <w:lvlText w:val=""/>
      <w:lvlJc w:val="left"/>
      <w:pPr>
        <w:tabs>
          <w:tab w:val="num" w:pos="720"/>
        </w:tabs>
        <w:ind w:left="720" w:hanging="360"/>
      </w:pPr>
      <w:rPr>
        <w:rFonts w:ascii="Symbol" w:hAnsi="Symbol" w:hint="default"/>
      </w:rPr>
    </w:lvl>
  </w:abstractNum>
  <w:abstractNum w:abstractNumId="27" w15:restartNumberingAfterBreak="0">
    <w:nsid w:val="18286F67"/>
    <w:multiLevelType w:val="hybridMultilevel"/>
    <w:tmpl w:val="F5E4ACD2"/>
    <w:lvl w:ilvl="0" w:tplc="5358AA64">
      <w:start w:val="1"/>
      <w:numFmt w:val="bullet"/>
      <w:lvlText w:val=""/>
      <w:lvlJc w:val="left"/>
      <w:pPr>
        <w:ind w:left="720" w:hanging="360"/>
      </w:pPr>
      <w:rPr>
        <w:rFonts w:ascii="Symbol" w:hAnsi="Symbol" w:hint="default"/>
      </w:rPr>
    </w:lvl>
    <w:lvl w:ilvl="1" w:tplc="A0F21150">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1E792CFF"/>
    <w:multiLevelType w:val="hybridMultilevel"/>
    <w:tmpl w:val="EFE8297A"/>
    <w:lvl w:ilvl="0" w:tplc="A1BC1C40">
      <w:start w:val="1"/>
      <w:numFmt w:val="decimal"/>
      <w:pStyle w:val="TABELA"/>
      <w:lvlText w:val="Tabela %1:"/>
      <w:lvlJc w:val="left"/>
      <w:pPr>
        <w:ind w:left="360" w:hanging="72"/>
      </w:pPr>
      <w:rPr>
        <w:rFonts w:ascii="Times New Roman" w:hAnsi="Times New Roman" w:hint="default"/>
        <w:b w:val="0"/>
        <w:i/>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23D010E4"/>
    <w:multiLevelType w:val="hybridMultilevel"/>
    <w:tmpl w:val="5E4847F6"/>
    <w:lvl w:ilvl="0" w:tplc="C466FA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24157EB6"/>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2702"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31" w15:restartNumberingAfterBreak="0">
    <w:nsid w:val="2B0529D3"/>
    <w:multiLevelType w:val="hybridMultilevel"/>
    <w:tmpl w:val="853847B8"/>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2DC75C36"/>
    <w:multiLevelType w:val="hybridMultilevel"/>
    <w:tmpl w:val="89A8804A"/>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15:restartNumberingAfterBreak="0">
    <w:nsid w:val="2F035319"/>
    <w:multiLevelType w:val="multilevel"/>
    <w:tmpl w:val="3EEA0E06"/>
    <w:styleLink w:val="Slog1"/>
    <w:lvl w:ilvl="0">
      <w:start w:val="1"/>
      <w:numFmt w:val="decimal"/>
      <w:lvlText w:val="2.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11064DA"/>
    <w:multiLevelType w:val="multilevel"/>
    <w:tmpl w:val="25885A0A"/>
    <w:lvl w:ilvl="0">
      <w:start w:val="1"/>
      <w:numFmt w:val="decimal"/>
      <w:lvlText w:val="%1."/>
      <w:lvlJc w:val="left"/>
      <w:pPr>
        <w:tabs>
          <w:tab w:val="left" w:pos="0"/>
        </w:tabs>
        <w:ind w:left="480" w:hanging="480"/>
      </w:pPr>
      <w:rPr>
        <w:rFonts w:ascii="Arial" w:hAnsi="Arial" w:hint="default"/>
        <w:b/>
        <w:bCs w:val="0"/>
        <w:i w:val="0"/>
        <w:iCs w:val="0"/>
        <w:caps w:val="0"/>
        <w:smallCaps w:val="0"/>
        <w:strike w:val="0"/>
        <w:dstrike w:val="0"/>
        <w:noProof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aslov33"/>
      <w:lvlText w:val="3.1.%2."/>
      <w:lvlJc w:val="left"/>
      <w:pPr>
        <w:tabs>
          <w:tab w:val="left" w:pos="3403"/>
        </w:tabs>
        <w:ind w:left="4003" w:hanging="600"/>
      </w:pPr>
      <w:rPr>
        <w:rFonts w:hint="default"/>
        <w:b w:val="0"/>
        <w:bCs w:val="0"/>
        <w:i w:val="0"/>
        <w:iCs w:val="0"/>
        <w:caps w:val="0"/>
        <w:smallCaps w:val="0"/>
        <w:strike w:val="0"/>
        <w:dstrike w:val="0"/>
        <w:noProof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360"/>
        </w:tabs>
        <w:ind w:left="1200" w:hanging="840"/>
      </w:pPr>
      <w:rPr>
        <w:w w:val="100"/>
        <w:sz w:val="20"/>
        <w:szCs w:val="20"/>
        <w:shd w:val="clear" w:color="auto" w:fill="auto"/>
      </w:rPr>
    </w:lvl>
    <w:lvl w:ilvl="3">
      <w:start w:val="1"/>
      <w:numFmt w:val="decimal"/>
      <w:lvlText w:val="%1.%2.%3.%4."/>
      <w:lvlJc w:val="left"/>
      <w:pPr>
        <w:tabs>
          <w:tab w:val="left" w:pos="906"/>
        </w:tabs>
        <w:ind w:left="1866" w:hanging="960"/>
      </w:pPr>
    </w:lvl>
    <w:lvl w:ilvl="4">
      <w:start w:val="1"/>
      <w:numFmt w:val="lowerLetter"/>
      <w:lvlText w:val="(%5)"/>
      <w:lvlJc w:val="left"/>
      <w:pPr>
        <w:tabs>
          <w:tab w:val="left" w:pos="1320"/>
        </w:tabs>
        <w:ind w:left="1680" w:hanging="360"/>
      </w:pPr>
    </w:lvl>
    <w:lvl w:ilvl="5">
      <w:start w:val="1"/>
      <w:numFmt w:val="lowerRoman"/>
      <w:lvlText w:val="(%6)"/>
      <w:lvlJc w:val="left"/>
      <w:pPr>
        <w:tabs>
          <w:tab w:val="left" w:pos="1680"/>
        </w:tabs>
        <w:ind w:left="2040" w:hanging="360"/>
      </w:pPr>
    </w:lvl>
    <w:lvl w:ilvl="6">
      <w:start w:val="1"/>
      <w:numFmt w:val="decimal"/>
      <w:lvlText w:val="%7."/>
      <w:lvlJc w:val="left"/>
      <w:pPr>
        <w:tabs>
          <w:tab w:val="left" w:pos="2040"/>
        </w:tabs>
        <w:ind w:left="2400" w:hanging="360"/>
      </w:pPr>
    </w:lvl>
    <w:lvl w:ilvl="7">
      <w:start w:val="1"/>
      <w:numFmt w:val="lowerLetter"/>
      <w:lvlText w:val="%8."/>
      <w:lvlJc w:val="left"/>
      <w:pPr>
        <w:tabs>
          <w:tab w:val="left" w:pos="2400"/>
        </w:tabs>
        <w:ind w:left="2760" w:hanging="360"/>
      </w:pPr>
    </w:lvl>
    <w:lvl w:ilvl="8">
      <w:start w:val="1"/>
      <w:numFmt w:val="lowerRoman"/>
      <w:lvlText w:val="%9."/>
      <w:lvlJc w:val="left"/>
      <w:pPr>
        <w:tabs>
          <w:tab w:val="left" w:pos="2760"/>
        </w:tabs>
        <w:ind w:left="3120" w:hanging="360"/>
      </w:pPr>
    </w:lvl>
  </w:abstractNum>
  <w:abstractNum w:abstractNumId="35" w15:restartNumberingAfterBreak="0">
    <w:nsid w:val="350C5236"/>
    <w:multiLevelType w:val="hybridMultilevel"/>
    <w:tmpl w:val="0994B878"/>
    <w:lvl w:ilvl="0" w:tplc="7374B914">
      <w:start w:val="1"/>
      <w:numFmt w:val="decimal"/>
      <w:pStyle w:val="NASLOV30"/>
      <w:lvlText w:val="3.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3D85484F"/>
    <w:multiLevelType w:val="hybridMultilevel"/>
    <w:tmpl w:val="9F58643A"/>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49D41269"/>
    <w:multiLevelType w:val="multilevel"/>
    <w:tmpl w:val="381E3666"/>
    <w:lvl w:ilvl="0">
      <w:start w:val="1"/>
      <w:numFmt w:val="decimal"/>
      <w:pStyle w:val="Otevilenseznam5"/>
      <w:lvlText w:val="%1."/>
      <w:lvlJc w:val="left"/>
      <w:pPr>
        <w:tabs>
          <w:tab w:val="left" w:pos="1492"/>
        </w:tabs>
        <w:ind w:left="1852" w:hanging="360"/>
      </w:pPr>
    </w:lvl>
    <w:lvl w:ilvl="1">
      <w:start w:val="1"/>
      <w:numFmt w:val="decimal"/>
      <w:lvlText w:val="%1."/>
      <w:lvlJc w:val="left"/>
      <w:pPr>
        <w:tabs>
          <w:tab w:val="left" w:pos="1492"/>
        </w:tabs>
        <w:ind w:left="1852" w:hanging="360"/>
      </w:pPr>
    </w:lvl>
    <w:lvl w:ilvl="2">
      <w:start w:val="1"/>
      <w:numFmt w:val="decimal"/>
      <w:lvlText w:val="%1."/>
      <w:lvlJc w:val="left"/>
      <w:pPr>
        <w:tabs>
          <w:tab w:val="left" w:pos="1492"/>
        </w:tabs>
        <w:ind w:left="1852" w:hanging="360"/>
      </w:pPr>
    </w:lvl>
    <w:lvl w:ilvl="3">
      <w:start w:val="1"/>
      <w:numFmt w:val="decimal"/>
      <w:lvlText w:val="%1."/>
      <w:lvlJc w:val="left"/>
      <w:pPr>
        <w:tabs>
          <w:tab w:val="left" w:pos="1492"/>
        </w:tabs>
        <w:ind w:left="1852" w:hanging="360"/>
      </w:pPr>
    </w:lvl>
    <w:lvl w:ilvl="4">
      <w:start w:val="1"/>
      <w:numFmt w:val="decimal"/>
      <w:lvlText w:val="%1."/>
      <w:lvlJc w:val="left"/>
      <w:pPr>
        <w:tabs>
          <w:tab w:val="left" w:pos="1492"/>
        </w:tabs>
        <w:ind w:left="1852" w:hanging="360"/>
      </w:pPr>
    </w:lvl>
    <w:lvl w:ilvl="5">
      <w:start w:val="1"/>
      <w:numFmt w:val="decimal"/>
      <w:lvlText w:val="%1."/>
      <w:lvlJc w:val="left"/>
      <w:pPr>
        <w:tabs>
          <w:tab w:val="left" w:pos="1492"/>
        </w:tabs>
        <w:ind w:left="1852" w:hanging="360"/>
      </w:pPr>
    </w:lvl>
    <w:lvl w:ilvl="6">
      <w:start w:val="1"/>
      <w:numFmt w:val="decimal"/>
      <w:lvlText w:val="%1."/>
      <w:lvlJc w:val="left"/>
      <w:pPr>
        <w:tabs>
          <w:tab w:val="left" w:pos="1492"/>
        </w:tabs>
        <w:ind w:left="1852" w:hanging="360"/>
      </w:pPr>
    </w:lvl>
    <w:lvl w:ilvl="7">
      <w:start w:val="1"/>
      <w:numFmt w:val="decimal"/>
      <w:lvlText w:val="%1."/>
      <w:lvlJc w:val="left"/>
      <w:pPr>
        <w:tabs>
          <w:tab w:val="left" w:pos="1492"/>
        </w:tabs>
        <w:ind w:left="1852" w:hanging="360"/>
      </w:pPr>
    </w:lvl>
    <w:lvl w:ilvl="8">
      <w:start w:val="1"/>
      <w:numFmt w:val="decimal"/>
      <w:lvlText w:val="%1."/>
      <w:lvlJc w:val="left"/>
      <w:pPr>
        <w:tabs>
          <w:tab w:val="left" w:pos="1492"/>
        </w:tabs>
        <w:ind w:left="1852" w:hanging="360"/>
      </w:pPr>
    </w:lvl>
  </w:abstractNum>
  <w:abstractNum w:abstractNumId="38" w15:restartNumberingAfterBreak="0">
    <w:nsid w:val="4EAE2167"/>
    <w:multiLevelType w:val="multilevel"/>
    <w:tmpl w:val="99CA707C"/>
    <w:lvl w:ilvl="0">
      <w:start w:val="1"/>
      <w:numFmt w:val="decimal"/>
      <w:pStyle w:val="tevilnatoka"/>
      <w:lvlText w:val="%1."/>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tevilnatoka11Nova"/>
      <w:isLgl/>
      <w:lvlText w:val="%1.%2"/>
      <w:lvlJc w:val="left"/>
      <w:pPr>
        <w:tabs>
          <w:tab w:val="num" w:pos="425"/>
        </w:tabs>
        <w:ind w:left="425" w:hanging="425"/>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tevilnatoka111"/>
      <w:isLgl/>
      <w:lvlText w:val="%1.%2.%3"/>
      <w:lvlJc w:val="left"/>
      <w:pPr>
        <w:tabs>
          <w:tab w:val="num" w:pos="454"/>
        </w:tabs>
        <w:ind w:left="454" w:hanging="454"/>
      </w:pPr>
      <w:rPr>
        <w:rFonts w:cs="Times New Roman"/>
        <w:b w:val="0"/>
        <w:bCs w:val="0"/>
        <w:i w:val="0"/>
        <w:iCs w:val="0"/>
        <w:caps w:val="0"/>
        <w:smallCaps w:val="0"/>
        <w:strike w:val="0"/>
        <w:dstrike w:val="0"/>
        <w:vanish w:val="0"/>
        <w:webHidden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9" w15:restartNumberingAfterBreak="0">
    <w:nsid w:val="54811F79"/>
    <w:multiLevelType w:val="hybridMultilevel"/>
    <w:tmpl w:val="4836C57E"/>
    <w:lvl w:ilvl="0" w:tplc="5358AA6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573F5EB5"/>
    <w:multiLevelType w:val="hybridMultilevel"/>
    <w:tmpl w:val="10A4D708"/>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57D70C4D"/>
    <w:multiLevelType w:val="hybridMultilevel"/>
    <w:tmpl w:val="2B3A9406"/>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15:restartNumberingAfterBreak="0">
    <w:nsid w:val="58F60FB7"/>
    <w:multiLevelType w:val="hybridMultilevel"/>
    <w:tmpl w:val="22E8906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6E01753D"/>
    <w:multiLevelType w:val="hybridMultilevel"/>
    <w:tmpl w:val="E640E12E"/>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4" w15:restartNumberingAfterBreak="0">
    <w:nsid w:val="70B94BF9"/>
    <w:multiLevelType w:val="hybridMultilevel"/>
    <w:tmpl w:val="C1C4F4F2"/>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15:restartNumberingAfterBreak="0">
    <w:nsid w:val="71C3185F"/>
    <w:multiLevelType w:val="hybridMultilevel"/>
    <w:tmpl w:val="502AC6F0"/>
    <w:lvl w:ilvl="0" w:tplc="D37252AE">
      <w:start w:val="1"/>
      <w:numFmt w:val="bullet"/>
      <w:pStyle w:val="RSnatevanje"/>
      <w:lvlText w:val="–"/>
      <w:lvlJc w:val="left"/>
      <w:pPr>
        <w:ind w:left="360" w:hanging="360"/>
      </w:pPr>
      <w:rPr>
        <w:rFonts w:ascii="Garamond" w:hAnsi="Garamond" w:cs="Times New Roman" w:hint="default"/>
        <w:caps w:val="0"/>
        <w:strike w:val="0"/>
        <w:dstrike w:val="0"/>
        <w:vanish w:val="0"/>
        <w:color w:val="auto"/>
        <w:sz w:val="18"/>
        <w:szCs w:val="18"/>
        <w:vertAlign w:val="baseline"/>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15:restartNumberingAfterBreak="0">
    <w:nsid w:val="75BB4B76"/>
    <w:multiLevelType w:val="hybridMultilevel"/>
    <w:tmpl w:val="798A1F32"/>
    <w:lvl w:ilvl="0" w:tplc="04240005">
      <w:start w:val="1"/>
      <w:numFmt w:val="bullet"/>
      <w:lvlText w:val=""/>
      <w:lvlJc w:val="left"/>
      <w:pPr>
        <w:ind w:left="1440" w:hanging="360"/>
      </w:pPr>
      <w:rPr>
        <w:rFonts w:ascii="Wingdings" w:hAnsi="Wingdings" w:hint="default"/>
      </w:rPr>
    </w:lvl>
    <w:lvl w:ilvl="1" w:tplc="48C625DC">
      <w:numFmt w:val="bullet"/>
      <w:lvlText w:val="-"/>
      <w:lvlJc w:val="left"/>
      <w:pPr>
        <w:ind w:left="2510" w:hanging="710"/>
      </w:pPr>
      <w:rPr>
        <w:rFonts w:ascii="Arial" w:eastAsiaTheme="minorEastAsia" w:hAnsi="Arial" w:cs="Arial" w:hint="default"/>
      </w:r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47" w15:restartNumberingAfterBreak="0">
    <w:nsid w:val="7E3A3AB1"/>
    <w:multiLevelType w:val="hybridMultilevel"/>
    <w:tmpl w:val="A7A04BA2"/>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39"/>
  </w:num>
  <w:num w:numId="2">
    <w:abstractNumId w:val="27"/>
  </w:num>
  <w:num w:numId="3">
    <w:abstractNumId w:val="30"/>
  </w:num>
  <w:num w:numId="4">
    <w:abstractNumId w:val="8"/>
  </w:num>
  <w:num w:numId="5">
    <w:abstractNumId w:val="20"/>
  </w:num>
  <w:num w:numId="6">
    <w:abstractNumId w:val="33"/>
  </w:num>
  <w:num w:numId="7">
    <w:abstractNumId w:val="35"/>
  </w:num>
  <w:num w:numId="8">
    <w:abstractNumId w:val="34"/>
  </w:num>
  <w:num w:numId="9">
    <w:abstractNumId w:val="0"/>
  </w:num>
  <w:num w:numId="10">
    <w:abstractNumId w:val="37"/>
  </w:num>
  <w:num w:numId="11">
    <w:abstractNumId w:val="13"/>
  </w:num>
  <w:num w:numId="12">
    <w:abstractNumId w:val="6"/>
  </w:num>
  <w:num w:numId="13">
    <w:abstractNumId w:val="3"/>
  </w:num>
  <w:num w:numId="14">
    <w:abstractNumId w:val="2"/>
  </w:num>
  <w:num w:numId="15">
    <w:abstractNumId w:val="15"/>
  </w:num>
  <w:num w:numId="16">
    <w:abstractNumId w:val="14"/>
  </w:num>
  <w:num w:numId="17">
    <w:abstractNumId w:val="17"/>
  </w:num>
  <w:num w:numId="18">
    <w:abstractNumId w:val="5"/>
  </w:num>
  <w:num w:numId="19">
    <w:abstractNumId w:val="9"/>
  </w:num>
  <w:num w:numId="20">
    <w:abstractNumId w:val="11"/>
  </w:num>
  <w:num w:numId="21">
    <w:abstractNumId w:val="10"/>
  </w:num>
  <w:num w:numId="22">
    <w:abstractNumId w:val="1"/>
  </w:num>
  <w:num w:numId="23">
    <w:abstractNumId w:val="12"/>
  </w:num>
  <w:num w:numId="24">
    <w:abstractNumId w:val="7"/>
  </w:num>
  <w:num w:numId="25">
    <w:abstractNumId w:val="4"/>
  </w:num>
  <w:num w:numId="26">
    <w:abstractNumId w:val="16"/>
    <w:lvlOverride w:ilvl="0">
      <w:startOverride w:val="1"/>
    </w:lvlOverride>
  </w:num>
  <w:num w:numId="27">
    <w:abstractNumId w:val="18"/>
  </w:num>
  <w:num w:numId="28">
    <w:abstractNumId w:val="19"/>
  </w:num>
  <w:num w:numId="29">
    <w:abstractNumId w:val="26"/>
  </w:num>
  <w:num w:numId="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5"/>
  </w:num>
  <w:num w:numId="32">
    <w:abstractNumId w:val="42"/>
  </w:num>
  <w:num w:numId="33">
    <w:abstractNumId w:val="28"/>
  </w:num>
  <w:num w:numId="34">
    <w:abstractNumId w:val="29"/>
  </w:num>
  <w:num w:numId="35">
    <w:abstractNumId w:val="46"/>
  </w:num>
  <w:num w:numId="36">
    <w:abstractNumId w:val="44"/>
  </w:num>
  <w:num w:numId="37">
    <w:abstractNumId w:val="40"/>
  </w:num>
  <w:num w:numId="38">
    <w:abstractNumId w:val="21"/>
  </w:num>
  <w:num w:numId="39">
    <w:abstractNumId w:val="32"/>
  </w:num>
  <w:num w:numId="40">
    <w:abstractNumId w:val="36"/>
  </w:num>
  <w:num w:numId="41">
    <w:abstractNumId w:val="31"/>
  </w:num>
  <w:num w:numId="42">
    <w:abstractNumId w:val="43"/>
  </w:num>
  <w:num w:numId="43">
    <w:abstractNumId w:val="41"/>
  </w:num>
  <w:num w:numId="44">
    <w:abstractNumId w:val="25"/>
  </w:num>
  <w:num w:numId="45">
    <w:abstractNumId w:val="24"/>
  </w:num>
  <w:num w:numId="46">
    <w:abstractNumId w:val="22"/>
  </w:num>
  <w:num w:numId="47">
    <w:abstractNumId w:val="47"/>
  </w:num>
  <w:num w:numId="48">
    <w:abstractNumId w:val="2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FB5"/>
    <w:rsid w:val="00003B4D"/>
    <w:rsid w:val="000044E4"/>
    <w:rsid w:val="00005858"/>
    <w:rsid w:val="000069A4"/>
    <w:rsid w:val="00012EC2"/>
    <w:rsid w:val="00014CA2"/>
    <w:rsid w:val="0001708D"/>
    <w:rsid w:val="00022B20"/>
    <w:rsid w:val="00026BDF"/>
    <w:rsid w:val="0003088F"/>
    <w:rsid w:val="00030F8F"/>
    <w:rsid w:val="00033F2C"/>
    <w:rsid w:val="00034E06"/>
    <w:rsid w:val="000362B8"/>
    <w:rsid w:val="00043320"/>
    <w:rsid w:val="0005516A"/>
    <w:rsid w:val="00060B84"/>
    <w:rsid w:val="00060FA1"/>
    <w:rsid w:val="00063C7A"/>
    <w:rsid w:val="00063CED"/>
    <w:rsid w:val="0006662C"/>
    <w:rsid w:val="00066D72"/>
    <w:rsid w:val="00067888"/>
    <w:rsid w:val="00073C4D"/>
    <w:rsid w:val="00081FE2"/>
    <w:rsid w:val="0008239A"/>
    <w:rsid w:val="00083F70"/>
    <w:rsid w:val="00085823"/>
    <w:rsid w:val="00090595"/>
    <w:rsid w:val="0009702E"/>
    <w:rsid w:val="000A4B51"/>
    <w:rsid w:val="000A4C0A"/>
    <w:rsid w:val="000A650F"/>
    <w:rsid w:val="000B4AD4"/>
    <w:rsid w:val="000B5067"/>
    <w:rsid w:val="000C4262"/>
    <w:rsid w:val="000C514C"/>
    <w:rsid w:val="000C577C"/>
    <w:rsid w:val="000D1309"/>
    <w:rsid w:val="000D52EC"/>
    <w:rsid w:val="000D7A25"/>
    <w:rsid w:val="000E20F8"/>
    <w:rsid w:val="000E474E"/>
    <w:rsid w:val="000E72FE"/>
    <w:rsid w:val="000F074B"/>
    <w:rsid w:val="0010393C"/>
    <w:rsid w:val="00106492"/>
    <w:rsid w:val="00116075"/>
    <w:rsid w:val="0012260D"/>
    <w:rsid w:val="00123514"/>
    <w:rsid w:val="00131F81"/>
    <w:rsid w:val="00135380"/>
    <w:rsid w:val="00140D91"/>
    <w:rsid w:val="001532FF"/>
    <w:rsid w:val="00153FFC"/>
    <w:rsid w:val="001646D1"/>
    <w:rsid w:val="00165F71"/>
    <w:rsid w:val="00177710"/>
    <w:rsid w:val="00177AA3"/>
    <w:rsid w:val="0018588D"/>
    <w:rsid w:val="001859CC"/>
    <w:rsid w:val="00186AD9"/>
    <w:rsid w:val="001962EA"/>
    <w:rsid w:val="001A65B9"/>
    <w:rsid w:val="001B7983"/>
    <w:rsid w:val="001C084A"/>
    <w:rsid w:val="001D1A8A"/>
    <w:rsid w:val="001D6E4D"/>
    <w:rsid w:val="001E392A"/>
    <w:rsid w:val="001E6DDB"/>
    <w:rsid w:val="001F0323"/>
    <w:rsid w:val="00201B07"/>
    <w:rsid w:val="00221DC4"/>
    <w:rsid w:val="00225CE6"/>
    <w:rsid w:val="0022611B"/>
    <w:rsid w:val="00230DE7"/>
    <w:rsid w:val="00243A40"/>
    <w:rsid w:val="002459F4"/>
    <w:rsid w:val="00246F26"/>
    <w:rsid w:val="002623A9"/>
    <w:rsid w:val="00267AE4"/>
    <w:rsid w:val="002706A5"/>
    <w:rsid w:val="00273904"/>
    <w:rsid w:val="002753D1"/>
    <w:rsid w:val="00277122"/>
    <w:rsid w:val="00281AB1"/>
    <w:rsid w:val="00291659"/>
    <w:rsid w:val="00292BB7"/>
    <w:rsid w:val="002A1FC2"/>
    <w:rsid w:val="002A3846"/>
    <w:rsid w:val="002A6796"/>
    <w:rsid w:val="002C7585"/>
    <w:rsid w:val="002D2989"/>
    <w:rsid w:val="002E084F"/>
    <w:rsid w:val="002E6389"/>
    <w:rsid w:val="002F4407"/>
    <w:rsid w:val="002F7F76"/>
    <w:rsid w:val="0030271B"/>
    <w:rsid w:val="00302AA2"/>
    <w:rsid w:val="00305E9D"/>
    <w:rsid w:val="003103C4"/>
    <w:rsid w:val="00311FC0"/>
    <w:rsid w:val="00315D0A"/>
    <w:rsid w:val="0033066D"/>
    <w:rsid w:val="00335B8C"/>
    <w:rsid w:val="003360B4"/>
    <w:rsid w:val="00347B87"/>
    <w:rsid w:val="0035086C"/>
    <w:rsid w:val="00351EAC"/>
    <w:rsid w:val="00352788"/>
    <w:rsid w:val="00360063"/>
    <w:rsid w:val="00360973"/>
    <w:rsid w:val="00362B1E"/>
    <w:rsid w:val="0037256A"/>
    <w:rsid w:val="0038384D"/>
    <w:rsid w:val="003866CB"/>
    <w:rsid w:val="00392DB8"/>
    <w:rsid w:val="00395E29"/>
    <w:rsid w:val="003A266F"/>
    <w:rsid w:val="003A6004"/>
    <w:rsid w:val="003B4B92"/>
    <w:rsid w:val="003C725C"/>
    <w:rsid w:val="003C7942"/>
    <w:rsid w:val="003D0B41"/>
    <w:rsid w:val="003D18C9"/>
    <w:rsid w:val="003D6850"/>
    <w:rsid w:val="003E125E"/>
    <w:rsid w:val="003E40E1"/>
    <w:rsid w:val="003F360D"/>
    <w:rsid w:val="003F4427"/>
    <w:rsid w:val="003F7C3B"/>
    <w:rsid w:val="00402A42"/>
    <w:rsid w:val="00405E73"/>
    <w:rsid w:val="0040635C"/>
    <w:rsid w:val="00411AA7"/>
    <w:rsid w:val="004143D2"/>
    <w:rsid w:val="004161FD"/>
    <w:rsid w:val="004167E8"/>
    <w:rsid w:val="00423171"/>
    <w:rsid w:val="004314EF"/>
    <w:rsid w:val="00431DF4"/>
    <w:rsid w:val="00432C9D"/>
    <w:rsid w:val="00433CA0"/>
    <w:rsid w:val="00433CDB"/>
    <w:rsid w:val="00435EFB"/>
    <w:rsid w:val="00436070"/>
    <w:rsid w:val="00441EE4"/>
    <w:rsid w:val="00450F36"/>
    <w:rsid w:val="00457E23"/>
    <w:rsid w:val="004624FD"/>
    <w:rsid w:val="0046275B"/>
    <w:rsid w:val="004678D6"/>
    <w:rsid w:val="004737C7"/>
    <w:rsid w:val="00475C47"/>
    <w:rsid w:val="0048003A"/>
    <w:rsid w:val="00482C6F"/>
    <w:rsid w:val="00484B3D"/>
    <w:rsid w:val="0048666D"/>
    <w:rsid w:val="00491B36"/>
    <w:rsid w:val="0049775F"/>
    <w:rsid w:val="004A76EE"/>
    <w:rsid w:val="004B143D"/>
    <w:rsid w:val="004B45CB"/>
    <w:rsid w:val="004C13BB"/>
    <w:rsid w:val="004C642A"/>
    <w:rsid w:val="004C7089"/>
    <w:rsid w:val="004D0107"/>
    <w:rsid w:val="004D0F23"/>
    <w:rsid w:val="004D1776"/>
    <w:rsid w:val="00501D44"/>
    <w:rsid w:val="00502576"/>
    <w:rsid w:val="00502D38"/>
    <w:rsid w:val="00503CF6"/>
    <w:rsid w:val="00514FEE"/>
    <w:rsid w:val="005206C1"/>
    <w:rsid w:val="00533A7E"/>
    <w:rsid w:val="00535D85"/>
    <w:rsid w:val="00537236"/>
    <w:rsid w:val="00542D5B"/>
    <w:rsid w:val="005442BC"/>
    <w:rsid w:val="00551CE9"/>
    <w:rsid w:val="00554211"/>
    <w:rsid w:val="005617B7"/>
    <w:rsid w:val="00561AFA"/>
    <w:rsid w:val="00571839"/>
    <w:rsid w:val="00573840"/>
    <w:rsid w:val="00584FB8"/>
    <w:rsid w:val="005858BD"/>
    <w:rsid w:val="005A08EC"/>
    <w:rsid w:val="005A3E0F"/>
    <w:rsid w:val="005A4037"/>
    <w:rsid w:val="005A6936"/>
    <w:rsid w:val="005B1C38"/>
    <w:rsid w:val="005B4F5D"/>
    <w:rsid w:val="005C7E09"/>
    <w:rsid w:val="005D17B5"/>
    <w:rsid w:val="005D7091"/>
    <w:rsid w:val="005E415A"/>
    <w:rsid w:val="005E4B9F"/>
    <w:rsid w:val="005F08EB"/>
    <w:rsid w:val="005F12B7"/>
    <w:rsid w:val="005F146A"/>
    <w:rsid w:val="005F77E4"/>
    <w:rsid w:val="0060239C"/>
    <w:rsid w:val="00604A05"/>
    <w:rsid w:val="00626355"/>
    <w:rsid w:val="00632A00"/>
    <w:rsid w:val="00634264"/>
    <w:rsid w:val="006412DC"/>
    <w:rsid w:val="00644158"/>
    <w:rsid w:val="00650AFC"/>
    <w:rsid w:val="006519C3"/>
    <w:rsid w:val="0065287C"/>
    <w:rsid w:val="006548D5"/>
    <w:rsid w:val="0066676E"/>
    <w:rsid w:val="00666EF5"/>
    <w:rsid w:val="00674734"/>
    <w:rsid w:val="00676AA9"/>
    <w:rsid w:val="00684D07"/>
    <w:rsid w:val="006933D7"/>
    <w:rsid w:val="006B5C5D"/>
    <w:rsid w:val="006B65C0"/>
    <w:rsid w:val="006C63D5"/>
    <w:rsid w:val="006D3E6B"/>
    <w:rsid w:val="006E1BC7"/>
    <w:rsid w:val="006E7AEF"/>
    <w:rsid w:val="006F0FB0"/>
    <w:rsid w:val="006F3F71"/>
    <w:rsid w:val="00706A0F"/>
    <w:rsid w:val="00715932"/>
    <w:rsid w:val="00725994"/>
    <w:rsid w:val="00725B75"/>
    <w:rsid w:val="00732CD1"/>
    <w:rsid w:val="007340CA"/>
    <w:rsid w:val="00736761"/>
    <w:rsid w:val="00745452"/>
    <w:rsid w:val="00764E8A"/>
    <w:rsid w:val="00770611"/>
    <w:rsid w:val="00776606"/>
    <w:rsid w:val="0077719A"/>
    <w:rsid w:val="00780ACF"/>
    <w:rsid w:val="00781F89"/>
    <w:rsid w:val="00784EE8"/>
    <w:rsid w:val="00793917"/>
    <w:rsid w:val="00794DCA"/>
    <w:rsid w:val="00796825"/>
    <w:rsid w:val="007A077E"/>
    <w:rsid w:val="007A5B66"/>
    <w:rsid w:val="007E01CC"/>
    <w:rsid w:val="007E0A25"/>
    <w:rsid w:val="007E7C95"/>
    <w:rsid w:val="007F1BBD"/>
    <w:rsid w:val="008005EF"/>
    <w:rsid w:val="0080738C"/>
    <w:rsid w:val="00807DB7"/>
    <w:rsid w:val="00814259"/>
    <w:rsid w:val="00826383"/>
    <w:rsid w:val="00833A42"/>
    <w:rsid w:val="0083573D"/>
    <w:rsid w:val="0084144B"/>
    <w:rsid w:val="00843BD6"/>
    <w:rsid w:val="0084556E"/>
    <w:rsid w:val="00852AAA"/>
    <w:rsid w:val="00852E5E"/>
    <w:rsid w:val="008537C2"/>
    <w:rsid w:val="00855760"/>
    <w:rsid w:val="00863058"/>
    <w:rsid w:val="00864B7D"/>
    <w:rsid w:val="00865A8C"/>
    <w:rsid w:val="008701DE"/>
    <w:rsid w:val="008717E6"/>
    <w:rsid w:val="00872F61"/>
    <w:rsid w:val="008766D8"/>
    <w:rsid w:val="00876B66"/>
    <w:rsid w:val="008866C8"/>
    <w:rsid w:val="008A25A9"/>
    <w:rsid w:val="008A35C7"/>
    <w:rsid w:val="008A5519"/>
    <w:rsid w:val="008A6028"/>
    <w:rsid w:val="008B1792"/>
    <w:rsid w:val="008B5042"/>
    <w:rsid w:val="008C0CD4"/>
    <w:rsid w:val="008D1E80"/>
    <w:rsid w:val="008D6E8F"/>
    <w:rsid w:val="008D7159"/>
    <w:rsid w:val="008E4655"/>
    <w:rsid w:val="008E6497"/>
    <w:rsid w:val="008E73FE"/>
    <w:rsid w:val="008E7E2C"/>
    <w:rsid w:val="008F036A"/>
    <w:rsid w:val="008F064E"/>
    <w:rsid w:val="008F20CC"/>
    <w:rsid w:val="00901238"/>
    <w:rsid w:val="0090286E"/>
    <w:rsid w:val="009046D0"/>
    <w:rsid w:val="009053B0"/>
    <w:rsid w:val="00924B38"/>
    <w:rsid w:val="00927ADB"/>
    <w:rsid w:val="00937405"/>
    <w:rsid w:val="00944454"/>
    <w:rsid w:val="00955B26"/>
    <w:rsid w:val="00956FB5"/>
    <w:rsid w:val="00966825"/>
    <w:rsid w:val="00966E9B"/>
    <w:rsid w:val="009727FE"/>
    <w:rsid w:val="00974F60"/>
    <w:rsid w:val="009824E4"/>
    <w:rsid w:val="00985862"/>
    <w:rsid w:val="0099398F"/>
    <w:rsid w:val="009A0073"/>
    <w:rsid w:val="009B0CDE"/>
    <w:rsid w:val="009B572F"/>
    <w:rsid w:val="009B5847"/>
    <w:rsid w:val="009B5F1A"/>
    <w:rsid w:val="009C0F62"/>
    <w:rsid w:val="009C1A89"/>
    <w:rsid w:val="009C1B15"/>
    <w:rsid w:val="009C1F7D"/>
    <w:rsid w:val="009C2D15"/>
    <w:rsid w:val="009C5DEE"/>
    <w:rsid w:val="009D303B"/>
    <w:rsid w:val="009D60D5"/>
    <w:rsid w:val="009D621B"/>
    <w:rsid w:val="009E4871"/>
    <w:rsid w:val="009F5724"/>
    <w:rsid w:val="009F6707"/>
    <w:rsid w:val="00A02DFA"/>
    <w:rsid w:val="00A04513"/>
    <w:rsid w:val="00A04F72"/>
    <w:rsid w:val="00A06E44"/>
    <w:rsid w:val="00A07194"/>
    <w:rsid w:val="00A11D27"/>
    <w:rsid w:val="00A154B7"/>
    <w:rsid w:val="00A20F35"/>
    <w:rsid w:val="00A22A31"/>
    <w:rsid w:val="00A241CD"/>
    <w:rsid w:val="00A32C41"/>
    <w:rsid w:val="00A35B4F"/>
    <w:rsid w:val="00A44913"/>
    <w:rsid w:val="00A50A87"/>
    <w:rsid w:val="00A50FC6"/>
    <w:rsid w:val="00A60468"/>
    <w:rsid w:val="00A60864"/>
    <w:rsid w:val="00A67151"/>
    <w:rsid w:val="00A674D2"/>
    <w:rsid w:val="00A7455D"/>
    <w:rsid w:val="00A84D7E"/>
    <w:rsid w:val="00A86E94"/>
    <w:rsid w:val="00A87852"/>
    <w:rsid w:val="00A93ED2"/>
    <w:rsid w:val="00A9561A"/>
    <w:rsid w:val="00AA012E"/>
    <w:rsid w:val="00AA2665"/>
    <w:rsid w:val="00AB247D"/>
    <w:rsid w:val="00AC37F6"/>
    <w:rsid w:val="00AD051C"/>
    <w:rsid w:val="00AD06DC"/>
    <w:rsid w:val="00AD376E"/>
    <w:rsid w:val="00AD3E03"/>
    <w:rsid w:val="00AD76B1"/>
    <w:rsid w:val="00AE5264"/>
    <w:rsid w:val="00AE6F79"/>
    <w:rsid w:val="00B00FAD"/>
    <w:rsid w:val="00B03217"/>
    <w:rsid w:val="00B07890"/>
    <w:rsid w:val="00B07B4E"/>
    <w:rsid w:val="00B16876"/>
    <w:rsid w:val="00B26693"/>
    <w:rsid w:val="00B26CAB"/>
    <w:rsid w:val="00B34E39"/>
    <w:rsid w:val="00B35001"/>
    <w:rsid w:val="00B4491A"/>
    <w:rsid w:val="00B44927"/>
    <w:rsid w:val="00B747AA"/>
    <w:rsid w:val="00B76038"/>
    <w:rsid w:val="00B76B01"/>
    <w:rsid w:val="00B9606F"/>
    <w:rsid w:val="00B97B3C"/>
    <w:rsid w:val="00BA32CB"/>
    <w:rsid w:val="00BB1156"/>
    <w:rsid w:val="00BB1BE9"/>
    <w:rsid w:val="00BB5068"/>
    <w:rsid w:val="00BB7BDB"/>
    <w:rsid w:val="00BC2EE7"/>
    <w:rsid w:val="00BC2FAB"/>
    <w:rsid w:val="00BC5214"/>
    <w:rsid w:val="00BC755C"/>
    <w:rsid w:val="00BD6D08"/>
    <w:rsid w:val="00BE0BC5"/>
    <w:rsid w:val="00BE7721"/>
    <w:rsid w:val="00BF4D81"/>
    <w:rsid w:val="00BF65E2"/>
    <w:rsid w:val="00C0215B"/>
    <w:rsid w:val="00C14E81"/>
    <w:rsid w:val="00C309E3"/>
    <w:rsid w:val="00C34E3B"/>
    <w:rsid w:val="00C4167C"/>
    <w:rsid w:val="00C44866"/>
    <w:rsid w:val="00C473E5"/>
    <w:rsid w:val="00C54E54"/>
    <w:rsid w:val="00C646B1"/>
    <w:rsid w:val="00C64F33"/>
    <w:rsid w:val="00C654EF"/>
    <w:rsid w:val="00C743C3"/>
    <w:rsid w:val="00C75FB1"/>
    <w:rsid w:val="00C760FC"/>
    <w:rsid w:val="00C77DE2"/>
    <w:rsid w:val="00C9160B"/>
    <w:rsid w:val="00C9712F"/>
    <w:rsid w:val="00CA7928"/>
    <w:rsid w:val="00CB0032"/>
    <w:rsid w:val="00CB6A08"/>
    <w:rsid w:val="00CC3BB3"/>
    <w:rsid w:val="00CC55E0"/>
    <w:rsid w:val="00CC5AD3"/>
    <w:rsid w:val="00CC61A5"/>
    <w:rsid w:val="00CD03C3"/>
    <w:rsid w:val="00CD4328"/>
    <w:rsid w:val="00CD5729"/>
    <w:rsid w:val="00CE32A6"/>
    <w:rsid w:val="00CE5F09"/>
    <w:rsid w:val="00CE6657"/>
    <w:rsid w:val="00CF3CC6"/>
    <w:rsid w:val="00D02084"/>
    <w:rsid w:val="00D04447"/>
    <w:rsid w:val="00D05572"/>
    <w:rsid w:val="00D12B67"/>
    <w:rsid w:val="00D142F6"/>
    <w:rsid w:val="00D16287"/>
    <w:rsid w:val="00D16B9A"/>
    <w:rsid w:val="00D22F40"/>
    <w:rsid w:val="00D24726"/>
    <w:rsid w:val="00D3285A"/>
    <w:rsid w:val="00D40D3D"/>
    <w:rsid w:val="00D454A7"/>
    <w:rsid w:val="00D52524"/>
    <w:rsid w:val="00D5656F"/>
    <w:rsid w:val="00D56CC4"/>
    <w:rsid w:val="00D57F8C"/>
    <w:rsid w:val="00D61BC3"/>
    <w:rsid w:val="00D70C35"/>
    <w:rsid w:val="00D70CA4"/>
    <w:rsid w:val="00D7152D"/>
    <w:rsid w:val="00D8006E"/>
    <w:rsid w:val="00D874C5"/>
    <w:rsid w:val="00D91539"/>
    <w:rsid w:val="00D92520"/>
    <w:rsid w:val="00DB0D57"/>
    <w:rsid w:val="00DB3AEC"/>
    <w:rsid w:val="00DB7349"/>
    <w:rsid w:val="00DC15D7"/>
    <w:rsid w:val="00DC5999"/>
    <w:rsid w:val="00DD0582"/>
    <w:rsid w:val="00DD132C"/>
    <w:rsid w:val="00DD3605"/>
    <w:rsid w:val="00DD53F6"/>
    <w:rsid w:val="00DD5935"/>
    <w:rsid w:val="00DD6CBF"/>
    <w:rsid w:val="00DD7280"/>
    <w:rsid w:val="00DE12FE"/>
    <w:rsid w:val="00DE2E2A"/>
    <w:rsid w:val="00DE6E2A"/>
    <w:rsid w:val="00DE7804"/>
    <w:rsid w:val="00DF0D48"/>
    <w:rsid w:val="00DF33CA"/>
    <w:rsid w:val="00DF6B81"/>
    <w:rsid w:val="00DF7CA9"/>
    <w:rsid w:val="00E01FCF"/>
    <w:rsid w:val="00E04745"/>
    <w:rsid w:val="00E1065B"/>
    <w:rsid w:val="00E1386E"/>
    <w:rsid w:val="00E2688B"/>
    <w:rsid w:val="00E35797"/>
    <w:rsid w:val="00E37150"/>
    <w:rsid w:val="00E44110"/>
    <w:rsid w:val="00E533AD"/>
    <w:rsid w:val="00E704F2"/>
    <w:rsid w:val="00E71D69"/>
    <w:rsid w:val="00E743E2"/>
    <w:rsid w:val="00E74E31"/>
    <w:rsid w:val="00EA2397"/>
    <w:rsid w:val="00EA2DAB"/>
    <w:rsid w:val="00EA3F78"/>
    <w:rsid w:val="00EA4F09"/>
    <w:rsid w:val="00EB0FE3"/>
    <w:rsid w:val="00EC070A"/>
    <w:rsid w:val="00EC2C4F"/>
    <w:rsid w:val="00EC355B"/>
    <w:rsid w:val="00EC5133"/>
    <w:rsid w:val="00EC5259"/>
    <w:rsid w:val="00EC7A83"/>
    <w:rsid w:val="00ED0D80"/>
    <w:rsid w:val="00ED1C84"/>
    <w:rsid w:val="00ED2015"/>
    <w:rsid w:val="00ED2796"/>
    <w:rsid w:val="00EF2850"/>
    <w:rsid w:val="00F05B46"/>
    <w:rsid w:val="00F07A91"/>
    <w:rsid w:val="00F143A8"/>
    <w:rsid w:val="00F14D7D"/>
    <w:rsid w:val="00F15E56"/>
    <w:rsid w:val="00F201A1"/>
    <w:rsid w:val="00F22A61"/>
    <w:rsid w:val="00F31944"/>
    <w:rsid w:val="00F34DE6"/>
    <w:rsid w:val="00F42F8F"/>
    <w:rsid w:val="00F44FA4"/>
    <w:rsid w:val="00F47D0E"/>
    <w:rsid w:val="00F546E3"/>
    <w:rsid w:val="00F57BE2"/>
    <w:rsid w:val="00F676FD"/>
    <w:rsid w:val="00F729F6"/>
    <w:rsid w:val="00F74219"/>
    <w:rsid w:val="00F750E5"/>
    <w:rsid w:val="00F802BE"/>
    <w:rsid w:val="00F83F0A"/>
    <w:rsid w:val="00F84480"/>
    <w:rsid w:val="00F84CA5"/>
    <w:rsid w:val="00F90423"/>
    <w:rsid w:val="00FA04E3"/>
    <w:rsid w:val="00FA13A0"/>
    <w:rsid w:val="00FA3442"/>
    <w:rsid w:val="00FA3957"/>
    <w:rsid w:val="00FC115D"/>
    <w:rsid w:val="00FC5210"/>
    <w:rsid w:val="00FD0F16"/>
    <w:rsid w:val="00FD5538"/>
    <w:rsid w:val="00FD7267"/>
    <w:rsid w:val="00FE416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251D10"/>
  <w15:chartTrackingRefBased/>
  <w15:docId w15:val="{AD12A8F4-41EF-4695-A103-872A5545E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0" w:unhideWhenUsed="1" w:qFormat="1"/>
    <w:lsdException w:name="heading 5" w:semiHidden="1" w:uiPriority="1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7"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A25A9"/>
  </w:style>
  <w:style w:type="paragraph" w:styleId="Naslov1">
    <w:name w:val="heading 1"/>
    <w:aliases w:val="naslov JOŽI"/>
    <w:basedOn w:val="Navaden"/>
    <w:next w:val="Navaden"/>
    <w:link w:val="Naslov1Znak"/>
    <w:uiPriority w:val="9"/>
    <w:qFormat/>
    <w:rsid w:val="00D02084"/>
    <w:pPr>
      <w:keepNext/>
      <w:keepLines/>
      <w:numPr>
        <w:numId w:val="3"/>
      </w:numPr>
      <w:spacing w:before="240" w:after="240"/>
      <w:jc w:val="both"/>
      <w:outlineLvl w:val="0"/>
    </w:pPr>
    <w:rPr>
      <w:rFonts w:eastAsiaTheme="majorEastAsia" w:cstheme="majorBidi"/>
      <w:b/>
      <w:color w:val="92D050"/>
      <w:sz w:val="28"/>
      <w:szCs w:val="32"/>
    </w:rPr>
  </w:style>
  <w:style w:type="paragraph" w:styleId="Naslov2">
    <w:name w:val="heading 2"/>
    <w:basedOn w:val="Navaden"/>
    <w:next w:val="Navaden"/>
    <w:link w:val="Naslov2Znak"/>
    <w:uiPriority w:val="9"/>
    <w:unhideWhenUsed/>
    <w:qFormat/>
    <w:rsid w:val="00D02084"/>
    <w:pPr>
      <w:keepNext/>
      <w:keepLines/>
      <w:numPr>
        <w:ilvl w:val="1"/>
        <w:numId w:val="3"/>
      </w:numPr>
      <w:spacing w:before="240" w:after="120"/>
      <w:jc w:val="both"/>
      <w:outlineLvl w:val="1"/>
    </w:pPr>
    <w:rPr>
      <w:rFonts w:eastAsiaTheme="majorEastAsia" w:cstheme="majorBidi"/>
      <w:b/>
      <w:color w:val="92D050"/>
      <w:sz w:val="24"/>
      <w:szCs w:val="26"/>
    </w:rPr>
  </w:style>
  <w:style w:type="paragraph" w:styleId="Naslov3">
    <w:name w:val="heading 3"/>
    <w:basedOn w:val="Navaden"/>
    <w:next w:val="Navaden"/>
    <w:link w:val="Naslov3Znak"/>
    <w:uiPriority w:val="9"/>
    <w:unhideWhenUsed/>
    <w:qFormat/>
    <w:rsid w:val="004624FD"/>
    <w:pPr>
      <w:keepNext/>
      <w:keepLines/>
      <w:numPr>
        <w:ilvl w:val="2"/>
        <w:numId w:val="3"/>
      </w:numPr>
      <w:spacing w:before="240" w:after="120"/>
      <w:jc w:val="both"/>
      <w:outlineLvl w:val="2"/>
    </w:pPr>
    <w:rPr>
      <w:rFonts w:eastAsiaTheme="majorEastAsia" w:cstheme="majorBidi"/>
      <w:b/>
      <w:color w:val="92D050"/>
      <w:sz w:val="24"/>
      <w:szCs w:val="24"/>
    </w:rPr>
  </w:style>
  <w:style w:type="paragraph" w:styleId="Naslov4">
    <w:name w:val="heading 4"/>
    <w:basedOn w:val="Navaden"/>
    <w:next w:val="Navaden"/>
    <w:link w:val="Naslov4Znak"/>
    <w:uiPriority w:val="10"/>
    <w:unhideWhenUsed/>
    <w:qFormat/>
    <w:rsid w:val="004624FD"/>
    <w:pPr>
      <w:keepNext/>
      <w:keepLines/>
      <w:numPr>
        <w:ilvl w:val="3"/>
        <w:numId w:val="3"/>
      </w:numPr>
      <w:spacing w:before="40" w:after="0"/>
      <w:jc w:val="both"/>
      <w:outlineLvl w:val="3"/>
    </w:pPr>
    <w:rPr>
      <w:rFonts w:eastAsiaTheme="majorEastAsia" w:cstheme="majorBidi"/>
      <w:iCs/>
      <w:color w:val="92D050"/>
    </w:rPr>
  </w:style>
  <w:style w:type="paragraph" w:styleId="Naslov5">
    <w:name w:val="heading 5"/>
    <w:basedOn w:val="Navaden"/>
    <w:next w:val="Navaden"/>
    <w:link w:val="Naslov5Znak"/>
    <w:uiPriority w:val="11"/>
    <w:unhideWhenUsed/>
    <w:qFormat/>
    <w:rsid w:val="00302AA2"/>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Naslov6">
    <w:name w:val="heading 6"/>
    <w:basedOn w:val="Navaden"/>
    <w:next w:val="Navaden"/>
    <w:link w:val="Naslov6Znak"/>
    <w:unhideWhenUsed/>
    <w:qFormat/>
    <w:rsid w:val="00302AA2"/>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Naslov7">
    <w:name w:val="heading 7"/>
    <w:basedOn w:val="Navaden"/>
    <w:next w:val="Navaden"/>
    <w:link w:val="Naslov7Znak"/>
    <w:unhideWhenUsed/>
    <w:qFormat/>
    <w:rsid w:val="00302AA2"/>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Naslov8">
    <w:name w:val="heading 8"/>
    <w:basedOn w:val="Navaden"/>
    <w:next w:val="Navaden"/>
    <w:link w:val="Naslov8Znak"/>
    <w:unhideWhenUsed/>
    <w:qFormat/>
    <w:rsid w:val="00302AA2"/>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nhideWhenUsed/>
    <w:qFormat/>
    <w:rsid w:val="00302AA2"/>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JOŽI Znak"/>
    <w:basedOn w:val="Privzetapisavaodstavka"/>
    <w:link w:val="Naslov1"/>
    <w:uiPriority w:val="9"/>
    <w:rsid w:val="00D02084"/>
    <w:rPr>
      <w:rFonts w:eastAsiaTheme="majorEastAsia" w:cstheme="majorBidi"/>
      <w:b/>
      <w:color w:val="92D050"/>
      <w:sz w:val="28"/>
      <w:szCs w:val="32"/>
    </w:rPr>
  </w:style>
  <w:style w:type="character" w:styleId="Hiperpovezava">
    <w:name w:val="Hyperlink"/>
    <w:uiPriority w:val="99"/>
    <w:rsid w:val="009B5F1A"/>
    <w:rPr>
      <w:color w:val="0000FF"/>
      <w:u w:val="single"/>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Char Char,Char "/>
    <w:basedOn w:val="Navaden"/>
    <w:link w:val="Sprotnaopomba-besediloZnak"/>
    <w:qFormat/>
    <w:rsid w:val="009B5F1A"/>
    <w:pPr>
      <w:spacing w:after="0" w:line="260" w:lineRule="atLeast"/>
      <w:ind w:left="714" w:hanging="357"/>
      <w:jc w:val="both"/>
    </w:pPr>
    <w:rPr>
      <w:rFonts w:eastAsia="Times New Roman" w:cs="Times New Roman"/>
      <w:szCs w:val="20"/>
      <w:lang w:eastAsia="en-GB"/>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Char Char Znak,Char  Znak"/>
    <w:basedOn w:val="Privzetapisavaodstavka"/>
    <w:link w:val="Sprotnaopomba-besedilo"/>
    <w:rsid w:val="009B5F1A"/>
    <w:rPr>
      <w:rFonts w:ascii="Arial" w:eastAsia="Times New Roman" w:hAnsi="Arial" w:cs="Times New Roman"/>
      <w:sz w:val="20"/>
      <w:szCs w:val="20"/>
      <w:lang w:eastAsia="en-GB"/>
    </w:rPr>
  </w:style>
  <w:style w:type="character" w:styleId="Poudarek">
    <w:name w:val="Emphasis"/>
    <w:uiPriority w:val="20"/>
    <w:qFormat/>
    <w:rsid w:val="009B5F1A"/>
    <w:rPr>
      <w:i/>
      <w:iCs/>
    </w:rPr>
  </w:style>
  <w:style w:type="character" w:customStyle="1" w:styleId="st">
    <w:name w:val="st"/>
    <w:rsid w:val="009B5F1A"/>
  </w:style>
  <w:style w:type="paragraph" w:customStyle="1" w:styleId="SCPreglednica">
    <w:name w:val="SC Preglednica"/>
    <w:basedOn w:val="Navaden"/>
    <w:next w:val="Navaden"/>
    <w:link w:val="SCPreglednicaZnak"/>
    <w:qFormat/>
    <w:rsid w:val="00D8006E"/>
    <w:pPr>
      <w:spacing w:before="240" w:after="120"/>
      <w:jc w:val="both"/>
    </w:pPr>
  </w:style>
  <w:style w:type="paragraph" w:styleId="Glava">
    <w:name w:val="header"/>
    <w:basedOn w:val="Navaden"/>
    <w:link w:val="GlavaZnak"/>
    <w:uiPriority w:val="99"/>
    <w:unhideWhenUsed/>
    <w:rsid w:val="00003B4D"/>
    <w:pPr>
      <w:tabs>
        <w:tab w:val="center" w:pos="4536"/>
        <w:tab w:val="right" w:pos="9072"/>
      </w:tabs>
      <w:spacing w:after="0" w:line="240" w:lineRule="auto"/>
    </w:pPr>
  </w:style>
  <w:style w:type="character" w:customStyle="1" w:styleId="SCPreglednicaZnak">
    <w:name w:val="SC Preglednica Znak"/>
    <w:basedOn w:val="Privzetapisavaodstavka"/>
    <w:link w:val="SCPreglednica"/>
    <w:rsid w:val="00D8006E"/>
    <w:rPr>
      <w:rFonts w:ascii="Arial" w:hAnsi="Arial"/>
      <w:sz w:val="20"/>
    </w:rPr>
  </w:style>
  <w:style w:type="character" w:customStyle="1" w:styleId="GlavaZnak">
    <w:name w:val="Glava Znak"/>
    <w:basedOn w:val="Privzetapisavaodstavka"/>
    <w:link w:val="Glava"/>
    <w:uiPriority w:val="99"/>
    <w:rsid w:val="00003B4D"/>
  </w:style>
  <w:style w:type="paragraph" w:styleId="Noga">
    <w:name w:val="footer"/>
    <w:basedOn w:val="Navaden"/>
    <w:link w:val="NogaZnak"/>
    <w:uiPriority w:val="99"/>
    <w:unhideWhenUsed/>
    <w:rsid w:val="00003B4D"/>
    <w:pPr>
      <w:tabs>
        <w:tab w:val="center" w:pos="4536"/>
        <w:tab w:val="right" w:pos="9072"/>
      </w:tabs>
      <w:spacing w:after="0" w:line="240" w:lineRule="auto"/>
    </w:pPr>
  </w:style>
  <w:style w:type="character" w:customStyle="1" w:styleId="NogaZnak">
    <w:name w:val="Noga Znak"/>
    <w:basedOn w:val="Privzetapisavaodstavka"/>
    <w:link w:val="Noga"/>
    <w:uiPriority w:val="99"/>
    <w:rsid w:val="00003B4D"/>
  </w:style>
  <w:style w:type="paragraph" w:styleId="Napis">
    <w:name w:val="caption"/>
    <w:basedOn w:val="Navaden"/>
    <w:next w:val="Navaden"/>
    <w:link w:val="NapisZnak"/>
    <w:qFormat/>
    <w:rsid w:val="00DB0D57"/>
    <w:pPr>
      <w:keepNext/>
      <w:spacing w:before="120" w:after="0" w:line="264" w:lineRule="auto"/>
    </w:pPr>
    <w:rPr>
      <w:rFonts w:eastAsia="Times New Roman" w:cs="Arial"/>
      <w:sz w:val="16"/>
      <w:szCs w:val="16"/>
      <w:lang w:eastAsia="en-GB"/>
    </w:rPr>
  </w:style>
  <w:style w:type="character" w:customStyle="1" w:styleId="NapisZnak">
    <w:name w:val="Napis Znak"/>
    <w:basedOn w:val="Privzetapisavaodstavka"/>
    <w:link w:val="Napis"/>
    <w:rsid w:val="00DB0D57"/>
    <w:rPr>
      <w:rFonts w:ascii="Arial" w:eastAsia="Times New Roman" w:hAnsi="Arial" w:cs="Arial"/>
      <w:sz w:val="16"/>
      <w:szCs w:val="16"/>
      <w:lang w:eastAsia="en-GB"/>
    </w:rPr>
  </w:style>
  <w:style w:type="paragraph" w:styleId="Kazaloslik">
    <w:name w:val="table of figures"/>
    <w:basedOn w:val="Navaden"/>
    <w:next w:val="Navaden"/>
    <w:uiPriority w:val="99"/>
    <w:unhideWhenUsed/>
    <w:rsid w:val="00DB0D57"/>
    <w:pPr>
      <w:spacing w:after="0"/>
    </w:pPr>
  </w:style>
  <w:style w:type="table" w:styleId="Tabelamrea">
    <w:name w:val="Table Grid"/>
    <w:basedOn w:val="Navadnatabela"/>
    <w:uiPriority w:val="59"/>
    <w:rsid w:val="009824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aliases w:val="Odstavec1,Bullet 1,Bullet Points,Bullet layer,Colorful List - Accent 11,Dot pt,F5 List Paragraph,Indicator Text,Issue Action POC,List Paragraph Char Char Char,List Paragraph1,List Paragraph2,MAIN CONTENT,No Spacing1,Normal numbered"/>
    <w:basedOn w:val="Navaden"/>
    <w:link w:val="OdstavekseznamaZnak"/>
    <w:uiPriority w:val="34"/>
    <w:qFormat/>
    <w:rsid w:val="00514FEE"/>
    <w:pPr>
      <w:ind w:left="720"/>
      <w:contextualSpacing/>
    </w:pPr>
  </w:style>
  <w:style w:type="character" w:customStyle="1" w:styleId="Naslov2Znak">
    <w:name w:val="Naslov 2 Znak"/>
    <w:basedOn w:val="Privzetapisavaodstavka"/>
    <w:link w:val="Naslov2"/>
    <w:uiPriority w:val="9"/>
    <w:rsid w:val="00D02084"/>
    <w:rPr>
      <w:rFonts w:eastAsiaTheme="majorEastAsia" w:cstheme="majorBidi"/>
      <w:b/>
      <w:color w:val="92D050"/>
      <w:sz w:val="24"/>
      <w:szCs w:val="26"/>
    </w:rPr>
  </w:style>
  <w:style w:type="character" w:customStyle="1" w:styleId="Naslov3Znak">
    <w:name w:val="Naslov 3 Znak"/>
    <w:basedOn w:val="Privzetapisavaodstavka"/>
    <w:link w:val="Naslov3"/>
    <w:uiPriority w:val="9"/>
    <w:rsid w:val="004624FD"/>
    <w:rPr>
      <w:rFonts w:eastAsiaTheme="majorEastAsia" w:cstheme="majorBidi"/>
      <w:b/>
      <w:color w:val="92D050"/>
      <w:sz w:val="24"/>
      <w:szCs w:val="24"/>
    </w:rPr>
  </w:style>
  <w:style w:type="character" w:customStyle="1" w:styleId="Naslov4Znak">
    <w:name w:val="Naslov 4 Znak"/>
    <w:basedOn w:val="Privzetapisavaodstavka"/>
    <w:link w:val="Naslov4"/>
    <w:uiPriority w:val="10"/>
    <w:rsid w:val="004624FD"/>
    <w:rPr>
      <w:rFonts w:eastAsiaTheme="majorEastAsia" w:cstheme="majorBidi"/>
      <w:iCs/>
      <w:color w:val="92D050"/>
    </w:rPr>
  </w:style>
  <w:style w:type="character" w:customStyle="1" w:styleId="Naslov5Znak">
    <w:name w:val="Naslov 5 Znak"/>
    <w:basedOn w:val="Privzetapisavaodstavka"/>
    <w:link w:val="Naslov5"/>
    <w:uiPriority w:val="11"/>
    <w:rsid w:val="00302AA2"/>
    <w:rPr>
      <w:rFonts w:asciiTheme="majorHAnsi" w:eastAsiaTheme="majorEastAsia" w:hAnsiTheme="majorHAnsi" w:cstheme="majorBidi"/>
      <w:color w:val="365F91" w:themeColor="accent1" w:themeShade="BF"/>
    </w:rPr>
  </w:style>
  <w:style w:type="character" w:customStyle="1" w:styleId="Naslov6Znak">
    <w:name w:val="Naslov 6 Znak"/>
    <w:basedOn w:val="Privzetapisavaodstavka"/>
    <w:link w:val="Naslov6"/>
    <w:rsid w:val="00302AA2"/>
    <w:rPr>
      <w:rFonts w:asciiTheme="majorHAnsi" w:eastAsiaTheme="majorEastAsia" w:hAnsiTheme="majorHAnsi" w:cstheme="majorBidi"/>
      <w:color w:val="243F60" w:themeColor="accent1" w:themeShade="7F"/>
    </w:rPr>
  </w:style>
  <w:style w:type="character" w:customStyle="1" w:styleId="Naslov7Znak">
    <w:name w:val="Naslov 7 Znak"/>
    <w:basedOn w:val="Privzetapisavaodstavka"/>
    <w:link w:val="Naslov7"/>
    <w:rsid w:val="00302AA2"/>
    <w:rPr>
      <w:rFonts w:asciiTheme="majorHAnsi" w:eastAsiaTheme="majorEastAsia" w:hAnsiTheme="majorHAnsi" w:cstheme="majorBidi"/>
      <w:i/>
      <w:iCs/>
      <w:color w:val="243F60" w:themeColor="accent1" w:themeShade="7F"/>
    </w:rPr>
  </w:style>
  <w:style w:type="character" w:customStyle="1" w:styleId="Naslov8Znak">
    <w:name w:val="Naslov 8 Znak"/>
    <w:basedOn w:val="Privzetapisavaodstavka"/>
    <w:link w:val="Naslov8"/>
    <w:rsid w:val="00302AA2"/>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rsid w:val="00302AA2"/>
    <w:rPr>
      <w:rFonts w:asciiTheme="majorHAnsi" w:eastAsiaTheme="majorEastAsia" w:hAnsiTheme="majorHAnsi" w:cstheme="majorBidi"/>
      <w:i/>
      <w:iCs/>
      <w:color w:val="272727" w:themeColor="text1" w:themeTint="D8"/>
      <w:sz w:val="21"/>
      <w:szCs w:val="21"/>
    </w:rPr>
  </w:style>
  <w:style w:type="numbering" w:customStyle="1" w:styleId="Brezseznama1">
    <w:name w:val="Brez seznama1"/>
    <w:next w:val="Brezseznama"/>
    <w:uiPriority w:val="99"/>
    <w:semiHidden/>
    <w:unhideWhenUsed/>
    <w:rsid w:val="005C7E09"/>
  </w:style>
  <w:style w:type="paragraph" w:customStyle="1" w:styleId="ZPtekst">
    <w:name w:val="ZP_tekst"/>
    <w:basedOn w:val="Navaden"/>
    <w:link w:val="ZPtekstZnak"/>
    <w:qFormat/>
    <w:rsid w:val="005C7E09"/>
    <w:pPr>
      <w:spacing w:before="120" w:after="0" w:line="264" w:lineRule="auto"/>
      <w:jc w:val="both"/>
    </w:pPr>
    <w:rPr>
      <w:rFonts w:eastAsia="Times New Roman" w:cs="Arial"/>
      <w:szCs w:val="24"/>
      <w:lang w:eastAsia="en-GB"/>
    </w:rPr>
  </w:style>
  <w:style w:type="character" w:customStyle="1" w:styleId="ZPtekstZnak">
    <w:name w:val="ZP_tekst Znak"/>
    <w:link w:val="ZPtekst"/>
    <w:rsid w:val="005C7E09"/>
    <w:rPr>
      <w:rFonts w:ascii="Arial" w:eastAsia="Times New Roman" w:hAnsi="Arial" w:cs="Arial"/>
      <w:szCs w:val="24"/>
      <w:lang w:eastAsia="en-GB"/>
    </w:rPr>
  </w:style>
  <w:style w:type="character" w:customStyle="1" w:styleId="OdstavekseznamaZnak">
    <w:name w:val="Odstavek seznama Znak"/>
    <w:aliases w:val="Odstavec1 Znak,Bullet 1 Znak,Bullet Points Znak,Bullet layer Znak,Colorful List - Accent 11 Znak,Dot pt Znak,F5 List Paragraph Znak,Indicator Text Znak,Issue Action POC Znak,List Paragraph Char Char Char Znak,List Paragraph1 Znak"/>
    <w:link w:val="Odstavekseznama"/>
    <w:uiPriority w:val="34"/>
    <w:qFormat/>
    <w:rsid w:val="005C7E09"/>
  </w:style>
  <w:style w:type="table" w:customStyle="1" w:styleId="Tabelamrea1">
    <w:name w:val="Tabela – mreža1"/>
    <w:basedOn w:val="Navadnatabela"/>
    <w:next w:val="Tabelamrea"/>
    <w:uiPriority w:val="59"/>
    <w:rsid w:val="005C7E09"/>
    <w:pPr>
      <w:spacing w:after="0" w:line="240" w:lineRule="auto"/>
    </w:pPr>
    <w:rPr>
      <w:rFonts w:ascii="Times New Roman" w:eastAsia="Times New Roman" w:hAnsi="Times New Roman" w:cs="Times New Roman"/>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ipombabesedilo">
    <w:name w:val="annotation text"/>
    <w:basedOn w:val="Navaden"/>
    <w:link w:val="PripombabesediloZnak"/>
    <w:rsid w:val="005C7E09"/>
    <w:pPr>
      <w:spacing w:before="120" w:after="0" w:line="264" w:lineRule="auto"/>
      <w:jc w:val="both"/>
    </w:pPr>
    <w:rPr>
      <w:rFonts w:ascii="Times New Roman" w:eastAsia="Times New Roman" w:hAnsi="Times New Roman" w:cs="Arial"/>
      <w:szCs w:val="20"/>
      <w:lang w:eastAsia="en-GB"/>
    </w:rPr>
  </w:style>
  <w:style w:type="character" w:customStyle="1" w:styleId="PripombabesediloZnak">
    <w:name w:val="Pripomba – besedilo Znak"/>
    <w:basedOn w:val="Privzetapisavaodstavka"/>
    <w:link w:val="Pripombabesedilo"/>
    <w:rsid w:val="005C7E09"/>
    <w:rPr>
      <w:rFonts w:ascii="Times New Roman" w:eastAsia="Times New Roman" w:hAnsi="Times New Roman" w:cs="Arial"/>
      <w:sz w:val="20"/>
      <w:szCs w:val="20"/>
      <w:lang w:eastAsia="en-GB"/>
    </w:rPr>
  </w:style>
  <w:style w:type="character" w:styleId="Pripombasklic">
    <w:name w:val="annotation reference"/>
    <w:basedOn w:val="Privzetapisavaodstavka"/>
    <w:uiPriority w:val="99"/>
    <w:unhideWhenUsed/>
    <w:rsid w:val="005C7E09"/>
    <w:rPr>
      <w:w w:val="100"/>
      <w:sz w:val="16"/>
      <w:szCs w:val="16"/>
      <w:shd w:val="clear" w:color="auto" w:fill="auto"/>
    </w:rPr>
  </w:style>
  <w:style w:type="paragraph" w:styleId="Zadevapripombe">
    <w:name w:val="annotation subject"/>
    <w:basedOn w:val="Pripombabesedilo"/>
    <w:next w:val="Pripombabesedilo"/>
    <w:link w:val="ZadevapripombeZnak"/>
    <w:uiPriority w:val="99"/>
    <w:semiHidden/>
    <w:unhideWhenUsed/>
    <w:rsid w:val="005C7E09"/>
    <w:pPr>
      <w:spacing w:after="200"/>
      <w:jc w:val="left"/>
    </w:pPr>
    <w:rPr>
      <w:rFonts w:asciiTheme="minorHAnsi" w:eastAsiaTheme="minorHAnsi" w:hAnsiTheme="minorHAnsi" w:cstheme="minorBidi"/>
      <w:b/>
      <w:bCs/>
      <w:lang w:eastAsia="en-US"/>
    </w:rPr>
  </w:style>
  <w:style w:type="character" w:customStyle="1" w:styleId="ZadevapripombeZnak">
    <w:name w:val="Zadeva pripombe Znak"/>
    <w:basedOn w:val="PripombabesediloZnak"/>
    <w:link w:val="Zadevapripombe"/>
    <w:uiPriority w:val="99"/>
    <w:semiHidden/>
    <w:rsid w:val="005C7E09"/>
    <w:rPr>
      <w:rFonts w:ascii="Times New Roman" w:eastAsia="Times New Roman" w:hAnsi="Times New Roman" w:cs="Arial"/>
      <w:b/>
      <w:bCs/>
      <w:sz w:val="20"/>
      <w:szCs w:val="20"/>
      <w:lang w:eastAsia="en-GB"/>
    </w:rPr>
  </w:style>
  <w:style w:type="paragraph" w:styleId="Revizija">
    <w:name w:val="Revision"/>
    <w:hidden/>
    <w:uiPriority w:val="99"/>
    <w:semiHidden/>
    <w:rsid w:val="005C7E09"/>
    <w:pPr>
      <w:spacing w:after="0" w:line="240" w:lineRule="auto"/>
    </w:pPr>
  </w:style>
  <w:style w:type="paragraph" w:styleId="Besedilooblaka">
    <w:name w:val="Balloon Text"/>
    <w:basedOn w:val="Navaden"/>
    <w:link w:val="BesedilooblakaZnak"/>
    <w:uiPriority w:val="99"/>
    <w:semiHidden/>
    <w:unhideWhenUsed/>
    <w:rsid w:val="005C7E09"/>
    <w:pPr>
      <w:spacing w:before="120" w:after="0" w:line="264" w:lineRule="auto"/>
      <w:jc w:val="both"/>
    </w:pPr>
    <w:rPr>
      <w:rFonts w:ascii="Tahoma" w:eastAsia="Times New Roman" w:hAnsi="Tahoma" w:cs="Tahoma"/>
      <w:sz w:val="16"/>
      <w:szCs w:val="16"/>
      <w:lang w:eastAsia="en-GB"/>
    </w:rPr>
  </w:style>
  <w:style w:type="character" w:customStyle="1" w:styleId="BesedilooblakaZnak">
    <w:name w:val="Besedilo oblačka Znak"/>
    <w:basedOn w:val="Privzetapisavaodstavka"/>
    <w:link w:val="Besedilooblaka"/>
    <w:uiPriority w:val="99"/>
    <w:semiHidden/>
    <w:rsid w:val="005C7E09"/>
    <w:rPr>
      <w:rFonts w:ascii="Tahoma" w:eastAsia="Times New Roman" w:hAnsi="Tahoma" w:cs="Tahoma"/>
      <w:sz w:val="16"/>
      <w:szCs w:val="16"/>
      <w:lang w:eastAsia="en-GB"/>
    </w:rPr>
  </w:style>
  <w:style w:type="paragraph" w:customStyle="1" w:styleId="ZPpodnapis">
    <w:name w:val="ZP_podnapis"/>
    <w:basedOn w:val="ZPtekst"/>
    <w:next w:val="ZPtekst"/>
    <w:qFormat/>
    <w:rsid w:val="005C7E09"/>
    <w:pPr>
      <w:widowControl w:val="0"/>
      <w:spacing w:after="200"/>
      <w:ind w:left="170" w:hanging="170"/>
      <w:contextualSpacing/>
    </w:pPr>
    <w:rPr>
      <w:sz w:val="16"/>
    </w:rPr>
  </w:style>
  <w:style w:type="paragraph" w:customStyle="1" w:styleId="ZPslikanaslov">
    <w:name w:val="ZP_slika_naslov"/>
    <w:basedOn w:val="Navaden"/>
    <w:qFormat/>
    <w:rsid w:val="005C7E09"/>
    <w:pPr>
      <w:keepNext/>
      <w:keepLines/>
      <w:spacing w:before="240" w:after="80" w:line="264" w:lineRule="auto"/>
      <w:jc w:val="center"/>
    </w:pPr>
    <w:rPr>
      <w:rFonts w:eastAsia="Times New Roman" w:cs="Arial"/>
      <w:i/>
      <w:szCs w:val="24"/>
      <w:lang w:eastAsia="sl-SI"/>
    </w:rPr>
  </w:style>
  <w:style w:type="paragraph" w:customStyle="1" w:styleId="SCslika">
    <w:name w:val="SC_slika"/>
    <w:basedOn w:val="Navaden"/>
    <w:qFormat/>
    <w:rsid w:val="00C654EF"/>
    <w:pPr>
      <w:spacing w:before="80" w:after="80" w:line="264" w:lineRule="auto"/>
      <w:jc w:val="both"/>
    </w:pPr>
    <w:rPr>
      <w:rFonts w:eastAsia="Times New Roman" w:cs="Arial"/>
      <w:noProof/>
      <w:szCs w:val="24"/>
      <w:lang w:eastAsia="sl-SI"/>
    </w:rPr>
  </w:style>
  <w:style w:type="paragraph" w:customStyle="1" w:styleId="Default">
    <w:name w:val="Default"/>
    <w:rsid w:val="005C7E09"/>
    <w:pPr>
      <w:autoSpaceDE w:val="0"/>
      <w:autoSpaceDN w:val="0"/>
      <w:adjustRightInd w:val="0"/>
      <w:spacing w:after="0" w:line="240" w:lineRule="auto"/>
    </w:pPr>
    <w:rPr>
      <w:rFonts w:ascii="Verdana" w:hAnsi="Verdana" w:cs="Verdana"/>
      <w:color w:val="000000"/>
      <w:sz w:val="24"/>
      <w:szCs w:val="24"/>
    </w:rPr>
  </w:style>
  <w:style w:type="paragraph" w:customStyle="1" w:styleId="indicatorkpititle">
    <w:name w:val="indicatorkpititle"/>
    <w:basedOn w:val="Navaden"/>
    <w:rsid w:val="005C7E09"/>
    <w:pPr>
      <w:spacing w:before="100" w:beforeAutospacing="1" w:after="100" w:afterAutospacing="1" w:line="264" w:lineRule="auto"/>
      <w:jc w:val="both"/>
    </w:pPr>
    <w:rPr>
      <w:rFonts w:ascii="Times New Roman" w:eastAsia="Times New Roman" w:hAnsi="Times New Roman" w:cs="Arial"/>
      <w:sz w:val="24"/>
      <w:szCs w:val="24"/>
      <w:lang w:eastAsia="sl-SI"/>
    </w:rPr>
  </w:style>
  <w:style w:type="character" w:customStyle="1" w:styleId="TelobesedilaZnak1">
    <w:name w:val="Telo besedila Znak1"/>
    <w:rsid w:val="005C7E09"/>
    <w:rPr>
      <w:rFonts w:ascii="Arial" w:hAnsi="Arial" w:cs="Arial"/>
      <w:noProof w:val="0"/>
      <w:sz w:val="22"/>
      <w:szCs w:val="22"/>
      <w:lang w:val="sl-SI" w:eastAsia="en-US" w:bidi="ar-SA"/>
    </w:rPr>
  </w:style>
  <w:style w:type="character" w:styleId="Sprotnaopomba-sklic">
    <w:name w:val="footnote reference"/>
    <w:aliases w:val="Footnote symbol,Footnote,Fussnota,SUPERS,-E Fußnotenzeichen,ESPON Footnote No,Footnote reference number,note TESI,EN Footnote Reference,number,Times 10 Point,Exposant 3 Point,Footnote Reference_LVL6,Footnote Reference_LVL61,E..."/>
    <w:basedOn w:val="Privzetapisavaodstavka"/>
    <w:unhideWhenUsed/>
    <w:qFormat/>
    <w:rsid w:val="005C7E09"/>
    <w:rPr>
      <w:w w:val="100"/>
      <w:sz w:val="20"/>
      <w:szCs w:val="20"/>
      <w:shd w:val="clear" w:color="auto" w:fill="auto"/>
      <w:vertAlign w:val="superscript"/>
    </w:rPr>
  </w:style>
  <w:style w:type="paragraph" w:customStyle="1" w:styleId="ZPpregtekst">
    <w:name w:val="ZP_preg_tekst"/>
    <w:basedOn w:val="Navaden"/>
    <w:next w:val="Navaden"/>
    <w:qFormat/>
    <w:rsid w:val="005C7E09"/>
    <w:pPr>
      <w:keepNext/>
      <w:keepLines/>
      <w:autoSpaceDE w:val="0"/>
      <w:autoSpaceDN w:val="0"/>
      <w:adjustRightInd w:val="0"/>
      <w:spacing w:before="120" w:after="0" w:line="264" w:lineRule="auto"/>
      <w:jc w:val="both"/>
    </w:pPr>
    <w:rPr>
      <w:rFonts w:eastAsia="Times New Roman" w:cs="Arial"/>
      <w:sz w:val="16"/>
      <w:szCs w:val="24"/>
      <w:lang w:eastAsia="sl-SI"/>
    </w:rPr>
  </w:style>
  <w:style w:type="paragraph" w:customStyle="1" w:styleId="ZPpregglava">
    <w:name w:val="ZP_preg_glava"/>
    <w:basedOn w:val="ZPpregtekst"/>
    <w:next w:val="ZPpregtekst"/>
    <w:qFormat/>
    <w:rsid w:val="005C7E09"/>
    <w:pPr>
      <w:spacing w:before="40" w:after="20"/>
      <w:jc w:val="right"/>
      <w:outlineLvl w:val="0"/>
    </w:pPr>
    <w:rPr>
      <w:b/>
    </w:rPr>
  </w:style>
  <w:style w:type="paragraph" w:customStyle="1" w:styleId="ZPpregnaslov">
    <w:name w:val="ZP_preg_naslov"/>
    <w:basedOn w:val="Navaden"/>
    <w:link w:val="ZPpregnaslovZnak"/>
    <w:qFormat/>
    <w:rsid w:val="005C7E09"/>
    <w:pPr>
      <w:keepNext/>
      <w:keepLines/>
      <w:spacing w:before="200" w:after="80" w:line="264" w:lineRule="auto"/>
      <w:ind w:left="1588" w:hanging="1588"/>
      <w:contextualSpacing/>
      <w:jc w:val="both"/>
      <w:outlineLvl w:val="0"/>
    </w:pPr>
    <w:rPr>
      <w:rFonts w:eastAsia="Times New Roman" w:cs="Arial"/>
      <w:i/>
      <w:szCs w:val="20"/>
      <w:lang w:eastAsia="sl-SI"/>
    </w:rPr>
  </w:style>
  <w:style w:type="character" w:customStyle="1" w:styleId="ZPpregnaslovZnak">
    <w:name w:val="ZP_preg_naslov Znak"/>
    <w:link w:val="ZPpregnaslov"/>
    <w:rsid w:val="005C7E09"/>
    <w:rPr>
      <w:rFonts w:ascii="Arial" w:eastAsia="Times New Roman" w:hAnsi="Arial" w:cs="Arial"/>
      <w:i/>
      <w:szCs w:val="20"/>
      <w:lang w:eastAsia="sl-SI"/>
    </w:rPr>
  </w:style>
  <w:style w:type="paragraph" w:customStyle="1" w:styleId="ZPpregtevilke">
    <w:name w:val="ZP_preg_številke"/>
    <w:basedOn w:val="Navaden"/>
    <w:next w:val="ZPpregtekst"/>
    <w:qFormat/>
    <w:rsid w:val="005C7E09"/>
    <w:pPr>
      <w:keepNext/>
      <w:keepLines/>
      <w:autoSpaceDE w:val="0"/>
      <w:autoSpaceDN w:val="0"/>
      <w:adjustRightInd w:val="0"/>
      <w:spacing w:before="120" w:after="0" w:line="264" w:lineRule="auto"/>
      <w:jc w:val="right"/>
    </w:pPr>
    <w:rPr>
      <w:rFonts w:eastAsia="Times New Roman" w:cs="Arial"/>
      <w:sz w:val="16"/>
      <w:szCs w:val="24"/>
      <w:lang w:eastAsia="sl-SI"/>
    </w:rPr>
  </w:style>
  <w:style w:type="paragraph" w:customStyle="1" w:styleId="1">
    <w:name w:val="1"/>
    <w:basedOn w:val="Navaden"/>
    <w:qFormat/>
    <w:rsid w:val="005C7E09"/>
    <w:pPr>
      <w:spacing w:before="120" w:after="0" w:line="260" w:lineRule="atLeast"/>
      <w:jc w:val="both"/>
    </w:pPr>
    <w:rPr>
      <w:rFonts w:eastAsia="Times New Roman" w:cs="Arial"/>
      <w:szCs w:val="20"/>
      <w:lang w:eastAsia="en-GB"/>
    </w:rPr>
  </w:style>
  <w:style w:type="paragraph" w:customStyle="1" w:styleId="SlogSprotnaopomba-besediloZnakZnak">
    <w:name w:val="Slog Sprotna opomba - besedilo Znak Znak"/>
    <w:link w:val="SlogSprotnaopomba-besediloZnakZnakZnak"/>
    <w:rsid w:val="005C7E09"/>
    <w:pPr>
      <w:spacing w:before="60" w:after="180" w:line="240" w:lineRule="auto"/>
      <w:ind w:left="227" w:hanging="227"/>
      <w:contextualSpacing/>
    </w:pPr>
    <w:rPr>
      <w:rFonts w:eastAsia="Times New Roman" w:cs="Times New Roman"/>
      <w:sz w:val="16"/>
      <w:szCs w:val="24"/>
    </w:rPr>
  </w:style>
  <w:style w:type="character" w:customStyle="1" w:styleId="SlogSprotnaopomba-besediloZnakZnakZnak">
    <w:name w:val="Slog Sprotna opomba - besedilo Znak Znak Znak"/>
    <w:link w:val="SlogSprotnaopomba-besediloZnakZnak"/>
    <w:rsid w:val="005C7E09"/>
    <w:rPr>
      <w:rFonts w:ascii="Arial" w:eastAsia="Times New Roman" w:hAnsi="Arial" w:cs="Times New Roman"/>
      <w:sz w:val="16"/>
      <w:szCs w:val="24"/>
    </w:rPr>
  </w:style>
  <w:style w:type="paragraph" w:styleId="Naslov">
    <w:name w:val="Title"/>
    <w:aliases w:val="naslov velik JOŽI"/>
    <w:basedOn w:val="Navaden"/>
    <w:link w:val="NaslovZnak"/>
    <w:uiPriority w:val="10"/>
    <w:qFormat/>
    <w:rsid w:val="005C7E09"/>
    <w:pPr>
      <w:spacing w:before="120" w:after="0" w:line="264" w:lineRule="auto"/>
      <w:jc w:val="center"/>
    </w:pPr>
    <w:rPr>
      <w:rFonts w:eastAsia="Arial" w:cs="Arial"/>
      <w:b/>
      <w:sz w:val="32"/>
      <w:szCs w:val="32"/>
      <w:lang w:eastAsia="en-GB"/>
    </w:rPr>
  </w:style>
  <w:style w:type="character" w:customStyle="1" w:styleId="NaslovZnak">
    <w:name w:val="Naslov Znak"/>
    <w:aliases w:val="naslov velik JOŽI Znak"/>
    <w:basedOn w:val="Privzetapisavaodstavka"/>
    <w:link w:val="Naslov"/>
    <w:uiPriority w:val="10"/>
    <w:rsid w:val="005C7E09"/>
    <w:rPr>
      <w:rFonts w:ascii="Arial" w:eastAsia="Arial" w:hAnsi="Arial" w:cs="Arial"/>
      <w:b/>
      <w:sz w:val="32"/>
      <w:szCs w:val="32"/>
      <w:lang w:eastAsia="en-GB"/>
    </w:rPr>
  </w:style>
  <w:style w:type="character" w:customStyle="1" w:styleId="tlid-translation">
    <w:name w:val="tlid-translation"/>
    <w:basedOn w:val="Privzetapisavaodstavka"/>
    <w:rsid w:val="005C7E09"/>
  </w:style>
  <w:style w:type="paragraph" w:styleId="Navadensplet">
    <w:name w:val="Normal (Web)"/>
    <w:basedOn w:val="Navaden"/>
    <w:uiPriority w:val="99"/>
    <w:unhideWhenUsed/>
    <w:rsid w:val="005C7E09"/>
    <w:pPr>
      <w:spacing w:before="100" w:beforeAutospacing="1" w:after="100" w:afterAutospacing="1" w:line="264" w:lineRule="auto"/>
      <w:jc w:val="both"/>
    </w:pPr>
    <w:rPr>
      <w:rFonts w:ascii="Times New Roman" w:eastAsia="Times New Roman" w:hAnsi="Times New Roman" w:cs="Arial"/>
      <w:sz w:val="24"/>
      <w:szCs w:val="24"/>
      <w:lang w:eastAsia="sl-SI"/>
    </w:rPr>
  </w:style>
  <w:style w:type="character" w:styleId="Krepko">
    <w:name w:val="Strong"/>
    <w:basedOn w:val="Privzetapisavaodstavka"/>
    <w:uiPriority w:val="22"/>
    <w:qFormat/>
    <w:rsid w:val="005C7E09"/>
    <w:rPr>
      <w:b/>
      <w:bCs/>
    </w:rPr>
  </w:style>
  <w:style w:type="character" w:customStyle="1" w:styleId="tableinformationtitle">
    <w:name w:val="tableinformation_title"/>
    <w:basedOn w:val="Privzetapisavaodstavka"/>
    <w:rsid w:val="005C7E09"/>
  </w:style>
  <w:style w:type="paragraph" w:styleId="NaslovTOC">
    <w:name w:val="TOC Heading"/>
    <w:basedOn w:val="Naslov1"/>
    <w:next w:val="Navaden"/>
    <w:uiPriority w:val="39"/>
    <w:unhideWhenUsed/>
    <w:qFormat/>
    <w:rsid w:val="005C7E09"/>
    <w:pPr>
      <w:numPr>
        <w:numId w:val="0"/>
      </w:numPr>
      <w:spacing w:before="480"/>
      <w:outlineLvl w:val="9"/>
    </w:pPr>
    <w:rPr>
      <w:rFonts w:asciiTheme="majorHAnsi" w:hAnsiTheme="majorHAnsi"/>
      <w:bCs/>
      <w:color w:val="365F91" w:themeColor="accent1" w:themeShade="BF"/>
      <w:szCs w:val="28"/>
      <w:lang w:eastAsia="sl-SI"/>
    </w:rPr>
  </w:style>
  <w:style w:type="paragraph" w:styleId="Kazalovsebine1">
    <w:name w:val="toc 1"/>
    <w:basedOn w:val="Navaden"/>
    <w:next w:val="Navaden"/>
    <w:autoRedefine/>
    <w:uiPriority w:val="39"/>
    <w:unhideWhenUsed/>
    <w:rsid w:val="00433CDB"/>
    <w:pPr>
      <w:tabs>
        <w:tab w:val="left" w:pos="440"/>
        <w:tab w:val="right" w:leader="dot" w:pos="8789"/>
      </w:tabs>
      <w:spacing w:before="120" w:after="100" w:line="264" w:lineRule="auto"/>
      <w:jc w:val="both"/>
    </w:pPr>
    <w:rPr>
      <w:rFonts w:eastAsia="Times New Roman" w:cs="Arial"/>
      <w:szCs w:val="24"/>
      <w:lang w:eastAsia="en-GB"/>
    </w:rPr>
  </w:style>
  <w:style w:type="paragraph" w:styleId="Kazalovsebine2">
    <w:name w:val="toc 2"/>
    <w:basedOn w:val="Navaden"/>
    <w:next w:val="Navaden"/>
    <w:autoRedefine/>
    <w:uiPriority w:val="39"/>
    <w:unhideWhenUsed/>
    <w:rsid w:val="00433CDB"/>
    <w:pPr>
      <w:tabs>
        <w:tab w:val="left" w:pos="709"/>
        <w:tab w:val="right" w:leader="dot" w:pos="8789"/>
      </w:tabs>
      <w:spacing w:before="120" w:after="100" w:line="264" w:lineRule="auto"/>
      <w:ind w:left="709" w:right="425" w:hanging="709"/>
      <w:jc w:val="both"/>
    </w:pPr>
    <w:rPr>
      <w:rFonts w:eastAsia="Times New Roman" w:cs="Arial"/>
      <w:szCs w:val="24"/>
      <w:lang w:eastAsia="en-GB"/>
    </w:rPr>
  </w:style>
  <w:style w:type="character" w:customStyle="1" w:styleId="TelobesedilaZnakZnak1ZnakZnakZnak">
    <w:name w:val="Telo besedila Znak Znak1 Znak Znak Znak"/>
    <w:aliases w:val="Telo besedila Znak2 Znak Znak1 Znak Znak Znak,Telo besedila Znak Znak Znak Znak1 Znak Znak Znak,Telo besedila Znak2 Znak Znak Znak Znak1 Znak Znak Znak"/>
    <w:rsid w:val="005C7E09"/>
    <w:rPr>
      <w:rFonts w:ascii="Arial" w:hAnsi="Arial"/>
      <w:sz w:val="22"/>
      <w:szCs w:val="24"/>
      <w:lang w:val="sl-SI" w:eastAsia="sl-SI" w:bidi="ar-SA"/>
    </w:rPr>
  </w:style>
  <w:style w:type="paragraph" w:styleId="Kazalovsebine3">
    <w:name w:val="toc 3"/>
    <w:basedOn w:val="Navaden"/>
    <w:next w:val="Navaden"/>
    <w:autoRedefine/>
    <w:uiPriority w:val="39"/>
    <w:unhideWhenUsed/>
    <w:rsid w:val="005C7E09"/>
    <w:pPr>
      <w:spacing w:before="120" w:after="100" w:line="264" w:lineRule="auto"/>
      <w:ind w:left="440"/>
      <w:jc w:val="both"/>
    </w:pPr>
    <w:rPr>
      <w:rFonts w:eastAsia="Times New Roman" w:cs="Arial"/>
      <w:szCs w:val="24"/>
      <w:lang w:eastAsia="en-GB"/>
    </w:rPr>
  </w:style>
  <w:style w:type="paragraph" w:customStyle="1" w:styleId="ListBullet1">
    <w:name w:val="List Bullet 1"/>
    <w:basedOn w:val="Navaden"/>
    <w:rsid w:val="005C7E09"/>
    <w:pPr>
      <w:numPr>
        <w:numId w:val="4"/>
      </w:numPr>
      <w:spacing w:before="120" w:after="0" w:line="264" w:lineRule="auto"/>
      <w:ind w:left="0" w:firstLine="0"/>
      <w:jc w:val="both"/>
    </w:pPr>
    <w:rPr>
      <w:rFonts w:ascii="Times New Roman" w:eastAsia="Times New Roman" w:hAnsi="Times New Roman" w:cs="Arial"/>
      <w:sz w:val="24"/>
      <w:szCs w:val="24"/>
      <w:lang w:eastAsia="en-GB"/>
    </w:rPr>
  </w:style>
  <w:style w:type="paragraph" w:customStyle="1" w:styleId="TAbela0">
    <w:name w:val="TAbela"/>
    <w:basedOn w:val="Navaden"/>
    <w:uiPriority w:val="1"/>
    <w:qFormat/>
    <w:rsid w:val="005C7E09"/>
    <w:pPr>
      <w:spacing w:before="120" w:after="0" w:line="264" w:lineRule="auto"/>
      <w:jc w:val="both"/>
    </w:pPr>
    <w:rPr>
      <w:rFonts w:eastAsia="Arial" w:cs="Arial"/>
      <w:sz w:val="16"/>
      <w:szCs w:val="24"/>
    </w:rPr>
  </w:style>
  <w:style w:type="paragraph" w:customStyle="1" w:styleId="ZPnaslovneov">
    <w:name w:val="ZP_naslov_neoš_vč"/>
    <w:basedOn w:val="Navaden"/>
    <w:next w:val="ZPtekst"/>
    <w:qFormat/>
    <w:rsid w:val="005C7E09"/>
    <w:pPr>
      <w:keepNext/>
      <w:autoSpaceDE w:val="0"/>
      <w:autoSpaceDN w:val="0"/>
      <w:adjustRightInd w:val="0"/>
      <w:spacing w:before="240" w:after="240" w:line="240" w:lineRule="auto"/>
    </w:pPr>
    <w:rPr>
      <w:rFonts w:eastAsia="Times New Roman" w:cs="Arial"/>
      <w:b/>
      <w:sz w:val="24"/>
      <w:szCs w:val="24"/>
      <w:lang w:eastAsia="sl-SI"/>
    </w:rPr>
  </w:style>
  <w:style w:type="paragraph" w:customStyle="1" w:styleId="ZPnaslovneom">
    <w:name w:val="ZP_naslov_neoš_mč"/>
    <w:basedOn w:val="Navaden"/>
    <w:next w:val="Navaden"/>
    <w:qFormat/>
    <w:rsid w:val="005C7E09"/>
    <w:pPr>
      <w:keepNext/>
      <w:autoSpaceDE w:val="0"/>
      <w:autoSpaceDN w:val="0"/>
      <w:adjustRightInd w:val="0"/>
      <w:spacing w:before="240" w:after="120" w:line="264" w:lineRule="auto"/>
      <w:jc w:val="both"/>
    </w:pPr>
    <w:rPr>
      <w:rFonts w:eastAsia="Times New Roman" w:cs="Arial"/>
      <w:b/>
      <w:i/>
      <w:lang w:eastAsia="sl-SI"/>
    </w:rPr>
  </w:style>
  <w:style w:type="paragraph" w:customStyle="1" w:styleId="Virpodrazpredelnico">
    <w:name w:val="Vir pod razpredelnico"/>
    <w:aliases w:val="sliko ZP"/>
    <w:basedOn w:val="Navaden"/>
    <w:rsid w:val="005C7E09"/>
    <w:pPr>
      <w:keepNext/>
      <w:keepLines/>
      <w:spacing w:before="60" w:after="240" w:line="240" w:lineRule="auto"/>
      <w:contextualSpacing/>
    </w:pPr>
    <w:rPr>
      <w:rFonts w:eastAsia="Times New Roman" w:cs="Times New Roman"/>
      <w:sz w:val="16"/>
      <w:szCs w:val="20"/>
    </w:rPr>
  </w:style>
  <w:style w:type="paragraph" w:styleId="Kazalovsebine4">
    <w:name w:val="toc 4"/>
    <w:basedOn w:val="Navaden"/>
    <w:next w:val="Navaden"/>
    <w:autoRedefine/>
    <w:uiPriority w:val="39"/>
    <w:unhideWhenUsed/>
    <w:rsid w:val="005C7E09"/>
    <w:pPr>
      <w:spacing w:after="100"/>
      <w:ind w:left="660"/>
    </w:pPr>
    <w:rPr>
      <w:rFonts w:eastAsiaTheme="minorEastAsia"/>
      <w:lang w:eastAsia="sl-SI"/>
    </w:rPr>
  </w:style>
  <w:style w:type="paragraph" w:styleId="Kazalovsebine5">
    <w:name w:val="toc 5"/>
    <w:basedOn w:val="Navaden"/>
    <w:next w:val="Navaden"/>
    <w:autoRedefine/>
    <w:uiPriority w:val="39"/>
    <w:unhideWhenUsed/>
    <w:rsid w:val="005C7E09"/>
    <w:pPr>
      <w:spacing w:after="100"/>
      <w:ind w:left="880"/>
    </w:pPr>
    <w:rPr>
      <w:rFonts w:eastAsiaTheme="minorEastAsia"/>
      <w:lang w:eastAsia="sl-SI"/>
    </w:rPr>
  </w:style>
  <w:style w:type="paragraph" w:styleId="Kazalovsebine6">
    <w:name w:val="toc 6"/>
    <w:basedOn w:val="Navaden"/>
    <w:next w:val="Navaden"/>
    <w:autoRedefine/>
    <w:uiPriority w:val="39"/>
    <w:unhideWhenUsed/>
    <w:rsid w:val="005C7E09"/>
    <w:pPr>
      <w:spacing w:after="100"/>
      <w:ind w:left="1100"/>
    </w:pPr>
    <w:rPr>
      <w:rFonts w:eastAsiaTheme="minorEastAsia"/>
      <w:lang w:eastAsia="sl-SI"/>
    </w:rPr>
  </w:style>
  <w:style w:type="paragraph" w:styleId="Kazalovsebine7">
    <w:name w:val="toc 7"/>
    <w:basedOn w:val="Navaden"/>
    <w:next w:val="Navaden"/>
    <w:autoRedefine/>
    <w:uiPriority w:val="39"/>
    <w:unhideWhenUsed/>
    <w:rsid w:val="005C7E09"/>
    <w:pPr>
      <w:spacing w:after="100"/>
      <w:ind w:left="1320"/>
    </w:pPr>
    <w:rPr>
      <w:rFonts w:eastAsiaTheme="minorEastAsia"/>
      <w:lang w:eastAsia="sl-SI"/>
    </w:rPr>
  </w:style>
  <w:style w:type="paragraph" w:styleId="Kazalovsebine8">
    <w:name w:val="toc 8"/>
    <w:basedOn w:val="Navaden"/>
    <w:next w:val="Navaden"/>
    <w:autoRedefine/>
    <w:uiPriority w:val="39"/>
    <w:unhideWhenUsed/>
    <w:rsid w:val="005C7E09"/>
    <w:pPr>
      <w:spacing w:after="100"/>
      <w:ind w:left="1540"/>
    </w:pPr>
    <w:rPr>
      <w:rFonts w:eastAsiaTheme="minorEastAsia"/>
      <w:lang w:eastAsia="sl-SI"/>
    </w:rPr>
  </w:style>
  <w:style w:type="paragraph" w:styleId="Kazalovsebine9">
    <w:name w:val="toc 9"/>
    <w:basedOn w:val="Navaden"/>
    <w:next w:val="Navaden"/>
    <w:autoRedefine/>
    <w:uiPriority w:val="39"/>
    <w:unhideWhenUsed/>
    <w:rsid w:val="005C7E09"/>
    <w:pPr>
      <w:spacing w:after="100"/>
      <w:ind w:left="1760"/>
    </w:pPr>
    <w:rPr>
      <w:rFonts w:eastAsiaTheme="minorEastAsia"/>
      <w:lang w:eastAsia="sl-SI"/>
    </w:rPr>
  </w:style>
  <w:style w:type="paragraph" w:styleId="Konnaopomba-besedilo">
    <w:name w:val="endnote text"/>
    <w:basedOn w:val="Navaden"/>
    <w:link w:val="Konnaopomba-besediloZnak"/>
    <w:uiPriority w:val="99"/>
    <w:semiHidden/>
    <w:unhideWhenUsed/>
    <w:rsid w:val="005C7E09"/>
    <w:pPr>
      <w:spacing w:after="0" w:line="240" w:lineRule="auto"/>
      <w:jc w:val="both"/>
    </w:pPr>
    <w:rPr>
      <w:rFonts w:eastAsia="Times New Roman" w:cs="Arial"/>
      <w:szCs w:val="20"/>
      <w:lang w:eastAsia="en-GB"/>
    </w:rPr>
  </w:style>
  <w:style w:type="character" w:customStyle="1" w:styleId="Konnaopomba-besediloZnak">
    <w:name w:val="Končna opomba - besedilo Znak"/>
    <w:basedOn w:val="Privzetapisavaodstavka"/>
    <w:link w:val="Konnaopomba-besedilo"/>
    <w:uiPriority w:val="99"/>
    <w:semiHidden/>
    <w:rsid w:val="005C7E09"/>
    <w:rPr>
      <w:rFonts w:ascii="Arial" w:eastAsia="Times New Roman" w:hAnsi="Arial" w:cs="Arial"/>
      <w:sz w:val="20"/>
      <w:szCs w:val="20"/>
      <w:lang w:eastAsia="en-GB"/>
    </w:rPr>
  </w:style>
  <w:style w:type="character" w:styleId="Konnaopomba-sklic">
    <w:name w:val="endnote reference"/>
    <w:basedOn w:val="Privzetapisavaodstavka"/>
    <w:uiPriority w:val="99"/>
    <w:semiHidden/>
    <w:unhideWhenUsed/>
    <w:rsid w:val="005C7E09"/>
    <w:rPr>
      <w:vertAlign w:val="superscript"/>
    </w:rPr>
  </w:style>
  <w:style w:type="paragraph" w:customStyle="1" w:styleId="Text1">
    <w:name w:val="Text 1"/>
    <w:basedOn w:val="Navaden"/>
    <w:rsid w:val="005C7E09"/>
    <w:pPr>
      <w:spacing w:after="0" w:line="240" w:lineRule="auto"/>
      <w:ind w:left="482"/>
      <w:jc w:val="both"/>
    </w:pPr>
    <w:rPr>
      <w:rFonts w:ascii="Times New Roman" w:eastAsia="Times New Roman" w:hAnsi="Times New Roman" w:cs="Times New Roman"/>
      <w:sz w:val="24"/>
      <w:szCs w:val="24"/>
      <w:lang w:val="en-GB" w:eastAsia="en-GB"/>
    </w:rPr>
  </w:style>
  <w:style w:type="paragraph" w:customStyle="1" w:styleId="SCSLIKA0">
    <w:name w:val="SC_SLIKA"/>
    <w:basedOn w:val="Napis"/>
    <w:link w:val="SCSLIKAZnak"/>
    <w:uiPriority w:val="1"/>
    <w:qFormat/>
    <w:rsid w:val="005C7E09"/>
    <w:rPr>
      <w:b/>
    </w:rPr>
  </w:style>
  <w:style w:type="paragraph" w:customStyle="1" w:styleId="SCPREGLEDNICA0">
    <w:name w:val="SC_PREGLEDNICA"/>
    <w:basedOn w:val="Napis"/>
    <w:link w:val="SCPREGLEDNICAZnak0"/>
    <w:uiPriority w:val="1"/>
    <w:qFormat/>
    <w:rsid w:val="005C7E09"/>
    <w:rPr>
      <w:b/>
    </w:rPr>
  </w:style>
  <w:style w:type="character" w:customStyle="1" w:styleId="SCSLIKAZnak">
    <w:name w:val="SC_SLIKA Znak"/>
    <w:basedOn w:val="NapisZnak"/>
    <w:link w:val="SCSLIKA0"/>
    <w:uiPriority w:val="1"/>
    <w:rsid w:val="005C7E09"/>
    <w:rPr>
      <w:rFonts w:ascii="Arial" w:eastAsia="Times New Roman" w:hAnsi="Arial" w:cs="Arial"/>
      <w:b/>
      <w:sz w:val="16"/>
      <w:szCs w:val="16"/>
      <w:lang w:eastAsia="en-GB"/>
    </w:rPr>
  </w:style>
  <w:style w:type="character" w:customStyle="1" w:styleId="SCPREGLEDNICAZnak0">
    <w:name w:val="SC_PREGLEDNICA Znak"/>
    <w:basedOn w:val="NapisZnak"/>
    <w:link w:val="SCPREGLEDNICA0"/>
    <w:uiPriority w:val="1"/>
    <w:rsid w:val="005C7E09"/>
    <w:rPr>
      <w:rFonts w:ascii="Arial" w:eastAsia="Times New Roman" w:hAnsi="Arial" w:cs="Arial"/>
      <w:b/>
      <w:sz w:val="16"/>
      <w:szCs w:val="16"/>
      <w:lang w:eastAsia="en-GB"/>
    </w:rPr>
  </w:style>
  <w:style w:type="paragraph" w:customStyle="1" w:styleId="TableContents">
    <w:name w:val="Table Contents"/>
    <w:basedOn w:val="Navaden"/>
    <w:rsid w:val="005C7E09"/>
    <w:pPr>
      <w:suppressLineNumbers/>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table" w:styleId="Svetelseznampoudarek3">
    <w:name w:val="Light List Accent 3"/>
    <w:basedOn w:val="Navadnatabela"/>
    <w:uiPriority w:val="61"/>
    <w:rsid w:val="005C7E09"/>
    <w:pPr>
      <w:spacing w:after="0" w:line="240" w:lineRule="auto"/>
    </w:pPr>
    <w:rPr>
      <w:rFonts w:eastAsiaTheme="minorEastAsia"/>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HTML-citat">
    <w:name w:val="HTML Cite"/>
    <w:basedOn w:val="Privzetapisavaodstavka"/>
    <w:uiPriority w:val="99"/>
    <w:semiHidden/>
    <w:unhideWhenUsed/>
    <w:rsid w:val="005C7E09"/>
    <w:rPr>
      <w:i w:val="0"/>
      <w:iCs w:val="0"/>
      <w:color w:val="006D21"/>
    </w:rPr>
  </w:style>
  <w:style w:type="paragraph" w:styleId="HTML-oblikovano">
    <w:name w:val="HTML Preformatted"/>
    <w:basedOn w:val="Navaden"/>
    <w:link w:val="HTML-oblikovanoZnak"/>
    <w:uiPriority w:val="99"/>
    <w:unhideWhenUsed/>
    <w:rsid w:val="005C7E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eastAsia="sl-SI"/>
    </w:rPr>
  </w:style>
  <w:style w:type="character" w:customStyle="1" w:styleId="HTML-oblikovanoZnak">
    <w:name w:val="HTML-oblikovano Znak"/>
    <w:basedOn w:val="Privzetapisavaodstavka"/>
    <w:link w:val="HTML-oblikovano"/>
    <w:uiPriority w:val="99"/>
    <w:rsid w:val="005C7E09"/>
    <w:rPr>
      <w:rFonts w:ascii="Courier New" w:eastAsia="Times New Roman" w:hAnsi="Courier New" w:cs="Courier New"/>
      <w:sz w:val="20"/>
      <w:szCs w:val="20"/>
      <w:lang w:eastAsia="sl-SI"/>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5C7E09"/>
    <w:pPr>
      <w:widowControl w:val="0"/>
      <w:adjustRightInd w:val="0"/>
      <w:spacing w:after="160" w:line="240" w:lineRule="exact"/>
      <w:jc w:val="both"/>
      <w:textAlignment w:val="baseline"/>
    </w:pPr>
    <w:rPr>
      <w:rFonts w:ascii="Tahoma" w:eastAsia="Times New Roman" w:hAnsi="Tahoma" w:cs="Tahoma"/>
      <w:szCs w:val="20"/>
      <w:lang w:val="en-US"/>
    </w:rPr>
  </w:style>
  <w:style w:type="character" w:customStyle="1" w:styleId="FontStyle54">
    <w:name w:val="Font Style54"/>
    <w:basedOn w:val="Privzetapisavaodstavka"/>
    <w:uiPriority w:val="99"/>
    <w:rsid w:val="005C7E09"/>
    <w:rPr>
      <w:rFonts w:ascii="Arial" w:hAnsi="Arial" w:cs="Arial"/>
      <w:color w:val="000000"/>
      <w:sz w:val="16"/>
      <w:szCs w:val="16"/>
    </w:rPr>
  </w:style>
  <w:style w:type="paragraph" w:customStyle="1" w:styleId="Style6">
    <w:name w:val="Style6"/>
    <w:basedOn w:val="Navaden"/>
    <w:uiPriority w:val="99"/>
    <w:rsid w:val="005C7E09"/>
    <w:pPr>
      <w:widowControl w:val="0"/>
      <w:autoSpaceDE w:val="0"/>
      <w:autoSpaceDN w:val="0"/>
      <w:adjustRightInd w:val="0"/>
      <w:spacing w:after="0" w:line="221" w:lineRule="exact"/>
      <w:jc w:val="both"/>
    </w:pPr>
    <w:rPr>
      <w:rFonts w:eastAsiaTheme="minorEastAsia" w:cs="Arial"/>
      <w:sz w:val="24"/>
      <w:szCs w:val="24"/>
      <w:lang w:val="en-GB" w:eastAsia="sl-SI"/>
    </w:rPr>
  </w:style>
  <w:style w:type="paragraph" w:customStyle="1" w:styleId="Style46">
    <w:name w:val="Style46"/>
    <w:basedOn w:val="Navaden"/>
    <w:uiPriority w:val="99"/>
    <w:rsid w:val="005C7E09"/>
    <w:pPr>
      <w:widowControl w:val="0"/>
      <w:autoSpaceDE w:val="0"/>
      <w:autoSpaceDN w:val="0"/>
      <w:adjustRightInd w:val="0"/>
      <w:spacing w:after="0" w:line="182" w:lineRule="exact"/>
      <w:ind w:firstLine="2222"/>
    </w:pPr>
    <w:rPr>
      <w:rFonts w:eastAsiaTheme="minorEastAsia" w:cs="Arial"/>
      <w:sz w:val="24"/>
      <w:szCs w:val="24"/>
      <w:lang w:val="en-GB" w:eastAsia="sl-SI"/>
    </w:rPr>
  </w:style>
  <w:style w:type="character" w:customStyle="1" w:styleId="FontStyle57">
    <w:name w:val="Font Style57"/>
    <w:basedOn w:val="Privzetapisavaodstavka"/>
    <w:uiPriority w:val="99"/>
    <w:rsid w:val="005C7E09"/>
    <w:rPr>
      <w:rFonts w:ascii="Arial" w:hAnsi="Arial" w:cs="Arial"/>
      <w:b/>
      <w:bCs/>
      <w:color w:val="000000"/>
      <w:sz w:val="16"/>
      <w:szCs w:val="16"/>
    </w:rPr>
  </w:style>
  <w:style w:type="paragraph" w:styleId="Blokbesedila">
    <w:name w:val="Block Text"/>
    <w:basedOn w:val="Navaden"/>
    <w:rsid w:val="005C7E09"/>
    <w:pPr>
      <w:spacing w:after="0" w:line="240" w:lineRule="auto"/>
      <w:ind w:left="1440" w:right="1440"/>
      <w:jc w:val="both"/>
    </w:pPr>
    <w:rPr>
      <w:rFonts w:ascii="Times New Roman" w:eastAsia="Times New Roman" w:hAnsi="Times New Roman" w:cs="Times New Roman"/>
      <w:sz w:val="24"/>
      <w:szCs w:val="24"/>
      <w:lang w:val="en-GB" w:eastAsia="en-GB"/>
    </w:rPr>
  </w:style>
  <w:style w:type="paragraph" w:customStyle="1" w:styleId="SlogNaslovtabeleLevo0cmVisee1cm">
    <w:name w:val="Slog Naslov tabele + Levo:  0 cm Viseče:  1 cm"/>
    <w:basedOn w:val="Navaden"/>
    <w:rsid w:val="005C7E09"/>
    <w:pPr>
      <w:autoSpaceDE w:val="0"/>
      <w:autoSpaceDN w:val="0"/>
      <w:adjustRightInd w:val="0"/>
      <w:spacing w:before="120" w:after="60" w:line="240" w:lineRule="auto"/>
      <w:ind w:left="454" w:hanging="454"/>
    </w:pPr>
    <w:rPr>
      <w:rFonts w:eastAsia="Times New Roman" w:cs="Times New Roman"/>
      <w:i/>
      <w:iCs/>
      <w:szCs w:val="20"/>
      <w:lang w:eastAsia="sl-SI"/>
    </w:rPr>
  </w:style>
  <w:style w:type="numbering" w:customStyle="1" w:styleId="Slog1">
    <w:name w:val="Slog1"/>
    <w:uiPriority w:val="99"/>
    <w:rsid w:val="005C7E09"/>
    <w:pPr>
      <w:numPr>
        <w:numId w:val="6"/>
      </w:numPr>
    </w:pPr>
  </w:style>
  <w:style w:type="paragraph" w:customStyle="1" w:styleId="Naslov31">
    <w:name w:val="Naslov 3."/>
    <w:basedOn w:val="Naslov4"/>
    <w:link w:val="Naslov3Znak0"/>
    <w:uiPriority w:val="1"/>
    <w:qFormat/>
    <w:rsid w:val="005C7E09"/>
    <w:pPr>
      <w:keepLines w:val="0"/>
      <w:numPr>
        <w:ilvl w:val="0"/>
        <w:numId w:val="0"/>
      </w:numPr>
      <w:tabs>
        <w:tab w:val="left" w:pos="0"/>
        <w:tab w:val="left" w:pos="360"/>
        <w:tab w:val="left" w:pos="480"/>
        <w:tab w:val="left" w:pos="851"/>
      </w:tabs>
      <w:spacing w:before="120" w:line="264" w:lineRule="auto"/>
      <w:ind w:left="1200" w:hanging="840"/>
    </w:pPr>
    <w:rPr>
      <w:rFonts w:eastAsia="Times New Roman" w:cs="Arial"/>
      <w:i/>
      <w:iCs w:val="0"/>
      <w:szCs w:val="20"/>
      <w:lang w:eastAsia="en-GB"/>
    </w:rPr>
  </w:style>
  <w:style w:type="paragraph" w:customStyle="1" w:styleId="Naslov310">
    <w:name w:val="Naslov3.1"/>
    <w:basedOn w:val="Naslov31"/>
    <w:link w:val="Naslov31Znak"/>
    <w:uiPriority w:val="1"/>
    <w:qFormat/>
    <w:rsid w:val="005C7E09"/>
    <w:pPr>
      <w:ind w:left="851" w:hanging="851"/>
    </w:pPr>
    <w:rPr>
      <w:rFonts w:eastAsia="Calibri"/>
    </w:rPr>
  </w:style>
  <w:style w:type="character" w:customStyle="1" w:styleId="Naslov3Znak0">
    <w:name w:val="Naslov 3. Znak"/>
    <w:basedOn w:val="Naslov4Znak"/>
    <w:link w:val="Naslov31"/>
    <w:uiPriority w:val="1"/>
    <w:rsid w:val="005C7E09"/>
    <w:rPr>
      <w:rFonts w:ascii="Arial" w:eastAsia="Times New Roman" w:hAnsi="Arial" w:cs="Arial"/>
      <w:i/>
      <w:iCs w:val="0"/>
      <w:color w:val="92D050"/>
      <w:sz w:val="20"/>
      <w:szCs w:val="20"/>
      <w:lang w:eastAsia="en-GB"/>
    </w:rPr>
  </w:style>
  <w:style w:type="paragraph" w:customStyle="1" w:styleId="Naslov32">
    <w:name w:val="Naslov 3.2"/>
    <w:basedOn w:val="Naslov31"/>
    <w:link w:val="Naslov32Znak"/>
    <w:uiPriority w:val="1"/>
    <w:qFormat/>
    <w:rsid w:val="005C7E09"/>
    <w:pPr>
      <w:ind w:left="851" w:hanging="851"/>
    </w:pPr>
  </w:style>
  <w:style w:type="character" w:customStyle="1" w:styleId="Naslov31Znak">
    <w:name w:val="Naslov3.1 Znak"/>
    <w:basedOn w:val="Naslov3Znak0"/>
    <w:link w:val="Naslov310"/>
    <w:uiPriority w:val="1"/>
    <w:rsid w:val="005C7E09"/>
    <w:rPr>
      <w:rFonts w:ascii="Arial" w:eastAsia="Calibri" w:hAnsi="Arial" w:cs="Arial"/>
      <w:i/>
      <w:iCs w:val="0"/>
      <w:color w:val="92D050"/>
      <w:sz w:val="20"/>
      <w:szCs w:val="20"/>
      <w:lang w:eastAsia="en-GB"/>
    </w:rPr>
  </w:style>
  <w:style w:type="character" w:customStyle="1" w:styleId="Naslov32Znak">
    <w:name w:val="Naslov 3.2 Znak"/>
    <w:basedOn w:val="Naslov3Znak0"/>
    <w:link w:val="Naslov32"/>
    <w:uiPriority w:val="1"/>
    <w:rsid w:val="005C7E09"/>
    <w:rPr>
      <w:rFonts w:ascii="Arial" w:eastAsia="Times New Roman" w:hAnsi="Arial" w:cs="Arial"/>
      <w:i/>
      <w:iCs w:val="0"/>
      <w:color w:val="92D050"/>
      <w:sz w:val="20"/>
      <w:szCs w:val="20"/>
      <w:lang w:eastAsia="en-GB"/>
    </w:rPr>
  </w:style>
  <w:style w:type="paragraph" w:customStyle="1" w:styleId="NASLOV30">
    <w:name w:val="NASLOV3"/>
    <w:basedOn w:val="Odstavekseznama"/>
    <w:link w:val="NASLOV3Znak1"/>
    <w:uiPriority w:val="1"/>
    <w:qFormat/>
    <w:rsid w:val="005C7E09"/>
    <w:pPr>
      <w:keepNext/>
      <w:keepLines/>
      <w:numPr>
        <w:numId w:val="7"/>
      </w:numPr>
      <w:spacing w:after="0" w:line="240" w:lineRule="auto"/>
      <w:ind w:left="709" w:hanging="709"/>
      <w:contextualSpacing w:val="0"/>
      <w:jc w:val="both"/>
    </w:pPr>
    <w:rPr>
      <w:rFonts w:eastAsia="Times New Roman" w:cs="Arial"/>
      <w:szCs w:val="20"/>
      <w:lang w:eastAsia="en-GB"/>
    </w:rPr>
  </w:style>
  <w:style w:type="paragraph" w:customStyle="1" w:styleId="Naslov33">
    <w:name w:val="Naslov3.3"/>
    <w:basedOn w:val="Naslov2"/>
    <w:link w:val="Naslov33Znak"/>
    <w:uiPriority w:val="1"/>
    <w:qFormat/>
    <w:rsid w:val="005C7E09"/>
    <w:pPr>
      <w:numPr>
        <w:numId w:val="8"/>
      </w:numPr>
      <w:tabs>
        <w:tab w:val="left" w:pos="0"/>
        <w:tab w:val="left" w:pos="567"/>
        <w:tab w:val="left" w:pos="1276"/>
      </w:tabs>
      <w:spacing w:before="0" w:line="240" w:lineRule="auto"/>
      <w:ind w:left="709" w:hanging="709"/>
    </w:pPr>
    <w:rPr>
      <w:rFonts w:eastAsia="Times New Roman" w:cs="Arial"/>
      <w:b w:val="0"/>
      <w:sz w:val="20"/>
      <w:szCs w:val="20"/>
    </w:rPr>
  </w:style>
  <w:style w:type="character" w:customStyle="1" w:styleId="NASLOV3Znak1">
    <w:name w:val="NASLOV3 Znak"/>
    <w:basedOn w:val="OdstavekseznamaZnak"/>
    <w:link w:val="NASLOV30"/>
    <w:uiPriority w:val="1"/>
    <w:rsid w:val="005C7E09"/>
    <w:rPr>
      <w:rFonts w:eastAsia="Times New Roman" w:cs="Arial"/>
      <w:szCs w:val="20"/>
      <w:lang w:eastAsia="en-GB"/>
    </w:rPr>
  </w:style>
  <w:style w:type="paragraph" w:customStyle="1" w:styleId="Naslov330">
    <w:name w:val="Naslov 3.3"/>
    <w:basedOn w:val="Naslov33"/>
    <w:link w:val="Naslov33Znak0"/>
    <w:uiPriority w:val="1"/>
    <w:qFormat/>
    <w:rsid w:val="005C7E09"/>
  </w:style>
  <w:style w:type="character" w:customStyle="1" w:styleId="Naslov33Znak">
    <w:name w:val="Naslov3.3 Znak"/>
    <w:basedOn w:val="Naslov2Znak"/>
    <w:link w:val="Naslov33"/>
    <w:uiPriority w:val="1"/>
    <w:rsid w:val="005C7E09"/>
    <w:rPr>
      <w:rFonts w:eastAsia="Times New Roman" w:cs="Arial"/>
      <w:b w:val="0"/>
      <w:color w:val="92D050"/>
      <w:sz w:val="24"/>
      <w:szCs w:val="20"/>
    </w:rPr>
  </w:style>
  <w:style w:type="character" w:customStyle="1" w:styleId="Naslov33Znak0">
    <w:name w:val="Naslov 3.3 Znak"/>
    <w:basedOn w:val="Naslov33Znak"/>
    <w:link w:val="Naslov330"/>
    <w:uiPriority w:val="1"/>
    <w:rsid w:val="005C7E09"/>
    <w:rPr>
      <w:rFonts w:eastAsia="Times New Roman" w:cs="Arial"/>
      <w:b w:val="0"/>
      <w:color w:val="92D050"/>
      <w:sz w:val="24"/>
      <w:szCs w:val="20"/>
    </w:rPr>
  </w:style>
  <w:style w:type="paragraph" w:customStyle="1" w:styleId="SLIKA">
    <w:name w:val="SLIKA"/>
    <w:basedOn w:val="Navaden"/>
    <w:link w:val="SLIKAZnak"/>
    <w:rsid w:val="00AD3E03"/>
    <w:pPr>
      <w:numPr>
        <w:numId w:val="5"/>
      </w:numPr>
      <w:spacing w:before="120" w:after="0" w:line="240" w:lineRule="auto"/>
      <w:ind w:left="426" w:hanging="284"/>
      <w:jc w:val="both"/>
    </w:pPr>
    <w:rPr>
      <w:rFonts w:eastAsia="Times New Roman" w:cs="Arial"/>
      <w:b/>
      <w:szCs w:val="20"/>
      <w:lang w:eastAsia="en-GB"/>
    </w:rPr>
  </w:style>
  <w:style w:type="character" w:customStyle="1" w:styleId="SLIKAZnak">
    <w:name w:val="SLIKA Znak"/>
    <w:basedOn w:val="Privzetapisavaodstavka"/>
    <w:link w:val="SLIKA"/>
    <w:rsid w:val="00AD3E03"/>
    <w:rPr>
      <w:rFonts w:eastAsia="Times New Roman" w:cs="Arial"/>
      <w:b/>
      <w:szCs w:val="20"/>
      <w:lang w:eastAsia="en-GB"/>
    </w:rPr>
  </w:style>
  <w:style w:type="paragraph" w:styleId="Brezrazmikov">
    <w:name w:val="No Spacing"/>
    <w:aliases w:val="navaden bold JOŽI"/>
    <w:link w:val="BrezrazmikovZnak"/>
    <w:uiPriority w:val="1"/>
    <w:qFormat/>
    <w:rsid w:val="006C63D5"/>
    <w:pPr>
      <w:spacing w:after="0" w:line="240" w:lineRule="auto"/>
    </w:pPr>
    <w:rPr>
      <w:rFonts w:ascii="Calibri" w:eastAsia="Calibri" w:hAnsi="Calibri" w:cs="Times New Roman"/>
      <w:lang w:val="en-GB" w:eastAsia="en-GB"/>
    </w:rPr>
  </w:style>
  <w:style w:type="paragraph" w:styleId="Podnaslov">
    <w:name w:val="Subtitle"/>
    <w:aliases w:val="podnaslov JOŽI"/>
    <w:basedOn w:val="Navaden"/>
    <w:link w:val="PodnaslovZnak"/>
    <w:uiPriority w:val="11"/>
    <w:qFormat/>
    <w:rsid w:val="006C63D5"/>
    <w:pPr>
      <w:spacing w:after="0" w:line="240" w:lineRule="auto"/>
      <w:jc w:val="center"/>
    </w:pPr>
    <w:rPr>
      <w:rFonts w:eastAsia="Arial" w:cs="Times New Roman"/>
      <w:szCs w:val="20"/>
      <w:lang w:eastAsia="en-GB"/>
    </w:rPr>
  </w:style>
  <w:style w:type="character" w:customStyle="1" w:styleId="PodnaslovZnak">
    <w:name w:val="Podnaslov Znak"/>
    <w:aliases w:val="podnaslov JOŽI Znak"/>
    <w:basedOn w:val="Privzetapisavaodstavka"/>
    <w:link w:val="Podnaslov"/>
    <w:uiPriority w:val="11"/>
    <w:rsid w:val="006C63D5"/>
    <w:rPr>
      <w:rFonts w:ascii="Arial" w:eastAsia="Arial" w:hAnsi="Arial" w:cs="Times New Roman"/>
      <w:sz w:val="20"/>
      <w:szCs w:val="20"/>
      <w:lang w:eastAsia="en-GB"/>
    </w:rPr>
  </w:style>
  <w:style w:type="character" w:styleId="Neenpoudarek">
    <w:name w:val="Subtle Emphasis"/>
    <w:basedOn w:val="Privzetapisavaodstavka"/>
    <w:uiPriority w:val="17"/>
    <w:qFormat/>
    <w:rsid w:val="006C63D5"/>
    <w:rPr>
      <w:i/>
      <w:color w:val="808080" w:themeColor="text1" w:themeTint="7F"/>
      <w:w w:val="100"/>
      <w:sz w:val="20"/>
      <w:szCs w:val="20"/>
      <w:shd w:val="clear" w:color="auto" w:fill="auto"/>
    </w:rPr>
  </w:style>
  <w:style w:type="paragraph" w:customStyle="1" w:styleId="Text2">
    <w:name w:val="Text 2"/>
    <w:basedOn w:val="Navaden"/>
    <w:link w:val="Text2Char"/>
    <w:rsid w:val="006C63D5"/>
    <w:pPr>
      <w:tabs>
        <w:tab w:val="left" w:pos="2160"/>
      </w:tabs>
      <w:spacing w:after="0" w:line="240" w:lineRule="auto"/>
      <w:ind w:left="1077"/>
      <w:jc w:val="both"/>
    </w:pPr>
    <w:rPr>
      <w:rFonts w:ascii="Times New Roman" w:eastAsia="Times New Roman" w:hAnsi="Times New Roman" w:cs="Times New Roman"/>
      <w:sz w:val="24"/>
      <w:szCs w:val="24"/>
      <w:lang w:eastAsia="en-GB"/>
    </w:rPr>
  </w:style>
  <w:style w:type="paragraph" w:customStyle="1" w:styleId="Text3">
    <w:name w:val="Text 3"/>
    <w:basedOn w:val="Navaden"/>
    <w:rsid w:val="006C63D5"/>
    <w:pPr>
      <w:tabs>
        <w:tab w:val="left" w:pos="2302"/>
      </w:tabs>
      <w:spacing w:after="0" w:line="240" w:lineRule="auto"/>
      <w:ind w:left="1916"/>
      <w:jc w:val="both"/>
    </w:pPr>
    <w:rPr>
      <w:rFonts w:ascii="Times New Roman" w:eastAsia="Times New Roman" w:hAnsi="Times New Roman" w:cs="Times New Roman"/>
      <w:sz w:val="24"/>
      <w:szCs w:val="24"/>
      <w:lang w:eastAsia="en-GB"/>
    </w:rPr>
  </w:style>
  <w:style w:type="paragraph" w:customStyle="1" w:styleId="Text4">
    <w:name w:val="Text 4"/>
    <w:basedOn w:val="Navaden"/>
    <w:rsid w:val="006C63D5"/>
    <w:pPr>
      <w:spacing w:after="0" w:line="240" w:lineRule="auto"/>
      <w:ind w:left="2880"/>
      <w:jc w:val="both"/>
    </w:pPr>
    <w:rPr>
      <w:rFonts w:ascii="Times New Roman" w:eastAsia="Times New Roman" w:hAnsi="Times New Roman" w:cs="Times New Roman"/>
      <w:sz w:val="24"/>
      <w:szCs w:val="24"/>
      <w:lang w:eastAsia="en-GB"/>
    </w:rPr>
  </w:style>
  <w:style w:type="paragraph" w:customStyle="1" w:styleId="Address">
    <w:name w:val="Address"/>
    <w:basedOn w:val="Navaden"/>
    <w:rsid w:val="006C63D5"/>
    <w:pPr>
      <w:spacing w:after="0" w:line="240" w:lineRule="auto"/>
      <w:jc w:val="both"/>
    </w:pPr>
    <w:rPr>
      <w:rFonts w:ascii="Times New Roman" w:eastAsia="Times New Roman" w:hAnsi="Times New Roman" w:cs="Times New Roman"/>
      <w:sz w:val="24"/>
      <w:szCs w:val="24"/>
      <w:lang w:eastAsia="en-GB"/>
    </w:rPr>
  </w:style>
  <w:style w:type="paragraph" w:customStyle="1" w:styleId="AddressTL">
    <w:name w:val="AddressTL"/>
    <w:basedOn w:val="Navaden"/>
    <w:next w:val="Navaden"/>
    <w:rsid w:val="006C63D5"/>
    <w:pPr>
      <w:spacing w:after="0" w:line="240" w:lineRule="auto"/>
      <w:jc w:val="both"/>
    </w:pPr>
    <w:rPr>
      <w:rFonts w:ascii="Times New Roman" w:eastAsia="Times New Roman" w:hAnsi="Times New Roman" w:cs="Times New Roman"/>
      <w:sz w:val="24"/>
      <w:szCs w:val="24"/>
      <w:lang w:eastAsia="en-GB"/>
    </w:rPr>
  </w:style>
  <w:style w:type="paragraph" w:customStyle="1" w:styleId="AddressTR">
    <w:name w:val="AddressTR"/>
    <w:basedOn w:val="Navaden"/>
    <w:next w:val="Navaden"/>
    <w:rsid w:val="006C63D5"/>
    <w:pPr>
      <w:spacing w:after="0" w:line="240" w:lineRule="auto"/>
      <w:ind w:left="5103"/>
      <w:jc w:val="both"/>
    </w:pPr>
    <w:rPr>
      <w:rFonts w:ascii="Times New Roman" w:eastAsia="Times New Roman" w:hAnsi="Times New Roman" w:cs="Times New Roman"/>
      <w:sz w:val="24"/>
      <w:szCs w:val="24"/>
      <w:lang w:eastAsia="en-GB"/>
    </w:rPr>
  </w:style>
  <w:style w:type="paragraph" w:styleId="Telobesedila">
    <w:name w:val="Body Text"/>
    <w:basedOn w:val="Navaden"/>
    <w:link w:val="TelobesedilaZnak"/>
    <w:rsid w:val="006C63D5"/>
    <w:pPr>
      <w:spacing w:after="0" w:line="240" w:lineRule="auto"/>
      <w:jc w:val="both"/>
    </w:pPr>
    <w:rPr>
      <w:rFonts w:ascii="Times New Roman" w:eastAsia="Times New Roman" w:hAnsi="Times New Roman" w:cs="Times New Roman"/>
      <w:sz w:val="24"/>
      <w:szCs w:val="24"/>
      <w:lang w:eastAsia="en-GB"/>
    </w:rPr>
  </w:style>
  <w:style w:type="character" w:customStyle="1" w:styleId="TelobesedilaZnak">
    <w:name w:val="Telo besedila Znak"/>
    <w:basedOn w:val="Privzetapisavaodstavka"/>
    <w:link w:val="Telobesedila"/>
    <w:rsid w:val="006C63D5"/>
    <w:rPr>
      <w:rFonts w:ascii="Times New Roman" w:eastAsia="Times New Roman" w:hAnsi="Times New Roman" w:cs="Times New Roman"/>
      <w:sz w:val="24"/>
      <w:szCs w:val="24"/>
      <w:lang w:eastAsia="en-GB"/>
    </w:rPr>
  </w:style>
  <w:style w:type="paragraph" w:styleId="Telobesedila2">
    <w:name w:val="Body Text 2"/>
    <w:basedOn w:val="Navaden"/>
    <w:link w:val="Telobesedila2Znak"/>
    <w:rsid w:val="006C63D5"/>
    <w:pPr>
      <w:spacing w:after="0" w:line="240" w:lineRule="auto"/>
      <w:jc w:val="both"/>
    </w:pPr>
    <w:rPr>
      <w:rFonts w:ascii="Times New Roman" w:eastAsia="Times New Roman" w:hAnsi="Times New Roman" w:cs="Times New Roman"/>
      <w:sz w:val="24"/>
      <w:szCs w:val="24"/>
      <w:lang w:eastAsia="en-GB"/>
    </w:rPr>
  </w:style>
  <w:style w:type="character" w:customStyle="1" w:styleId="Telobesedila2Znak">
    <w:name w:val="Telo besedila 2 Znak"/>
    <w:basedOn w:val="Privzetapisavaodstavka"/>
    <w:link w:val="Telobesedila2"/>
    <w:rsid w:val="006C63D5"/>
    <w:rPr>
      <w:rFonts w:ascii="Times New Roman" w:eastAsia="Times New Roman" w:hAnsi="Times New Roman" w:cs="Times New Roman"/>
      <w:sz w:val="24"/>
      <w:szCs w:val="24"/>
      <w:lang w:eastAsia="en-GB"/>
    </w:rPr>
  </w:style>
  <w:style w:type="paragraph" w:styleId="Telobesedila3">
    <w:name w:val="Body Text 3"/>
    <w:basedOn w:val="Navaden"/>
    <w:link w:val="Telobesedila3Znak"/>
    <w:rsid w:val="006C63D5"/>
    <w:pPr>
      <w:spacing w:after="0" w:line="240" w:lineRule="auto"/>
      <w:jc w:val="both"/>
    </w:pPr>
    <w:rPr>
      <w:rFonts w:ascii="Times New Roman" w:eastAsia="Times New Roman" w:hAnsi="Times New Roman" w:cs="Times New Roman"/>
      <w:sz w:val="16"/>
      <w:szCs w:val="16"/>
      <w:lang w:eastAsia="en-GB"/>
    </w:rPr>
  </w:style>
  <w:style w:type="character" w:customStyle="1" w:styleId="Telobesedila3Znak">
    <w:name w:val="Telo besedila 3 Znak"/>
    <w:basedOn w:val="Privzetapisavaodstavka"/>
    <w:link w:val="Telobesedila3"/>
    <w:rsid w:val="006C63D5"/>
    <w:rPr>
      <w:rFonts w:ascii="Times New Roman" w:eastAsia="Times New Roman" w:hAnsi="Times New Roman" w:cs="Times New Roman"/>
      <w:sz w:val="16"/>
      <w:szCs w:val="16"/>
      <w:lang w:eastAsia="en-GB"/>
    </w:rPr>
  </w:style>
  <w:style w:type="paragraph" w:styleId="Telobesedila-prvizamik">
    <w:name w:val="Body Text First Indent"/>
    <w:basedOn w:val="Telobesedila"/>
    <w:link w:val="Telobesedila-prvizamikZnak"/>
    <w:rsid w:val="006C63D5"/>
    <w:pPr>
      <w:ind w:firstLine="210"/>
    </w:pPr>
  </w:style>
  <w:style w:type="character" w:customStyle="1" w:styleId="Telobesedila-prvizamikZnak">
    <w:name w:val="Telo besedila - prvi zamik Znak"/>
    <w:basedOn w:val="TelobesedilaZnak"/>
    <w:link w:val="Telobesedila-prvizamik"/>
    <w:rsid w:val="006C63D5"/>
    <w:rPr>
      <w:rFonts w:ascii="Times New Roman" w:eastAsia="Times New Roman" w:hAnsi="Times New Roman" w:cs="Times New Roman"/>
      <w:sz w:val="24"/>
      <w:szCs w:val="24"/>
      <w:lang w:eastAsia="en-GB"/>
    </w:rPr>
  </w:style>
  <w:style w:type="paragraph" w:styleId="Telobesedila-zamik">
    <w:name w:val="Body Text Indent"/>
    <w:basedOn w:val="Navaden"/>
    <w:link w:val="Telobesedila-zamikZnak"/>
    <w:rsid w:val="006C63D5"/>
    <w:pPr>
      <w:spacing w:after="0" w:line="240" w:lineRule="auto"/>
      <w:ind w:left="283"/>
      <w:jc w:val="both"/>
    </w:pPr>
    <w:rPr>
      <w:rFonts w:ascii="Times New Roman" w:eastAsia="Times New Roman" w:hAnsi="Times New Roman" w:cs="Times New Roman"/>
      <w:sz w:val="24"/>
      <w:szCs w:val="24"/>
      <w:lang w:eastAsia="en-GB"/>
    </w:rPr>
  </w:style>
  <w:style w:type="character" w:customStyle="1" w:styleId="Telobesedila-zamikZnak">
    <w:name w:val="Telo besedila - zamik Znak"/>
    <w:basedOn w:val="Privzetapisavaodstavka"/>
    <w:link w:val="Telobesedila-zamik"/>
    <w:rsid w:val="006C63D5"/>
    <w:rPr>
      <w:rFonts w:ascii="Times New Roman" w:eastAsia="Times New Roman" w:hAnsi="Times New Roman" w:cs="Times New Roman"/>
      <w:sz w:val="24"/>
      <w:szCs w:val="24"/>
      <w:lang w:eastAsia="en-GB"/>
    </w:rPr>
  </w:style>
  <w:style w:type="paragraph" w:styleId="Telobesedila-prvizamik2">
    <w:name w:val="Body Text First Indent 2"/>
    <w:basedOn w:val="Telobesedila-zamik"/>
    <w:link w:val="Telobesedila-prvizamik2Znak"/>
    <w:rsid w:val="006C63D5"/>
    <w:pPr>
      <w:ind w:firstLine="210"/>
    </w:pPr>
  </w:style>
  <w:style w:type="character" w:customStyle="1" w:styleId="Telobesedila-prvizamik2Znak">
    <w:name w:val="Telo besedila - prvi zamik 2 Znak"/>
    <w:basedOn w:val="Telobesedila-zamikZnak"/>
    <w:link w:val="Telobesedila-prvizamik2"/>
    <w:rsid w:val="006C63D5"/>
    <w:rPr>
      <w:rFonts w:ascii="Times New Roman" w:eastAsia="Times New Roman" w:hAnsi="Times New Roman" w:cs="Times New Roman"/>
      <w:sz w:val="24"/>
      <w:szCs w:val="24"/>
      <w:lang w:eastAsia="en-GB"/>
    </w:rPr>
  </w:style>
  <w:style w:type="paragraph" w:styleId="Telobesedila-zamik2">
    <w:name w:val="Body Text Indent 2"/>
    <w:basedOn w:val="Navaden"/>
    <w:link w:val="Telobesedila-zamik2Znak"/>
    <w:rsid w:val="006C63D5"/>
    <w:pPr>
      <w:spacing w:after="0" w:line="240" w:lineRule="auto"/>
      <w:ind w:left="283"/>
      <w:jc w:val="both"/>
    </w:pPr>
    <w:rPr>
      <w:rFonts w:ascii="Times New Roman" w:eastAsia="Times New Roman" w:hAnsi="Times New Roman" w:cs="Times New Roman"/>
      <w:sz w:val="24"/>
      <w:szCs w:val="24"/>
      <w:lang w:eastAsia="en-GB"/>
    </w:rPr>
  </w:style>
  <w:style w:type="character" w:customStyle="1" w:styleId="Telobesedila-zamik2Znak">
    <w:name w:val="Telo besedila - zamik 2 Znak"/>
    <w:basedOn w:val="Privzetapisavaodstavka"/>
    <w:link w:val="Telobesedila-zamik2"/>
    <w:rsid w:val="006C63D5"/>
    <w:rPr>
      <w:rFonts w:ascii="Times New Roman" w:eastAsia="Times New Roman" w:hAnsi="Times New Roman" w:cs="Times New Roman"/>
      <w:sz w:val="24"/>
      <w:szCs w:val="24"/>
      <w:lang w:eastAsia="en-GB"/>
    </w:rPr>
  </w:style>
  <w:style w:type="paragraph" w:styleId="Telobesedila-zamik3">
    <w:name w:val="Body Text Indent 3"/>
    <w:basedOn w:val="Navaden"/>
    <w:link w:val="Telobesedila-zamik3Znak"/>
    <w:rsid w:val="006C63D5"/>
    <w:pPr>
      <w:spacing w:after="0" w:line="240" w:lineRule="auto"/>
      <w:ind w:left="283"/>
      <w:jc w:val="both"/>
    </w:pPr>
    <w:rPr>
      <w:rFonts w:ascii="Times New Roman" w:eastAsia="Times New Roman" w:hAnsi="Times New Roman" w:cs="Times New Roman"/>
      <w:sz w:val="16"/>
      <w:szCs w:val="16"/>
      <w:lang w:eastAsia="en-GB"/>
    </w:rPr>
  </w:style>
  <w:style w:type="character" w:customStyle="1" w:styleId="Telobesedila-zamik3Znak">
    <w:name w:val="Telo besedila - zamik 3 Znak"/>
    <w:basedOn w:val="Privzetapisavaodstavka"/>
    <w:link w:val="Telobesedila-zamik3"/>
    <w:rsid w:val="006C63D5"/>
    <w:rPr>
      <w:rFonts w:ascii="Times New Roman" w:eastAsia="Times New Roman" w:hAnsi="Times New Roman" w:cs="Times New Roman"/>
      <w:sz w:val="16"/>
      <w:szCs w:val="16"/>
      <w:lang w:eastAsia="en-GB"/>
    </w:rPr>
  </w:style>
  <w:style w:type="paragraph" w:styleId="Zakljunipozdrav">
    <w:name w:val="Closing"/>
    <w:basedOn w:val="Navaden"/>
    <w:link w:val="ZakljunipozdravZnak"/>
    <w:rsid w:val="006C63D5"/>
    <w:pPr>
      <w:tabs>
        <w:tab w:val="left" w:pos="5103"/>
      </w:tabs>
      <w:spacing w:after="0" w:line="240" w:lineRule="auto"/>
      <w:ind w:left="5103"/>
      <w:jc w:val="both"/>
    </w:pPr>
    <w:rPr>
      <w:rFonts w:ascii="Times New Roman" w:eastAsia="Times New Roman" w:hAnsi="Times New Roman" w:cs="Times New Roman"/>
      <w:sz w:val="24"/>
      <w:szCs w:val="24"/>
      <w:lang w:eastAsia="en-GB"/>
    </w:rPr>
  </w:style>
  <w:style w:type="character" w:customStyle="1" w:styleId="ZakljunipozdravZnak">
    <w:name w:val="Zaključni pozdrav Znak"/>
    <w:basedOn w:val="Privzetapisavaodstavka"/>
    <w:link w:val="Zakljunipozdrav"/>
    <w:rsid w:val="006C63D5"/>
    <w:rPr>
      <w:rFonts w:ascii="Times New Roman" w:eastAsia="Times New Roman" w:hAnsi="Times New Roman" w:cs="Times New Roman"/>
      <w:sz w:val="24"/>
      <w:szCs w:val="24"/>
      <w:lang w:eastAsia="en-GB"/>
    </w:rPr>
  </w:style>
  <w:style w:type="paragraph" w:styleId="Podpis">
    <w:name w:val="Signature"/>
    <w:basedOn w:val="Navaden"/>
    <w:link w:val="PodpisZnak"/>
    <w:rsid w:val="006C63D5"/>
    <w:pPr>
      <w:tabs>
        <w:tab w:val="left" w:pos="5103"/>
      </w:tabs>
      <w:spacing w:after="0" w:line="240" w:lineRule="auto"/>
      <w:ind w:left="5103"/>
      <w:jc w:val="center"/>
    </w:pPr>
    <w:rPr>
      <w:rFonts w:ascii="Times New Roman" w:eastAsia="Times New Roman" w:hAnsi="Times New Roman" w:cs="Times New Roman"/>
      <w:sz w:val="24"/>
      <w:szCs w:val="24"/>
      <w:lang w:eastAsia="en-GB"/>
    </w:rPr>
  </w:style>
  <w:style w:type="character" w:customStyle="1" w:styleId="PodpisZnak">
    <w:name w:val="Podpis Znak"/>
    <w:basedOn w:val="Privzetapisavaodstavka"/>
    <w:link w:val="Podpis"/>
    <w:rsid w:val="006C63D5"/>
    <w:rPr>
      <w:rFonts w:ascii="Times New Roman" w:eastAsia="Times New Roman" w:hAnsi="Times New Roman" w:cs="Times New Roman"/>
      <w:sz w:val="24"/>
      <w:szCs w:val="24"/>
      <w:lang w:eastAsia="en-GB"/>
    </w:rPr>
  </w:style>
  <w:style w:type="paragraph" w:customStyle="1" w:styleId="Enclosures">
    <w:name w:val="Enclosures"/>
    <w:basedOn w:val="Navaden"/>
    <w:rsid w:val="006C63D5"/>
    <w:pPr>
      <w:keepNext/>
      <w:keepLines/>
      <w:tabs>
        <w:tab w:val="left" w:pos="5670"/>
      </w:tabs>
      <w:spacing w:after="0" w:line="240" w:lineRule="auto"/>
      <w:ind w:left="3970" w:hanging="1985"/>
      <w:jc w:val="both"/>
    </w:pPr>
    <w:rPr>
      <w:rFonts w:ascii="Times New Roman" w:eastAsia="Times New Roman" w:hAnsi="Times New Roman" w:cs="Times New Roman"/>
      <w:sz w:val="24"/>
      <w:szCs w:val="24"/>
      <w:lang w:eastAsia="en-GB"/>
    </w:rPr>
  </w:style>
  <w:style w:type="paragraph" w:customStyle="1" w:styleId="Participants">
    <w:name w:val="Participants"/>
    <w:basedOn w:val="Navaden"/>
    <w:rsid w:val="006C63D5"/>
    <w:pPr>
      <w:tabs>
        <w:tab w:val="left" w:pos="2552"/>
        <w:tab w:val="left" w:pos="2835"/>
        <w:tab w:val="left" w:pos="5670"/>
        <w:tab w:val="left" w:pos="6379"/>
        <w:tab w:val="left" w:pos="6804"/>
      </w:tabs>
      <w:spacing w:after="0" w:line="240" w:lineRule="auto"/>
      <w:ind w:left="3970" w:hanging="1985"/>
      <w:jc w:val="both"/>
    </w:pPr>
    <w:rPr>
      <w:rFonts w:ascii="Times New Roman" w:eastAsia="Times New Roman" w:hAnsi="Times New Roman" w:cs="Times New Roman"/>
      <w:sz w:val="24"/>
      <w:szCs w:val="24"/>
      <w:lang w:eastAsia="en-GB"/>
    </w:rPr>
  </w:style>
  <w:style w:type="paragraph" w:customStyle="1" w:styleId="Copies">
    <w:name w:val="Copies"/>
    <w:basedOn w:val="Navaden"/>
    <w:next w:val="Navaden"/>
    <w:rsid w:val="006C63D5"/>
    <w:pPr>
      <w:tabs>
        <w:tab w:val="left" w:pos="2552"/>
        <w:tab w:val="left" w:pos="2835"/>
        <w:tab w:val="left" w:pos="5670"/>
        <w:tab w:val="left" w:pos="6379"/>
        <w:tab w:val="left" w:pos="6804"/>
      </w:tabs>
      <w:spacing w:after="0" w:line="240" w:lineRule="auto"/>
      <w:ind w:left="3970" w:hanging="1985"/>
      <w:jc w:val="both"/>
    </w:pPr>
    <w:rPr>
      <w:rFonts w:ascii="Times New Roman" w:eastAsia="Times New Roman" w:hAnsi="Times New Roman" w:cs="Times New Roman"/>
      <w:sz w:val="24"/>
      <w:szCs w:val="24"/>
      <w:lang w:eastAsia="en-GB"/>
    </w:rPr>
  </w:style>
  <w:style w:type="paragraph" w:styleId="Datum">
    <w:name w:val="Date"/>
    <w:basedOn w:val="Navaden"/>
    <w:link w:val="DatumZnak"/>
    <w:rsid w:val="006C63D5"/>
    <w:pPr>
      <w:spacing w:after="0" w:line="240" w:lineRule="auto"/>
      <w:ind w:left="5103" w:right="-567"/>
      <w:jc w:val="both"/>
    </w:pPr>
    <w:rPr>
      <w:rFonts w:ascii="Times New Roman" w:eastAsia="Times New Roman" w:hAnsi="Times New Roman" w:cs="Times New Roman"/>
      <w:sz w:val="24"/>
      <w:szCs w:val="24"/>
      <w:lang w:eastAsia="en-GB"/>
    </w:rPr>
  </w:style>
  <w:style w:type="character" w:customStyle="1" w:styleId="DatumZnak">
    <w:name w:val="Datum Znak"/>
    <w:basedOn w:val="Privzetapisavaodstavka"/>
    <w:link w:val="Datum"/>
    <w:rsid w:val="006C63D5"/>
    <w:rPr>
      <w:rFonts w:ascii="Times New Roman" w:eastAsia="Times New Roman" w:hAnsi="Times New Roman" w:cs="Times New Roman"/>
      <w:sz w:val="24"/>
      <w:szCs w:val="24"/>
      <w:lang w:eastAsia="en-GB"/>
    </w:rPr>
  </w:style>
  <w:style w:type="paragraph" w:customStyle="1" w:styleId="References">
    <w:name w:val="References"/>
    <w:basedOn w:val="Navaden"/>
    <w:next w:val="AddressTR"/>
    <w:rsid w:val="006C63D5"/>
    <w:pPr>
      <w:spacing w:after="0" w:line="240" w:lineRule="auto"/>
      <w:ind w:left="5103"/>
      <w:jc w:val="both"/>
    </w:pPr>
    <w:rPr>
      <w:rFonts w:ascii="Times New Roman" w:eastAsia="Times New Roman" w:hAnsi="Times New Roman" w:cs="Times New Roman"/>
      <w:szCs w:val="20"/>
      <w:lang w:eastAsia="en-GB"/>
    </w:rPr>
  </w:style>
  <w:style w:type="paragraph" w:styleId="Zgradbadokumenta">
    <w:name w:val="Document Map"/>
    <w:basedOn w:val="Navaden"/>
    <w:link w:val="ZgradbadokumentaZnak"/>
    <w:semiHidden/>
    <w:rsid w:val="006C63D5"/>
    <w:pPr>
      <w:shd w:val="clear" w:color="000000" w:fill="000080"/>
      <w:spacing w:after="0" w:line="240" w:lineRule="auto"/>
      <w:jc w:val="both"/>
    </w:pPr>
    <w:rPr>
      <w:rFonts w:ascii="Tahoma" w:eastAsia="Tahoma" w:hAnsi="Tahoma" w:cs="Times New Roman"/>
      <w:szCs w:val="20"/>
      <w:lang w:eastAsia="en-GB"/>
    </w:rPr>
  </w:style>
  <w:style w:type="character" w:customStyle="1" w:styleId="ZgradbadokumentaZnak">
    <w:name w:val="Zgradba dokumenta Znak"/>
    <w:basedOn w:val="Privzetapisavaodstavka"/>
    <w:link w:val="Zgradbadokumenta"/>
    <w:semiHidden/>
    <w:rsid w:val="006C63D5"/>
    <w:rPr>
      <w:rFonts w:ascii="Tahoma" w:eastAsia="Tahoma" w:hAnsi="Tahoma" w:cs="Times New Roman"/>
      <w:sz w:val="20"/>
      <w:szCs w:val="20"/>
      <w:shd w:val="clear" w:color="000000" w:fill="000080"/>
      <w:lang w:eastAsia="en-GB"/>
    </w:rPr>
  </w:style>
  <w:style w:type="paragraph" w:customStyle="1" w:styleId="DoubSign">
    <w:name w:val="DoubSign"/>
    <w:basedOn w:val="Navaden"/>
    <w:rsid w:val="006C63D5"/>
    <w:pPr>
      <w:tabs>
        <w:tab w:val="left" w:pos="5103"/>
      </w:tabs>
      <w:spacing w:after="0" w:line="240" w:lineRule="auto"/>
      <w:jc w:val="both"/>
    </w:pPr>
    <w:rPr>
      <w:rFonts w:ascii="Times New Roman" w:eastAsia="Times New Roman" w:hAnsi="Times New Roman" w:cs="Times New Roman"/>
      <w:sz w:val="24"/>
      <w:szCs w:val="24"/>
      <w:lang w:eastAsia="en-GB"/>
    </w:rPr>
  </w:style>
  <w:style w:type="paragraph" w:styleId="Naslovnaslovnika">
    <w:name w:val="envelope address"/>
    <w:basedOn w:val="Navaden"/>
    <w:rsid w:val="006C63D5"/>
    <w:pPr>
      <w:spacing w:after="0" w:line="240" w:lineRule="auto"/>
      <w:jc w:val="both"/>
    </w:pPr>
    <w:rPr>
      <w:rFonts w:ascii="Times New Roman" w:eastAsia="Times New Roman" w:hAnsi="Times New Roman" w:cs="Times New Roman"/>
      <w:sz w:val="24"/>
      <w:szCs w:val="24"/>
      <w:lang w:eastAsia="en-GB"/>
    </w:rPr>
  </w:style>
  <w:style w:type="paragraph" w:styleId="Naslovpoiljatelja">
    <w:name w:val="envelope return"/>
    <w:basedOn w:val="Navaden"/>
    <w:rsid w:val="006C63D5"/>
    <w:pPr>
      <w:spacing w:after="0" w:line="240" w:lineRule="auto"/>
      <w:jc w:val="both"/>
    </w:pPr>
    <w:rPr>
      <w:rFonts w:ascii="Times New Roman" w:eastAsia="Times New Roman" w:hAnsi="Times New Roman" w:cs="Times New Roman"/>
      <w:szCs w:val="20"/>
      <w:lang w:eastAsia="en-GB"/>
    </w:rPr>
  </w:style>
  <w:style w:type="paragraph" w:styleId="Stvarnokazalo1">
    <w:name w:val="index 1"/>
    <w:basedOn w:val="Navaden"/>
    <w:next w:val="Navaden"/>
    <w:semiHidden/>
    <w:rsid w:val="006C63D5"/>
    <w:pPr>
      <w:spacing w:after="0" w:line="240" w:lineRule="auto"/>
      <w:ind w:left="480" w:hanging="240"/>
      <w:jc w:val="both"/>
    </w:pPr>
    <w:rPr>
      <w:rFonts w:ascii="Times New Roman" w:eastAsia="Times New Roman" w:hAnsi="Times New Roman" w:cs="Times New Roman"/>
      <w:sz w:val="24"/>
      <w:szCs w:val="24"/>
      <w:lang w:eastAsia="en-GB"/>
    </w:rPr>
  </w:style>
  <w:style w:type="paragraph" w:styleId="Stvarnokazalo2">
    <w:name w:val="index 2"/>
    <w:basedOn w:val="Navaden"/>
    <w:next w:val="Navaden"/>
    <w:semiHidden/>
    <w:rsid w:val="006C63D5"/>
    <w:pPr>
      <w:spacing w:after="0" w:line="240" w:lineRule="auto"/>
      <w:ind w:left="720" w:hanging="240"/>
      <w:jc w:val="both"/>
    </w:pPr>
    <w:rPr>
      <w:rFonts w:ascii="Times New Roman" w:eastAsia="Times New Roman" w:hAnsi="Times New Roman" w:cs="Times New Roman"/>
      <w:sz w:val="24"/>
      <w:szCs w:val="24"/>
      <w:lang w:eastAsia="en-GB"/>
    </w:rPr>
  </w:style>
  <w:style w:type="paragraph" w:styleId="Stvarnokazalo3">
    <w:name w:val="index 3"/>
    <w:basedOn w:val="Navaden"/>
    <w:next w:val="Navaden"/>
    <w:semiHidden/>
    <w:rsid w:val="006C63D5"/>
    <w:pPr>
      <w:spacing w:after="0" w:line="240" w:lineRule="auto"/>
      <w:ind w:left="960" w:hanging="240"/>
      <w:jc w:val="both"/>
    </w:pPr>
    <w:rPr>
      <w:rFonts w:ascii="Times New Roman" w:eastAsia="Times New Roman" w:hAnsi="Times New Roman" w:cs="Times New Roman"/>
      <w:sz w:val="24"/>
      <w:szCs w:val="24"/>
      <w:lang w:eastAsia="en-GB"/>
    </w:rPr>
  </w:style>
  <w:style w:type="paragraph" w:styleId="Stvarnokazalo4">
    <w:name w:val="index 4"/>
    <w:basedOn w:val="Navaden"/>
    <w:next w:val="Navaden"/>
    <w:semiHidden/>
    <w:rsid w:val="006C63D5"/>
    <w:pPr>
      <w:spacing w:after="0" w:line="240" w:lineRule="auto"/>
      <w:ind w:left="1200" w:hanging="240"/>
      <w:jc w:val="both"/>
    </w:pPr>
    <w:rPr>
      <w:rFonts w:ascii="Times New Roman" w:eastAsia="Times New Roman" w:hAnsi="Times New Roman" w:cs="Times New Roman"/>
      <w:sz w:val="24"/>
      <w:szCs w:val="24"/>
      <w:lang w:eastAsia="en-GB"/>
    </w:rPr>
  </w:style>
  <w:style w:type="paragraph" w:styleId="Stvarnokazalo5">
    <w:name w:val="index 5"/>
    <w:basedOn w:val="Navaden"/>
    <w:next w:val="Navaden"/>
    <w:semiHidden/>
    <w:rsid w:val="006C63D5"/>
    <w:pPr>
      <w:spacing w:after="0" w:line="240" w:lineRule="auto"/>
      <w:ind w:left="1440" w:hanging="240"/>
      <w:jc w:val="both"/>
    </w:pPr>
    <w:rPr>
      <w:rFonts w:ascii="Times New Roman" w:eastAsia="Times New Roman" w:hAnsi="Times New Roman" w:cs="Times New Roman"/>
      <w:sz w:val="24"/>
      <w:szCs w:val="24"/>
      <w:lang w:eastAsia="en-GB"/>
    </w:rPr>
  </w:style>
  <w:style w:type="paragraph" w:styleId="Stvarnokazalo6">
    <w:name w:val="index 6"/>
    <w:basedOn w:val="Navaden"/>
    <w:next w:val="Navaden"/>
    <w:semiHidden/>
    <w:rsid w:val="006C63D5"/>
    <w:pPr>
      <w:spacing w:after="0" w:line="240" w:lineRule="auto"/>
      <w:ind w:left="1680" w:hanging="240"/>
      <w:jc w:val="both"/>
    </w:pPr>
    <w:rPr>
      <w:rFonts w:ascii="Times New Roman" w:eastAsia="Times New Roman" w:hAnsi="Times New Roman" w:cs="Times New Roman"/>
      <w:sz w:val="24"/>
      <w:szCs w:val="24"/>
      <w:lang w:eastAsia="en-GB"/>
    </w:rPr>
  </w:style>
  <w:style w:type="paragraph" w:styleId="Stvarnokazalo7">
    <w:name w:val="index 7"/>
    <w:basedOn w:val="Navaden"/>
    <w:next w:val="Navaden"/>
    <w:semiHidden/>
    <w:rsid w:val="006C63D5"/>
    <w:pPr>
      <w:spacing w:after="0" w:line="240" w:lineRule="auto"/>
      <w:ind w:left="1920" w:hanging="240"/>
      <w:jc w:val="both"/>
    </w:pPr>
    <w:rPr>
      <w:rFonts w:ascii="Times New Roman" w:eastAsia="Times New Roman" w:hAnsi="Times New Roman" w:cs="Times New Roman"/>
      <w:sz w:val="24"/>
      <w:szCs w:val="24"/>
      <w:lang w:eastAsia="en-GB"/>
    </w:rPr>
  </w:style>
  <w:style w:type="paragraph" w:styleId="Stvarnokazalo8">
    <w:name w:val="index 8"/>
    <w:basedOn w:val="Navaden"/>
    <w:next w:val="Navaden"/>
    <w:semiHidden/>
    <w:rsid w:val="006C63D5"/>
    <w:pPr>
      <w:spacing w:after="0" w:line="240" w:lineRule="auto"/>
      <w:ind w:left="2160" w:hanging="240"/>
      <w:jc w:val="both"/>
    </w:pPr>
    <w:rPr>
      <w:rFonts w:ascii="Times New Roman" w:eastAsia="Times New Roman" w:hAnsi="Times New Roman" w:cs="Times New Roman"/>
      <w:sz w:val="24"/>
      <w:szCs w:val="24"/>
      <w:lang w:eastAsia="en-GB"/>
    </w:rPr>
  </w:style>
  <w:style w:type="paragraph" w:styleId="Stvarnokazalo9">
    <w:name w:val="index 9"/>
    <w:basedOn w:val="Navaden"/>
    <w:next w:val="Navaden"/>
    <w:semiHidden/>
    <w:rsid w:val="006C63D5"/>
    <w:pPr>
      <w:spacing w:after="0" w:line="240" w:lineRule="auto"/>
      <w:ind w:left="2400" w:hanging="240"/>
      <w:jc w:val="both"/>
    </w:pPr>
    <w:rPr>
      <w:rFonts w:ascii="Times New Roman" w:eastAsia="Times New Roman" w:hAnsi="Times New Roman" w:cs="Times New Roman"/>
      <w:sz w:val="24"/>
      <w:szCs w:val="24"/>
      <w:lang w:eastAsia="en-GB"/>
    </w:rPr>
  </w:style>
  <w:style w:type="paragraph" w:styleId="Stvarnokazalo-naslov">
    <w:name w:val="index heading"/>
    <w:basedOn w:val="Navaden"/>
    <w:next w:val="Stvarnokazalo1"/>
    <w:semiHidden/>
    <w:rsid w:val="006C63D5"/>
    <w:pPr>
      <w:spacing w:after="0" w:line="240" w:lineRule="auto"/>
      <w:jc w:val="both"/>
    </w:pPr>
    <w:rPr>
      <w:rFonts w:eastAsia="Arial" w:cs="Times New Roman"/>
      <w:b/>
      <w:szCs w:val="20"/>
      <w:lang w:eastAsia="en-GB"/>
    </w:rPr>
  </w:style>
  <w:style w:type="paragraph" w:styleId="Seznam">
    <w:name w:val="List"/>
    <w:basedOn w:val="Navaden"/>
    <w:rsid w:val="006C63D5"/>
    <w:pPr>
      <w:spacing w:after="0" w:line="240" w:lineRule="auto"/>
      <w:ind w:left="566" w:hanging="283"/>
      <w:jc w:val="both"/>
    </w:pPr>
    <w:rPr>
      <w:rFonts w:ascii="Times New Roman" w:eastAsia="Times New Roman" w:hAnsi="Times New Roman" w:cs="Times New Roman"/>
      <w:sz w:val="24"/>
      <w:szCs w:val="24"/>
      <w:lang w:eastAsia="en-GB"/>
    </w:rPr>
  </w:style>
  <w:style w:type="paragraph" w:styleId="Seznam2">
    <w:name w:val="List 2"/>
    <w:basedOn w:val="Navaden"/>
    <w:rsid w:val="006C63D5"/>
    <w:pPr>
      <w:spacing w:after="0" w:line="240" w:lineRule="auto"/>
      <w:ind w:left="849" w:hanging="283"/>
      <w:jc w:val="both"/>
    </w:pPr>
    <w:rPr>
      <w:rFonts w:ascii="Times New Roman" w:eastAsia="Times New Roman" w:hAnsi="Times New Roman" w:cs="Times New Roman"/>
      <w:sz w:val="24"/>
      <w:szCs w:val="24"/>
      <w:lang w:eastAsia="en-GB"/>
    </w:rPr>
  </w:style>
  <w:style w:type="paragraph" w:styleId="Seznam3">
    <w:name w:val="List 3"/>
    <w:basedOn w:val="Navaden"/>
    <w:rsid w:val="006C63D5"/>
    <w:pPr>
      <w:spacing w:after="0" w:line="240" w:lineRule="auto"/>
      <w:ind w:left="1132" w:hanging="283"/>
      <w:jc w:val="both"/>
    </w:pPr>
    <w:rPr>
      <w:rFonts w:ascii="Times New Roman" w:eastAsia="Times New Roman" w:hAnsi="Times New Roman" w:cs="Times New Roman"/>
      <w:sz w:val="24"/>
      <w:szCs w:val="24"/>
      <w:lang w:eastAsia="en-GB"/>
    </w:rPr>
  </w:style>
  <w:style w:type="paragraph" w:styleId="Seznam4">
    <w:name w:val="List 4"/>
    <w:basedOn w:val="Navaden"/>
    <w:rsid w:val="006C63D5"/>
    <w:pPr>
      <w:spacing w:after="0" w:line="240" w:lineRule="auto"/>
      <w:ind w:left="1415" w:hanging="283"/>
      <w:jc w:val="both"/>
    </w:pPr>
    <w:rPr>
      <w:rFonts w:ascii="Times New Roman" w:eastAsia="Times New Roman" w:hAnsi="Times New Roman" w:cs="Times New Roman"/>
      <w:sz w:val="24"/>
      <w:szCs w:val="24"/>
      <w:lang w:eastAsia="en-GB"/>
    </w:rPr>
  </w:style>
  <w:style w:type="paragraph" w:styleId="Seznam5">
    <w:name w:val="List 5"/>
    <w:basedOn w:val="Navaden"/>
    <w:rsid w:val="006C63D5"/>
    <w:pPr>
      <w:spacing w:after="0" w:line="240" w:lineRule="auto"/>
      <w:ind w:left="1698" w:hanging="283"/>
      <w:jc w:val="both"/>
    </w:pPr>
    <w:rPr>
      <w:rFonts w:ascii="Times New Roman" w:eastAsia="Times New Roman" w:hAnsi="Times New Roman" w:cs="Times New Roman"/>
      <w:sz w:val="24"/>
      <w:szCs w:val="24"/>
      <w:lang w:eastAsia="en-GB"/>
    </w:rPr>
  </w:style>
  <w:style w:type="paragraph" w:styleId="Oznaenseznam">
    <w:name w:val="List Bullet"/>
    <w:basedOn w:val="Navaden"/>
    <w:rsid w:val="006C63D5"/>
    <w:pPr>
      <w:numPr>
        <w:numId w:val="11"/>
      </w:numPr>
      <w:spacing w:after="0" w:line="240" w:lineRule="auto"/>
      <w:ind w:left="0" w:firstLine="0"/>
      <w:jc w:val="both"/>
    </w:pPr>
    <w:rPr>
      <w:rFonts w:ascii="Times New Roman" w:eastAsia="Times New Roman" w:hAnsi="Times New Roman" w:cs="Times New Roman"/>
      <w:sz w:val="24"/>
      <w:szCs w:val="24"/>
      <w:lang w:eastAsia="en-GB"/>
    </w:rPr>
  </w:style>
  <w:style w:type="paragraph" w:styleId="Oznaenseznam2">
    <w:name w:val="List Bullet 2"/>
    <w:basedOn w:val="Text2"/>
    <w:rsid w:val="006C63D5"/>
    <w:pPr>
      <w:numPr>
        <w:numId w:val="12"/>
      </w:numPr>
      <w:tabs>
        <w:tab w:val="clear" w:pos="1360"/>
      </w:tabs>
      <w:ind w:left="0" w:firstLine="0"/>
    </w:pPr>
  </w:style>
  <w:style w:type="paragraph" w:styleId="Oznaenseznam3">
    <w:name w:val="List Bullet 3"/>
    <w:basedOn w:val="Text3"/>
    <w:rsid w:val="006C63D5"/>
    <w:pPr>
      <w:numPr>
        <w:numId w:val="13"/>
      </w:numPr>
      <w:ind w:left="0" w:firstLine="0"/>
    </w:pPr>
  </w:style>
  <w:style w:type="paragraph" w:styleId="Oznaenseznam4">
    <w:name w:val="List Bullet 4"/>
    <w:basedOn w:val="Text4"/>
    <w:rsid w:val="006C63D5"/>
    <w:pPr>
      <w:numPr>
        <w:numId w:val="14"/>
      </w:numPr>
      <w:ind w:left="0" w:firstLine="0"/>
    </w:pPr>
  </w:style>
  <w:style w:type="paragraph" w:styleId="Oznaenseznam5">
    <w:name w:val="List Bullet 5"/>
    <w:basedOn w:val="Navaden"/>
    <w:rsid w:val="006C63D5"/>
    <w:pPr>
      <w:numPr>
        <w:numId w:val="9"/>
      </w:numPr>
      <w:spacing w:after="0" w:line="240" w:lineRule="auto"/>
      <w:ind w:left="0" w:firstLine="0"/>
      <w:jc w:val="both"/>
    </w:pPr>
    <w:rPr>
      <w:rFonts w:ascii="Times New Roman" w:eastAsia="Times New Roman" w:hAnsi="Times New Roman" w:cs="Times New Roman"/>
      <w:sz w:val="24"/>
      <w:szCs w:val="24"/>
      <w:lang w:eastAsia="en-GB"/>
    </w:rPr>
  </w:style>
  <w:style w:type="paragraph" w:styleId="Seznam-nadaljevanje">
    <w:name w:val="List Continue"/>
    <w:basedOn w:val="Navaden"/>
    <w:rsid w:val="006C63D5"/>
    <w:pPr>
      <w:spacing w:after="0" w:line="240" w:lineRule="auto"/>
      <w:ind w:left="283"/>
      <w:jc w:val="both"/>
    </w:pPr>
    <w:rPr>
      <w:rFonts w:ascii="Times New Roman" w:eastAsia="Times New Roman" w:hAnsi="Times New Roman" w:cs="Times New Roman"/>
      <w:sz w:val="24"/>
      <w:szCs w:val="24"/>
      <w:lang w:eastAsia="en-GB"/>
    </w:rPr>
  </w:style>
  <w:style w:type="paragraph" w:styleId="Seznam-nadaljevanje2">
    <w:name w:val="List Continue 2"/>
    <w:basedOn w:val="Navaden"/>
    <w:rsid w:val="006C63D5"/>
    <w:pPr>
      <w:spacing w:after="0" w:line="240" w:lineRule="auto"/>
      <w:ind w:left="566"/>
      <w:jc w:val="both"/>
    </w:pPr>
    <w:rPr>
      <w:rFonts w:ascii="Times New Roman" w:eastAsia="Times New Roman" w:hAnsi="Times New Roman" w:cs="Times New Roman"/>
      <w:sz w:val="24"/>
      <w:szCs w:val="24"/>
      <w:lang w:eastAsia="en-GB"/>
    </w:rPr>
  </w:style>
  <w:style w:type="paragraph" w:styleId="Seznam-nadaljevanje3">
    <w:name w:val="List Continue 3"/>
    <w:basedOn w:val="Navaden"/>
    <w:rsid w:val="006C63D5"/>
    <w:pPr>
      <w:spacing w:after="0" w:line="240" w:lineRule="auto"/>
      <w:ind w:left="849"/>
      <w:jc w:val="both"/>
    </w:pPr>
    <w:rPr>
      <w:rFonts w:ascii="Times New Roman" w:eastAsia="Times New Roman" w:hAnsi="Times New Roman" w:cs="Times New Roman"/>
      <w:sz w:val="24"/>
      <w:szCs w:val="24"/>
      <w:lang w:eastAsia="en-GB"/>
    </w:rPr>
  </w:style>
  <w:style w:type="paragraph" w:styleId="Seznam-nadaljevanje4">
    <w:name w:val="List Continue 4"/>
    <w:basedOn w:val="Navaden"/>
    <w:rsid w:val="006C63D5"/>
    <w:pPr>
      <w:spacing w:after="0" w:line="240" w:lineRule="auto"/>
      <w:ind w:left="1132"/>
      <w:jc w:val="both"/>
    </w:pPr>
    <w:rPr>
      <w:rFonts w:ascii="Times New Roman" w:eastAsia="Times New Roman" w:hAnsi="Times New Roman" w:cs="Times New Roman"/>
      <w:sz w:val="24"/>
      <w:szCs w:val="24"/>
      <w:lang w:eastAsia="en-GB"/>
    </w:rPr>
  </w:style>
  <w:style w:type="paragraph" w:styleId="Seznam-nadaljevanje5">
    <w:name w:val="List Continue 5"/>
    <w:basedOn w:val="Navaden"/>
    <w:rsid w:val="006C63D5"/>
    <w:pPr>
      <w:spacing w:after="0" w:line="240" w:lineRule="auto"/>
      <w:ind w:left="1415"/>
      <w:jc w:val="both"/>
    </w:pPr>
    <w:rPr>
      <w:rFonts w:ascii="Times New Roman" w:eastAsia="Times New Roman" w:hAnsi="Times New Roman" w:cs="Times New Roman"/>
      <w:sz w:val="24"/>
      <w:szCs w:val="24"/>
      <w:lang w:eastAsia="en-GB"/>
    </w:rPr>
  </w:style>
  <w:style w:type="paragraph" w:styleId="Otevilenseznam">
    <w:name w:val="List Number"/>
    <w:basedOn w:val="Navaden"/>
    <w:rsid w:val="006C63D5"/>
    <w:pPr>
      <w:numPr>
        <w:numId w:val="19"/>
      </w:numPr>
      <w:spacing w:after="0" w:line="240" w:lineRule="auto"/>
      <w:ind w:left="0" w:firstLine="0"/>
      <w:jc w:val="both"/>
    </w:pPr>
    <w:rPr>
      <w:rFonts w:ascii="Times New Roman" w:eastAsia="Times New Roman" w:hAnsi="Times New Roman" w:cs="Times New Roman"/>
      <w:sz w:val="24"/>
      <w:szCs w:val="24"/>
      <w:lang w:eastAsia="en-GB"/>
    </w:rPr>
  </w:style>
  <w:style w:type="paragraph" w:styleId="Otevilenseznam2">
    <w:name w:val="List Number 2"/>
    <w:basedOn w:val="Text2"/>
    <w:rsid w:val="006C63D5"/>
    <w:pPr>
      <w:numPr>
        <w:numId w:val="21"/>
      </w:numPr>
      <w:tabs>
        <w:tab w:val="clear" w:pos="1786"/>
        <w:tab w:val="num" w:pos="720"/>
      </w:tabs>
      <w:ind w:left="0" w:firstLine="0"/>
    </w:pPr>
  </w:style>
  <w:style w:type="paragraph" w:styleId="Otevilenseznam3">
    <w:name w:val="List Number 3"/>
    <w:basedOn w:val="Text3"/>
    <w:rsid w:val="006C63D5"/>
    <w:pPr>
      <w:numPr>
        <w:numId w:val="22"/>
      </w:numPr>
      <w:ind w:left="0" w:firstLine="0"/>
    </w:pPr>
  </w:style>
  <w:style w:type="paragraph" w:styleId="Otevilenseznam4">
    <w:name w:val="List Number 4"/>
    <w:basedOn w:val="Text4"/>
    <w:rsid w:val="006C63D5"/>
    <w:pPr>
      <w:numPr>
        <w:numId w:val="23"/>
      </w:numPr>
      <w:ind w:left="0" w:firstLine="0"/>
    </w:pPr>
  </w:style>
  <w:style w:type="paragraph" w:styleId="Otevilenseznam5">
    <w:name w:val="List Number 5"/>
    <w:basedOn w:val="Navaden"/>
    <w:rsid w:val="006C63D5"/>
    <w:pPr>
      <w:numPr>
        <w:numId w:val="10"/>
      </w:numPr>
      <w:spacing w:after="0" w:line="240" w:lineRule="auto"/>
      <w:ind w:left="0" w:firstLine="0"/>
      <w:jc w:val="both"/>
    </w:pPr>
    <w:rPr>
      <w:rFonts w:ascii="Times New Roman" w:eastAsia="Times New Roman" w:hAnsi="Times New Roman" w:cs="Times New Roman"/>
      <w:sz w:val="24"/>
      <w:szCs w:val="24"/>
      <w:lang w:eastAsia="en-GB"/>
    </w:rPr>
  </w:style>
  <w:style w:type="paragraph" w:styleId="Makrobesedilo">
    <w:name w:val="macro"/>
    <w:link w:val="MakrobesediloZnak"/>
    <w:semiHidden/>
    <w:rsid w:val="006C63D5"/>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Courier New" w:hAnsi="Courier New" w:cs="Times New Roman"/>
      <w:szCs w:val="20"/>
      <w:lang w:val="en-GB" w:eastAsia="en-GB"/>
    </w:rPr>
  </w:style>
  <w:style w:type="character" w:customStyle="1" w:styleId="MakrobesediloZnak">
    <w:name w:val="Makro besedilo Znak"/>
    <w:basedOn w:val="Privzetapisavaodstavka"/>
    <w:link w:val="Makrobesedilo"/>
    <w:semiHidden/>
    <w:rsid w:val="006C63D5"/>
    <w:rPr>
      <w:rFonts w:ascii="Courier New" w:eastAsia="Courier New" w:hAnsi="Courier New" w:cs="Times New Roman"/>
      <w:sz w:val="20"/>
      <w:szCs w:val="20"/>
      <w:lang w:val="en-GB" w:eastAsia="en-GB"/>
    </w:rPr>
  </w:style>
  <w:style w:type="paragraph" w:styleId="Glavasporoila">
    <w:name w:val="Message Header"/>
    <w:basedOn w:val="Navaden"/>
    <w:link w:val="GlavasporoilaZnak"/>
    <w:rsid w:val="006C63D5"/>
    <w:pPr>
      <w:shd w:val="pct20" w:color="000000" w:fill="auto"/>
      <w:spacing w:after="0" w:line="240" w:lineRule="auto"/>
      <w:ind w:left="2268" w:hanging="1134"/>
      <w:jc w:val="both"/>
    </w:pPr>
    <w:rPr>
      <w:rFonts w:eastAsia="Arial" w:cs="Times New Roman"/>
      <w:szCs w:val="20"/>
      <w:lang w:eastAsia="en-GB"/>
    </w:rPr>
  </w:style>
  <w:style w:type="character" w:customStyle="1" w:styleId="GlavasporoilaZnak">
    <w:name w:val="Glava sporočila Znak"/>
    <w:basedOn w:val="Privzetapisavaodstavka"/>
    <w:link w:val="Glavasporoila"/>
    <w:rsid w:val="006C63D5"/>
    <w:rPr>
      <w:rFonts w:ascii="Arial" w:eastAsia="Arial" w:hAnsi="Arial" w:cs="Times New Roman"/>
      <w:sz w:val="20"/>
      <w:szCs w:val="20"/>
      <w:shd w:val="pct20" w:color="000000" w:fill="auto"/>
      <w:lang w:eastAsia="en-GB"/>
    </w:rPr>
  </w:style>
  <w:style w:type="paragraph" w:styleId="Navaden-zamik">
    <w:name w:val="Normal Indent"/>
    <w:basedOn w:val="Navaden"/>
    <w:rsid w:val="006C63D5"/>
    <w:pPr>
      <w:spacing w:after="0" w:line="240" w:lineRule="auto"/>
      <w:ind w:left="720"/>
      <w:jc w:val="both"/>
    </w:pPr>
    <w:rPr>
      <w:rFonts w:ascii="Times New Roman" w:eastAsia="Times New Roman" w:hAnsi="Times New Roman" w:cs="Times New Roman"/>
      <w:sz w:val="24"/>
      <w:szCs w:val="24"/>
      <w:lang w:eastAsia="en-GB"/>
    </w:rPr>
  </w:style>
  <w:style w:type="paragraph" w:styleId="Opomba-naslov">
    <w:name w:val="Note Heading"/>
    <w:basedOn w:val="Navaden"/>
    <w:next w:val="Navaden"/>
    <w:link w:val="Opomba-naslovZnak"/>
    <w:rsid w:val="006C63D5"/>
    <w:pPr>
      <w:spacing w:after="0" w:line="240" w:lineRule="auto"/>
      <w:jc w:val="both"/>
    </w:pPr>
    <w:rPr>
      <w:rFonts w:ascii="Times New Roman" w:eastAsia="Times New Roman" w:hAnsi="Times New Roman" w:cs="Times New Roman"/>
      <w:sz w:val="24"/>
      <w:szCs w:val="24"/>
      <w:lang w:eastAsia="en-GB"/>
    </w:rPr>
  </w:style>
  <w:style w:type="character" w:customStyle="1" w:styleId="Opomba-naslovZnak">
    <w:name w:val="Opomba - naslov Znak"/>
    <w:basedOn w:val="Privzetapisavaodstavka"/>
    <w:link w:val="Opomba-naslov"/>
    <w:rsid w:val="006C63D5"/>
    <w:rPr>
      <w:rFonts w:ascii="Times New Roman" w:eastAsia="Times New Roman" w:hAnsi="Times New Roman" w:cs="Times New Roman"/>
      <w:sz w:val="24"/>
      <w:szCs w:val="24"/>
      <w:lang w:eastAsia="en-GB"/>
    </w:rPr>
  </w:style>
  <w:style w:type="paragraph" w:customStyle="1" w:styleId="NoteHead">
    <w:name w:val="NoteHead"/>
    <w:basedOn w:val="Navaden"/>
    <w:rsid w:val="006C63D5"/>
    <w:pPr>
      <w:spacing w:after="0" w:line="240" w:lineRule="auto"/>
      <w:jc w:val="center"/>
    </w:pPr>
    <w:rPr>
      <w:rFonts w:ascii="Times New Roman" w:eastAsia="Times New Roman" w:hAnsi="Times New Roman" w:cs="Times New Roman"/>
      <w:b/>
      <w:smallCaps/>
      <w:szCs w:val="20"/>
      <w:lang w:eastAsia="en-GB"/>
    </w:rPr>
  </w:style>
  <w:style w:type="paragraph" w:customStyle="1" w:styleId="Subject">
    <w:name w:val="Subject"/>
    <w:basedOn w:val="Navaden"/>
    <w:next w:val="Navaden"/>
    <w:rsid w:val="006C63D5"/>
    <w:pPr>
      <w:spacing w:after="0" w:line="240" w:lineRule="auto"/>
      <w:ind w:left="3062" w:hanging="1531"/>
      <w:jc w:val="both"/>
    </w:pPr>
    <w:rPr>
      <w:rFonts w:ascii="Times New Roman" w:eastAsia="Times New Roman" w:hAnsi="Times New Roman" w:cs="Times New Roman"/>
      <w:b/>
      <w:szCs w:val="20"/>
      <w:lang w:eastAsia="en-GB"/>
    </w:rPr>
  </w:style>
  <w:style w:type="paragraph" w:customStyle="1" w:styleId="NoteList">
    <w:name w:val="NoteList"/>
    <w:basedOn w:val="Navaden"/>
    <w:next w:val="Subject"/>
    <w:rsid w:val="006C63D5"/>
    <w:pPr>
      <w:tabs>
        <w:tab w:val="left" w:pos="5823"/>
      </w:tabs>
      <w:spacing w:after="0" w:line="240" w:lineRule="auto"/>
      <w:ind w:left="8223" w:hanging="3119"/>
      <w:jc w:val="both"/>
    </w:pPr>
    <w:rPr>
      <w:rFonts w:ascii="Times New Roman" w:eastAsia="Times New Roman" w:hAnsi="Times New Roman" w:cs="Times New Roman"/>
      <w:b/>
      <w:smallCaps/>
      <w:szCs w:val="20"/>
      <w:lang w:eastAsia="en-GB"/>
    </w:rPr>
  </w:style>
  <w:style w:type="paragraph" w:customStyle="1" w:styleId="NumPar1">
    <w:name w:val="NumPar 1"/>
    <w:basedOn w:val="Naslov1"/>
    <w:next w:val="Text1"/>
    <w:rsid w:val="006C63D5"/>
    <w:pPr>
      <w:keepLines w:val="0"/>
      <w:tabs>
        <w:tab w:val="left" w:pos="4537"/>
      </w:tabs>
      <w:spacing w:before="0" w:after="0" w:line="260" w:lineRule="atLeast"/>
      <w:ind w:left="720" w:hanging="360"/>
    </w:pPr>
    <w:rPr>
      <w:rFonts w:eastAsia="Calibri" w:cs="Times New Roman"/>
      <w:b w:val="0"/>
      <w:color w:val="339933"/>
      <w:sz w:val="20"/>
      <w:szCs w:val="20"/>
      <w:lang w:eastAsia="en-GB"/>
    </w:rPr>
  </w:style>
  <w:style w:type="paragraph" w:customStyle="1" w:styleId="NumPar2">
    <w:name w:val="NumPar 2"/>
    <w:basedOn w:val="Naslov2"/>
    <w:next w:val="Text2"/>
    <w:rsid w:val="006C63D5"/>
    <w:pPr>
      <w:keepLines w:val="0"/>
      <w:tabs>
        <w:tab w:val="left" w:pos="0"/>
        <w:tab w:val="left" w:pos="480"/>
        <w:tab w:val="left" w:pos="1276"/>
        <w:tab w:val="left" w:pos="4537"/>
      </w:tabs>
      <w:spacing w:before="0" w:after="0" w:line="260" w:lineRule="atLeast"/>
      <w:ind w:left="600" w:hanging="600"/>
    </w:pPr>
    <w:rPr>
      <w:rFonts w:eastAsia="Arial" w:cs="Times New Roman"/>
      <w:b w:val="0"/>
      <w:caps/>
      <w:color w:val="00B050"/>
      <w:sz w:val="20"/>
      <w:szCs w:val="20"/>
      <w:lang w:eastAsia="en-GB"/>
    </w:rPr>
  </w:style>
  <w:style w:type="paragraph" w:customStyle="1" w:styleId="NumPar3">
    <w:name w:val="NumPar 3"/>
    <w:basedOn w:val="Naslov3"/>
    <w:next w:val="Text3"/>
    <w:rsid w:val="006C63D5"/>
    <w:pPr>
      <w:keepLines w:val="0"/>
      <w:tabs>
        <w:tab w:val="left" w:pos="360"/>
        <w:tab w:val="left" w:pos="4537"/>
      </w:tabs>
      <w:spacing w:before="0" w:after="0" w:line="260" w:lineRule="atLeast"/>
      <w:ind w:left="1200" w:hanging="840"/>
    </w:pPr>
    <w:rPr>
      <w:rFonts w:eastAsia="Times New Roman" w:cs="Times New Roman"/>
      <w:color w:val="00B050"/>
      <w:sz w:val="22"/>
      <w:szCs w:val="20"/>
      <w:lang w:eastAsia="en-GB"/>
    </w:rPr>
  </w:style>
  <w:style w:type="paragraph" w:customStyle="1" w:styleId="NumPar4">
    <w:name w:val="NumPar 4"/>
    <w:basedOn w:val="Naslov4"/>
    <w:next w:val="Text4"/>
    <w:rsid w:val="006C63D5"/>
    <w:pPr>
      <w:keepLines w:val="0"/>
      <w:tabs>
        <w:tab w:val="left" w:pos="0"/>
        <w:tab w:val="left" w:pos="480"/>
        <w:tab w:val="left" w:pos="906"/>
        <w:tab w:val="left" w:pos="4537"/>
      </w:tabs>
      <w:spacing w:before="0" w:line="240" w:lineRule="auto"/>
      <w:ind w:left="1866" w:hanging="960"/>
    </w:pPr>
    <w:rPr>
      <w:rFonts w:eastAsia="Times New Roman" w:cs="Times New Roman"/>
      <w:b/>
      <w:iCs w:val="0"/>
      <w:color w:val="00B050"/>
      <w:szCs w:val="24"/>
      <w:lang w:eastAsia="en-GB"/>
    </w:rPr>
  </w:style>
  <w:style w:type="paragraph" w:styleId="Golobesedilo">
    <w:name w:val="Plain Text"/>
    <w:basedOn w:val="Navaden"/>
    <w:link w:val="GolobesediloZnak"/>
    <w:rsid w:val="006C63D5"/>
    <w:pPr>
      <w:spacing w:after="0" w:line="240" w:lineRule="auto"/>
      <w:jc w:val="both"/>
    </w:pPr>
    <w:rPr>
      <w:rFonts w:ascii="Courier New" w:eastAsia="Courier New" w:hAnsi="Courier New" w:cs="Times New Roman"/>
      <w:szCs w:val="20"/>
      <w:lang w:eastAsia="en-GB"/>
    </w:rPr>
  </w:style>
  <w:style w:type="character" w:customStyle="1" w:styleId="GolobesediloZnak">
    <w:name w:val="Golo besedilo Znak"/>
    <w:basedOn w:val="Privzetapisavaodstavka"/>
    <w:link w:val="Golobesedilo"/>
    <w:rsid w:val="006C63D5"/>
    <w:rPr>
      <w:rFonts w:ascii="Courier New" w:eastAsia="Courier New" w:hAnsi="Courier New" w:cs="Times New Roman"/>
      <w:sz w:val="20"/>
      <w:szCs w:val="20"/>
      <w:lang w:eastAsia="en-GB"/>
    </w:rPr>
  </w:style>
  <w:style w:type="paragraph" w:styleId="Uvodnipozdrav">
    <w:name w:val="Salutation"/>
    <w:basedOn w:val="Navaden"/>
    <w:next w:val="Navaden"/>
    <w:link w:val="UvodnipozdravZnak"/>
    <w:rsid w:val="006C63D5"/>
    <w:pPr>
      <w:spacing w:after="0" w:line="240" w:lineRule="auto"/>
      <w:jc w:val="both"/>
    </w:pPr>
    <w:rPr>
      <w:rFonts w:ascii="Times New Roman" w:eastAsia="Times New Roman" w:hAnsi="Times New Roman" w:cs="Times New Roman"/>
      <w:sz w:val="24"/>
      <w:szCs w:val="24"/>
      <w:lang w:eastAsia="en-GB"/>
    </w:rPr>
  </w:style>
  <w:style w:type="character" w:customStyle="1" w:styleId="UvodnipozdravZnak">
    <w:name w:val="Uvodni pozdrav Znak"/>
    <w:basedOn w:val="Privzetapisavaodstavka"/>
    <w:link w:val="Uvodnipozdrav"/>
    <w:rsid w:val="006C63D5"/>
    <w:rPr>
      <w:rFonts w:ascii="Times New Roman" w:eastAsia="Times New Roman" w:hAnsi="Times New Roman" w:cs="Times New Roman"/>
      <w:sz w:val="24"/>
      <w:szCs w:val="24"/>
      <w:lang w:eastAsia="en-GB"/>
    </w:rPr>
  </w:style>
  <w:style w:type="paragraph" w:styleId="Kazalovirov">
    <w:name w:val="table of authorities"/>
    <w:basedOn w:val="Navaden"/>
    <w:next w:val="Navaden"/>
    <w:semiHidden/>
    <w:rsid w:val="006C63D5"/>
    <w:pPr>
      <w:spacing w:after="0" w:line="240" w:lineRule="auto"/>
      <w:ind w:left="480" w:hanging="240"/>
      <w:jc w:val="both"/>
    </w:pPr>
    <w:rPr>
      <w:rFonts w:ascii="Times New Roman" w:eastAsia="Times New Roman" w:hAnsi="Times New Roman" w:cs="Times New Roman"/>
      <w:sz w:val="24"/>
      <w:szCs w:val="24"/>
      <w:lang w:eastAsia="en-GB"/>
    </w:rPr>
  </w:style>
  <w:style w:type="paragraph" w:styleId="Kazalovirov-naslov">
    <w:name w:val="toa heading"/>
    <w:basedOn w:val="Navaden"/>
    <w:next w:val="Navaden"/>
    <w:semiHidden/>
    <w:rsid w:val="006C63D5"/>
    <w:pPr>
      <w:spacing w:after="0" w:line="240" w:lineRule="auto"/>
      <w:jc w:val="both"/>
    </w:pPr>
    <w:rPr>
      <w:rFonts w:eastAsia="Arial" w:cs="Times New Roman"/>
      <w:b/>
      <w:szCs w:val="20"/>
      <w:lang w:eastAsia="en-GB"/>
    </w:rPr>
  </w:style>
  <w:style w:type="paragraph" w:customStyle="1" w:styleId="YReferences">
    <w:name w:val="YReferences"/>
    <w:basedOn w:val="Navaden"/>
    <w:next w:val="Navaden"/>
    <w:rsid w:val="006C63D5"/>
    <w:pPr>
      <w:spacing w:after="0" w:line="240" w:lineRule="auto"/>
      <w:ind w:left="3062" w:hanging="1531"/>
      <w:jc w:val="both"/>
    </w:pPr>
    <w:rPr>
      <w:rFonts w:ascii="Times New Roman" w:eastAsia="Times New Roman" w:hAnsi="Times New Roman" w:cs="Times New Roman"/>
      <w:sz w:val="24"/>
      <w:szCs w:val="24"/>
      <w:lang w:eastAsia="en-GB"/>
    </w:rPr>
  </w:style>
  <w:style w:type="paragraph" w:customStyle="1" w:styleId="ListDash">
    <w:name w:val="List Dash"/>
    <w:basedOn w:val="Navaden"/>
    <w:rsid w:val="006C63D5"/>
    <w:pPr>
      <w:tabs>
        <w:tab w:val="left" w:pos="283"/>
      </w:tabs>
      <w:spacing w:after="0" w:line="240" w:lineRule="auto"/>
      <w:jc w:val="both"/>
    </w:pPr>
    <w:rPr>
      <w:rFonts w:ascii="Times New Roman" w:eastAsia="Times New Roman" w:hAnsi="Times New Roman" w:cs="Times New Roman"/>
      <w:sz w:val="24"/>
      <w:szCs w:val="24"/>
      <w:lang w:eastAsia="en-GB"/>
    </w:rPr>
  </w:style>
  <w:style w:type="paragraph" w:customStyle="1" w:styleId="ListDash1">
    <w:name w:val="List Dash 1"/>
    <w:basedOn w:val="Text1"/>
    <w:rsid w:val="006C63D5"/>
    <w:pPr>
      <w:numPr>
        <w:numId w:val="15"/>
      </w:numPr>
      <w:ind w:left="0" w:firstLine="0"/>
    </w:pPr>
    <w:rPr>
      <w:lang w:val="sl-SI"/>
    </w:rPr>
  </w:style>
  <w:style w:type="paragraph" w:customStyle="1" w:styleId="ListDash2">
    <w:name w:val="List Dash 2"/>
    <w:basedOn w:val="Text2"/>
    <w:rsid w:val="006C63D5"/>
    <w:pPr>
      <w:numPr>
        <w:numId w:val="16"/>
      </w:numPr>
      <w:tabs>
        <w:tab w:val="clear" w:pos="1360"/>
      </w:tabs>
      <w:ind w:left="0" w:firstLine="0"/>
    </w:pPr>
  </w:style>
  <w:style w:type="paragraph" w:customStyle="1" w:styleId="ListDash3">
    <w:name w:val="List Dash 3"/>
    <w:basedOn w:val="Text3"/>
    <w:rsid w:val="006C63D5"/>
    <w:pPr>
      <w:numPr>
        <w:numId w:val="17"/>
      </w:numPr>
      <w:ind w:left="0" w:firstLine="0"/>
    </w:pPr>
  </w:style>
  <w:style w:type="paragraph" w:customStyle="1" w:styleId="ListDash4">
    <w:name w:val="List Dash 4"/>
    <w:basedOn w:val="Text4"/>
    <w:rsid w:val="006C63D5"/>
    <w:pPr>
      <w:numPr>
        <w:numId w:val="18"/>
      </w:numPr>
      <w:ind w:left="0" w:firstLine="0"/>
    </w:pPr>
  </w:style>
  <w:style w:type="paragraph" w:customStyle="1" w:styleId="ListNumberLevel2">
    <w:name w:val="List Number (Level 2)"/>
    <w:basedOn w:val="Navaden"/>
    <w:rsid w:val="006C63D5"/>
    <w:pPr>
      <w:numPr>
        <w:ilvl w:val="1"/>
        <w:numId w:val="19"/>
      </w:numPr>
      <w:spacing w:after="0" w:line="240" w:lineRule="auto"/>
      <w:ind w:left="0" w:firstLine="0"/>
      <w:jc w:val="both"/>
    </w:pPr>
    <w:rPr>
      <w:rFonts w:ascii="Times New Roman" w:eastAsia="Times New Roman" w:hAnsi="Times New Roman" w:cs="Times New Roman"/>
      <w:sz w:val="24"/>
      <w:szCs w:val="24"/>
      <w:lang w:eastAsia="en-GB"/>
    </w:rPr>
  </w:style>
  <w:style w:type="paragraph" w:customStyle="1" w:styleId="ListNumberLevel3">
    <w:name w:val="List Number (Level 3)"/>
    <w:basedOn w:val="Navaden"/>
    <w:rsid w:val="006C63D5"/>
    <w:pPr>
      <w:numPr>
        <w:ilvl w:val="2"/>
        <w:numId w:val="19"/>
      </w:numPr>
      <w:spacing w:after="0" w:line="240" w:lineRule="auto"/>
      <w:ind w:left="0" w:firstLine="0"/>
      <w:jc w:val="both"/>
    </w:pPr>
    <w:rPr>
      <w:rFonts w:ascii="Times New Roman" w:eastAsia="Times New Roman" w:hAnsi="Times New Roman" w:cs="Times New Roman"/>
      <w:sz w:val="24"/>
      <w:szCs w:val="24"/>
      <w:lang w:eastAsia="en-GB"/>
    </w:rPr>
  </w:style>
  <w:style w:type="paragraph" w:customStyle="1" w:styleId="ListNumberLevel4">
    <w:name w:val="List Number (Level 4)"/>
    <w:basedOn w:val="Navaden"/>
    <w:rsid w:val="006C63D5"/>
    <w:pPr>
      <w:numPr>
        <w:ilvl w:val="3"/>
        <w:numId w:val="19"/>
      </w:numPr>
      <w:spacing w:after="0" w:line="240" w:lineRule="auto"/>
      <w:ind w:left="0" w:firstLine="0"/>
      <w:jc w:val="both"/>
    </w:pPr>
    <w:rPr>
      <w:rFonts w:ascii="Times New Roman" w:eastAsia="Times New Roman" w:hAnsi="Times New Roman" w:cs="Times New Roman"/>
      <w:sz w:val="24"/>
      <w:szCs w:val="24"/>
      <w:lang w:eastAsia="en-GB"/>
    </w:rPr>
  </w:style>
  <w:style w:type="paragraph" w:customStyle="1" w:styleId="ListNumber1">
    <w:name w:val="List Number 1"/>
    <w:basedOn w:val="Text1"/>
    <w:rsid w:val="006C63D5"/>
    <w:pPr>
      <w:numPr>
        <w:numId w:val="20"/>
      </w:numPr>
      <w:ind w:left="0" w:firstLine="0"/>
    </w:pPr>
    <w:rPr>
      <w:lang w:val="sl-SI"/>
    </w:rPr>
  </w:style>
  <w:style w:type="paragraph" w:customStyle="1" w:styleId="ListNumber1Level2">
    <w:name w:val="List Number 1 (Level 2)"/>
    <w:basedOn w:val="Text1"/>
    <w:rsid w:val="006C63D5"/>
    <w:pPr>
      <w:numPr>
        <w:ilvl w:val="1"/>
        <w:numId w:val="20"/>
      </w:numPr>
      <w:ind w:left="0" w:firstLine="0"/>
    </w:pPr>
    <w:rPr>
      <w:lang w:val="sl-SI"/>
    </w:rPr>
  </w:style>
  <w:style w:type="paragraph" w:customStyle="1" w:styleId="ListNumber1Level3">
    <w:name w:val="List Number 1 (Level 3)"/>
    <w:basedOn w:val="Text1"/>
    <w:rsid w:val="006C63D5"/>
    <w:pPr>
      <w:numPr>
        <w:ilvl w:val="2"/>
        <w:numId w:val="20"/>
      </w:numPr>
      <w:ind w:left="0" w:firstLine="0"/>
    </w:pPr>
    <w:rPr>
      <w:lang w:val="sl-SI"/>
    </w:rPr>
  </w:style>
  <w:style w:type="paragraph" w:customStyle="1" w:styleId="ListNumber1Level4">
    <w:name w:val="List Number 1 (Level 4)"/>
    <w:basedOn w:val="Text1"/>
    <w:rsid w:val="006C63D5"/>
    <w:pPr>
      <w:numPr>
        <w:ilvl w:val="3"/>
        <w:numId w:val="20"/>
      </w:numPr>
      <w:ind w:left="0" w:firstLine="0"/>
    </w:pPr>
    <w:rPr>
      <w:lang w:val="sl-SI"/>
    </w:rPr>
  </w:style>
  <w:style w:type="paragraph" w:customStyle="1" w:styleId="ListNumber2Level2">
    <w:name w:val="List Number 2 (Level 2)"/>
    <w:basedOn w:val="Text2"/>
    <w:rsid w:val="006C63D5"/>
    <w:pPr>
      <w:numPr>
        <w:ilvl w:val="1"/>
        <w:numId w:val="21"/>
      </w:numPr>
      <w:tabs>
        <w:tab w:val="clear" w:pos="2494"/>
        <w:tab w:val="num" w:pos="1440"/>
      </w:tabs>
      <w:ind w:left="0" w:firstLine="0"/>
    </w:pPr>
  </w:style>
  <w:style w:type="paragraph" w:customStyle="1" w:styleId="ListNumber2Level3">
    <w:name w:val="List Number 2 (Level 3)"/>
    <w:basedOn w:val="Text2"/>
    <w:rsid w:val="006C63D5"/>
    <w:pPr>
      <w:numPr>
        <w:ilvl w:val="2"/>
        <w:numId w:val="21"/>
      </w:numPr>
      <w:tabs>
        <w:tab w:val="clear" w:pos="3203"/>
        <w:tab w:val="num" w:pos="2160"/>
      </w:tabs>
      <w:ind w:left="0" w:firstLine="0"/>
    </w:pPr>
  </w:style>
  <w:style w:type="paragraph" w:customStyle="1" w:styleId="ListNumber2Level4">
    <w:name w:val="List Number 2 (Level 4)"/>
    <w:basedOn w:val="Text2"/>
    <w:rsid w:val="006C63D5"/>
    <w:pPr>
      <w:numPr>
        <w:ilvl w:val="3"/>
        <w:numId w:val="21"/>
      </w:numPr>
      <w:tabs>
        <w:tab w:val="clear" w:pos="3912"/>
        <w:tab w:val="num" w:pos="2880"/>
      </w:tabs>
      <w:ind w:left="4604" w:hanging="703"/>
    </w:pPr>
  </w:style>
  <w:style w:type="paragraph" w:customStyle="1" w:styleId="ListNumber3Level2">
    <w:name w:val="List Number 3 (Level 2)"/>
    <w:basedOn w:val="Text3"/>
    <w:rsid w:val="006C63D5"/>
    <w:pPr>
      <w:numPr>
        <w:ilvl w:val="1"/>
        <w:numId w:val="22"/>
      </w:numPr>
      <w:ind w:left="0" w:firstLine="0"/>
    </w:pPr>
  </w:style>
  <w:style w:type="paragraph" w:customStyle="1" w:styleId="ListNumber3Level3">
    <w:name w:val="List Number 3 (Level 3)"/>
    <w:basedOn w:val="Text3"/>
    <w:rsid w:val="006C63D5"/>
    <w:pPr>
      <w:numPr>
        <w:ilvl w:val="2"/>
        <w:numId w:val="22"/>
      </w:numPr>
      <w:ind w:left="0" w:firstLine="0"/>
    </w:pPr>
  </w:style>
  <w:style w:type="paragraph" w:customStyle="1" w:styleId="ListNumber3Level4">
    <w:name w:val="List Number 3 (Level 4)"/>
    <w:basedOn w:val="Text3"/>
    <w:rsid w:val="006C63D5"/>
    <w:pPr>
      <w:numPr>
        <w:ilvl w:val="3"/>
        <w:numId w:val="22"/>
      </w:numPr>
      <w:ind w:left="0" w:firstLine="0"/>
    </w:pPr>
  </w:style>
  <w:style w:type="paragraph" w:customStyle="1" w:styleId="ListNumber4Level2">
    <w:name w:val="List Number 4 (Level 2)"/>
    <w:basedOn w:val="Text4"/>
    <w:rsid w:val="006C63D5"/>
    <w:pPr>
      <w:numPr>
        <w:ilvl w:val="1"/>
        <w:numId w:val="23"/>
      </w:numPr>
      <w:ind w:left="0" w:firstLine="0"/>
    </w:pPr>
  </w:style>
  <w:style w:type="paragraph" w:customStyle="1" w:styleId="ListNumber4Level3">
    <w:name w:val="List Number 4 (Level 3)"/>
    <w:basedOn w:val="Text4"/>
    <w:rsid w:val="006C63D5"/>
    <w:pPr>
      <w:numPr>
        <w:ilvl w:val="2"/>
        <w:numId w:val="23"/>
      </w:numPr>
      <w:ind w:left="0" w:firstLine="0"/>
    </w:pPr>
  </w:style>
  <w:style w:type="paragraph" w:customStyle="1" w:styleId="ListNumber4Level4">
    <w:name w:val="List Number 4 (Level 4)"/>
    <w:basedOn w:val="Text4"/>
    <w:rsid w:val="006C63D5"/>
    <w:pPr>
      <w:numPr>
        <w:ilvl w:val="3"/>
        <w:numId w:val="23"/>
      </w:numPr>
      <w:ind w:left="0" w:firstLine="0"/>
    </w:pPr>
  </w:style>
  <w:style w:type="paragraph" w:customStyle="1" w:styleId="Contact">
    <w:name w:val="Contact"/>
    <w:basedOn w:val="Navaden"/>
    <w:next w:val="Navaden"/>
    <w:rsid w:val="006C63D5"/>
    <w:pPr>
      <w:spacing w:after="0" w:line="240" w:lineRule="auto"/>
      <w:ind w:left="1134" w:hanging="567"/>
      <w:jc w:val="both"/>
    </w:pPr>
    <w:rPr>
      <w:rFonts w:ascii="Times New Roman" w:eastAsia="Times New Roman" w:hAnsi="Times New Roman" w:cs="Times New Roman"/>
      <w:sz w:val="24"/>
      <w:szCs w:val="24"/>
      <w:lang w:eastAsia="en-GB"/>
    </w:rPr>
  </w:style>
  <w:style w:type="paragraph" w:customStyle="1" w:styleId="DisclaimerNotice">
    <w:name w:val="Disclaimer Notice"/>
    <w:basedOn w:val="Navaden"/>
    <w:next w:val="AddressTR"/>
    <w:rsid w:val="006C63D5"/>
    <w:pPr>
      <w:spacing w:after="0" w:line="240" w:lineRule="auto"/>
      <w:ind w:left="5103"/>
      <w:jc w:val="both"/>
    </w:pPr>
    <w:rPr>
      <w:rFonts w:ascii="Times New Roman" w:eastAsia="Times New Roman" w:hAnsi="Times New Roman" w:cs="Times New Roman"/>
      <w:i/>
      <w:szCs w:val="20"/>
      <w:lang w:eastAsia="en-GB"/>
    </w:rPr>
  </w:style>
  <w:style w:type="paragraph" w:customStyle="1" w:styleId="Disclaimer">
    <w:name w:val="Disclaimer"/>
    <w:basedOn w:val="Navaden"/>
    <w:rsid w:val="006C63D5"/>
    <w:pPr>
      <w:keepLines/>
      <w:spacing w:after="0" w:line="240" w:lineRule="auto"/>
      <w:jc w:val="both"/>
    </w:pPr>
    <w:rPr>
      <w:rFonts w:ascii="Times New Roman" w:eastAsia="Times New Roman" w:hAnsi="Times New Roman" w:cs="Times New Roman"/>
      <w:i/>
      <w:szCs w:val="20"/>
      <w:lang w:eastAsia="en-GB"/>
    </w:rPr>
  </w:style>
  <w:style w:type="character" w:styleId="SledenaHiperpovezava">
    <w:name w:val="FollowedHyperlink"/>
    <w:uiPriority w:val="99"/>
    <w:rsid w:val="006C63D5"/>
    <w:rPr>
      <w:color w:val="800080"/>
      <w:w w:val="100"/>
      <w:sz w:val="20"/>
      <w:szCs w:val="20"/>
      <w:u w:val="single"/>
      <w:shd w:val="clear" w:color="auto" w:fill="auto"/>
    </w:rPr>
  </w:style>
  <w:style w:type="paragraph" w:customStyle="1" w:styleId="DisclaimerSJ">
    <w:name w:val="Disclaimer_SJ"/>
    <w:basedOn w:val="Navaden"/>
    <w:next w:val="Navaden"/>
    <w:rsid w:val="006C63D5"/>
    <w:pPr>
      <w:spacing w:after="0" w:line="240" w:lineRule="auto"/>
      <w:jc w:val="both"/>
    </w:pPr>
    <w:rPr>
      <w:rFonts w:eastAsia="Arial" w:cs="Times New Roman"/>
      <w:b/>
      <w:sz w:val="16"/>
      <w:szCs w:val="16"/>
      <w:lang w:eastAsia="en-GB"/>
    </w:rPr>
  </w:style>
  <w:style w:type="paragraph" w:customStyle="1" w:styleId="Designator">
    <w:name w:val="Designator"/>
    <w:basedOn w:val="Navaden"/>
    <w:rsid w:val="006C63D5"/>
    <w:pPr>
      <w:spacing w:after="0" w:line="240" w:lineRule="auto"/>
      <w:jc w:val="center"/>
    </w:pPr>
    <w:rPr>
      <w:rFonts w:ascii="Times New Roman" w:eastAsia="Times New Roman" w:hAnsi="Times New Roman" w:cs="Times New Roman"/>
      <w:b/>
      <w:caps/>
      <w:sz w:val="32"/>
      <w:szCs w:val="32"/>
      <w:lang w:eastAsia="en-GB"/>
    </w:rPr>
  </w:style>
  <w:style w:type="paragraph" w:customStyle="1" w:styleId="Releasable">
    <w:name w:val="Releasable"/>
    <w:basedOn w:val="Navaden"/>
    <w:qFormat/>
    <w:rsid w:val="006C63D5"/>
    <w:pPr>
      <w:spacing w:after="0" w:line="240" w:lineRule="auto"/>
      <w:jc w:val="center"/>
    </w:pPr>
    <w:rPr>
      <w:rFonts w:ascii="Times New Roman" w:eastAsia="Times New Roman" w:hAnsi="Times New Roman" w:cs="Times New Roman"/>
      <w:b/>
      <w:caps/>
      <w:sz w:val="32"/>
      <w:szCs w:val="32"/>
      <w:lang w:eastAsia="en-GB"/>
    </w:rPr>
  </w:style>
  <w:style w:type="paragraph" w:customStyle="1" w:styleId="RUE">
    <w:name w:val="RUE"/>
    <w:basedOn w:val="Navaden"/>
    <w:rsid w:val="006C63D5"/>
    <w:pPr>
      <w:spacing w:after="0" w:line="240" w:lineRule="auto"/>
      <w:jc w:val="center"/>
    </w:pPr>
    <w:rPr>
      <w:rFonts w:ascii="Times New Roman" w:eastAsia="Times New Roman" w:hAnsi="Times New Roman" w:cs="Times New Roman"/>
      <w:b/>
      <w:caps/>
      <w:sz w:val="32"/>
      <w:szCs w:val="32"/>
      <w:bdr w:val="single" w:sz="18" w:space="0" w:color="000000"/>
      <w:lang w:eastAsia="en-GB"/>
    </w:rPr>
  </w:style>
  <w:style w:type="paragraph" w:customStyle="1" w:styleId="ConfidentialUE">
    <w:name w:val="Confidential UE"/>
    <w:basedOn w:val="Navaden"/>
    <w:rsid w:val="006C63D5"/>
    <w:pPr>
      <w:spacing w:after="0" w:line="240" w:lineRule="auto"/>
      <w:jc w:val="center"/>
    </w:pPr>
    <w:rPr>
      <w:rFonts w:ascii="Times New Roman" w:eastAsia="Times New Roman" w:hAnsi="Times New Roman" w:cs="Times New Roman"/>
      <w:b/>
      <w:caps/>
      <w:sz w:val="32"/>
      <w:szCs w:val="32"/>
      <w:bdr w:val="single" w:sz="18" w:space="0" w:color="000000"/>
      <w:lang w:eastAsia="en-GB"/>
    </w:rPr>
  </w:style>
  <w:style w:type="paragraph" w:customStyle="1" w:styleId="TrsSecretUE">
    <w:name w:val="Très Secret UE"/>
    <w:basedOn w:val="Navaden"/>
    <w:rsid w:val="006C63D5"/>
    <w:pPr>
      <w:spacing w:after="0" w:line="240" w:lineRule="auto"/>
      <w:jc w:val="center"/>
    </w:pPr>
    <w:rPr>
      <w:rFonts w:ascii="Times New Roman" w:eastAsia="Times New Roman" w:hAnsi="Times New Roman" w:cs="Times New Roman"/>
      <w:b/>
      <w:caps/>
      <w:color w:val="FF0000"/>
      <w:sz w:val="32"/>
      <w:szCs w:val="32"/>
      <w:bdr w:val="single" w:sz="18" w:space="0" w:color="FF0000"/>
      <w:lang w:eastAsia="en-GB"/>
    </w:rPr>
  </w:style>
  <w:style w:type="paragraph" w:customStyle="1" w:styleId="SecretUE">
    <w:name w:val="Secret UE"/>
    <w:basedOn w:val="Navaden"/>
    <w:rsid w:val="006C63D5"/>
    <w:pPr>
      <w:spacing w:after="0" w:line="240" w:lineRule="auto"/>
      <w:jc w:val="center"/>
    </w:pPr>
    <w:rPr>
      <w:rFonts w:ascii="Times New Roman" w:eastAsia="Times New Roman" w:hAnsi="Times New Roman" w:cs="Times New Roman"/>
      <w:b/>
      <w:caps/>
      <w:color w:val="FF0000"/>
      <w:sz w:val="32"/>
      <w:szCs w:val="32"/>
      <w:bdr w:val="single" w:sz="18" w:space="0" w:color="FF0000"/>
      <w:lang w:eastAsia="en-GB"/>
    </w:rPr>
  </w:style>
  <w:style w:type="paragraph" w:customStyle="1" w:styleId="LegalNumPar">
    <w:name w:val="LegalNumPar"/>
    <w:basedOn w:val="Navaden"/>
    <w:rsid w:val="006C63D5"/>
    <w:pPr>
      <w:numPr>
        <w:numId w:val="24"/>
      </w:numPr>
      <w:spacing w:after="0" w:line="240" w:lineRule="auto"/>
      <w:ind w:left="0" w:firstLine="0"/>
      <w:jc w:val="both"/>
    </w:pPr>
    <w:rPr>
      <w:rFonts w:eastAsia="Calibri" w:cs="Times New Roman"/>
      <w:szCs w:val="20"/>
      <w:lang w:eastAsia="en-GB"/>
    </w:rPr>
  </w:style>
  <w:style w:type="paragraph" w:customStyle="1" w:styleId="LegalNumPar2">
    <w:name w:val="LegalNumPar2"/>
    <w:basedOn w:val="Navaden"/>
    <w:rsid w:val="006C63D5"/>
    <w:pPr>
      <w:numPr>
        <w:ilvl w:val="1"/>
        <w:numId w:val="24"/>
      </w:numPr>
      <w:spacing w:after="0" w:line="240" w:lineRule="auto"/>
      <w:ind w:left="0" w:firstLine="0"/>
      <w:jc w:val="both"/>
    </w:pPr>
    <w:rPr>
      <w:rFonts w:eastAsia="Calibri" w:cs="Times New Roman"/>
      <w:szCs w:val="20"/>
      <w:lang w:eastAsia="en-GB"/>
    </w:rPr>
  </w:style>
  <w:style w:type="paragraph" w:customStyle="1" w:styleId="LegalNumPar3">
    <w:name w:val="LegalNumPar3"/>
    <w:basedOn w:val="Navaden"/>
    <w:rsid w:val="006C63D5"/>
    <w:pPr>
      <w:numPr>
        <w:ilvl w:val="2"/>
        <w:numId w:val="24"/>
      </w:numPr>
      <w:spacing w:after="0" w:line="240" w:lineRule="auto"/>
      <w:ind w:left="0" w:firstLine="0"/>
      <w:jc w:val="both"/>
    </w:pPr>
    <w:rPr>
      <w:rFonts w:eastAsia="Calibri" w:cs="Times New Roman"/>
      <w:szCs w:val="20"/>
      <w:lang w:eastAsia="en-GB"/>
    </w:rPr>
  </w:style>
  <w:style w:type="paragraph" w:customStyle="1" w:styleId="ZCom">
    <w:name w:val="Z_Com"/>
    <w:basedOn w:val="Navaden"/>
    <w:rsid w:val="006C63D5"/>
    <w:pPr>
      <w:autoSpaceDE w:val="0"/>
      <w:autoSpaceDN w:val="0"/>
      <w:spacing w:after="0" w:line="240" w:lineRule="auto"/>
      <w:ind w:right="85"/>
      <w:jc w:val="both"/>
    </w:pPr>
    <w:rPr>
      <w:rFonts w:eastAsia="Arial" w:cs="Times New Roman"/>
      <w:szCs w:val="20"/>
      <w:lang w:eastAsia="en-GB"/>
    </w:rPr>
  </w:style>
  <w:style w:type="paragraph" w:customStyle="1" w:styleId="ZDGName">
    <w:name w:val="Z_DGName"/>
    <w:basedOn w:val="Navaden"/>
    <w:rsid w:val="006C63D5"/>
    <w:pPr>
      <w:autoSpaceDE w:val="0"/>
      <w:autoSpaceDN w:val="0"/>
      <w:spacing w:after="0" w:line="240" w:lineRule="auto"/>
      <w:ind w:right="85"/>
      <w:jc w:val="both"/>
    </w:pPr>
    <w:rPr>
      <w:rFonts w:eastAsia="Arial" w:cs="Times New Roman"/>
      <w:sz w:val="16"/>
      <w:szCs w:val="16"/>
      <w:lang w:eastAsia="en-GB"/>
    </w:rPr>
  </w:style>
  <w:style w:type="character" w:customStyle="1" w:styleId="BrezrazmikovZnak">
    <w:name w:val="Brez razmikov Znak"/>
    <w:aliases w:val="navaden bold JOŽI Znak"/>
    <w:basedOn w:val="Privzetapisavaodstavka"/>
    <w:link w:val="Brezrazmikov"/>
    <w:uiPriority w:val="1"/>
    <w:rsid w:val="006C63D5"/>
    <w:rPr>
      <w:rFonts w:ascii="Calibri" w:eastAsia="Calibri" w:hAnsi="Calibri" w:cs="Times New Roman"/>
      <w:lang w:val="en-GB" w:eastAsia="en-GB"/>
    </w:rPr>
  </w:style>
  <w:style w:type="character" w:customStyle="1" w:styleId="Text2Char">
    <w:name w:val="Text 2 Char"/>
    <w:link w:val="Text2"/>
    <w:rsid w:val="006C63D5"/>
    <w:rPr>
      <w:rFonts w:ascii="Times New Roman" w:eastAsia="Times New Roman" w:hAnsi="Times New Roman" w:cs="Times New Roman"/>
      <w:sz w:val="24"/>
      <w:szCs w:val="24"/>
      <w:lang w:eastAsia="en-GB"/>
    </w:rPr>
  </w:style>
  <w:style w:type="paragraph" w:customStyle="1" w:styleId="Point1">
    <w:name w:val="Point 1"/>
    <w:basedOn w:val="Navaden"/>
    <w:rsid w:val="006C63D5"/>
    <w:pPr>
      <w:spacing w:after="0" w:line="240" w:lineRule="auto"/>
      <w:ind w:left="1984" w:hanging="567"/>
      <w:jc w:val="both"/>
    </w:pPr>
    <w:rPr>
      <w:rFonts w:eastAsia="Calibri" w:cs="Times New Roman"/>
      <w:szCs w:val="20"/>
      <w:lang w:eastAsia="en-GB"/>
    </w:rPr>
  </w:style>
  <w:style w:type="paragraph" w:customStyle="1" w:styleId="Tiret2">
    <w:name w:val="Tiret 2"/>
    <w:basedOn w:val="Navaden"/>
    <w:rsid w:val="006C63D5"/>
    <w:pPr>
      <w:numPr>
        <w:numId w:val="26"/>
      </w:numPr>
      <w:spacing w:after="0" w:line="240" w:lineRule="auto"/>
      <w:ind w:left="0" w:firstLine="0"/>
      <w:jc w:val="both"/>
    </w:pPr>
    <w:rPr>
      <w:rFonts w:eastAsia="Calibri" w:cs="Times New Roman"/>
      <w:szCs w:val="20"/>
      <w:lang w:eastAsia="en-GB"/>
    </w:rPr>
  </w:style>
  <w:style w:type="paragraph" w:customStyle="1" w:styleId="Point0number">
    <w:name w:val="Point 0 (number)"/>
    <w:basedOn w:val="Navaden"/>
    <w:rsid w:val="006C63D5"/>
    <w:pPr>
      <w:numPr>
        <w:numId w:val="25"/>
      </w:numPr>
      <w:spacing w:after="0" w:line="240" w:lineRule="auto"/>
      <w:ind w:left="0" w:firstLine="0"/>
      <w:jc w:val="both"/>
    </w:pPr>
    <w:rPr>
      <w:rFonts w:eastAsia="Calibri" w:cs="Times New Roman"/>
      <w:szCs w:val="20"/>
      <w:lang w:eastAsia="en-GB"/>
    </w:rPr>
  </w:style>
  <w:style w:type="paragraph" w:customStyle="1" w:styleId="Point1number">
    <w:name w:val="Point 1 (number)"/>
    <w:basedOn w:val="Navaden"/>
    <w:rsid w:val="006C63D5"/>
    <w:pPr>
      <w:numPr>
        <w:ilvl w:val="2"/>
        <w:numId w:val="25"/>
      </w:numPr>
      <w:spacing w:after="0" w:line="240" w:lineRule="auto"/>
      <w:ind w:left="0" w:firstLine="0"/>
      <w:jc w:val="both"/>
    </w:pPr>
    <w:rPr>
      <w:rFonts w:eastAsia="Calibri" w:cs="Times New Roman"/>
      <w:szCs w:val="20"/>
      <w:lang w:eastAsia="en-GB"/>
    </w:rPr>
  </w:style>
  <w:style w:type="paragraph" w:customStyle="1" w:styleId="Point2number">
    <w:name w:val="Point 2 (number)"/>
    <w:basedOn w:val="Navaden"/>
    <w:rsid w:val="006C63D5"/>
    <w:pPr>
      <w:numPr>
        <w:ilvl w:val="4"/>
        <w:numId w:val="25"/>
      </w:numPr>
      <w:spacing w:after="0" w:line="240" w:lineRule="auto"/>
      <w:ind w:left="0" w:firstLine="0"/>
      <w:jc w:val="both"/>
    </w:pPr>
    <w:rPr>
      <w:rFonts w:eastAsia="Calibri" w:cs="Times New Roman"/>
      <w:szCs w:val="20"/>
      <w:lang w:eastAsia="en-GB"/>
    </w:rPr>
  </w:style>
  <w:style w:type="paragraph" w:customStyle="1" w:styleId="Point3number">
    <w:name w:val="Point 3 (number)"/>
    <w:basedOn w:val="Navaden"/>
    <w:rsid w:val="006C63D5"/>
    <w:pPr>
      <w:numPr>
        <w:ilvl w:val="6"/>
        <w:numId w:val="25"/>
      </w:numPr>
      <w:spacing w:after="0" w:line="240" w:lineRule="auto"/>
      <w:ind w:left="0" w:firstLine="0"/>
      <w:jc w:val="both"/>
    </w:pPr>
    <w:rPr>
      <w:rFonts w:eastAsia="Calibri" w:cs="Times New Roman"/>
      <w:szCs w:val="20"/>
      <w:lang w:eastAsia="en-GB"/>
    </w:rPr>
  </w:style>
  <w:style w:type="paragraph" w:customStyle="1" w:styleId="Point0letter">
    <w:name w:val="Point 0 (letter)"/>
    <w:basedOn w:val="Navaden"/>
    <w:rsid w:val="006C63D5"/>
    <w:pPr>
      <w:numPr>
        <w:ilvl w:val="1"/>
        <w:numId w:val="25"/>
      </w:numPr>
      <w:spacing w:after="0" w:line="240" w:lineRule="auto"/>
      <w:ind w:left="0" w:firstLine="0"/>
      <w:jc w:val="both"/>
    </w:pPr>
    <w:rPr>
      <w:rFonts w:eastAsia="Calibri" w:cs="Times New Roman"/>
      <w:szCs w:val="20"/>
      <w:lang w:eastAsia="en-GB"/>
    </w:rPr>
  </w:style>
  <w:style w:type="paragraph" w:customStyle="1" w:styleId="Point1letter">
    <w:name w:val="Point 1 (letter)"/>
    <w:basedOn w:val="Navaden"/>
    <w:rsid w:val="006C63D5"/>
    <w:pPr>
      <w:numPr>
        <w:ilvl w:val="3"/>
        <w:numId w:val="25"/>
      </w:numPr>
      <w:spacing w:after="0" w:line="240" w:lineRule="auto"/>
      <w:ind w:left="0" w:firstLine="0"/>
      <w:jc w:val="both"/>
    </w:pPr>
    <w:rPr>
      <w:rFonts w:eastAsia="Calibri" w:cs="Times New Roman"/>
      <w:szCs w:val="20"/>
      <w:lang w:eastAsia="en-GB"/>
    </w:rPr>
  </w:style>
  <w:style w:type="paragraph" w:customStyle="1" w:styleId="Point2letter">
    <w:name w:val="Point 2 (letter)"/>
    <w:basedOn w:val="Navaden"/>
    <w:rsid w:val="006C63D5"/>
    <w:pPr>
      <w:numPr>
        <w:ilvl w:val="5"/>
        <w:numId w:val="25"/>
      </w:numPr>
      <w:spacing w:after="0" w:line="240" w:lineRule="auto"/>
      <w:ind w:left="0" w:firstLine="0"/>
      <w:jc w:val="both"/>
    </w:pPr>
    <w:rPr>
      <w:rFonts w:eastAsia="Calibri" w:cs="Times New Roman"/>
      <w:szCs w:val="20"/>
      <w:lang w:eastAsia="en-GB"/>
    </w:rPr>
  </w:style>
  <w:style w:type="paragraph" w:customStyle="1" w:styleId="Point3letter">
    <w:name w:val="Point 3 (letter)"/>
    <w:basedOn w:val="Navaden"/>
    <w:rsid w:val="006C63D5"/>
    <w:pPr>
      <w:numPr>
        <w:ilvl w:val="7"/>
        <w:numId w:val="25"/>
      </w:numPr>
      <w:spacing w:after="0" w:line="240" w:lineRule="auto"/>
      <w:ind w:left="0" w:firstLine="0"/>
      <w:jc w:val="both"/>
    </w:pPr>
    <w:rPr>
      <w:rFonts w:eastAsia="Calibri" w:cs="Times New Roman"/>
      <w:szCs w:val="20"/>
      <w:lang w:eastAsia="en-GB"/>
    </w:rPr>
  </w:style>
  <w:style w:type="paragraph" w:customStyle="1" w:styleId="Point4letter">
    <w:name w:val="Point 4 (letter)"/>
    <w:basedOn w:val="Navaden"/>
    <w:rsid w:val="006C63D5"/>
    <w:pPr>
      <w:numPr>
        <w:ilvl w:val="8"/>
        <w:numId w:val="25"/>
      </w:numPr>
      <w:spacing w:after="0" w:line="240" w:lineRule="auto"/>
      <w:ind w:left="0" w:firstLine="0"/>
      <w:jc w:val="both"/>
    </w:pPr>
    <w:rPr>
      <w:rFonts w:eastAsia="Calibri" w:cs="Times New Roman"/>
      <w:szCs w:val="20"/>
      <w:lang w:eastAsia="en-GB"/>
    </w:rPr>
  </w:style>
  <w:style w:type="paragraph" w:customStyle="1" w:styleId="StyleHeading3BoldNotItalic">
    <w:name w:val="Style Heading 3 + Bold Not Italic"/>
    <w:basedOn w:val="Naslov3"/>
    <w:rsid w:val="006C63D5"/>
    <w:pPr>
      <w:keepLines w:val="0"/>
      <w:numPr>
        <w:ilvl w:val="0"/>
        <w:numId w:val="27"/>
      </w:numPr>
      <w:tabs>
        <w:tab w:val="left" w:pos="360"/>
        <w:tab w:val="left" w:pos="850"/>
        <w:tab w:val="left" w:pos="4537"/>
      </w:tabs>
      <w:spacing w:before="0" w:after="0" w:line="260" w:lineRule="atLeast"/>
      <w:ind w:left="1440" w:hanging="720"/>
    </w:pPr>
    <w:rPr>
      <w:rFonts w:ascii="Times New Roman Bold" w:eastAsia="Times New Roman Bold" w:hAnsi="Times New Roman Bold" w:cs="Times New Roman"/>
      <w:color w:val="00B050"/>
      <w:sz w:val="22"/>
      <w:szCs w:val="20"/>
      <w:lang w:eastAsia="en-GB"/>
    </w:rPr>
  </w:style>
  <w:style w:type="paragraph" w:customStyle="1" w:styleId="Tim">
    <w:name w:val="Tim"/>
    <w:basedOn w:val="Navaden"/>
    <w:rsid w:val="006C63D5"/>
    <w:pPr>
      <w:numPr>
        <w:numId w:val="28"/>
      </w:numPr>
      <w:spacing w:after="0" w:line="240" w:lineRule="auto"/>
      <w:ind w:left="0" w:firstLine="0"/>
      <w:jc w:val="both"/>
    </w:pPr>
    <w:rPr>
      <w:rFonts w:ascii="Calibri" w:eastAsia="Calibri" w:hAnsi="Calibri" w:cs="Times New Roman"/>
      <w:lang w:eastAsia="en-GB"/>
    </w:rPr>
  </w:style>
  <w:style w:type="paragraph" w:customStyle="1" w:styleId="ZPslika">
    <w:name w:val="ZP_slika"/>
    <w:basedOn w:val="Navaden"/>
    <w:qFormat/>
    <w:rsid w:val="006C63D5"/>
    <w:pPr>
      <w:spacing w:before="80" w:after="80" w:line="240" w:lineRule="auto"/>
      <w:jc w:val="center"/>
    </w:pPr>
    <w:rPr>
      <w:rFonts w:eastAsia="Times New Roman" w:cs="Arial"/>
      <w:noProof/>
      <w:sz w:val="16"/>
      <w:lang w:eastAsia="sl-SI"/>
    </w:rPr>
  </w:style>
  <w:style w:type="table" w:customStyle="1" w:styleId="TableGridLight1">
    <w:name w:val="Table Grid Light1"/>
    <w:basedOn w:val="Navadnatabela"/>
    <w:uiPriority w:val="40"/>
    <w:rsid w:val="006C63D5"/>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otno">
    <w:name w:val="Footno"/>
    <w:basedOn w:val="Navaden"/>
    <w:rsid w:val="006C63D5"/>
    <w:pPr>
      <w:spacing w:after="0" w:line="240" w:lineRule="auto"/>
      <w:jc w:val="both"/>
    </w:pPr>
    <w:rPr>
      <w:rFonts w:ascii="Times New Roman" w:eastAsia="Arial Unicode MS" w:hAnsi="Times New Roman" w:cs="Times New Roman"/>
      <w:color w:val="000000"/>
      <w:szCs w:val="20"/>
      <w:lang w:eastAsia="sl-SI" w:bidi="sl-SI"/>
    </w:rPr>
  </w:style>
  <w:style w:type="paragraph" w:customStyle="1" w:styleId="odstavek">
    <w:name w:val="odstavek"/>
    <w:basedOn w:val="Navaden"/>
    <w:rsid w:val="006C63D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BodyText31">
    <w:name w:val="Body Text 31"/>
    <w:basedOn w:val="Navaden"/>
    <w:rsid w:val="006C63D5"/>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sl-SI"/>
    </w:rPr>
  </w:style>
  <w:style w:type="paragraph" w:customStyle="1" w:styleId="Preglednica">
    <w:name w:val="Preglednica"/>
    <w:basedOn w:val="Navaden"/>
    <w:link w:val="PreglednicaZnak"/>
    <w:qFormat/>
    <w:rsid w:val="006C63D5"/>
    <w:pPr>
      <w:keepNext/>
      <w:keepLines/>
      <w:tabs>
        <w:tab w:val="left" w:pos="180"/>
      </w:tabs>
      <w:spacing w:after="120" w:line="240" w:lineRule="auto"/>
      <w:jc w:val="both"/>
    </w:pPr>
    <w:rPr>
      <w:rFonts w:eastAsia="Times New Roman" w:cs="Arial"/>
      <w:bCs/>
      <w:i/>
      <w:color w:val="000000"/>
      <w:szCs w:val="20"/>
    </w:rPr>
  </w:style>
  <w:style w:type="character" w:customStyle="1" w:styleId="PreglednicaZnak">
    <w:name w:val="Preglednica Znak"/>
    <w:basedOn w:val="Privzetapisavaodstavka"/>
    <w:link w:val="Preglednica"/>
    <w:rsid w:val="006C63D5"/>
    <w:rPr>
      <w:rFonts w:ascii="Arial" w:eastAsia="Times New Roman" w:hAnsi="Arial" w:cs="Arial"/>
      <w:bCs/>
      <w:i/>
      <w:color w:val="000000"/>
      <w:sz w:val="20"/>
      <w:szCs w:val="20"/>
    </w:rPr>
  </w:style>
  <w:style w:type="paragraph" w:customStyle="1" w:styleId="ZnakZnakZnakZnakZnak1">
    <w:name w:val="Znak Znak Znak Znak Znak1"/>
    <w:basedOn w:val="Navaden"/>
    <w:rsid w:val="006C63D5"/>
    <w:pPr>
      <w:spacing w:after="160" w:line="240" w:lineRule="exact"/>
    </w:pPr>
    <w:rPr>
      <w:rFonts w:ascii="Tahoma" w:eastAsia="Times New Roman" w:hAnsi="Tahoma" w:cs="Times New Roman"/>
      <w:szCs w:val="20"/>
      <w:lang w:val="en-US"/>
    </w:rPr>
  </w:style>
  <w:style w:type="paragraph" w:customStyle="1" w:styleId="ZPtekstpoevni">
    <w:name w:val="ZP_tekst_poševni"/>
    <w:basedOn w:val="Navaden"/>
    <w:next w:val="Navaden"/>
    <w:qFormat/>
    <w:rsid w:val="006C63D5"/>
    <w:pPr>
      <w:spacing w:before="120" w:after="120" w:line="264" w:lineRule="auto"/>
      <w:jc w:val="both"/>
    </w:pPr>
    <w:rPr>
      <w:rFonts w:eastAsia="Times New Roman" w:cs="Arial"/>
      <w:i/>
    </w:rPr>
  </w:style>
  <w:style w:type="character" w:customStyle="1" w:styleId="Bodytext2Bold">
    <w:name w:val="Body text (2) + Bold"/>
    <w:basedOn w:val="Privzetapisavaodstavka"/>
    <w:rsid w:val="006C63D5"/>
    <w:rPr>
      <w:rFonts w:ascii="Arial" w:eastAsia="Arial" w:hAnsi="Arial" w:cs="Arial"/>
      <w:b/>
      <w:bCs/>
      <w:i w:val="0"/>
      <w:iCs w:val="0"/>
      <w:smallCaps w:val="0"/>
      <w:strike w:val="0"/>
      <w:color w:val="000000"/>
      <w:spacing w:val="0"/>
      <w:w w:val="100"/>
      <w:position w:val="0"/>
      <w:sz w:val="13"/>
      <w:szCs w:val="13"/>
      <w:u w:val="none"/>
      <w:lang w:val="sl-SI" w:eastAsia="sl-SI" w:bidi="sl-SI"/>
    </w:rPr>
  </w:style>
  <w:style w:type="character" w:customStyle="1" w:styleId="Bodytext2">
    <w:name w:val="Body text (2)_"/>
    <w:basedOn w:val="Privzetapisavaodstavka"/>
    <w:link w:val="Bodytext20"/>
    <w:rsid w:val="006C63D5"/>
    <w:rPr>
      <w:rFonts w:ascii="Arial" w:eastAsia="Arial" w:hAnsi="Arial" w:cs="Arial"/>
      <w:sz w:val="13"/>
      <w:szCs w:val="13"/>
      <w:shd w:val="clear" w:color="auto" w:fill="FFFFFF"/>
    </w:rPr>
  </w:style>
  <w:style w:type="character" w:customStyle="1" w:styleId="Bodytext27ptScale66">
    <w:name w:val="Body text (2) + 7 pt;Scale 66%"/>
    <w:basedOn w:val="Bodytext2"/>
    <w:rsid w:val="006C63D5"/>
    <w:rPr>
      <w:rFonts w:ascii="Arial" w:eastAsia="Arial" w:hAnsi="Arial" w:cs="Arial"/>
      <w:color w:val="000000"/>
      <w:spacing w:val="0"/>
      <w:w w:val="66"/>
      <w:position w:val="0"/>
      <w:sz w:val="14"/>
      <w:szCs w:val="14"/>
      <w:shd w:val="clear" w:color="auto" w:fill="FFFFFF"/>
      <w:lang w:val="sl-SI" w:eastAsia="sl-SI" w:bidi="sl-SI"/>
    </w:rPr>
  </w:style>
  <w:style w:type="character" w:customStyle="1" w:styleId="Bodytext2Georgia95ptScale50">
    <w:name w:val="Body text (2) + Georgia;9;5 pt;Scale 50%"/>
    <w:basedOn w:val="Bodytext2"/>
    <w:rsid w:val="006C63D5"/>
    <w:rPr>
      <w:rFonts w:ascii="Georgia" w:eastAsia="Georgia" w:hAnsi="Georgia" w:cs="Georgia"/>
      <w:color w:val="000000"/>
      <w:spacing w:val="0"/>
      <w:w w:val="50"/>
      <w:position w:val="0"/>
      <w:sz w:val="19"/>
      <w:szCs w:val="19"/>
      <w:shd w:val="clear" w:color="auto" w:fill="FFFFFF"/>
      <w:lang w:val="sl-SI" w:eastAsia="sl-SI" w:bidi="sl-SI"/>
    </w:rPr>
  </w:style>
  <w:style w:type="paragraph" w:customStyle="1" w:styleId="Bodytext20">
    <w:name w:val="Body text (2)"/>
    <w:basedOn w:val="Navaden"/>
    <w:link w:val="Bodytext2"/>
    <w:rsid w:val="006C63D5"/>
    <w:pPr>
      <w:widowControl w:val="0"/>
      <w:shd w:val="clear" w:color="auto" w:fill="FFFFFF"/>
      <w:spacing w:before="120" w:after="300" w:line="197" w:lineRule="exact"/>
      <w:ind w:hanging="180"/>
    </w:pPr>
    <w:rPr>
      <w:rFonts w:eastAsia="Arial" w:cs="Arial"/>
      <w:sz w:val="13"/>
      <w:szCs w:val="13"/>
    </w:rPr>
  </w:style>
  <w:style w:type="character" w:customStyle="1" w:styleId="Bodytext2Georgia4ptBold">
    <w:name w:val="Body text (2) + Georgia;4 pt;Bold"/>
    <w:basedOn w:val="Bodytext2"/>
    <w:rsid w:val="006C63D5"/>
    <w:rPr>
      <w:rFonts w:ascii="Georgia" w:eastAsia="Georgia" w:hAnsi="Georgia" w:cs="Georgia"/>
      <w:b/>
      <w:bCs/>
      <w:i w:val="0"/>
      <w:iCs w:val="0"/>
      <w:smallCaps w:val="0"/>
      <w:strike w:val="0"/>
      <w:color w:val="000000"/>
      <w:spacing w:val="0"/>
      <w:w w:val="100"/>
      <w:position w:val="0"/>
      <w:sz w:val="8"/>
      <w:szCs w:val="8"/>
      <w:u w:val="none"/>
      <w:shd w:val="clear" w:color="auto" w:fill="FFFFFF"/>
      <w:lang w:val="sl-SI" w:eastAsia="sl-SI" w:bidi="sl-SI"/>
    </w:rPr>
  </w:style>
  <w:style w:type="character" w:customStyle="1" w:styleId="Bodytext25ptBold">
    <w:name w:val="Body text (2) + 5 pt;Bold"/>
    <w:basedOn w:val="Bodytext2"/>
    <w:rsid w:val="006C63D5"/>
    <w:rPr>
      <w:rFonts w:ascii="Arial" w:eastAsia="Arial" w:hAnsi="Arial" w:cs="Arial"/>
      <w:b/>
      <w:bCs/>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5pt">
    <w:name w:val="Body text (2) + 5 pt"/>
    <w:basedOn w:val="Bodytext2"/>
    <w:rsid w:val="006C63D5"/>
    <w:rPr>
      <w:rFonts w:ascii="Arial" w:eastAsia="Arial" w:hAnsi="Arial" w:cs="Arial"/>
      <w:b w:val="0"/>
      <w:bCs w:val="0"/>
      <w:i w:val="0"/>
      <w:iCs w:val="0"/>
      <w:smallCaps w:val="0"/>
      <w:strike w:val="0"/>
      <w:color w:val="000000"/>
      <w:spacing w:val="0"/>
      <w:w w:val="100"/>
      <w:position w:val="0"/>
      <w:sz w:val="10"/>
      <w:szCs w:val="10"/>
      <w:u w:val="none"/>
      <w:shd w:val="clear" w:color="auto" w:fill="FFFFFF"/>
      <w:lang w:val="sl-SI" w:eastAsia="sl-SI" w:bidi="sl-SI"/>
    </w:rPr>
  </w:style>
  <w:style w:type="character" w:customStyle="1" w:styleId="Bodytext2TimesNewRoman10pt">
    <w:name w:val="Body text (2) + Times New Roman;10 pt"/>
    <w:basedOn w:val="Bodytext2"/>
    <w:rsid w:val="006C63D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sl-SI" w:eastAsia="sl-SI" w:bidi="sl-SI"/>
    </w:rPr>
  </w:style>
  <w:style w:type="paragraph" w:customStyle="1" w:styleId="alineja">
    <w:name w:val="alineja"/>
    <w:basedOn w:val="Navaden"/>
    <w:rsid w:val="006C63D5"/>
    <w:pPr>
      <w:numPr>
        <w:numId w:val="29"/>
      </w:numPr>
      <w:autoSpaceDE w:val="0"/>
      <w:autoSpaceDN w:val="0"/>
      <w:adjustRightInd w:val="0"/>
      <w:spacing w:after="0" w:line="240" w:lineRule="auto"/>
      <w:ind w:left="714" w:hanging="357"/>
      <w:jc w:val="both"/>
    </w:pPr>
    <w:rPr>
      <w:rFonts w:ascii="Tahoma" w:eastAsia="Times New Roman" w:hAnsi="Tahoma" w:cs="Times New Roman"/>
      <w:lang w:eastAsia="sl-SI"/>
    </w:rPr>
  </w:style>
  <w:style w:type="character" w:customStyle="1" w:styleId="ccccccc">
    <w:name w:val="ccccccc"/>
    <w:rsid w:val="006C63D5"/>
    <w:rPr>
      <w:rFonts w:ascii="Arial" w:hAnsi="Arial"/>
      <w:b/>
      <w:bCs/>
      <w:sz w:val="22"/>
      <w:lang w:eastAsia="en-US"/>
    </w:rPr>
  </w:style>
  <w:style w:type="paragraph" w:customStyle="1" w:styleId="ZPokvirnaslov">
    <w:name w:val="ZP_okvir_naslov"/>
    <w:basedOn w:val="ZPtekst"/>
    <w:qFormat/>
    <w:rsid w:val="006C63D5"/>
    <w:pPr>
      <w:keepNext/>
      <w:spacing w:before="80" w:after="80"/>
      <w:ind w:firstLine="454"/>
      <w:jc w:val="left"/>
    </w:pPr>
    <w:rPr>
      <w:b/>
      <w:szCs w:val="22"/>
      <w:lang w:eastAsia="en-US"/>
    </w:rPr>
  </w:style>
  <w:style w:type="paragraph" w:customStyle="1" w:styleId="ZPokvirtekst">
    <w:name w:val="ZP_okvir_tekst"/>
    <w:basedOn w:val="ZPtekst"/>
    <w:qFormat/>
    <w:rsid w:val="006C63D5"/>
    <w:pPr>
      <w:keepNext/>
      <w:spacing w:before="80" w:after="80" w:line="245" w:lineRule="auto"/>
      <w:ind w:firstLine="454"/>
    </w:pPr>
    <w:rPr>
      <w:sz w:val="18"/>
      <w:szCs w:val="22"/>
      <w:lang w:eastAsia="en-US"/>
    </w:rPr>
  </w:style>
  <w:style w:type="table" w:customStyle="1" w:styleId="Tabelamrea6">
    <w:name w:val="Tabela – mreža6"/>
    <w:basedOn w:val="Navadnatabela"/>
    <w:next w:val="Tabelamrea"/>
    <w:uiPriority w:val="59"/>
    <w:rsid w:val="006C63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6C63D5"/>
    <w:rPr>
      <w:rFonts w:cs="FTERJY+MyriadPro-Regular"/>
      <w:color w:val="000000"/>
      <w:sz w:val="17"/>
      <w:szCs w:val="17"/>
    </w:rPr>
  </w:style>
  <w:style w:type="table" w:customStyle="1" w:styleId="Tabelamrea2">
    <w:name w:val="Tabela – mreža2"/>
    <w:basedOn w:val="Navadnatabela"/>
    <w:next w:val="Tabelamrea"/>
    <w:uiPriority w:val="39"/>
    <w:rsid w:val="006C63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6C63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Navadnatabela"/>
    <w:uiPriority w:val="40"/>
    <w:rsid w:val="006C63D5"/>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2">
    <w:name w:val="Table Grid Light12"/>
    <w:basedOn w:val="Navadnatabela"/>
    <w:uiPriority w:val="40"/>
    <w:rsid w:val="006C63D5"/>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3">
    <w:name w:val="Table Grid Light13"/>
    <w:basedOn w:val="Navadnatabela"/>
    <w:uiPriority w:val="40"/>
    <w:rsid w:val="006C63D5"/>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4">
    <w:name w:val="Table Grid Light14"/>
    <w:basedOn w:val="Navadnatabela"/>
    <w:uiPriority w:val="40"/>
    <w:rsid w:val="006C63D5"/>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5">
    <w:name w:val="Table Grid Light15"/>
    <w:basedOn w:val="Navadnatabela"/>
    <w:uiPriority w:val="40"/>
    <w:rsid w:val="006C63D5"/>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6">
    <w:name w:val="Table Grid Light16"/>
    <w:basedOn w:val="Navadnatabela"/>
    <w:uiPriority w:val="40"/>
    <w:rsid w:val="006C63D5"/>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7">
    <w:name w:val="Table Grid Light17"/>
    <w:basedOn w:val="Navadnatabela"/>
    <w:uiPriority w:val="40"/>
    <w:rsid w:val="006C63D5"/>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8">
    <w:name w:val="Table Grid Light18"/>
    <w:basedOn w:val="Navadnatabela"/>
    <w:uiPriority w:val="40"/>
    <w:rsid w:val="006C63D5"/>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9">
    <w:name w:val="Table Grid Light19"/>
    <w:basedOn w:val="Navadnatabela"/>
    <w:uiPriority w:val="40"/>
    <w:rsid w:val="006C63D5"/>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0">
    <w:name w:val="Table Grid Light110"/>
    <w:basedOn w:val="Navadnatabela"/>
    <w:uiPriority w:val="40"/>
    <w:rsid w:val="006C63D5"/>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1">
    <w:name w:val="Table Grid Light111"/>
    <w:basedOn w:val="Navadnatabela"/>
    <w:uiPriority w:val="40"/>
    <w:rsid w:val="006C63D5"/>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
    <w:name w:val="Table Grid Light112"/>
    <w:basedOn w:val="Navadnatabela"/>
    <w:uiPriority w:val="40"/>
    <w:rsid w:val="006C63D5"/>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3">
    <w:name w:val="Table Grid Light113"/>
    <w:basedOn w:val="Navadnatabela"/>
    <w:uiPriority w:val="40"/>
    <w:rsid w:val="006C63D5"/>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
    <w:name w:val="Table Grid Light114"/>
    <w:basedOn w:val="Navadnatabela"/>
    <w:uiPriority w:val="40"/>
    <w:rsid w:val="006C63D5"/>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5">
    <w:name w:val="Table Grid Light115"/>
    <w:basedOn w:val="Navadnatabela"/>
    <w:uiPriority w:val="40"/>
    <w:rsid w:val="006C63D5"/>
    <w:pPr>
      <w:spacing w:after="0" w:line="240" w:lineRule="auto"/>
    </w:pPr>
    <w:rPr>
      <w:lang w:val="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evilnatoka111">
    <w:name w:val="Številčna točka 1.1.1"/>
    <w:basedOn w:val="Navaden"/>
    <w:qFormat/>
    <w:rsid w:val="006C63D5"/>
    <w:pPr>
      <w:widowControl w:val="0"/>
      <w:numPr>
        <w:ilvl w:val="2"/>
        <w:numId w:val="30"/>
      </w:numPr>
      <w:overflowPunct w:val="0"/>
      <w:autoSpaceDE w:val="0"/>
      <w:autoSpaceDN w:val="0"/>
      <w:adjustRightInd w:val="0"/>
      <w:spacing w:after="0" w:line="240" w:lineRule="auto"/>
      <w:jc w:val="both"/>
    </w:pPr>
    <w:rPr>
      <w:rFonts w:eastAsia="Times New Roman" w:cs="Times New Roman"/>
      <w:szCs w:val="16"/>
      <w:lang w:eastAsia="sl-SI"/>
    </w:rPr>
  </w:style>
  <w:style w:type="paragraph" w:customStyle="1" w:styleId="tevilnatoka">
    <w:name w:val="Številčna točka"/>
    <w:basedOn w:val="Navaden"/>
    <w:link w:val="tevilnatokaZnak"/>
    <w:qFormat/>
    <w:rsid w:val="006C63D5"/>
    <w:pPr>
      <w:numPr>
        <w:numId w:val="30"/>
      </w:numPr>
      <w:spacing w:after="0" w:line="240" w:lineRule="auto"/>
      <w:jc w:val="both"/>
    </w:pPr>
    <w:rPr>
      <w:rFonts w:eastAsia="Times New Roman" w:cs="Arial"/>
      <w:lang w:eastAsia="sl-SI"/>
    </w:rPr>
  </w:style>
  <w:style w:type="paragraph" w:customStyle="1" w:styleId="tevilnatoka11Nova">
    <w:name w:val="Številčna točka 1.1 Nova"/>
    <w:basedOn w:val="tevilnatoka"/>
    <w:qFormat/>
    <w:rsid w:val="006C63D5"/>
    <w:pPr>
      <w:numPr>
        <w:ilvl w:val="1"/>
      </w:numPr>
      <w:tabs>
        <w:tab w:val="clear" w:pos="425"/>
        <w:tab w:val="num" w:pos="360"/>
      </w:tabs>
      <w:ind w:left="1440" w:hanging="360"/>
    </w:pPr>
  </w:style>
  <w:style w:type="paragraph" w:customStyle="1" w:styleId="tevilnatoka0">
    <w:name w:val="tevilnatoka"/>
    <w:basedOn w:val="Navaden"/>
    <w:rsid w:val="006C63D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highlight">
    <w:name w:val="highlight"/>
    <w:basedOn w:val="Privzetapisavaodstavka"/>
    <w:rsid w:val="006C63D5"/>
  </w:style>
  <w:style w:type="paragraph" w:customStyle="1" w:styleId="Odstavek0">
    <w:name w:val="Odstavek"/>
    <w:basedOn w:val="Navaden"/>
    <w:link w:val="OdstavekZnak"/>
    <w:qFormat/>
    <w:rsid w:val="006C63D5"/>
    <w:pPr>
      <w:overflowPunct w:val="0"/>
      <w:autoSpaceDE w:val="0"/>
      <w:autoSpaceDN w:val="0"/>
      <w:adjustRightInd w:val="0"/>
      <w:spacing w:before="240" w:after="0" w:line="240" w:lineRule="auto"/>
      <w:ind w:firstLine="1021"/>
      <w:jc w:val="both"/>
      <w:textAlignment w:val="baseline"/>
    </w:pPr>
    <w:rPr>
      <w:rFonts w:eastAsia="Times New Roman" w:cs="Arial"/>
      <w:lang w:eastAsia="sl-SI"/>
    </w:rPr>
  </w:style>
  <w:style w:type="character" w:customStyle="1" w:styleId="OdstavekZnak">
    <w:name w:val="Odstavek Znak"/>
    <w:link w:val="Odstavek0"/>
    <w:rsid w:val="006C63D5"/>
    <w:rPr>
      <w:rFonts w:ascii="Arial" w:eastAsia="Times New Roman" w:hAnsi="Arial" w:cs="Arial"/>
      <w:lang w:eastAsia="sl-SI"/>
    </w:rPr>
  </w:style>
  <w:style w:type="paragraph" w:customStyle="1" w:styleId="Navaden1">
    <w:name w:val="Navaden1"/>
    <w:rsid w:val="006C63D5"/>
    <w:pPr>
      <w:spacing w:after="0" w:line="240" w:lineRule="auto"/>
    </w:pPr>
    <w:rPr>
      <w:rFonts w:eastAsia="Arial" w:cs="Arial"/>
      <w:szCs w:val="20"/>
    </w:rPr>
  </w:style>
  <w:style w:type="paragraph" w:customStyle="1" w:styleId="ZPnoga">
    <w:name w:val="ZP_noga"/>
    <w:basedOn w:val="ZPtekst"/>
    <w:qFormat/>
    <w:rsid w:val="006C63D5"/>
    <w:pPr>
      <w:keepLines/>
      <w:spacing w:before="60" w:after="60" w:line="245" w:lineRule="auto"/>
      <w:ind w:left="170" w:hanging="170"/>
    </w:pPr>
    <w:rPr>
      <w:sz w:val="18"/>
      <w:szCs w:val="22"/>
      <w:lang w:eastAsia="en-US"/>
    </w:rPr>
  </w:style>
  <w:style w:type="character" w:customStyle="1" w:styleId="tevilnatokaZnak">
    <w:name w:val="Številčna točka Znak"/>
    <w:basedOn w:val="Privzetapisavaodstavka"/>
    <w:link w:val="tevilnatoka"/>
    <w:rsid w:val="006C63D5"/>
    <w:rPr>
      <w:rFonts w:eastAsia="Times New Roman" w:cs="Arial"/>
      <w:lang w:eastAsia="sl-SI"/>
    </w:rPr>
  </w:style>
  <w:style w:type="paragraph" w:customStyle="1" w:styleId="Pa1">
    <w:name w:val="Pa1"/>
    <w:basedOn w:val="Default"/>
    <w:next w:val="Default"/>
    <w:uiPriority w:val="99"/>
    <w:rsid w:val="006C63D5"/>
    <w:pPr>
      <w:spacing w:line="201" w:lineRule="atLeast"/>
    </w:pPr>
    <w:rPr>
      <w:rFonts w:ascii="Arial" w:eastAsia="Arial" w:hAnsi="Arial" w:cs="Arial"/>
      <w:color w:val="auto"/>
    </w:rPr>
  </w:style>
  <w:style w:type="paragraph" w:customStyle="1" w:styleId="align-justify">
    <w:name w:val="align-justify"/>
    <w:basedOn w:val="Navaden"/>
    <w:rsid w:val="006C63D5"/>
    <w:pPr>
      <w:spacing w:before="100" w:beforeAutospacing="1" w:after="100" w:afterAutospacing="1" w:line="260" w:lineRule="atLeast"/>
    </w:pPr>
    <w:rPr>
      <w:rFonts w:eastAsia="Times New Roman" w:cs="Times New Roman"/>
      <w:szCs w:val="24"/>
      <w:lang w:eastAsia="sl-SI"/>
    </w:rPr>
  </w:style>
  <w:style w:type="paragraph" w:customStyle="1" w:styleId="Pa34">
    <w:name w:val="Pa34"/>
    <w:basedOn w:val="Default"/>
    <w:next w:val="Default"/>
    <w:uiPriority w:val="99"/>
    <w:rsid w:val="006C63D5"/>
    <w:pPr>
      <w:spacing w:line="201" w:lineRule="atLeast"/>
    </w:pPr>
    <w:rPr>
      <w:rFonts w:ascii="Source Sans Pro Light" w:hAnsi="Source Sans Pro Light" w:cstheme="minorBidi"/>
      <w:color w:val="auto"/>
    </w:rPr>
  </w:style>
  <w:style w:type="paragraph" w:customStyle="1" w:styleId="Pa27">
    <w:name w:val="Pa27"/>
    <w:basedOn w:val="Default"/>
    <w:next w:val="Default"/>
    <w:uiPriority w:val="99"/>
    <w:rsid w:val="006C63D5"/>
    <w:pPr>
      <w:spacing w:line="181" w:lineRule="atLeast"/>
    </w:pPr>
    <w:rPr>
      <w:rFonts w:ascii="Myriad Pro Light" w:hAnsi="Myriad Pro Light" w:cstheme="minorBidi"/>
      <w:color w:val="auto"/>
    </w:rPr>
  </w:style>
  <w:style w:type="paragraph" w:customStyle="1" w:styleId="Pa29">
    <w:name w:val="Pa29"/>
    <w:basedOn w:val="Default"/>
    <w:next w:val="Default"/>
    <w:uiPriority w:val="99"/>
    <w:rsid w:val="006C63D5"/>
    <w:pPr>
      <w:spacing w:line="151" w:lineRule="atLeast"/>
    </w:pPr>
    <w:rPr>
      <w:rFonts w:ascii="Myriad Pro Light" w:hAnsi="Myriad Pro Light" w:cstheme="minorBidi"/>
      <w:color w:val="auto"/>
    </w:rPr>
  </w:style>
  <w:style w:type="paragraph" w:customStyle="1" w:styleId="Pa31">
    <w:name w:val="Pa31"/>
    <w:basedOn w:val="Default"/>
    <w:next w:val="Default"/>
    <w:uiPriority w:val="99"/>
    <w:rsid w:val="006C63D5"/>
    <w:pPr>
      <w:spacing w:line="151" w:lineRule="atLeast"/>
    </w:pPr>
    <w:rPr>
      <w:rFonts w:ascii="Myriad Pro Light" w:hAnsi="Myriad Pro Light" w:cstheme="minorBidi"/>
      <w:color w:val="auto"/>
    </w:rPr>
  </w:style>
  <w:style w:type="character" w:customStyle="1" w:styleId="Bodytext27pt">
    <w:name w:val="Body text (2) + 7 pt"/>
    <w:basedOn w:val="Bodytext2"/>
    <w:rsid w:val="006C63D5"/>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sl-SI" w:eastAsia="sl-SI" w:bidi="sl-SI"/>
    </w:rPr>
  </w:style>
  <w:style w:type="character" w:customStyle="1" w:styleId="Picturecaption211ptNotItalicSpacing0pt">
    <w:name w:val="Picture caption (2) + 11 pt;Not Italic;Spacing 0 pt"/>
    <w:basedOn w:val="Privzetapisavaodstavka"/>
    <w:rsid w:val="006C63D5"/>
    <w:rPr>
      <w:rFonts w:ascii="Times New Roman" w:eastAsia="Times New Roman" w:hAnsi="Times New Roman" w:cs="Times New Roman"/>
      <w:b w:val="0"/>
      <w:bCs w:val="0"/>
      <w:i/>
      <w:iCs/>
      <w:smallCaps w:val="0"/>
      <w:strike w:val="0"/>
      <w:color w:val="000000"/>
      <w:spacing w:val="0"/>
      <w:w w:val="100"/>
      <w:position w:val="0"/>
      <w:sz w:val="22"/>
      <w:szCs w:val="22"/>
      <w:u w:val="none"/>
      <w:lang w:val="sl-SI" w:eastAsia="sl-SI" w:bidi="sl-SI"/>
    </w:rPr>
  </w:style>
  <w:style w:type="character" w:customStyle="1" w:styleId="Bodytext2Candara115pt">
    <w:name w:val="Body text (2) + Candara;11;5 pt"/>
    <w:basedOn w:val="Bodytext2"/>
    <w:rsid w:val="006C63D5"/>
    <w:rPr>
      <w:rFonts w:ascii="Candara" w:eastAsia="Candara" w:hAnsi="Candara" w:cs="Candara"/>
      <w:b/>
      <w:bCs/>
      <w:i w:val="0"/>
      <w:iCs w:val="0"/>
      <w:smallCaps w:val="0"/>
      <w:strike w:val="0"/>
      <w:color w:val="000000"/>
      <w:spacing w:val="0"/>
      <w:w w:val="100"/>
      <w:position w:val="0"/>
      <w:sz w:val="23"/>
      <w:szCs w:val="23"/>
      <w:u w:val="none"/>
      <w:shd w:val="clear" w:color="auto" w:fill="FFFFFF"/>
      <w:lang w:val="sl-SI" w:eastAsia="sl-SI" w:bidi="sl-SI"/>
    </w:rPr>
  </w:style>
  <w:style w:type="character" w:customStyle="1" w:styleId="Bodytext9">
    <w:name w:val="Body text (9)_"/>
    <w:basedOn w:val="Privzetapisavaodstavka"/>
    <w:link w:val="Bodytext90"/>
    <w:rsid w:val="006C63D5"/>
    <w:rPr>
      <w:rFonts w:ascii="Calibri" w:eastAsia="Calibri" w:hAnsi="Calibri" w:cs="Calibri"/>
      <w:sz w:val="24"/>
      <w:szCs w:val="24"/>
      <w:shd w:val="clear" w:color="auto" w:fill="FFFFFF"/>
    </w:rPr>
  </w:style>
  <w:style w:type="character" w:customStyle="1" w:styleId="Bodytext9Exact">
    <w:name w:val="Body text (9) Exact"/>
    <w:basedOn w:val="Privzetapisavaodstavka"/>
    <w:rsid w:val="006C63D5"/>
    <w:rPr>
      <w:rFonts w:ascii="Calibri" w:eastAsia="Calibri" w:hAnsi="Calibri" w:cs="Calibri"/>
      <w:b w:val="0"/>
      <w:bCs w:val="0"/>
      <w:i w:val="0"/>
      <w:iCs w:val="0"/>
      <w:smallCaps w:val="0"/>
      <w:strike w:val="0"/>
      <w:sz w:val="24"/>
      <w:szCs w:val="24"/>
      <w:u w:val="none"/>
    </w:rPr>
  </w:style>
  <w:style w:type="paragraph" w:customStyle="1" w:styleId="Bodytext90">
    <w:name w:val="Body text (9)"/>
    <w:basedOn w:val="Navaden"/>
    <w:link w:val="Bodytext9"/>
    <w:rsid w:val="006C63D5"/>
    <w:pPr>
      <w:widowControl w:val="0"/>
      <w:shd w:val="clear" w:color="auto" w:fill="FFFFFF"/>
      <w:spacing w:after="360" w:line="0" w:lineRule="atLeast"/>
      <w:jc w:val="both"/>
    </w:pPr>
    <w:rPr>
      <w:rFonts w:ascii="Calibri" w:eastAsia="Calibri" w:hAnsi="Calibri" w:cs="Calibri"/>
      <w:sz w:val="24"/>
      <w:szCs w:val="24"/>
    </w:rPr>
  </w:style>
  <w:style w:type="character" w:customStyle="1" w:styleId="Heading3">
    <w:name w:val="Heading #3_"/>
    <w:basedOn w:val="Privzetapisavaodstavka"/>
    <w:link w:val="Heading30"/>
    <w:rsid w:val="006C63D5"/>
    <w:rPr>
      <w:rFonts w:ascii="Calibri" w:eastAsia="Calibri" w:hAnsi="Calibri" w:cs="Calibri"/>
      <w:b/>
      <w:bCs/>
      <w:sz w:val="24"/>
      <w:szCs w:val="24"/>
      <w:shd w:val="clear" w:color="auto" w:fill="FFFFFF"/>
    </w:rPr>
  </w:style>
  <w:style w:type="character" w:customStyle="1" w:styleId="Bodytext6">
    <w:name w:val="Body text (6)_"/>
    <w:basedOn w:val="Privzetapisavaodstavka"/>
    <w:link w:val="Bodytext60"/>
    <w:rsid w:val="006C63D5"/>
    <w:rPr>
      <w:rFonts w:ascii="Calibri" w:eastAsia="Calibri" w:hAnsi="Calibri" w:cs="Calibri"/>
      <w:b/>
      <w:bCs/>
      <w:sz w:val="24"/>
      <w:szCs w:val="24"/>
      <w:shd w:val="clear" w:color="auto" w:fill="FFFFFF"/>
    </w:rPr>
  </w:style>
  <w:style w:type="character" w:customStyle="1" w:styleId="Bodytext9Bold">
    <w:name w:val="Body text (9) + Bold"/>
    <w:basedOn w:val="Bodytext9"/>
    <w:rsid w:val="006C63D5"/>
    <w:rPr>
      <w:rFonts w:ascii="Calibri" w:eastAsia="Calibri" w:hAnsi="Calibri" w:cs="Calibri"/>
      <w:b/>
      <w:bCs/>
      <w:i w:val="0"/>
      <w:iCs w:val="0"/>
      <w:smallCaps w:val="0"/>
      <w:strike w:val="0"/>
      <w:color w:val="000000"/>
      <w:spacing w:val="0"/>
      <w:w w:val="100"/>
      <w:position w:val="0"/>
      <w:sz w:val="24"/>
      <w:szCs w:val="24"/>
      <w:u w:val="none"/>
      <w:shd w:val="clear" w:color="auto" w:fill="FFFFFF"/>
      <w:lang w:val="sl-SI" w:eastAsia="sl-SI" w:bidi="sl-SI"/>
    </w:rPr>
  </w:style>
  <w:style w:type="character" w:customStyle="1" w:styleId="Bodytext6NotBold">
    <w:name w:val="Body text (6) + Not Bold"/>
    <w:basedOn w:val="Bodytext6"/>
    <w:rsid w:val="006C63D5"/>
    <w:rPr>
      <w:rFonts w:ascii="Calibri" w:eastAsia="Calibri" w:hAnsi="Calibri" w:cs="Calibri"/>
      <w:b/>
      <w:bCs/>
      <w:color w:val="000000"/>
      <w:spacing w:val="0"/>
      <w:w w:val="100"/>
      <w:position w:val="0"/>
      <w:sz w:val="24"/>
      <w:szCs w:val="24"/>
      <w:shd w:val="clear" w:color="auto" w:fill="FFFFFF"/>
      <w:lang w:val="sl-SI" w:eastAsia="sl-SI" w:bidi="sl-SI"/>
    </w:rPr>
  </w:style>
  <w:style w:type="character" w:customStyle="1" w:styleId="Bodytext97pt">
    <w:name w:val="Body text (9) + 7 pt"/>
    <w:basedOn w:val="Bodytext9"/>
    <w:rsid w:val="006C63D5"/>
    <w:rPr>
      <w:rFonts w:ascii="Calibri" w:eastAsia="Calibri" w:hAnsi="Calibri" w:cs="Calibri"/>
      <w:b w:val="0"/>
      <w:bCs w:val="0"/>
      <w:i w:val="0"/>
      <w:iCs w:val="0"/>
      <w:smallCaps w:val="0"/>
      <w:strike w:val="0"/>
      <w:color w:val="000000"/>
      <w:spacing w:val="0"/>
      <w:w w:val="100"/>
      <w:position w:val="0"/>
      <w:sz w:val="14"/>
      <w:szCs w:val="14"/>
      <w:u w:val="none"/>
      <w:shd w:val="clear" w:color="auto" w:fill="FFFFFF"/>
      <w:lang w:val="sl-SI" w:eastAsia="sl-SI" w:bidi="sl-SI"/>
    </w:rPr>
  </w:style>
  <w:style w:type="character" w:customStyle="1" w:styleId="Bodytext910pt">
    <w:name w:val="Body text (9) + 10 pt"/>
    <w:basedOn w:val="Bodytext9"/>
    <w:rsid w:val="006C63D5"/>
    <w:rPr>
      <w:rFonts w:ascii="Calibri" w:eastAsia="Calibri" w:hAnsi="Calibri" w:cs="Calibri"/>
      <w:b/>
      <w:bCs/>
      <w:i w:val="0"/>
      <w:iCs w:val="0"/>
      <w:smallCaps w:val="0"/>
      <w:strike w:val="0"/>
      <w:color w:val="000000"/>
      <w:spacing w:val="0"/>
      <w:w w:val="100"/>
      <w:position w:val="0"/>
      <w:sz w:val="20"/>
      <w:szCs w:val="20"/>
      <w:u w:val="none"/>
      <w:shd w:val="clear" w:color="auto" w:fill="FFFFFF"/>
      <w:lang w:val="sl-SI" w:eastAsia="sl-SI" w:bidi="sl-SI"/>
    </w:rPr>
  </w:style>
  <w:style w:type="paragraph" w:customStyle="1" w:styleId="Heading30">
    <w:name w:val="Heading #3"/>
    <w:basedOn w:val="Navaden"/>
    <w:link w:val="Heading3"/>
    <w:rsid w:val="006C63D5"/>
    <w:pPr>
      <w:widowControl w:val="0"/>
      <w:shd w:val="clear" w:color="auto" w:fill="FFFFFF"/>
      <w:spacing w:before="480" w:after="0" w:line="293" w:lineRule="exact"/>
      <w:outlineLvl w:val="2"/>
    </w:pPr>
    <w:rPr>
      <w:rFonts w:ascii="Calibri" w:eastAsia="Calibri" w:hAnsi="Calibri" w:cs="Calibri"/>
      <w:b/>
      <w:bCs/>
      <w:sz w:val="24"/>
      <w:szCs w:val="24"/>
    </w:rPr>
  </w:style>
  <w:style w:type="paragraph" w:customStyle="1" w:styleId="Bodytext60">
    <w:name w:val="Body text (6)"/>
    <w:basedOn w:val="Navaden"/>
    <w:link w:val="Bodytext6"/>
    <w:rsid w:val="006C63D5"/>
    <w:pPr>
      <w:widowControl w:val="0"/>
      <w:shd w:val="clear" w:color="auto" w:fill="FFFFFF"/>
      <w:spacing w:after="240" w:line="293" w:lineRule="exact"/>
    </w:pPr>
    <w:rPr>
      <w:rFonts w:ascii="Calibri" w:eastAsia="Calibri" w:hAnsi="Calibri" w:cs="Calibri"/>
      <w:b/>
      <w:bCs/>
      <w:sz w:val="24"/>
      <w:szCs w:val="24"/>
    </w:rPr>
  </w:style>
  <w:style w:type="character" w:customStyle="1" w:styleId="Bodytext675ptNotBold">
    <w:name w:val="Body text (6) + 7;5 pt;Not Bold"/>
    <w:basedOn w:val="Bodytext6"/>
    <w:rsid w:val="006C63D5"/>
    <w:rPr>
      <w:rFonts w:ascii="Calibri" w:eastAsia="Calibri" w:hAnsi="Calibri" w:cs="Calibri"/>
      <w:b/>
      <w:bCs/>
      <w:i w:val="0"/>
      <w:iCs w:val="0"/>
      <w:smallCaps w:val="0"/>
      <w:strike w:val="0"/>
      <w:color w:val="000000"/>
      <w:spacing w:val="0"/>
      <w:w w:val="100"/>
      <w:position w:val="0"/>
      <w:sz w:val="15"/>
      <w:szCs w:val="15"/>
      <w:u w:val="none"/>
      <w:shd w:val="clear" w:color="auto" w:fill="FFFFFF"/>
      <w:lang w:val="sl-SI" w:eastAsia="sl-SI" w:bidi="sl-SI"/>
    </w:rPr>
  </w:style>
  <w:style w:type="character" w:customStyle="1" w:styleId="Bodytext5">
    <w:name w:val="Body text (5)_"/>
    <w:basedOn w:val="Privzetapisavaodstavka"/>
    <w:rsid w:val="006C63D5"/>
    <w:rPr>
      <w:rFonts w:ascii="Calibri" w:eastAsia="Calibri" w:hAnsi="Calibri" w:cs="Calibri"/>
      <w:b w:val="0"/>
      <w:bCs w:val="0"/>
      <w:i/>
      <w:iCs/>
      <w:smallCaps w:val="0"/>
      <w:strike w:val="0"/>
      <w:sz w:val="52"/>
      <w:szCs w:val="52"/>
      <w:u w:val="none"/>
    </w:rPr>
  </w:style>
  <w:style w:type="character" w:customStyle="1" w:styleId="Bodytext50">
    <w:name w:val="Body text (5)"/>
    <w:basedOn w:val="Bodytext5"/>
    <w:rsid w:val="006C63D5"/>
    <w:rPr>
      <w:rFonts w:ascii="Calibri" w:eastAsia="Calibri" w:hAnsi="Calibri" w:cs="Calibri"/>
      <w:b w:val="0"/>
      <w:bCs w:val="0"/>
      <w:i/>
      <w:iCs/>
      <w:smallCaps w:val="0"/>
      <w:strike w:val="0"/>
      <w:color w:val="000000"/>
      <w:spacing w:val="0"/>
      <w:w w:val="100"/>
      <w:position w:val="0"/>
      <w:sz w:val="52"/>
      <w:szCs w:val="52"/>
      <w:u w:val="none"/>
      <w:lang w:val="sl-SI" w:eastAsia="sl-SI" w:bidi="sl-SI"/>
    </w:rPr>
  </w:style>
  <w:style w:type="paragraph" w:customStyle="1" w:styleId="RSnatevanje">
    <w:name w:val="RS naštevanje"/>
    <w:basedOn w:val="Navaden"/>
    <w:rsid w:val="006C63D5"/>
    <w:pPr>
      <w:numPr>
        <w:numId w:val="31"/>
      </w:numPr>
      <w:spacing w:after="0" w:line="240" w:lineRule="auto"/>
      <w:jc w:val="both"/>
    </w:pPr>
    <w:rPr>
      <w:rFonts w:ascii="Times New Roman" w:eastAsia="Times New Roman" w:hAnsi="Times New Roman" w:cs="Times New Roman"/>
      <w:sz w:val="24"/>
      <w:szCs w:val="24"/>
      <w:lang w:eastAsia="en-GB"/>
    </w:rPr>
  </w:style>
  <w:style w:type="paragraph" w:customStyle="1" w:styleId="Footnotebesedilo">
    <w:name w:val="Footnote besedilo"/>
    <w:basedOn w:val="Navaden"/>
    <w:qFormat/>
    <w:rsid w:val="006C63D5"/>
    <w:pPr>
      <w:spacing w:before="60" w:after="0" w:line="240" w:lineRule="auto"/>
      <w:ind w:left="284" w:hanging="284"/>
      <w:jc w:val="both"/>
    </w:pPr>
    <w:rPr>
      <w:rFonts w:ascii="Tahoma" w:hAnsi="Tahoma"/>
      <w:sz w:val="16"/>
      <w:szCs w:val="14"/>
    </w:rPr>
  </w:style>
  <w:style w:type="numbering" w:customStyle="1" w:styleId="Brezseznama2">
    <w:name w:val="Brez seznama2"/>
    <w:next w:val="Brezseznama"/>
    <w:uiPriority w:val="99"/>
    <w:semiHidden/>
    <w:unhideWhenUsed/>
    <w:rsid w:val="006C63D5"/>
  </w:style>
  <w:style w:type="table" w:customStyle="1" w:styleId="Tabelamrea3">
    <w:name w:val="Tabela – mreža3"/>
    <w:basedOn w:val="Navadnatabela"/>
    <w:next w:val="Tabelamrea"/>
    <w:uiPriority w:val="59"/>
    <w:rsid w:val="006C63D5"/>
    <w:pPr>
      <w:spacing w:after="0" w:line="240" w:lineRule="auto"/>
    </w:pPr>
    <w:rPr>
      <w:rFonts w:ascii="Times New Roman" w:eastAsia="Times New Roman" w:hAnsi="Times New Roman" w:cs="Times New Roman"/>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3">
    <w:name w:val="Brez seznama3"/>
    <w:next w:val="Brezseznama"/>
    <w:uiPriority w:val="99"/>
    <w:semiHidden/>
    <w:unhideWhenUsed/>
    <w:rsid w:val="00C64F33"/>
  </w:style>
  <w:style w:type="table" w:customStyle="1" w:styleId="Tabelamrea4">
    <w:name w:val="Tabela – mreža4"/>
    <w:basedOn w:val="Navadnatabela"/>
    <w:next w:val="Tabelamrea"/>
    <w:uiPriority w:val="59"/>
    <w:rsid w:val="00C64F33"/>
    <w:pPr>
      <w:spacing w:after="0" w:line="240" w:lineRule="auto"/>
    </w:pPr>
    <w:rPr>
      <w:rFonts w:ascii="Times New Roman" w:eastAsia="Times New Roman" w:hAnsi="Times New Roman" w:cs="Times New Roman"/>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1">
    <w:name w:val="Tabela – mreža31"/>
    <w:basedOn w:val="Navadnatabela"/>
    <w:next w:val="Tabelamrea"/>
    <w:uiPriority w:val="39"/>
    <w:rsid w:val="00C64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Odstavekseznama"/>
    <w:link w:val="TABELAZnak"/>
    <w:qFormat/>
    <w:rsid w:val="00CF3CC6"/>
    <w:pPr>
      <w:numPr>
        <w:numId w:val="33"/>
      </w:numPr>
      <w:spacing w:after="0" w:line="288" w:lineRule="auto"/>
      <w:jc w:val="center"/>
    </w:pPr>
    <w:rPr>
      <w:rFonts w:ascii="Times New Roman" w:eastAsia="Calibri" w:hAnsi="Times New Roman" w:cs="Times New Roman"/>
      <w:i/>
      <w:sz w:val="24"/>
      <w:szCs w:val="24"/>
    </w:rPr>
  </w:style>
  <w:style w:type="character" w:customStyle="1" w:styleId="TABELAZnak">
    <w:name w:val="TABELA Znak"/>
    <w:link w:val="TABELA"/>
    <w:rsid w:val="00CF3CC6"/>
    <w:rPr>
      <w:rFonts w:ascii="Times New Roman" w:eastAsia="Calibri" w:hAnsi="Times New Roman" w:cs="Times New Roman"/>
      <w:i/>
      <w:sz w:val="24"/>
      <w:szCs w:val="24"/>
    </w:rPr>
  </w:style>
  <w:style w:type="character" w:styleId="Intenzivenpoudarek">
    <w:name w:val="Intense Emphasis"/>
    <w:basedOn w:val="Privzetapisavaodstavka"/>
    <w:uiPriority w:val="21"/>
    <w:qFormat/>
    <w:rsid w:val="00CF3CC6"/>
    <w:rPr>
      <w:b/>
      <w:bCs/>
      <w:i/>
      <w:iCs/>
      <w:color w:val="4F81BD" w:themeColor="accent1"/>
    </w:rPr>
  </w:style>
  <w:style w:type="paragraph" w:customStyle="1" w:styleId="alineazaodstavkom">
    <w:name w:val="alineazaodstavkom"/>
    <w:basedOn w:val="Navaden"/>
    <w:rsid w:val="00CF3CC6"/>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opomba">
    <w:name w:val="opomba"/>
    <w:basedOn w:val="Navaden"/>
    <w:link w:val="opombaZnak1"/>
    <w:rsid w:val="000E474E"/>
    <w:pPr>
      <w:spacing w:before="60" w:after="0" w:line="240" w:lineRule="auto"/>
      <w:contextualSpacing/>
    </w:pPr>
    <w:rPr>
      <w:rFonts w:eastAsia="Times New Roman" w:cs="Arial"/>
      <w:sz w:val="18"/>
      <w:szCs w:val="20"/>
      <w:lang w:eastAsia="sl-SI"/>
    </w:rPr>
  </w:style>
  <w:style w:type="character" w:customStyle="1" w:styleId="opombaZnak1">
    <w:name w:val="opomba Znak1"/>
    <w:link w:val="opomba"/>
    <w:rsid w:val="000E474E"/>
    <w:rPr>
      <w:rFonts w:eastAsia="Times New Roman" w:cs="Arial"/>
      <w:sz w:val="18"/>
      <w:szCs w:val="20"/>
      <w:lang w:eastAsia="sl-SI"/>
    </w:rPr>
  </w:style>
  <w:style w:type="character" w:styleId="Nerazreenaomemba">
    <w:name w:val="Unresolved Mention"/>
    <w:basedOn w:val="Privzetapisavaodstavka"/>
    <w:uiPriority w:val="99"/>
    <w:semiHidden/>
    <w:unhideWhenUsed/>
    <w:rsid w:val="004063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876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117" Type="http://schemas.openxmlformats.org/officeDocument/2006/relationships/hyperlink" Target="https://data.oecd.org/" TargetMode="External"/><Relationship Id="rId21" Type="http://schemas.openxmlformats.org/officeDocument/2006/relationships/chart" Target="charts/chart2.xml"/><Relationship Id="rId42" Type="http://schemas.openxmlformats.org/officeDocument/2006/relationships/image" Target="media/image18.png"/><Relationship Id="rId47" Type="http://schemas.openxmlformats.org/officeDocument/2006/relationships/image" Target="media/image23.emf"/><Relationship Id="rId63" Type="http://schemas.openxmlformats.org/officeDocument/2006/relationships/chart" Target="charts/chart23.xml"/><Relationship Id="rId68" Type="http://schemas.openxmlformats.org/officeDocument/2006/relationships/chart" Target="charts/chart25.xml"/><Relationship Id="rId84" Type="http://schemas.openxmlformats.org/officeDocument/2006/relationships/hyperlink" Target="https://www.eea.europa.eu/themes/biodiversity/state-of-nature-in-the-eu/article-17-national-summary-dashboards/conservation-status-and-trends" TargetMode="External"/><Relationship Id="rId89" Type="http://schemas.openxmlformats.org/officeDocument/2006/relationships/hyperlink" Target="https://ec.europa.eu/eurostat/" TargetMode="External"/><Relationship Id="rId112" Type="http://schemas.openxmlformats.org/officeDocument/2006/relationships/hyperlink" Target="https://www.naravovarstveni-atlas.si/web/" TargetMode="External"/><Relationship Id="rId133" Type="http://schemas.openxmlformats.org/officeDocument/2006/relationships/hyperlink" Target="http://www.pisrs.si/Pis.web/pregledPredpisa?id=RESO125" TargetMode="External"/><Relationship Id="rId138" Type="http://schemas.openxmlformats.org/officeDocument/2006/relationships/hyperlink" Target="http://ipmmp.um.si/wp-content/uploads/2019/03/SPO-2018-monografija.pdf" TargetMode="External"/><Relationship Id="rId154" Type="http://schemas.openxmlformats.org/officeDocument/2006/relationships/fontTable" Target="fontTable.xml"/><Relationship Id="rId16" Type="http://schemas.openxmlformats.org/officeDocument/2006/relationships/image" Target="media/image3.png"/><Relationship Id="rId107" Type="http://schemas.openxmlformats.org/officeDocument/2006/relationships/hyperlink" Target="https://program-podezelja.si/sl/kaj-je-program-razvoja-podezelja-2014-2020/spremljanje-in-vrednotenje/spremljanje-prp" TargetMode="External"/><Relationship Id="rId11" Type="http://schemas.openxmlformats.org/officeDocument/2006/relationships/hyperlink" Target="https://sl.wikipedia.org/wiki/Srednja_Evropa" TargetMode="External"/><Relationship Id="rId32" Type="http://schemas.openxmlformats.org/officeDocument/2006/relationships/image" Target="media/image13.jpeg"/><Relationship Id="rId37" Type="http://schemas.openxmlformats.org/officeDocument/2006/relationships/chart" Target="charts/chart10.xml"/><Relationship Id="rId53" Type="http://schemas.openxmlformats.org/officeDocument/2006/relationships/chart" Target="charts/chart15.xml"/><Relationship Id="rId58" Type="http://schemas.openxmlformats.org/officeDocument/2006/relationships/chart" Target="charts/chart19.xml"/><Relationship Id="rId74" Type="http://schemas.openxmlformats.org/officeDocument/2006/relationships/image" Target="media/image34.emf"/><Relationship Id="rId79" Type="http://schemas.openxmlformats.org/officeDocument/2006/relationships/hyperlink" Target="http://www.ljuba.si/wp-content/uploads/2015/04/20151201_Coedippus_Koncno-porocilo-2015_ZA-JAVNOST.pdf" TargetMode="External"/><Relationship Id="rId102" Type="http://schemas.openxmlformats.org/officeDocument/2006/relationships/hyperlink" Target="http://web.bf.uni-lj.si/bi/NATURA-SLOVENIAE/pdf/NatSlo_19_2_2.pdf" TargetMode="External"/><Relationship Id="rId123" Type="http://schemas.openxmlformats.org/officeDocument/2006/relationships/hyperlink" Target="https://www.kis.si/Porocila_o_stanju_v_kmetijstvu_OEK/" TargetMode="External"/><Relationship Id="rId128" Type="http://schemas.openxmlformats.org/officeDocument/2006/relationships/hyperlink" Target="https://www.gzs.si/Portals/Panoga-Kmetijska-Zivilska/brosura%20zpi%202018%20v2_web.pdf" TargetMode="External"/><Relationship Id="rId144" Type="http://schemas.openxmlformats.org/officeDocument/2006/relationships/hyperlink" Target="https://butterfly-monitoring.net/sites/default/files/Publications/Technical%2520report%2520EU%2520Grassland%2520indicator%25201990-2017%2520June%25202019%2520v4%2520%283%29.pdf" TargetMode="External"/><Relationship Id="rId149" Type="http://schemas.openxmlformats.org/officeDocument/2006/relationships/hyperlink" Target="http://www.ljuba.si/wp-content/uploads/2016/11/ZRC-SAZU_LJUBA-Monitoring-HT-2015_Koncno-porocilo_19052016.pdf" TargetMode="External"/><Relationship Id="rId5" Type="http://schemas.openxmlformats.org/officeDocument/2006/relationships/webSettings" Target="webSettings.xml"/><Relationship Id="rId90" Type="http://schemas.openxmlformats.org/officeDocument/2006/relationships/hyperlink" Target="https://ec.europa.eu/info/food-farming-fisheries" TargetMode="External"/><Relationship Id="rId95" Type="http://schemas.openxmlformats.org/officeDocument/2006/relationships/hyperlink" Target="http://ojs.aas.bf.uni-lj.si/index.php/AAS/article/view/313/195" TargetMode="External"/><Relationship Id="rId22" Type="http://schemas.openxmlformats.org/officeDocument/2006/relationships/chart" Target="charts/chart3.xml"/><Relationship Id="rId27" Type="http://schemas.openxmlformats.org/officeDocument/2006/relationships/chart" Target="charts/chart5.xml"/><Relationship Id="rId43" Type="http://schemas.openxmlformats.org/officeDocument/2006/relationships/image" Target="media/image19.emf"/><Relationship Id="rId48" Type="http://schemas.openxmlformats.org/officeDocument/2006/relationships/image" Target="media/image24.emf"/><Relationship Id="rId64" Type="http://schemas.openxmlformats.org/officeDocument/2006/relationships/chart" Target="charts/chart24.xml"/><Relationship Id="rId69" Type="http://schemas.openxmlformats.org/officeDocument/2006/relationships/chart" Target="charts/chart26.xml"/><Relationship Id="rId113" Type="http://schemas.openxmlformats.org/officeDocument/2006/relationships/hyperlink" Target="https://unfccc.int/ghg-inventories-annex-i-parties/2020" TargetMode="External"/><Relationship Id="rId118" Type="http://schemas.openxmlformats.org/officeDocument/2006/relationships/hyperlink" Target="https://www.program-podezelja.si/images/SPLETNA_STRAN_PRP_NOVA/1_PRP_2014-2020/1_4_Spremljanje_in_vrednotenje/3_Vrednotenje/1463_SEA_PRP_koncni_15012015.pdf" TargetMode="External"/><Relationship Id="rId134" Type="http://schemas.openxmlformats.org/officeDocument/2006/relationships/hyperlink" Target="http://www.pisrs.si/Pis.web/pregledPredpisa?id=ODLO1985" TargetMode="External"/><Relationship Id="rId139" Type="http://schemas.openxmlformats.org/officeDocument/2006/relationships/hyperlink" Target="https://www.sciencedirect.com/science/article/abs/pii/S0308521X08000784" TargetMode="External"/><Relationship Id="rId80" Type="http://schemas.openxmlformats.org/officeDocument/2006/relationships/hyperlink" Target="https://www.poljuba.si/wp-content/uploads/2018/12/raziskava-stanja-potencialnih-izvornih-populacij-barjanskega-okarcka-na-ljubljanskem-barju-in-stanja-njihovega-habitata-s-smernicami.pdf" TargetMode="External"/><Relationship Id="rId85" Type="http://schemas.openxmlformats.org/officeDocument/2006/relationships/hyperlink" Target="https://ec.europa.eu/growth/industry/policy/innovation/scoreboards_en" TargetMode="External"/><Relationship Id="rId150" Type="http://schemas.openxmlformats.org/officeDocument/2006/relationships/hyperlink" Target="http://publications.wri.org/buildingefficiency/" TargetMode="External"/><Relationship Id="rId155" Type="http://schemas.openxmlformats.org/officeDocument/2006/relationships/theme" Target="theme/theme1.xml"/><Relationship Id="rId12" Type="http://schemas.openxmlformats.org/officeDocument/2006/relationships/hyperlink" Target="https://sl.wikipedia.org/wiki/Alpski_svet" TargetMode="External"/><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image" Target="media/image14.jpeg"/><Relationship Id="rId38" Type="http://schemas.openxmlformats.org/officeDocument/2006/relationships/chart" Target="charts/chart11.xml"/><Relationship Id="rId46" Type="http://schemas.openxmlformats.org/officeDocument/2006/relationships/image" Target="media/image22.emf"/><Relationship Id="rId59" Type="http://schemas.openxmlformats.org/officeDocument/2006/relationships/chart" Target="charts/chart20.xml"/><Relationship Id="rId67" Type="http://schemas.openxmlformats.org/officeDocument/2006/relationships/image" Target="media/image29.png"/><Relationship Id="rId103" Type="http://schemas.openxmlformats.org/officeDocument/2006/relationships/hyperlink" Target="http://kazalci.arso.gov.si/" TargetMode="External"/><Relationship Id="rId108" Type="http://schemas.openxmlformats.org/officeDocument/2006/relationships/hyperlink" Target="https://www.ajpes.si/Doc/AJPES/KIJZ/Letno_porocilo_AJPES_za_leto_2016.pdf" TargetMode="External"/><Relationship Id="rId116" Type="http://schemas.openxmlformats.org/officeDocument/2006/relationships/hyperlink" Target="https://ec.europa.eu/environment/nature/info/pubs/docs/nat2000newsl/ENG%20Nat2k47%20WEB.pdf" TargetMode="External"/><Relationship Id="rId124" Type="http://schemas.openxmlformats.org/officeDocument/2006/relationships/hyperlink" Target="https://www.eu-skladi.si/portal/sl/ekp/izvajanje/porocila-1" TargetMode="External"/><Relationship Id="rId129" Type="http://schemas.openxmlformats.org/officeDocument/2006/relationships/hyperlink" Target="https://ec.europa.eu/info/food-farming-fisheries/key-policies/common-agricultural-policy/future-cap_sl" TargetMode="External"/><Relationship Id="rId137" Type="http://schemas.openxmlformats.org/officeDocument/2006/relationships/hyperlink" Target="http://www.ssz-slo.si/splosno-o-domovih-in-posebnih-zavodih/" TargetMode="External"/><Relationship Id="rId20" Type="http://schemas.openxmlformats.org/officeDocument/2006/relationships/image" Target="media/image6.png"/><Relationship Id="rId41" Type="http://schemas.openxmlformats.org/officeDocument/2006/relationships/image" Target="media/image17.png"/><Relationship Id="rId54" Type="http://schemas.openxmlformats.org/officeDocument/2006/relationships/chart" Target="charts/chart16.xml"/><Relationship Id="rId62" Type="http://schemas.openxmlformats.org/officeDocument/2006/relationships/chart" Target="charts/chart22.xml"/><Relationship Id="rId70" Type="http://schemas.openxmlformats.org/officeDocument/2006/relationships/image" Target="media/image30.emf"/><Relationship Id="rId75" Type="http://schemas.openxmlformats.org/officeDocument/2006/relationships/hyperlink" Target="https://www.ajpes.si/" TargetMode="External"/><Relationship Id="rId83" Type="http://schemas.openxmlformats.org/officeDocument/2006/relationships/hyperlink" Target="https://www.program-podezelja.si/sl/knjiznica/287-vrednotenje-slovenske-kmetijske-politike-v-obdobju-2015-2020/file" TargetMode="External"/><Relationship Id="rId88" Type="http://schemas.openxmlformats.org/officeDocument/2006/relationships/hyperlink" Target="https://ec.europa.eu/eurostat/home" TargetMode="External"/><Relationship Id="rId91" Type="http://schemas.openxmlformats.org/officeDocument/2006/relationships/hyperlink" Target="https://ec.europa.eu/info/sites/info/files/biodiversity_sl.pdf" TargetMode="External"/><Relationship Id="rId96" Type="http://schemas.openxmlformats.org/officeDocument/2006/relationships/hyperlink" Target="https://www.umar.gov.si/fileadmin/user_upload/publikacije/dz/2018/Indeks_razvojne_ogrozenosti_regij_2014_2020_metodologija_izracuna.pdf" TargetMode="External"/><Relationship Id="rId111" Type="http://schemas.openxmlformats.org/officeDocument/2006/relationships/hyperlink" Target="https://www.irssv.si/upload2/Razsirjenost%20in%20dostopnost%20pomoci%20na%20domu.pdf" TargetMode="External"/><Relationship Id="rId132" Type="http://schemas.openxmlformats.org/officeDocument/2006/relationships/hyperlink" Target="http://www.natura2000.si/natura-2000/life-upravljanje/program-upravljanja/" TargetMode="External"/><Relationship Id="rId140" Type="http://schemas.openxmlformats.org/officeDocument/2006/relationships/hyperlink" Target="https://ojs.zrc-sazu.si/ags/article/view/4606/4720" TargetMode="External"/><Relationship Id="rId145" Type="http://schemas.openxmlformats.org/officeDocument/2006/relationships/hyperlink" Target="http://www.bf.uni-lj.si/index.php?eID=dumpFile&amp;t=f&amp;f=38497&amp;token=02fb88e9c177b37fdb2c4216c30c30d1e1c0ab73" TargetMode="External"/><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l.wikipedia.org/wiki/Dinarski_svet" TargetMode="External"/><Relationship Id="rId23" Type="http://schemas.openxmlformats.org/officeDocument/2006/relationships/image" Target="media/image7.png"/><Relationship Id="rId28" Type="http://schemas.openxmlformats.org/officeDocument/2006/relationships/chart" Target="charts/chart6.xml"/><Relationship Id="rId36" Type="http://schemas.openxmlformats.org/officeDocument/2006/relationships/chart" Target="charts/chart9.xml"/><Relationship Id="rId49" Type="http://schemas.openxmlformats.org/officeDocument/2006/relationships/image" Target="media/image25.emf"/><Relationship Id="rId57" Type="http://schemas.openxmlformats.org/officeDocument/2006/relationships/image" Target="media/image26.emf"/><Relationship Id="rId106" Type="http://schemas.openxmlformats.org/officeDocument/2006/relationships/hyperlink" Target="https://www.zpiz.si/cms/engine/download.php?actionID=inf&amp;id=75&amp;name=Raziskava%20Socialno-ekonomski%20polo%C5%BEaj%20upokojencev%20v%20RS_2017.pdf" TargetMode="External"/><Relationship Id="rId114" Type="http://schemas.openxmlformats.org/officeDocument/2006/relationships/hyperlink" Target="https://www.eea.europa.eu/data-and-maps/dashboards/natura-2000-barometer" TargetMode="External"/><Relationship Id="rId119" Type="http://schemas.openxmlformats.org/officeDocument/2006/relationships/hyperlink" Target="http://ribiski-sklad.si/f/docs/Dokumenti/OP_ESPR_2014-2020_latest_version_SI.pdf" TargetMode="External"/><Relationship Id="rId127" Type="http://schemas.openxmlformats.org/officeDocument/2006/relationships/hyperlink" Target="https://www.umar.gov.si/razvoj-slovenije/porocilo/news/porocilo-o-razvoju-2020-1/?tx_news_pi1%5Bcontroller%5D=News&amp;tx_news_pi1%5Baction%5D=detail&amp;cHash=ff829b79ddcf921917a8a54fa6870d6d" TargetMode="External"/><Relationship Id="rId10" Type="http://schemas.openxmlformats.org/officeDocument/2006/relationships/hyperlink" Target="https://sl.wikipedia.org/wiki/Sredozemlje" TargetMode="External"/><Relationship Id="rId31" Type="http://schemas.openxmlformats.org/officeDocument/2006/relationships/image" Target="media/image12.jpeg"/><Relationship Id="rId44" Type="http://schemas.openxmlformats.org/officeDocument/2006/relationships/image" Target="media/image20.wmf"/><Relationship Id="rId52" Type="http://schemas.openxmlformats.org/officeDocument/2006/relationships/chart" Target="charts/chart14.xml"/><Relationship Id="rId60" Type="http://schemas.openxmlformats.org/officeDocument/2006/relationships/image" Target="media/image27.emf"/><Relationship Id="rId65" Type="http://schemas.openxmlformats.org/officeDocument/2006/relationships/hyperlink" Target="https://www.gov.si/teme/hmeljarstvo/" TargetMode="External"/><Relationship Id="rId73" Type="http://schemas.openxmlformats.org/officeDocument/2006/relationships/image" Target="media/image33.emf"/><Relationship Id="rId78" Type="http://schemas.openxmlformats.org/officeDocument/2006/relationships/hyperlink" Target="https://agridata.ec.europa.eu/extensions/DataPortal/cmef_indicators.html" TargetMode="External"/><Relationship Id="rId81" Type="http://schemas.openxmlformats.org/officeDocument/2006/relationships/hyperlink" Target="https://www.dlib.si/stream/URN:NBN:SI:doc-6TX3U0DN/8775cf9c-bd4a-4522-913b-6f2a26c329ae/PDF" TargetMode="External"/><Relationship Id="rId86" Type="http://schemas.openxmlformats.org/officeDocument/2006/relationships/hyperlink" Target="https://www.ema.europa.eu/en/documents/report/sales-veterinary-antimicrobial-agents-31-european-countries-2017_en.pdf" TargetMode="External"/><Relationship Id="rId94" Type="http://schemas.openxmlformats.org/officeDocument/2006/relationships/hyperlink" Target="https://gis.arso.gov.si/geoportal/catalog/main/home.page" TargetMode="External"/><Relationship Id="rId99" Type="http://schemas.openxmlformats.org/officeDocument/2006/relationships/hyperlink" Target="https://www.ajpes.si/Doc/LP/Informacije/Informacija_LP_nepridobitne_organizacije_2018.pdf" TargetMode="External"/><Relationship Id="rId101" Type="http://schemas.openxmlformats.org/officeDocument/2006/relationships/hyperlink" Target="https://rkg.gov.si/vstop/" TargetMode="External"/><Relationship Id="rId122" Type="http://schemas.openxmlformats.org/officeDocument/2006/relationships/hyperlink" Target="https://www.podnebnapot2050.si/rezultati-slovenije/letno-podnebno-ogledalo/" TargetMode="External"/><Relationship Id="rId130" Type="http://schemas.openxmlformats.org/officeDocument/2006/relationships/hyperlink" Target="http://mao.si/Dogodek/Priloznosti-Dediscina-Slovenskega-Podezelja.aspx" TargetMode="External"/><Relationship Id="rId135" Type="http://schemas.openxmlformats.org/officeDocument/2006/relationships/hyperlink" Target="https://arhiv.acs.si/ucna_gradiva/ISIO_nadaljnje-Rupert_Vilic-Klenovsek.pdf" TargetMode="External"/><Relationship Id="rId143" Type="http://schemas.openxmlformats.org/officeDocument/2006/relationships/hyperlink" Target="https://430a.uni-hohenheim.de/fileadmin/einrichtungen/430a/PRO_AKIS/About/OVERVIEW.OF.AKIS.IN.EUROPE.AKIS_characterisation_briefing_final.pdf" TargetMode="External"/><Relationship Id="rId148" Type="http://schemas.openxmlformats.org/officeDocument/2006/relationships/hyperlink" Target="https://program-podezelja.si/sl/kaj-je-program-razvoja-podezelja-2014-2020/spremljanje-in-vrednotenje/vrednotenje" TargetMode="External"/><Relationship Id="rId151" Type="http://schemas.openxmlformats.org/officeDocument/2006/relationships/hyperlink" Target="https://www.park-goricko.info/data/attachment/a52b27e785768645815cc7cb4f28d4278538de42/1567778190Analiza_stanja_temnega_in_strasnicinega_mravljiscarja_na_izbranih_travnikih_na_obmocju_Natura_2000_Gori_ko_v_letu_2018..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sl.wikipedia.org/wiki/Sredozemski_svet" TargetMode="External"/><Relationship Id="rId18" Type="http://schemas.openxmlformats.org/officeDocument/2006/relationships/image" Target="media/image5.png"/><Relationship Id="rId39" Type="http://schemas.openxmlformats.org/officeDocument/2006/relationships/image" Target="media/image15.png"/><Relationship Id="rId109" Type="http://schemas.openxmlformats.org/officeDocument/2006/relationships/hyperlink" Target="https://www.kis.si/Modelne_kalkulacije_OEK/" TargetMode="External"/><Relationship Id="rId34" Type="http://schemas.openxmlformats.org/officeDocument/2006/relationships/chart" Target="charts/chart7.xml"/><Relationship Id="rId50" Type="http://schemas.openxmlformats.org/officeDocument/2006/relationships/chart" Target="charts/chart12.xml"/><Relationship Id="rId55" Type="http://schemas.openxmlformats.org/officeDocument/2006/relationships/chart" Target="charts/chart17.xml"/><Relationship Id="rId76" Type="http://schemas.openxmlformats.org/officeDocument/2006/relationships/hyperlink" Target="https://ec.europa.eu/info/sites/info/files/food-farming-fisheries/by_country/documents/analytical_factsheet_sl.pdf" TargetMode="External"/><Relationship Id="rId97" Type="http://schemas.openxmlformats.org/officeDocument/2006/relationships/hyperlink" Target="https://www.ajpes.si/Doc/LP/Informacije/Informacija_LP_drustva_2018.pdf" TargetMode="External"/><Relationship Id="rId104" Type="http://schemas.openxmlformats.org/officeDocument/2006/relationships/hyperlink" Target="https://ec.europa.eu/info/food-farming-fisheries/key-policies/common-agricultural-policy/future-cap/key-policy-objectives-future-cap_sl" TargetMode="External"/><Relationship Id="rId120" Type="http://schemas.openxmlformats.org/officeDocument/2006/relationships/hyperlink" Target="https://www.eu-skladi.si/sl/dokumenti/kljucni-dokumenti/op_slo_web.pdf" TargetMode="External"/><Relationship Id="rId125" Type="http://schemas.openxmlformats.org/officeDocument/2006/relationships/hyperlink" Target="http://www.natura2000.si/fileadmin/user_upload/Novice/Life_IP_Natura_SI/porocilo_PUN_2018.pdf" TargetMode="External"/><Relationship Id="rId141" Type="http://schemas.openxmlformats.org/officeDocument/2006/relationships/hyperlink" Target="https://ec.europa.eu/environment/nature/biodiversity/strategy/index_en.htm" TargetMode="External"/><Relationship Id="rId146" Type="http://schemas.openxmlformats.org/officeDocument/2006/relationships/hyperlink" Target="http://spletni2.furs.gov.si/" TargetMode="External"/><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hyperlink" Target="https://ec.europa.eu/agriculture/rica/database/consult_std_reports_en.cfm"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8.png"/><Relationship Id="rId40" Type="http://schemas.openxmlformats.org/officeDocument/2006/relationships/image" Target="media/image16.png"/><Relationship Id="rId45" Type="http://schemas.openxmlformats.org/officeDocument/2006/relationships/image" Target="media/image21.emf"/><Relationship Id="rId66" Type="http://schemas.openxmlformats.org/officeDocument/2006/relationships/image" Target="media/image28.emf"/><Relationship Id="rId87" Type="http://schemas.openxmlformats.org/officeDocument/2006/relationships/hyperlink" Target="https://esdac.jrc.ec.europa.eu/" TargetMode="External"/><Relationship Id="rId110" Type="http://schemas.openxmlformats.org/officeDocument/2006/relationships/hyperlink" Target="https://program-podezelja.si/sl/kaj-je-program-razvoja-podezelja-2014-2020/spremljanje-in-vrednotenje/monitoringi" TargetMode="External"/><Relationship Id="rId115" Type="http://schemas.openxmlformats.org/officeDocument/2006/relationships/hyperlink" Target="http://www.natura2000.si/" TargetMode="External"/><Relationship Id="rId131" Type="http://schemas.openxmlformats.org/officeDocument/2006/relationships/hyperlink" Target="http://mao.si/Dogodek/Priloznosti-Dediscina-Slovenskega-Podezelja.aspx" TargetMode="External"/><Relationship Id="rId136" Type="http://schemas.openxmlformats.org/officeDocument/2006/relationships/hyperlink" Target="https://www.ajpes.si/Doc/LP/Prostovoljske_organizacije/Porocilo_o_prostovoljstvu_2018.pdf" TargetMode="External"/><Relationship Id="rId61" Type="http://schemas.openxmlformats.org/officeDocument/2006/relationships/chart" Target="charts/chart21.xml"/><Relationship Id="rId82" Type="http://schemas.openxmlformats.org/officeDocument/2006/relationships/hyperlink" Target="http://www.ssz-slo.si/wp-content/uploads/POKRITOST-RS-30.5.2019-korigirana-za-dele%C5%BE-starih-pod-65.pdf" TargetMode="External"/><Relationship Id="rId152" Type="http://schemas.openxmlformats.org/officeDocument/2006/relationships/hyperlink" Target="https://www.malabarja-marja.si/wp-content/uploads/2019/11/1-delno-porocilo-c_oedippus_strzene_luze_2018.pdf" TargetMode="External"/><Relationship Id="rId19" Type="http://schemas.openxmlformats.org/officeDocument/2006/relationships/chart" Target="charts/chart1.xml"/><Relationship Id="rId14" Type="http://schemas.openxmlformats.org/officeDocument/2006/relationships/hyperlink" Target="https://sl.wikipedia.org/wiki/Panonska_ni%C5%BEina" TargetMode="External"/><Relationship Id="rId30" Type="http://schemas.openxmlformats.org/officeDocument/2006/relationships/image" Target="media/image11.jpeg"/><Relationship Id="rId35" Type="http://schemas.openxmlformats.org/officeDocument/2006/relationships/chart" Target="charts/chart8.xml"/><Relationship Id="rId56" Type="http://schemas.openxmlformats.org/officeDocument/2006/relationships/chart" Target="charts/chart18.xml"/><Relationship Id="rId77" Type="http://schemas.openxmlformats.org/officeDocument/2006/relationships/hyperlink" Target="http://pametne-vasi.info/wp-content/uploads/2018/04/Blejska-Deklaracije-Za-za-pametnej%C5%A1o-prihodnost-pode%C5%BEelskih-obmocij-v-EU.pdf" TargetMode="External"/><Relationship Id="rId100" Type="http://schemas.openxmlformats.org/officeDocument/2006/relationships/hyperlink" Target="https://www.irssv.si/upload2/Analiza%20izvajanja%20PND%20za%20leto%202017.pdf" TargetMode="External"/><Relationship Id="rId105" Type="http://schemas.openxmlformats.org/officeDocument/2006/relationships/hyperlink" Target="https://www.program-podezelja.si/images/SPLETNA_STRAN_PRP_NOVA/2_PRP_2007-2013/2_4_Spremljanje_in_vrednotenje/Vrednotenje/Sprotno_vrednotenje_2014_-_sklop_1.pdf" TargetMode="External"/><Relationship Id="rId126" Type="http://schemas.openxmlformats.org/officeDocument/2006/relationships/hyperlink" Target="http://www.mop.gov.si/fileadmin/mop.gov.si/pageuploads/pomembni_dokumenti/porocilo_o_okolju_2017.pdf" TargetMode="External"/><Relationship Id="rId147" Type="http://schemas.openxmlformats.org/officeDocument/2006/relationships/hyperlink" Target="https://www.umar.gov.si/?no_cache=1" TargetMode="External"/><Relationship Id="rId8" Type="http://schemas.openxmlformats.org/officeDocument/2006/relationships/image" Target="media/image1.jpeg"/><Relationship Id="rId51" Type="http://schemas.openxmlformats.org/officeDocument/2006/relationships/chart" Target="charts/chart13.xml"/><Relationship Id="rId72" Type="http://schemas.openxmlformats.org/officeDocument/2006/relationships/image" Target="media/image32.emf"/><Relationship Id="rId93" Type="http://schemas.openxmlformats.org/officeDocument/2006/relationships/hyperlink" Target="https://www.fi-compass.eu/" TargetMode="External"/><Relationship Id="rId98" Type="http://schemas.openxmlformats.org/officeDocument/2006/relationships/hyperlink" Target="https://www.ajpes.si/doc/LP/Informacije/Informacija_LP_nepridobitne_organizacije_2013.pdf" TargetMode="External"/><Relationship Id="rId121" Type="http://schemas.openxmlformats.org/officeDocument/2006/relationships/hyperlink" Target="https://www.sciencedirect.com/science/article/pii/S004896971531247X" TargetMode="External"/><Relationship Id="rId142" Type="http://schemas.openxmlformats.org/officeDocument/2006/relationships/hyperlink" Target="https://pxweb.stat.si/SiStat"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stat.si/StatWeb/News/Index/6208"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marje\Desktop\SN\42aa2c93-1791-40ec-b4ac-4356281a1d8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tanja.gorisek\AppData\Local\Temp\notesB9BEF6\~9420451.xls"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ov_delovni_list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ov_delovni_list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ov_delovni_list24.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ov_delovni_list3.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ov_delovni_list4.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ov_delovni_list5.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1" Type="http://schemas.openxmlformats.org/officeDocument/2006/relationships/oleObject" Target="file:///C:\Users\matic\Downloads\PINTAR_ISAD_ESAD_VRSTE_area_mreze_namakanje_leto_sajenja%20(3).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marje\Desktop\SN\42aa2c93-1791-40ec-b4ac-4356281a1d82.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matic\Downloads\PINTAR_ISAD_ESAD_VRSTE_area_mreze_namakanje_leto_sajenja%20(3).xlsx" TargetMode="External"/></Relationships>
</file>

<file path=word/charts/_rels/chart21.xml.rels><?xml version="1.0" encoding="UTF-8" standalone="yes"?>
<Relationships xmlns="http://schemas.openxmlformats.org/package/2006/relationships"><Relationship Id="rId2" Type="http://schemas.openxmlformats.org/officeDocument/2006/relationships/oleObject" Target="file:///D:\Osebno\Documents\STROKOVNO\OLJKE\SKP_2020-\OLJKARSTVO_podatki-splo&#353;ni_sept%202019.2020.xlsx" TargetMode="External"/><Relationship Id="rId1" Type="http://schemas.openxmlformats.org/officeDocument/2006/relationships/themeOverride" Target="../theme/themeOverride17.xml"/></Relationships>
</file>

<file path=word/charts/_rels/chart22.xml.rels><?xml version="1.0" encoding="UTF-8" standalone="yes"?>
<Relationships xmlns="http://schemas.openxmlformats.org/package/2006/relationships"><Relationship Id="rId2" Type="http://schemas.openxmlformats.org/officeDocument/2006/relationships/oleObject" Target="file:///D:\Osebno\Documents\STROKOVNO\OLJKE\SKP_2020-\OLJKARSTVO_podatki-splo&#353;ni_sept%202019.2020.xlsx" TargetMode="External"/><Relationship Id="rId1" Type="http://schemas.openxmlformats.org/officeDocument/2006/relationships/themeOverride" Target="../theme/themeOverride18.xml"/></Relationships>
</file>

<file path=word/charts/_rels/chart23.xml.rels><?xml version="1.0" encoding="UTF-8" standalone="yes"?>
<Relationships xmlns="http://schemas.openxmlformats.org/package/2006/relationships"><Relationship Id="rId2" Type="http://schemas.openxmlformats.org/officeDocument/2006/relationships/oleObject" Target="file:///D:\Osebno\Documents\STROKOVNO\OLJKE\SKP_2020-\OLJKARSTVO_podatki-splo&#353;ni_sept%202019.2020.xlsx" TargetMode="External"/><Relationship Id="rId1" Type="http://schemas.openxmlformats.org/officeDocument/2006/relationships/themeOverride" Target="../theme/themeOverride19.xml"/></Relationships>
</file>

<file path=word/charts/_rels/chart24.xml.rels><?xml version="1.0" encoding="UTF-8" standalone="yes"?>
<Relationships xmlns="http://schemas.openxmlformats.org/package/2006/relationships"><Relationship Id="rId2" Type="http://schemas.openxmlformats.org/officeDocument/2006/relationships/oleObject" Target="file:///D:\Osebno\Documents\STROKOVNO\OLJKE\SKP_2020-\OLJKARSTVO_podatki-splo&#353;ni_sept%202019.2020.xlsx" TargetMode="External"/><Relationship Id="rId1" Type="http://schemas.openxmlformats.org/officeDocument/2006/relationships/themeOverride" Target="../theme/themeOverride20.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ov_delovni_list6.xlsx"/><Relationship Id="rId1" Type="http://schemas.openxmlformats.org/officeDocument/2006/relationships/themeOverride" Target="../theme/themeOverride21.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ov_delovni_list7.xlsx"/><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marje\Desktop\SN\42aa2c93-1791-40ec-b4ac-4356281a1d8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fs1\MKGP\INTERNO\DK\SSPRP\Oddelek%20za%20konkuren&#269;nost\SKP%20po%202020_nova%20mapa\CILJ%202%20Konkuren&#269;nost\Narejeno%20Katarina\dele&#382;%20kmet%20v%20skupnem%20BDV.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ov_delovni_lis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ov_delovni_list1.xlsx"/><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Sheet1!$B$552</c:f>
              <c:strCache>
                <c:ptCount val="1"/>
                <c:pt idx="0">
                  <c:v>65 let ali več</c:v>
                </c:pt>
              </c:strCache>
            </c:strRef>
          </c:tx>
          <c:spPr>
            <a:solidFill>
              <a:schemeClr val="accent1"/>
            </a:solidFill>
            <a:ln>
              <a:noFill/>
            </a:ln>
            <a:effectLst/>
          </c:spPr>
          <c:invertIfNegative val="0"/>
          <c:cat>
            <c:strRef>
              <c:f>Sheet1!$A$553:$A$567</c:f>
              <c:strCach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strCache>
            </c:strRef>
          </c:cat>
          <c:val>
            <c:numRef>
              <c:f>Sheet1!$B$553:$B$567</c:f>
              <c:numCache>
                <c:formatCode>###,000;\-###,000;#.000</c:formatCode>
                <c:ptCount val="15"/>
                <c:pt idx="0">
                  <c:v>14.797000000000001</c:v>
                </c:pt>
                <c:pt idx="1">
                  <c:v>15.025</c:v>
                </c:pt>
                <c:pt idx="2">
                  <c:v>15.295</c:v>
                </c:pt>
                <c:pt idx="3">
                  <c:v>15.54</c:v>
                </c:pt>
                <c:pt idx="4">
                  <c:v>15.795</c:v>
                </c:pt>
                <c:pt idx="5">
                  <c:v>16.302</c:v>
                </c:pt>
                <c:pt idx="6">
                  <c:v>16.597999999999999</c:v>
                </c:pt>
                <c:pt idx="7">
                  <c:v>16.753</c:v>
                </c:pt>
                <c:pt idx="8">
                  <c:v>16.795000000000002</c:v>
                </c:pt>
                <c:pt idx="9">
                  <c:v>17.039000000000001</c:v>
                </c:pt>
                <c:pt idx="10">
                  <c:v>17.385000000000002</c:v>
                </c:pt>
                <c:pt idx="11">
                  <c:v>17.785</c:v>
                </c:pt>
                <c:pt idx="12">
                  <c:v>18.251999999999999</c:v>
                </c:pt>
                <c:pt idx="13">
                  <c:v>18.771000000000001</c:v>
                </c:pt>
                <c:pt idx="14">
                  <c:v>19.279</c:v>
                </c:pt>
              </c:numCache>
            </c:numRef>
          </c:val>
          <c:extLst>
            <c:ext xmlns:c16="http://schemas.microsoft.com/office/drawing/2014/chart" uri="{C3380CC4-5D6E-409C-BE32-E72D297353CC}">
              <c16:uniqueId val="{00000000-4CF6-4B46-8BAB-9701A193D97A}"/>
            </c:ext>
          </c:extLst>
        </c:ser>
        <c:ser>
          <c:idx val="1"/>
          <c:order val="1"/>
          <c:tx>
            <c:strRef>
              <c:f>Sheet1!$C$552</c:f>
              <c:strCache>
                <c:ptCount val="1"/>
                <c:pt idx="0">
                  <c:v>do 15 let</c:v>
                </c:pt>
              </c:strCache>
            </c:strRef>
          </c:tx>
          <c:spPr>
            <a:solidFill>
              <a:schemeClr val="accent2"/>
            </a:solidFill>
            <a:ln>
              <a:noFill/>
            </a:ln>
            <a:effectLst/>
          </c:spPr>
          <c:invertIfNegative val="0"/>
          <c:cat>
            <c:strRef>
              <c:f>Sheet1!$A$553:$A$567</c:f>
              <c:strCach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strCache>
            </c:strRef>
          </c:cat>
          <c:val>
            <c:numRef>
              <c:f>Sheet1!$C$553:$C$567</c:f>
              <c:numCache>
                <c:formatCode>###,000;\-###,000;#.000</c:formatCode>
                <c:ptCount val="15"/>
                <c:pt idx="0">
                  <c:v>14.933</c:v>
                </c:pt>
                <c:pt idx="1">
                  <c:v>14.525</c:v>
                </c:pt>
                <c:pt idx="2">
                  <c:v>14.252000000000001</c:v>
                </c:pt>
                <c:pt idx="3">
                  <c:v>14.013</c:v>
                </c:pt>
                <c:pt idx="4">
                  <c:v>13.823</c:v>
                </c:pt>
                <c:pt idx="5">
                  <c:v>13.787000000000001</c:v>
                </c:pt>
                <c:pt idx="6">
                  <c:v>13.766999999999999</c:v>
                </c:pt>
                <c:pt idx="7">
                  <c:v>13.775</c:v>
                </c:pt>
                <c:pt idx="8">
                  <c:v>13.86</c:v>
                </c:pt>
                <c:pt idx="9">
                  <c:v>13.932</c:v>
                </c:pt>
                <c:pt idx="10">
                  <c:v>14.068</c:v>
                </c:pt>
                <c:pt idx="11">
                  <c:v>14.188000000000001</c:v>
                </c:pt>
                <c:pt idx="12">
                  <c:v>14.302</c:v>
                </c:pt>
                <c:pt idx="13">
                  <c:v>14.38</c:v>
                </c:pt>
                <c:pt idx="14">
                  <c:v>14.462999999999999</c:v>
                </c:pt>
              </c:numCache>
            </c:numRef>
          </c:val>
          <c:extLst>
            <c:ext xmlns:c16="http://schemas.microsoft.com/office/drawing/2014/chart" uri="{C3380CC4-5D6E-409C-BE32-E72D297353CC}">
              <c16:uniqueId val="{00000001-4CF6-4B46-8BAB-9701A193D97A}"/>
            </c:ext>
          </c:extLst>
        </c:ser>
        <c:dLbls>
          <c:showLegendKey val="0"/>
          <c:showVal val="0"/>
          <c:showCatName val="0"/>
          <c:showSerName val="0"/>
          <c:showPercent val="0"/>
          <c:showBubbleSize val="0"/>
        </c:dLbls>
        <c:gapWidth val="219"/>
        <c:overlap val="-27"/>
        <c:axId val="115784704"/>
        <c:axId val="115794688"/>
      </c:barChart>
      <c:catAx>
        <c:axId val="11578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5794688"/>
        <c:crosses val="autoZero"/>
        <c:auto val="1"/>
        <c:lblAlgn val="ctr"/>
        <c:lblOffset val="100"/>
        <c:noMultiLvlLbl val="0"/>
      </c:catAx>
      <c:valAx>
        <c:axId val="115794688"/>
        <c:scaling>
          <c:orientation val="minMax"/>
        </c:scaling>
        <c:delete val="0"/>
        <c:axPos val="l"/>
        <c:majorGridlines>
          <c:spPr>
            <a:ln w="9525" cap="flat" cmpd="sng" algn="ctr">
              <a:solidFill>
                <a:schemeClr val="tx1">
                  <a:lumMod val="15000"/>
                  <a:lumOff val="85000"/>
                </a:schemeClr>
              </a:solidFill>
              <a:round/>
            </a:ln>
            <a:effectLst/>
          </c:spPr>
        </c:majorGridlines>
        <c:numFmt formatCode="###,000;\-###,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5784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657266134849028"/>
          <c:y val="1.9419296543511121E-2"/>
          <c:w val="0.63564632058436976"/>
          <c:h val="0.93957401858063028"/>
        </c:manualLayout>
      </c:layout>
      <c:barChart>
        <c:barDir val="bar"/>
        <c:grouping val="clustered"/>
        <c:varyColors val="0"/>
        <c:ser>
          <c:idx val="0"/>
          <c:order val="0"/>
          <c:tx>
            <c:strRef>
              <c:f>List1!$C$2</c:f>
              <c:strCache>
                <c:ptCount val="1"/>
                <c:pt idx="0">
                  <c:v>SLO % kmetij</c:v>
                </c:pt>
              </c:strCache>
            </c:strRef>
          </c:tx>
          <c:spPr>
            <a:solidFill>
              <a:schemeClr val="accent3">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List1!$A$3:$A$16</c:f>
              <c:strCache>
                <c:ptCount val="14"/>
                <c:pt idx="0">
                  <c:v>Specializirana govedoreja - vzreja in pitanje za zakol</c:v>
                </c:pt>
                <c:pt idx="1">
                  <c:v>Razni rastlinski pridelki in živinoreja, kombinirano </c:v>
                </c:pt>
                <c:pt idx="2">
                  <c:v>Splošno poljedelstvo </c:v>
                </c:pt>
                <c:pt idx="3">
                  <c:v>Specializirani proizvajalec mleka </c:v>
                </c:pt>
                <c:pt idx="4">
                  <c:v>Mešana rastlinska pridelava</c:v>
                </c:pt>
                <c:pt idx="5">
                  <c:v>Specializirani vinogradnik </c:v>
                </c:pt>
                <c:pt idx="6">
                  <c:v>Ovce, koze in druga pašna živina </c:v>
                </c:pt>
                <c:pt idx="7">
                  <c:v>Mešana živina, v glavnem pašna živina </c:v>
                </c:pt>
                <c:pt idx="8">
                  <c:v>Specializirani pridelovalec žit,oljnic in stročnic </c:v>
                </c:pt>
                <c:pt idx="9">
                  <c:v>Specializirani sadjar in pridelovalec citrusov </c:v>
                </c:pt>
                <c:pt idx="10">
                  <c:v>Razni stalni nasadi – kombinirano </c:v>
                </c:pt>
                <c:pt idx="11">
                  <c:v>Poljščine – pašna živina kombinirano </c:v>
                </c:pt>
                <c:pt idx="12">
                  <c:v>Govedo – prireja mleka, vzreja, pitanje za zakol – kombinirano </c:v>
                </c:pt>
                <c:pt idx="13">
                  <c:v>Drugo</c:v>
                </c:pt>
              </c:strCache>
            </c:strRef>
          </c:cat>
          <c:val>
            <c:numRef>
              <c:f>List1!$C$3:$C$16</c:f>
              <c:numCache>
                <c:formatCode>#.#00%</c:formatCode>
                <c:ptCount val="14"/>
                <c:pt idx="0">
                  <c:v>0.186552217453505</c:v>
                </c:pt>
                <c:pt idx="1">
                  <c:v>0.15150214592274677</c:v>
                </c:pt>
                <c:pt idx="2">
                  <c:v>0.14234620886981403</c:v>
                </c:pt>
                <c:pt idx="3">
                  <c:v>8.9842632331902719E-2</c:v>
                </c:pt>
                <c:pt idx="4">
                  <c:v>8.1402002861230324E-2</c:v>
                </c:pt>
                <c:pt idx="5">
                  <c:v>6.5808297567954227E-2</c:v>
                </c:pt>
                <c:pt idx="6">
                  <c:v>6.2947067238912732E-2</c:v>
                </c:pt>
                <c:pt idx="7">
                  <c:v>5.0214592274678109E-2</c:v>
                </c:pt>
                <c:pt idx="8">
                  <c:v>4.9499284692417739E-2</c:v>
                </c:pt>
                <c:pt idx="9">
                  <c:v>3.7339055793991417E-2</c:v>
                </c:pt>
                <c:pt idx="10">
                  <c:v>2.1888412017167382E-2</c:v>
                </c:pt>
                <c:pt idx="11">
                  <c:v>1.9742489270386267E-2</c:v>
                </c:pt>
                <c:pt idx="12">
                  <c:v>1.8025751072961373E-2</c:v>
                </c:pt>
                <c:pt idx="13">
                  <c:v>2.2889842632331903E-2</c:v>
                </c:pt>
              </c:numCache>
            </c:numRef>
          </c:val>
          <c:extLst>
            <c:ext xmlns:c16="http://schemas.microsoft.com/office/drawing/2014/chart" uri="{C3380CC4-5D6E-409C-BE32-E72D297353CC}">
              <c16:uniqueId val="{00000000-4B8E-4D34-8851-A4DBEB2B9DBE}"/>
            </c:ext>
          </c:extLst>
        </c:ser>
        <c:ser>
          <c:idx val="1"/>
          <c:order val="1"/>
          <c:tx>
            <c:strRef>
              <c:f>List1!$E$2</c:f>
              <c:strCache>
                <c:ptCount val="1"/>
                <c:pt idx="0">
                  <c:v>EU % kmetij</c:v>
                </c:pt>
              </c:strCache>
            </c:strRef>
          </c:tx>
          <c:spPr>
            <a:solidFill>
              <a:schemeClr val="tx2">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List1!$A$3:$A$16</c:f>
              <c:strCache>
                <c:ptCount val="14"/>
                <c:pt idx="0">
                  <c:v>Specializirana govedoreja - vzreja in pitanje za zakol</c:v>
                </c:pt>
                <c:pt idx="1">
                  <c:v>Razni rastlinski pridelki in živinoreja, kombinirano </c:v>
                </c:pt>
                <c:pt idx="2">
                  <c:v>Splošno poljedelstvo </c:v>
                </c:pt>
                <c:pt idx="3">
                  <c:v>Specializirani proizvajalec mleka </c:v>
                </c:pt>
                <c:pt idx="4">
                  <c:v>Mešana rastlinska pridelava</c:v>
                </c:pt>
                <c:pt idx="5">
                  <c:v>Specializirani vinogradnik </c:v>
                </c:pt>
                <c:pt idx="6">
                  <c:v>Ovce, koze in druga pašna živina </c:v>
                </c:pt>
                <c:pt idx="7">
                  <c:v>Mešana živina, v glavnem pašna živina </c:v>
                </c:pt>
                <c:pt idx="8">
                  <c:v>Specializirani pridelovalec žit,oljnic in stročnic </c:v>
                </c:pt>
                <c:pt idx="9">
                  <c:v>Specializirani sadjar in pridelovalec citrusov </c:v>
                </c:pt>
                <c:pt idx="10">
                  <c:v>Razni stalni nasadi – kombinirano </c:v>
                </c:pt>
                <c:pt idx="11">
                  <c:v>Poljščine – pašna živina kombinirano </c:v>
                </c:pt>
                <c:pt idx="12">
                  <c:v>Govedo – prireja mleka, vzreja, pitanje za zakol – kombinirano </c:v>
                </c:pt>
                <c:pt idx="13">
                  <c:v>Drugo</c:v>
                </c:pt>
              </c:strCache>
            </c:strRef>
          </c:cat>
          <c:val>
            <c:numRef>
              <c:f>List1!$E$3:$E$16</c:f>
              <c:numCache>
                <c:formatCode>#.#00%</c:formatCode>
                <c:ptCount val="14"/>
                <c:pt idx="0">
                  <c:v>3.863004119314925E-2</c:v>
                </c:pt>
                <c:pt idx="1">
                  <c:v>0.10141138123151466</c:v>
                </c:pt>
                <c:pt idx="2">
                  <c:v>0.16421373818276308</c:v>
                </c:pt>
                <c:pt idx="3">
                  <c:v>5.4299105061636876E-2</c:v>
                </c:pt>
                <c:pt idx="4">
                  <c:v>4.7458099918225104E-2</c:v>
                </c:pt>
                <c:pt idx="5">
                  <c:v>4.3021620671471257E-2</c:v>
                </c:pt>
                <c:pt idx="6">
                  <c:v>6.2072496885675635E-2</c:v>
                </c:pt>
                <c:pt idx="7">
                  <c:v>2.7711754950438299E-2</c:v>
                </c:pt>
                <c:pt idx="8">
                  <c:v>0.15241083097052283</c:v>
                </c:pt>
                <c:pt idx="9">
                  <c:v>5.1316614060696847E-2</c:v>
                </c:pt>
                <c:pt idx="10">
                  <c:v>1.900788707421645E-2</c:v>
                </c:pt>
                <c:pt idx="11">
                  <c:v>2.7558904674925676E-2</c:v>
                </c:pt>
                <c:pt idx="12">
                  <c:v>1.0872431160057166E-2</c:v>
                </c:pt>
                <c:pt idx="13">
                  <c:v>0.20001987053581663</c:v>
                </c:pt>
              </c:numCache>
            </c:numRef>
          </c:val>
          <c:extLst>
            <c:ext xmlns:c16="http://schemas.microsoft.com/office/drawing/2014/chart" uri="{C3380CC4-5D6E-409C-BE32-E72D297353CC}">
              <c16:uniqueId val="{00000001-4B8E-4D34-8851-A4DBEB2B9DBE}"/>
            </c:ext>
          </c:extLst>
        </c:ser>
        <c:dLbls>
          <c:showLegendKey val="0"/>
          <c:showVal val="0"/>
          <c:showCatName val="0"/>
          <c:showSerName val="0"/>
          <c:showPercent val="0"/>
          <c:showBubbleSize val="0"/>
        </c:dLbls>
        <c:gapWidth val="150"/>
        <c:axId val="184541952"/>
        <c:axId val="184543488"/>
      </c:barChart>
      <c:catAx>
        <c:axId val="184541952"/>
        <c:scaling>
          <c:orientation val="minMax"/>
        </c:scaling>
        <c:delete val="0"/>
        <c:axPos val="l"/>
        <c:numFmt formatCode="General" sourceLinked="1"/>
        <c:majorTickMark val="out"/>
        <c:minorTickMark val="none"/>
        <c:tickLblPos val="nextTo"/>
        <c:txPr>
          <a:bodyPr rot="0" vert="horz"/>
          <a:lstStyle/>
          <a:p>
            <a:pPr>
              <a:defRPr/>
            </a:pPr>
            <a:endParaRPr lang="sl-SI"/>
          </a:p>
        </c:txPr>
        <c:crossAx val="184543488"/>
        <c:crosses val="autoZero"/>
        <c:auto val="1"/>
        <c:lblAlgn val="ctr"/>
        <c:lblOffset val="100"/>
        <c:noMultiLvlLbl val="0"/>
      </c:catAx>
      <c:valAx>
        <c:axId val="184543488"/>
        <c:scaling>
          <c:orientation val="minMax"/>
        </c:scaling>
        <c:delete val="0"/>
        <c:axPos val="b"/>
        <c:numFmt formatCode="#.#00%" sourceLinked="1"/>
        <c:majorTickMark val="out"/>
        <c:minorTickMark val="none"/>
        <c:tickLblPos val="nextTo"/>
        <c:txPr>
          <a:bodyPr rot="0" vert="horz"/>
          <a:lstStyle/>
          <a:p>
            <a:pPr>
              <a:defRPr/>
            </a:pPr>
            <a:endParaRPr lang="sl-SI"/>
          </a:p>
        </c:txPr>
        <c:crossAx val="184541952"/>
        <c:crosses val="autoZero"/>
        <c:crossBetween val="between"/>
      </c:valAx>
    </c:plotArea>
    <c:legend>
      <c:legendPos val="r"/>
      <c:layout>
        <c:manualLayout>
          <c:xMode val="edge"/>
          <c:yMode val="edge"/>
          <c:x val="0.85328087140925912"/>
          <c:y val="0.1026266503119271"/>
          <c:w val="0.13074373382976059"/>
          <c:h val="7.5424239067885757E-2"/>
        </c:manualLayout>
      </c:layout>
      <c:overlay val="0"/>
    </c:legend>
    <c:plotVisOnly val="1"/>
    <c:dispBlanksAs val="gap"/>
    <c:showDLblsOverMax val="0"/>
  </c:chart>
  <c:spPr>
    <a:ln>
      <a:noFill/>
    </a:ln>
  </c:spPr>
  <c:txPr>
    <a:bodyPr/>
    <a:lstStyle/>
    <a:p>
      <a:pPr>
        <a:defRPr sz="800" b="0" i="0" u="none" strike="noStrike" baseline="0">
          <a:solidFill>
            <a:srgbClr val="000000"/>
          </a:solidFill>
          <a:latin typeface="Calibri"/>
          <a:ea typeface="Calibri"/>
          <a:cs typeface="Calibri"/>
        </a:defRPr>
      </a:pPr>
      <a:endParaRPr lang="sl-SI"/>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710768278896232"/>
          <c:y val="5.1400554097404488E-2"/>
          <c:w val="0.76413162071789908"/>
          <c:h val="0.74002697579469234"/>
        </c:manualLayout>
      </c:layout>
      <c:lineChart>
        <c:grouping val="standard"/>
        <c:varyColors val="0"/>
        <c:ser>
          <c:idx val="0"/>
          <c:order val="0"/>
          <c:tx>
            <c:strRef>
              <c:f>List1!$A$3</c:f>
              <c:strCache>
                <c:ptCount val="1"/>
                <c:pt idx="0">
                  <c:v>GVŽ skupaj</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List1!$B$2:$F$2</c:f>
              <c:strCache>
                <c:ptCount val="5"/>
                <c:pt idx="0">
                  <c:v>2005</c:v>
                </c:pt>
                <c:pt idx="1">
                  <c:v>2007</c:v>
                </c:pt>
                <c:pt idx="2">
                  <c:v>2010</c:v>
                </c:pt>
                <c:pt idx="3">
                  <c:v>2013</c:v>
                </c:pt>
                <c:pt idx="4">
                  <c:v>2016</c:v>
                </c:pt>
              </c:strCache>
            </c:strRef>
          </c:cat>
          <c:val>
            <c:numRef>
              <c:f>List1!$B$3:$F$3</c:f>
              <c:numCache>
                <c:formatCode>#,##0</c:formatCode>
                <c:ptCount val="5"/>
                <c:pt idx="0">
                  <c:v>421587</c:v>
                </c:pt>
                <c:pt idx="1">
                  <c:v>433382</c:v>
                </c:pt>
                <c:pt idx="2">
                  <c:v>421553</c:v>
                </c:pt>
                <c:pt idx="3">
                  <c:v>399349</c:v>
                </c:pt>
                <c:pt idx="4">
                  <c:v>418684</c:v>
                </c:pt>
              </c:numCache>
            </c:numRef>
          </c:val>
          <c:smooth val="0"/>
          <c:extLst>
            <c:ext xmlns:c16="http://schemas.microsoft.com/office/drawing/2014/chart" uri="{C3380CC4-5D6E-409C-BE32-E72D297353CC}">
              <c16:uniqueId val="{00000000-2BCE-4870-BFD0-B2F9154BE149}"/>
            </c:ext>
          </c:extLst>
        </c:ser>
        <c:dLbls>
          <c:showLegendKey val="0"/>
          <c:showVal val="0"/>
          <c:showCatName val="0"/>
          <c:showSerName val="0"/>
          <c:showPercent val="0"/>
          <c:showBubbleSize val="0"/>
        </c:dLbls>
        <c:marker val="1"/>
        <c:smooth val="0"/>
        <c:axId val="195725568"/>
        <c:axId val="231149568"/>
      </c:lineChart>
      <c:lineChart>
        <c:grouping val="standard"/>
        <c:varyColors val="0"/>
        <c:ser>
          <c:idx val="2"/>
          <c:order val="1"/>
          <c:tx>
            <c:strRef>
              <c:f>List1!$A$6</c:f>
              <c:strCache>
                <c:ptCount val="1"/>
                <c:pt idx="0">
                  <c:v>Delež kmetij brez GVŽ od vseh kmetij</c:v>
                </c:pt>
              </c:strCache>
            </c:strRef>
          </c:tx>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List1!$B$2:$F$2</c:f>
              <c:strCache>
                <c:ptCount val="5"/>
                <c:pt idx="0">
                  <c:v>2005</c:v>
                </c:pt>
                <c:pt idx="1">
                  <c:v>2007</c:v>
                </c:pt>
                <c:pt idx="2">
                  <c:v>2010</c:v>
                </c:pt>
                <c:pt idx="3">
                  <c:v>2013</c:v>
                </c:pt>
                <c:pt idx="4">
                  <c:v>2016</c:v>
                </c:pt>
              </c:strCache>
            </c:strRef>
          </c:cat>
          <c:val>
            <c:numRef>
              <c:f>List1!$B$6:$F$6</c:f>
              <c:numCache>
                <c:formatCode>0%</c:formatCode>
                <c:ptCount val="5"/>
                <c:pt idx="0">
                  <c:v>0.13302235179786201</c:v>
                </c:pt>
                <c:pt idx="1">
                  <c:v>0.15650384921688346</c:v>
                </c:pt>
                <c:pt idx="2">
                  <c:v>0.21431824880100742</c:v>
                </c:pt>
                <c:pt idx="3">
                  <c:v>0.20210840460367244</c:v>
                </c:pt>
                <c:pt idx="4">
                  <c:v>0.20199708162856569</c:v>
                </c:pt>
              </c:numCache>
            </c:numRef>
          </c:val>
          <c:smooth val="0"/>
          <c:extLst>
            <c:ext xmlns:c16="http://schemas.microsoft.com/office/drawing/2014/chart" uri="{C3380CC4-5D6E-409C-BE32-E72D297353CC}">
              <c16:uniqueId val="{00000001-2BCE-4870-BFD0-B2F9154BE149}"/>
            </c:ext>
          </c:extLst>
        </c:ser>
        <c:dLbls>
          <c:showLegendKey val="0"/>
          <c:showVal val="0"/>
          <c:showCatName val="0"/>
          <c:showSerName val="0"/>
          <c:showPercent val="0"/>
          <c:showBubbleSize val="0"/>
        </c:dLbls>
        <c:marker val="1"/>
        <c:smooth val="0"/>
        <c:axId val="231165952"/>
        <c:axId val="231151488"/>
      </c:lineChart>
      <c:catAx>
        <c:axId val="195725568"/>
        <c:scaling>
          <c:orientation val="minMax"/>
        </c:scaling>
        <c:delete val="0"/>
        <c:axPos val="b"/>
        <c:numFmt formatCode="General" sourceLinked="0"/>
        <c:majorTickMark val="out"/>
        <c:minorTickMark val="none"/>
        <c:tickLblPos val="nextTo"/>
        <c:crossAx val="231149568"/>
        <c:crosses val="autoZero"/>
        <c:auto val="1"/>
        <c:lblAlgn val="ctr"/>
        <c:lblOffset val="100"/>
        <c:noMultiLvlLbl val="0"/>
      </c:catAx>
      <c:valAx>
        <c:axId val="231149568"/>
        <c:scaling>
          <c:orientation val="minMax"/>
          <c:min val="0"/>
        </c:scaling>
        <c:delete val="0"/>
        <c:axPos val="l"/>
        <c:title>
          <c:tx>
            <c:rich>
              <a:bodyPr rot="-5400000" vert="horz"/>
              <a:lstStyle/>
              <a:p>
                <a:pPr>
                  <a:defRPr/>
                </a:pPr>
                <a:r>
                  <a:rPr lang="sl-SI"/>
                  <a:t>št. GVŽ in št. kmetij</a:t>
                </a:r>
              </a:p>
            </c:rich>
          </c:tx>
          <c:overlay val="0"/>
        </c:title>
        <c:numFmt formatCode="#,##0" sourceLinked="1"/>
        <c:majorTickMark val="out"/>
        <c:minorTickMark val="none"/>
        <c:tickLblPos val="nextTo"/>
        <c:crossAx val="195725568"/>
        <c:crosses val="autoZero"/>
        <c:crossBetween val="between"/>
      </c:valAx>
      <c:valAx>
        <c:axId val="231151488"/>
        <c:scaling>
          <c:orientation val="minMax"/>
        </c:scaling>
        <c:delete val="0"/>
        <c:axPos val="r"/>
        <c:title>
          <c:tx>
            <c:rich>
              <a:bodyPr rot="-5400000" vert="horz"/>
              <a:lstStyle/>
              <a:p>
                <a:pPr>
                  <a:defRPr/>
                </a:pPr>
                <a:r>
                  <a:rPr lang="sl-SI"/>
                  <a:t>delež kmetij brez GVŽ</a:t>
                </a:r>
              </a:p>
            </c:rich>
          </c:tx>
          <c:overlay val="0"/>
        </c:title>
        <c:numFmt formatCode="0%" sourceLinked="1"/>
        <c:majorTickMark val="out"/>
        <c:minorTickMark val="none"/>
        <c:tickLblPos val="nextTo"/>
        <c:crossAx val="231165952"/>
        <c:crosses val="max"/>
        <c:crossBetween val="between"/>
      </c:valAx>
      <c:catAx>
        <c:axId val="231165952"/>
        <c:scaling>
          <c:orientation val="minMax"/>
        </c:scaling>
        <c:delete val="1"/>
        <c:axPos val="b"/>
        <c:numFmt formatCode="General" sourceLinked="1"/>
        <c:majorTickMark val="out"/>
        <c:minorTickMark val="none"/>
        <c:tickLblPos val="nextTo"/>
        <c:crossAx val="231151488"/>
        <c:crosses val="autoZero"/>
        <c:auto val="1"/>
        <c:lblAlgn val="ctr"/>
        <c:lblOffset val="100"/>
        <c:noMultiLvlLbl val="0"/>
      </c:catAx>
    </c:plotArea>
    <c:legend>
      <c:legendPos val="r"/>
      <c:layout>
        <c:manualLayout>
          <c:xMode val="edge"/>
          <c:yMode val="edge"/>
          <c:x val="0"/>
          <c:y val="0.86960265383493729"/>
          <c:w val="0.99447353455818022"/>
          <c:h val="0.10338728492271797"/>
        </c:manualLayout>
      </c:layout>
      <c:overlay val="0"/>
    </c:legend>
    <c:plotVisOnly val="1"/>
    <c:dispBlanksAs val="gap"/>
    <c:showDLblsOverMax val="0"/>
  </c:chart>
  <c:spPr>
    <a:ln>
      <a:noFill/>
    </a:ln>
  </c:spPr>
  <c:txPr>
    <a:bodyPr/>
    <a:lstStyle/>
    <a:p>
      <a:pPr>
        <a:defRPr sz="800"/>
      </a:pPr>
      <a:endParaRPr lang="sl-SI"/>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zelenjadnice!$J$270</c:f>
              <c:strCache>
                <c:ptCount val="1"/>
                <c:pt idx="0">
                  <c:v>Tržni pridelovalci</c:v>
                </c:pt>
              </c:strCache>
            </c:strRef>
          </c:tx>
          <c:spPr>
            <a:solidFill>
              <a:schemeClr val="accent1"/>
            </a:solidFill>
            <a:ln>
              <a:noFill/>
            </a:ln>
            <a:effectLst/>
          </c:spPr>
          <c:invertIfNegative val="0"/>
          <c:cat>
            <c:numRef>
              <c:f>zelenjadnice!$K$4:$W$4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zelenjadnice!$K$270:$W$270</c:f>
              <c:numCache>
                <c:formatCode>#,##0</c:formatCode>
                <c:ptCount val="13"/>
                <c:pt idx="0">
                  <c:v>1630</c:v>
                </c:pt>
                <c:pt idx="1">
                  <c:v>1630</c:v>
                </c:pt>
                <c:pt idx="2">
                  <c:v>1630</c:v>
                </c:pt>
                <c:pt idx="3">
                  <c:v>1496</c:v>
                </c:pt>
                <c:pt idx="4">
                  <c:v>1496</c:v>
                </c:pt>
                <c:pt idx="5">
                  <c:v>1497</c:v>
                </c:pt>
                <c:pt idx="6">
                  <c:v>1982</c:v>
                </c:pt>
                <c:pt idx="7">
                  <c:v>1982</c:v>
                </c:pt>
                <c:pt idx="8">
                  <c:v>1982</c:v>
                </c:pt>
                <c:pt idx="9">
                  <c:v>2251</c:v>
                </c:pt>
                <c:pt idx="10">
                  <c:v>2251</c:v>
                </c:pt>
                <c:pt idx="11">
                  <c:v>2251</c:v>
                </c:pt>
                <c:pt idx="12">
                  <c:v>3487</c:v>
                </c:pt>
              </c:numCache>
            </c:numRef>
          </c:val>
          <c:extLst>
            <c:ext xmlns:c16="http://schemas.microsoft.com/office/drawing/2014/chart" uri="{C3380CC4-5D6E-409C-BE32-E72D297353CC}">
              <c16:uniqueId val="{00000000-90E6-4459-8455-2224476AF5AE}"/>
            </c:ext>
          </c:extLst>
        </c:ser>
        <c:ser>
          <c:idx val="1"/>
          <c:order val="1"/>
          <c:tx>
            <c:strRef>
              <c:f>zelenjadnice!$J$271</c:f>
              <c:strCache>
                <c:ptCount val="1"/>
                <c:pt idx="0">
                  <c:v>Netržni pridelovalci</c:v>
                </c:pt>
              </c:strCache>
            </c:strRef>
          </c:tx>
          <c:spPr>
            <a:solidFill>
              <a:srgbClr val="FF0000"/>
            </a:solidFill>
            <a:ln>
              <a:noFill/>
            </a:ln>
            <a:effectLst/>
          </c:spPr>
          <c:invertIfNegative val="0"/>
          <c:cat>
            <c:numRef>
              <c:f>zelenjadnice!$K$4:$W$4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zelenjadnice!$K$271:$W$271</c:f>
              <c:numCache>
                <c:formatCode>#,##0</c:formatCode>
                <c:ptCount val="13"/>
                <c:pt idx="0">
                  <c:v>1920</c:v>
                </c:pt>
                <c:pt idx="1">
                  <c:v>2664</c:v>
                </c:pt>
                <c:pt idx="2">
                  <c:v>2645</c:v>
                </c:pt>
                <c:pt idx="3">
                  <c:v>1307</c:v>
                </c:pt>
                <c:pt idx="4">
                  <c:v>2550</c:v>
                </c:pt>
                <c:pt idx="5">
                  <c:v>2876</c:v>
                </c:pt>
                <c:pt idx="6">
                  <c:v>2862</c:v>
                </c:pt>
                <c:pt idx="7">
                  <c:v>3075</c:v>
                </c:pt>
                <c:pt idx="8">
                  <c:v>3020</c:v>
                </c:pt>
                <c:pt idx="9">
                  <c:v>3266</c:v>
                </c:pt>
                <c:pt idx="10">
                  <c:v>3183</c:v>
                </c:pt>
                <c:pt idx="11">
                  <c:v>3000</c:v>
                </c:pt>
                <c:pt idx="12">
                  <c:v>2938</c:v>
                </c:pt>
              </c:numCache>
            </c:numRef>
          </c:val>
          <c:extLst>
            <c:ext xmlns:c16="http://schemas.microsoft.com/office/drawing/2014/chart" uri="{C3380CC4-5D6E-409C-BE32-E72D297353CC}">
              <c16:uniqueId val="{00000001-90E6-4459-8455-2224476AF5AE}"/>
            </c:ext>
          </c:extLst>
        </c:ser>
        <c:dLbls>
          <c:showLegendKey val="0"/>
          <c:showVal val="0"/>
          <c:showCatName val="0"/>
          <c:showSerName val="0"/>
          <c:showPercent val="0"/>
          <c:showBubbleSize val="0"/>
        </c:dLbls>
        <c:gapWidth val="150"/>
        <c:overlap val="100"/>
        <c:axId val="378528128"/>
        <c:axId val="378529664"/>
      </c:barChart>
      <c:catAx>
        <c:axId val="37852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78529664"/>
        <c:crosses val="autoZero"/>
        <c:auto val="1"/>
        <c:lblAlgn val="ctr"/>
        <c:lblOffset val="100"/>
        <c:noMultiLvlLbl val="0"/>
      </c:catAx>
      <c:valAx>
        <c:axId val="378529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78528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zelenjadnice!$J$272</c:f>
              <c:strCache>
                <c:ptCount val="1"/>
                <c:pt idx="0">
                  <c:v>Tržni pridelovalci</c:v>
                </c:pt>
              </c:strCache>
            </c:strRef>
          </c:tx>
          <c:spPr>
            <a:solidFill>
              <a:schemeClr val="accent1"/>
            </a:solidFill>
            <a:ln>
              <a:noFill/>
            </a:ln>
            <a:effectLst/>
          </c:spPr>
          <c:invertIfNegative val="0"/>
          <c:cat>
            <c:numRef>
              <c:f>zelenjadnice!$K$4:$W$4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zelenjadnice!$K$272:$W$272</c:f>
              <c:numCache>
                <c:formatCode>#,##0</c:formatCode>
                <c:ptCount val="13"/>
                <c:pt idx="0">
                  <c:v>38644</c:v>
                </c:pt>
                <c:pt idx="1">
                  <c:v>43219</c:v>
                </c:pt>
                <c:pt idx="2">
                  <c:v>47830</c:v>
                </c:pt>
                <c:pt idx="3">
                  <c:v>41324</c:v>
                </c:pt>
                <c:pt idx="4">
                  <c:v>42534</c:v>
                </c:pt>
                <c:pt idx="5">
                  <c:v>37589</c:v>
                </c:pt>
                <c:pt idx="6">
                  <c:v>41813</c:v>
                </c:pt>
                <c:pt idx="7">
                  <c:v>48569</c:v>
                </c:pt>
                <c:pt idx="8">
                  <c:v>53391</c:v>
                </c:pt>
                <c:pt idx="9">
                  <c:v>60943</c:v>
                </c:pt>
                <c:pt idx="10">
                  <c:v>57328</c:v>
                </c:pt>
                <c:pt idx="11">
                  <c:v>59763</c:v>
                </c:pt>
                <c:pt idx="12">
                  <c:v>80359</c:v>
                </c:pt>
              </c:numCache>
            </c:numRef>
          </c:val>
          <c:extLst>
            <c:ext xmlns:c16="http://schemas.microsoft.com/office/drawing/2014/chart" uri="{C3380CC4-5D6E-409C-BE32-E72D297353CC}">
              <c16:uniqueId val="{00000000-C0BF-4705-A389-56518413ABD8}"/>
            </c:ext>
          </c:extLst>
        </c:ser>
        <c:ser>
          <c:idx val="1"/>
          <c:order val="1"/>
          <c:tx>
            <c:strRef>
              <c:f>zelenjadnice!$J$273</c:f>
              <c:strCache>
                <c:ptCount val="1"/>
                <c:pt idx="0">
                  <c:v>Netržni pridelovalci</c:v>
                </c:pt>
              </c:strCache>
            </c:strRef>
          </c:tx>
          <c:spPr>
            <a:solidFill>
              <a:srgbClr val="FF0000"/>
            </a:solidFill>
            <a:ln>
              <a:noFill/>
            </a:ln>
            <a:effectLst/>
          </c:spPr>
          <c:invertIfNegative val="0"/>
          <c:cat>
            <c:numRef>
              <c:f>zelenjadnice!$K$4:$W$4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zelenjadnice!$K$273:$W$273</c:f>
              <c:numCache>
                <c:formatCode>#,##0</c:formatCode>
                <c:ptCount val="13"/>
                <c:pt idx="0">
                  <c:v>26579</c:v>
                </c:pt>
                <c:pt idx="1">
                  <c:v>34976</c:v>
                </c:pt>
                <c:pt idx="2">
                  <c:v>36036</c:v>
                </c:pt>
                <c:pt idx="3">
                  <c:v>18662</c:v>
                </c:pt>
                <c:pt idx="4">
                  <c:v>34758</c:v>
                </c:pt>
                <c:pt idx="5">
                  <c:v>33169</c:v>
                </c:pt>
                <c:pt idx="6">
                  <c:v>29459</c:v>
                </c:pt>
                <c:pt idx="7">
                  <c:v>37639</c:v>
                </c:pt>
                <c:pt idx="8">
                  <c:v>42156</c:v>
                </c:pt>
                <c:pt idx="9">
                  <c:v>44562</c:v>
                </c:pt>
                <c:pt idx="10">
                  <c:v>39026</c:v>
                </c:pt>
                <c:pt idx="11">
                  <c:v>40811</c:v>
                </c:pt>
                <c:pt idx="12">
                  <c:v>39761</c:v>
                </c:pt>
              </c:numCache>
            </c:numRef>
          </c:val>
          <c:extLst>
            <c:ext xmlns:c16="http://schemas.microsoft.com/office/drawing/2014/chart" uri="{C3380CC4-5D6E-409C-BE32-E72D297353CC}">
              <c16:uniqueId val="{00000001-C0BF-4705-A389-56518413ABD8}"/>
            </c:ext>
          </c:extLst>
        </c:ser>
        <c:dLbls>
          <c:showLegendKey val="0"/>
          <c:showVal val="0"/>
          <c:showCatName val="0"/>
          <c:showSerName val="0"/>
          <c:showPercent val="0"/>
          <c:showBubbleSize val="0"/>
        </c:dLbls>
        <c:gapWidth val="150"/>
        <c:overlap val="100"/>
        <c:axId val="378596352"/>
        <c:axId val="378737408"/>
      </c:barChart>
      <c:catAx>
        <c:axId val="37859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78737408"/>
        <c:crosses val="autoZero"/>
        <c:auto val="1"/>
        <c:lblAlgn val="ctr"/>
        <c:lblOffset val="100"/>
        <c:noMultiLvlLbl val="0"/>
      </c:catAx>
      <c:valAx>
        <c:axId val="378737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7859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zelenjadnice!$J$287</c:f>
              <c:strCache>
                <c:ptCount val="1"/>
                <c:pt idx="0">
                  <c:v>Pridelano</c:v>
                </c:pt>
              </c:strCache>
            </c:strRef>
          </c:tx>
          <c:spPr>
            <a:solidFill>
              <a:schemeClr val="accent1"/>
            </a:solidFill>
            <a:ln>
              <a:noFill/>
            </a:ln>
            <a:effectLst/>
          </c:spPr>
          <c:invertIfNegative val="0"/>
          <c:cat>
            <c:numRef>
              <c:f>zelenjadnice!$K$4:$W$4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zelenjadnice!$K$287:$W$287</c:f>
              <c:numCache>
                <c:formatCode>General</c:formatCode>
                <c:ptCount val="13"/>
                <c:pt idx="0">
                  <c:v>65.22</c:v>
                </c:pt>
                <c:pt idx="1">
                  <c:v>78.19</c:v>
                </c:pt>
                <c:pt idx="2">
                  <c:v>83.87</c:v>
                </c:pt>
                <c:pt idx="3">
                  <c:v>59.98</c:v>
                </c:pt>
                <c:pt idx="4">
                  <c:v>77.290000000000006</c:v>
                </c:pt>
                <c:pt idx="5">
                  <c:v>70.760000000000005</c:v>
                </c:pt>
                <c:pt idx="6">
                  <c:v>71.349999999999994</c:v>
                </c:pt>
                <c:pt idx="7">
                  <c:v>86.21</c:v>
                </c:pt>
                <c:pt idx="8">
                  <c:v>95.55</c:v>
                </c:pt>
                <c:pt idx="9">
                  <c:v>105.5</c:v>
                </c:pt>
                <c:pt idx="10">
                  <c:v>96.35</c:v>
                </c:pt>
                <c:pt idx="11">
                  <c:v>100.57</c:v>
                </c:pt>
                <c:pt idx="12">
                  <c:v>120.12</c:v>
                </c:pt>
              </c:numCache>
            </c:numRef>
          </c:val>
          <c:extLst>
            <c:ext xmlns:c16="http://schemas.microsoft.com/office/drawing/2014/chart" uri="{C3380CC4-5D6E-409C-BE32-E72D297353CC}">
              <c16:uniqueId val="{00000000-E370-4876-AAA4-D27C2B0D31A0}"/>
            </c:ext>
          </c:extLst>
        </c:ser>
        <c:ser>
          <c:idx val="1"/>
          <c:order val="1"/>
          <c:tx>
            <c:strRef>
              <c:f>zelenjadnice!$J$290</c:f>
              <c:strCache>
                <c:ptCount val="1"/>
                <c:pt idx="0">
                  <c:v>Domača poraba</c:v>
                </c:pt>
              </c:strCache>
            </c:strRef>
          </c:tx>
          <c:spPr>
            <a:solidFill>
              <a:schemeClr val="accent2"/>
            </a:solidFill>
            <a:ln>
              <a:noFill/>
            </a:ln>
            <a:effectLst/>
          </c:spPr>
          <c:invertIfNegative val="0"/>
          <c:cat>
            <c:numRef>
              <c:f>zelenjadnice!$K$4:$W$4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zelenjadnice!$K$290:$W$290</c:f>
              <c:numCache>
                <c:formatCode>General</c:formatCode>
                <c:ptCount val="13"/>
                <c:pt idx="0">
                  <c:v>143.1</c:v>
                </c:pt>
                <c:pt idx="1">
                  <c:v>169.3</c:v>
                </c:pt>
                <c:pt idx="2">
                  <c:v>173.6</c:v>
                </c:pt>
                <c:pt idx="3">
                  <c:v>148.19999999999999</c:v>
                </c:pt>
                <c:pt idx="4">
                  <c:v>160.80000000000001</c:v>
                </c:pt>
                <c:pt idx="5">
                  <c:v>156.19999999999999</c:v>
                </c:pt>
                <c:pt idx="6">
                  <c:v>159.1</c:v>
                </c:pt>
                <c:pt idx="7">
                  <c:v>173.3</c:v>
                </c:pt>
                <c:pt idx="8">
                  <c:v>185.2</c:v>
                </c:pt>
                <c:pt idx="9">
                  <c:v>192.9</c:v>
                </c:pt>
                <c:pt idx="10">
                  <c:v>188</c:v>
                </c:pt>
                <c:pt idx="11">
                  <c:v>195.3</c:v>
                </c:pt>
                <c:pt idx="12">
                  <c:v>196.3</c:v>
                </c:pt>
              </c:numCache>
            </c:numRef>
          </c:val>
          <c:extLst>
            <c:ext xmlns:c16="http://schemas.microsoft.com/office/drawing/2014/chart" uri="{C3380CC4-5D6E-409C-BE32-E72D297353CC}">
              <c16:uniqueId val="{00000001-E370-4876-AAA4-D27C2B0D31A0}"/>
            </c:ext>
          </c:extLst>
        </c:ser>
        <c:dLbls>
          <c:showLegendKey val="0"/>
          <c:showVal val="0"/>
          <c:showCatName val="0"/>
          <c:showSerName val="0"/>
          <c:showPercent val="0"/>
          <c:showBubbleSize val="0"/>
        </c:dLbls>
        <c:gapWidth val="219"/>
        <c:overlap val="-27"/>
        <c:axId val="383356288"/>
        <c:axId val="383415424"/>
      </c:barChart>
      <c:lineChart>
        <c:grouping val="standard"/>
        <c:varyColors val="0"/>
        <c:ser>
          <c:idx val="2"/>
          <c:order val="2"/>
          <c:tx>
            <c:strRef>
              <c:f>zelenjadnice!$J$293</c:f>
              <c:strCache>
                <c:ptCount val="1"/>
                <c:pt idx="0">
                  <c:v>  Poraba za prehrano</c:v>
                </c:pt>
              </c:strCache>
            </c:strRef>
          </c:tx>
          <c:spPr>
            <a:ln w="28575" cap="rnd">
              <a:solidFill>
                <a:schemeClr val="accent3"/>
              </a:solidFill>
              <a:round/>
            </a:ln>
            <a:effectLst/>
          </c:spPr>
          <c:marker>
            <c:symbol val="none"/>
          </c:marker>
          <c:val>
            <c:numRef>
              <c:f>zelenjadnice!$K$293:$W$293</c:f>
              <c:numCache>
                <c:formatCode>General</c:formatCode>
                <c:ptCount val="13"/>
                <c:pt idx="0">
                  <c:v>132.30000000000001</c:v>
                </c:pt>
                <c:pt idx="1">
                  <c:v>156.4</c:v>
                </c:pt>
                <c:pt idx="2">
                  <c:v>160.4</c:v>
                </c:pt>
                <c:pt idx="3">
                  <c:v>137.30000000000001</c:v>
                </c:pt>
                <c:pt idx="4">
                  <c:v>148.4</c:v>
                </c:pt>
                <c:pt idx="5">
                  <c:v>144.4</c:v>
                </c:pt>
                <c:pt idx="6">
                  <c:v>147</c:v>
                </c:pt>
                <c:pt idx="7">
                  <c:v>159.6</c:v>
                </c:pt>
                <c:pt idx="8">
                  <c:v>170.4</c:v>
                </c:pt>
                <c:pt idx="9">
                  <c:v>174.1</c:v>
                </c:pt>
                <c:pt idx="10">
                  <c:v>173.1</c:v>
                </c:pt>
                <c:pt idx="11">
                  <c:v>179.6</c:v>
                </c:pt>
                <c:pt idx="12">
                  <c:v>179.6</c:v>
                </c:pt>
              </c:numCache>
            </c:numRef>
          </c:val>
          <c:smooth val="0"/>
          <c:extLst>
            <c:ext xmlns:c16="http://schemas.microsoft.com/office/drawing/2014/chart" uri="{C3380CC4-5D6E-409C-BE32-E72D297353CC}">
              <c16:uniqueId val="{00000002-E370-4876-AAA4-D27C2B0D31A0}"/>
            </c:ext>
          </c:extLst>
        </c:ser>
        <c:dLbls>
          <c:showLegendKey val="0"/>
          <c:showVal val="0"/>
          <c:showCatName val="0"/>
          <c:showSerName val="0"/>
          <c:showPercent val="0"/>
          <c:showBubbleSize val="0"/>
        </c:dLbls>
        <c:marker val="1"/>
        <c:smooth val="0"/>
        <c:axId val="383356288"/>
        <c:axId val="383415424"/>
      </c:lineChart>
      <c:catAx>
        <c:axId val="38335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3415424"/>
        <c:crosses val="autoZero"/>
        <c:auto val="1"/>
        <c:lblAlgn val="ctr"/>
        <c:lblOffset val="100"/>
        <c:noMultiLvlLbl val="0"/>
      </c:catAx>
      <c:valAx>
        <c:axId val="383415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335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numRef>
              <c:f>List2!$B$1:$K$1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List2!$B$2:$K$2</c:f>
              <c:numCache>
                <c:formatCode>General</c:formatCode>
                <c:ptCount val="10"/>
                <c:pt idx="0">
                  <c:v>122.11</c:v>
                </c:pt>
                <c:pt idx="1">
                  <c:v>147.69</c:v>
                </c:pt>
                <c:pt idx="2">
                  <c:v>180.68</c:v>
                </c:pt>
                <c:pt idx="3">
                  <c:v>228</c:v>
                </c:pt>
                <c:pt idx="4">
                  <c:v>228.76</c:v>
                </c:pt>
                <c:pt idx="5">
                  <c:v>289.37</c:v>
                </c:pt>
                <c:pt idx="6">
                  <c:v>293.33999999999997</c:v>
                </c:pt>
                <c:pt idx="7">
                  <c:v>317.12</c:v>
                </c:pt>
                <c:pt idx="8">
                  <c:v>282.25203000000056</c:v>
                </c:pt>
                <c:pt idx="9">
                  <c:v>327.40039999999823</c:v>
                </c:pt>
              </c:numCache>
            </c:numRef>
          </c:val>
          <c:extLst>
            <c:ext xmlns:c16="http://schemas.microsoft.com/office/drawing/2014/chart" uri="{C3380CC4-5D6E-409C-BE32-E72D297353CC}">
              <c16:uniqueId val="{00000000-2071-431F-AC31-A478A8036B3F}"/>
            </c:ext>
          </c:extLst>
        </c:ser>
        <c:dLbls>
          <c:showLegendKey val="0"/>
          <c:showVal val="0"/>
          <c:showCatName val="0"/>
          <c:showSerName val="0"/>
          <c:showPercent val="0"/>
          <c:showBubbleSize val="0"/>
        </c:dLbls>
        <c:gapWidth val="219"/>
        <c:overlap val="-27"/>
        <c:axId val="384160896"/>
        <c:axId val="384162432"/>
      </c:barChart>
      <c:catAx>
        <c:axId val="38416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4162432"/>
        <c:crosses val="autoZero"/>
        <c:auto val="1"/>
        <c:lblAlgn val="ctr"/>
        <c:lblOffset val="100"/>
        <c:noMultiLvlLbl val="0"/>
      </c:catAx>
      <c:valAx>
        <c:axId val="384162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4160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List1!$B$3</c:f>
              <c:strCache>
                <c:ptCount val="1"/>
                <c:pt idx="0">
                  <c:v>Površine (ha)</c:v>
                </c:pt>
              </c:strCache>
            </c:strRef>
          </c:tx>
          <c:spPr>
            <a:solidFill>
              <a:schemeClr val="accent1"/>
            </a:solidFill>
            <a:ln>
              <a:noFill/>
            </a:ln>
            <a:effectLst/>
          </c:spPr>
          <c:invertIfNegative val="0"/>
          <c:cat>
            <c:numRef>
              <c:f>List1!$A$4:$A$13</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List1!$B$4:$B$13</c:f>
              <c:numCache>
                <c:formatCode>General</c:formatCode>
                <c:ptCount val="10"/>
                <c:pt idx="0">
                  <c:v>1068.77</c:v>
                </c:pt>
                <c:pt idx="1">
                  <c:v>977.06</c:v>
                </c:pt>
                <c:pt idx="2">
                  <c:v>994.49</c:v>
                </c:pt>
                <c:pt idx="3">
                  <c:v>997.05</c:v>
                </c:pt>
                <c:pt idx="4">
                  <c:v>959.89</c:v>
                </c:pt>
                <c:pt idx="5">
                  <c:v>516.87</c:v>
                </c:pt>
                <c:pt idx="6">
                  <c:v>555.03</c:v>
                </c:pt>
                <c:pt idx="7">
                  <c:v>605.72</c:v>
                </c:pt>
                <c:pt idx="8">
                  <c:v>455.65</c:v>
                </c:pt>
                <c:pt idx="9">
                  <c:v>513.05999999999995</c:v>
                </c:pt>
              </c:numCache>
            </c:numRef>
          </c:val>
          <c:extLst>
            <c:ext xmlns:c16="http://schemas.microsoft.com/office/drawing/2014/chart" uri="{C3380CC4-5D6E-409C-BE32-E72D297353CC}">
              <c16:uniqueId val="{00000000-D37A-4595-A5A5-34591FABF612}"/>
            </c:ext>
          </c:extLst>
        </c:ser>
        <c:dLbls>
          <c:showLegendKey val="0"/>
          <c:showVal val="0"/>
          <c:showCatName val="0"/>
          <c:showSerName val="0"/>
          <c:showPercent val="0"/>
          <c:showBubbleSize val="0"/>
        </c:dLbls>
        <c:gapWidth val="219"/>
        <c:overlap val="-27"/>
        <c:axId val="384125184"/>
        <c:axId val="384126976"/>
      </c:barChart>
      <c:catAx>
        <c:axId val="38412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4126976"/>
        <c:crosses val="autoZero"/>
        <c:auto val="1"/>
        <c:lblAlgn val="ctr"/>
        <c:lblOffset val="100"/>
        <c:noMultiLvlLbl val="0"/>
      </c:catAx>
      <c:valAx>
        <c:axId val="384126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412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'[15P6004 (1).xlsx]List1'!$B$8</c:f>
              <c:strCache>
                <c:ptCount val="1"/>
                <c:pt idx="0">
                  <c:v>Pridelava na prostem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'[15P6004 (1).xlsx]List1'!$C$7:$H$7</c:f>
              <c:numCache>
                <c:formatCode>General</c:formatCode>
                <c:ptCount val="6"/>
                <c:pt idx="0">
                  <c:v>2000</c:v>
                </c:pt>
                <c:pt idx="1">
                  <c:v>2003</c:v>
                </c:pt>
                <c:pt idx="2">
                  <c:v>2006</c:v>
                </c:pt>
                <c:pt idx="3">
                  <c:v>2013</c:v>
                </c:pt>
                <c:pt idx="4">
                  <c:v>2016</c:v>
                </c:pt>
                <c:pt idx="5">
                  <c:v>2019</c:v>
                </c:pt>
              </c:numCache>
            </c:numRef>
          </c:cat>
          <c:val>
            <c:numRef>
              <c:f>'[15P6004 (1).xlsx]List1'!$C$8:$H$8</c:f>
              <c:numCache>
                <c:formatCode>General</c:formatCode>
                <c:ptCount val="6"/>
                <c:pt idx="0">
                  <c:v>13.2</c:v>
                </c:pt>
                <c:pt idx="1">
                  <c:v>13.3</c:v>
                </c:pt>
                <c:pt idx="2">
                  <c:v>11.8</c:v>
                </c:pt>
                <c:pt idx="3">
                  <c:v>49.4</c:v>
                </c:pt>
                <c:pt idx="4">
                  <c:v>96.8</c:v>
                </c:pt>
                <c:pt idx="5">
                  <c:v>146.6</c:v>
                </c:pt>
              </c:numCache>
            </c:numRef>
          </c:val>
          <c:extLst>
            <c:ext xmlns:c16="http://schemas.microsoft.com/office/drawing/2014/chart" uri="{C3380CC4-5D6E-409C-BE32-E72D297353CC}">
              <c16:uniqueId val="{00000000-9FE1-4F12-895C-70EEB95FC274}"/>
            </c:ext>
          </c:extLst>
        </c:ser>
        <c:ser>
          <c:idx val="1"/>
          <c:order val="1"/>
          <c:tx>
            <c:strRef>
              <c:f>'[15P6004 (1).xlsx]List1'!$B$9</c:f>
              <c:strCache>
                <c:ptCount val="1"/>
                <c:pt idx="0">
                  <c:v>Pridelava v zaščitenem prostoru</c:v>
                </c:pt>
              </c:strCache>
            </c:strRef>
          </c:tx>
          <c:spPr>
            <a:solidFill>
              <a:schemeClr val="accent2"/>
            </a:solidFill>
            <a:ln>
              <a:noFill/>
            </a:ln>
            <a:effectLst/>
          </c:spPr>
          <c:invertIfNegative val="0"/>
          <c:cat>
            <c:numRef>
              <c:f>'[15P6004 (1).xlsx]List1'!$C$7:$H$7</c:f>
              <c:numCache>
                <c:formatCode>General</c:formatCode>
                <c:ptCount val="6"/>
                <c:pt idx="0">
                  <c:v>2000</c:v>
                </c:pt>
                <c:pt idx="1">
                  <c:v>2003</c:v>
                </c:pt>
                <c:pt idx="2">
                  <c:v>2006</c:v>
                </c:pt>
                <c:pt idx="3">
                  <c:v>2013</c:v>
                </c:pt>
                <c:pt idx="4">
                  <c:v>2016</c:v>
                </c:pt>
                <c:pt idx="5">
                  <c:v>2019</c:v>
                </c:pt>
              </c:numCache>
            </c:numRef>
          </c:cat>
          <c:val>
            <c:numRef>
              <c:f>'[15P6004 (1).xlsx]List1'!$C$9:$H$9</c:f>
              <c:numCache>
                <c:formatCode>General</c:formatCode>
                <c:ptCount val="6"/>
                <c:pt idx="0">
                  <c:v>0.1</c:v>
                </c:pt>
                <c:pt idx="1">
                  <c:v>0.1</c:v>
                </c:pt>
                <c:pt idx="2">
                  <c:v>0.3</c:v>
                </c:pt>
                <c:pt idx="3">
                  <c:v>7.2</c:v>
                </c:pt>
                <c:pt idx="4">
                  <c:v>1.6</c:v>
                </c:pt>
                <c:pt idx="5">
                  <c:v>3.3</c:v>
                </c:pt>
              </c:numCache>
            </c:numRef>
          </c:val>
          <c:extLst>
            <c:ext xmlns:c16="http://schemas.microsoft.com/office/drawing/2014/chart" uri="{C3380CC4-5D6E-409C-BE32-E72D297353CC}">
              <c16:uniqueId val="{00000001-9FE1-4F12-895C-70EEB95FC274}"/>
            </c:ext>
          </c:extLst>
        </c:ser>
        <c:ser>
          <c:idx val="2"/>
          <c:order val="2"/>
          <c:spPr>
            <a:solidFill>
              <a:schemeClr val="accent3"/>
            </a:solidFill>
            <a:ln>
              <a:noFill/>
            </a:ln>
            <a:effectLst/>
          </c:spPr>
          <c:invertIfNegative val="0"/>
          <c:cat>
            <c:numRef>
              <c:f>'[15P6004 (1).xlsx]List1'!$C$7:$H$7</c:f>
              <c:numCache>
                <c:formatCode>General</c:formatCode>
                <c:ptCount val="6"/>
                <c:pt idx="0">
                  <c:v>2000</c:v>
                </c:pt>
                <c:pt idx="1">
                  <c:v>2003</c:v>
                </c:pt>
                <c:pt idx="2">
                  <c:v>2006</c:v>
                </c:pt>
                <c:pt idx="3">
                  <c:v>2013</c:v>
                </c:pt>
                <c:pt idx="4">
                  <c:v>2016</c:v>
                </c:pt>
                <c:pt idx="5">
                  <c:v>2019</c:v>
                </c:pt>
              </c:numCache>
            </c:numRef>
          </c:cat>
          <c:val>
            <c:numRef>
              <c:f>'[15P6004 (1).xlsx]List1'!$C$6</c:f>
              <c:numCache>
                <c:formatCode>General</c:formatCode>
                <c:ptCount val="1"/>
                <c:pt idx="0">
                  <c:v>0</c:v>
                </c:pt>
              </c:numCache>
            </c:numRef>
          </c:val>
          <c:extLst>
            <c:ext xmlns:c16="http://schemas.microsoft.com/office/drawing/2014/chart" uri="{C3380CC4-5D6E-409C-BE32-E72D297353CC}">
              <c16:uniqueId val="{00000002-9FE1-4F12-895C-70EEB95FC274}"/>
            </c:ext>
          </c:extLst>
        </c:ser>
        <c:dLbls>
          <c:showLegendKey val="0"/>
          <c:showVal val="0"/>
          <c:showCatName val="0"/>
          <c:showSerName val="0"/>
          <c:showPercent val="0"/>
          <c:showBubbleSize val="0"/>
        </c:dLbls>
        <c:gapWidth val="150"/>
        <c:axId val="385681664"/>
        <c:axId val="385695744"/>
      </c:barChart>
      <c:catAx>
        <c:axId val="38568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5695744"/>
        <c:crosses val="autoZero"/>
        <c:auto val="1"/>
        <c:lblAlgn val="ctr"/>
        <c:lblOffset val="100"/>
        <c:noMultiLvlLbl val="0"/>
      </c:catAx>
      <c:valAx>
        <c:axId val="385695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sl-SI" sz="800" b="0" i="0" u="none" strike="noStrike" baseline="0">
                    <a:effectLst/>
                    <a:latin typeface="Arial" panose="020B0604020202020204" pitchFamily="34" charset="0"/>
                    <a:cs typeface="Arial" panose="020B0604020202020204" pitchFamily="34" charset="0"/>
                  </a:rPr>
                  <a:t>Pridelovalna površina (ha)</a:t>
                </a:r>
                <a:r>
                  <a:rPr lang="sl-SI" sz="800" b="0" i="0" u="none" strike="noStrike" baseline="0">
                    <a:latin typeface="Arial" panose="020B0604020202020204" pitchFamily="34" charset="0"/>
                    <a:cs typeface="Arial" panose="020B0604020202020204" pitchFamily="34" charset="0"/>
                  </a:rPr>
                  <a:t> </a:t>
                </a:r>
                <a:endParaRPr lang="sl-SI" sz="800">
                  <a:latin typeface="Arial" panose="020B0604020202020204" pitchFamily="34" charset="0"/>
                  <a:cs typeface="Arial" panose="020B0604020202020204" pitchFamily="34" charset="0"/>
                </a:endParaRPr>
              </a:p>
            </c:rich>
          </c:tx>
          <c:layout>
            <c:manualLayout>
              <c:xMode val="edge"/>
              <c:yMode val="edge"/>
              <c:x val="3.3794162826420893E-2"/>
              <c:y val="0.1185250737463126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568166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List1!$B$32</c:f>
              <c:strCache>
                <c:ptCount val="1"/>
                <c:pt idx="0">
                  <c:v>Pridelava na prostem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List1!$C$31:$H$31</c:f>
              <c:numCache>
                <c:formatCode>General</c:formatCode>
                <c:ptCount val="6"/>
                <c:pt idx="0">
                  <c:v>2000</c:v>
                </c:pt>
                <c:pt idx="1">
                  <c:v>2003</c:v>
                </c:pt>
                <c:pt idx="2">
                  <c:v>2006</c:v>
                </c:pt>
                <c:pt idx="3">
                  <c:v>2013</c:v>
                </c:pt>
                <c:pt idx="4">
                  <c:v>2016</c:v>
                </c:pt>
                <c:pt idx="5">
                  <c:v>2019</c:v>
                </c:pt>
              </c:numCache>
            </c:numRef>
          </c:cat>
          <c:val>
            <c:numRef>
              <c:f>List1!$C$32:$H$32</c:f>
              <c:numCache>
                <c:formatCode>General</c:formatCode>
                <c:ptCount val="6"/>
                <c:pt idx="0">
                  <c:v>60</c:v>
                </c:pt>
                <c:pt idx="1">
                  <c:v>46</c:v>
                </c:pt>
                <c:pt idx="2">
                  <c:v>39</c:v>
                </c:pt>
                <c:pt idx="3">
                  <c:v>164</c:v>
                </c:pt>
                <c:pt idx="4">
                  <c:v>200</c:v>
                </c:pt>
                <c:pt idx="5">
                  <c:v>311</c:v>
                </c:pt>
              </c:numCache>
            </c:numRef>
          </c:val>
          <c:extLst>
            <c:ext xmlns:c16="http://schemas.microsoft.com/office/drawing/2014/chart" uri="{C3380CC4-5D6E-409C-BE32-E72D297353CC}">
              <c16:uniqueId val="{00000000-2B7A-491A-9E03-0FF7631C91E4}"/>
            </c:ext>
          </c:extLst>
        </c:ser>
        <c:ser>
          <c:idx val="1"/>
          <c:order val="1"/>
          <c:tx>
            <c:strRef>
              <c:f>List1!$B$33</c:f>
              <c:strCache>
                <c:ptCount val="1"/>
                <c:pt idx="0">
                  <c:v>Pridelava v zaščitenem prostoru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List1!$C$31:$H$31</c:f>
              <c:numCache>
                <c:formatCode>General</c:formatCode>
                <c:ptCount val="6"/>
                <c:pt idx="0">
                  <c:v>2000</c:v>
                </c:pt>
                <c:pt idx="1">
                  <c:v>2003</c:v>
                </c:pt>
                <c:pt idx="2">
                  <c:v>2006</c:v>
                </c:pt>
                <c:pt idx="3">
                  <c:v>2013</c:v>
                </c:pt>
                <c:pt idx="4">
                  <c:v>2016</c:v>
                </c:pt>
                <c:pt idx="5">
                  <c:v>2019</c:v>
                </c:pt>
              </c:numCache>
            </c:numRef>
          </c:cat>
          <c:val>
            <c:numRef>
              <c:f>List1!$C$33:$H$33</c:f>
              <c:numCache>
                <c:formatCode>General</c:formatCode>
                <c:ptCount val="6"/>
                <c:pt idx="0">
                  <c:v>7</c:v>
                </c:pt>
                <c:pt idx="1">
                  <c:v>20</c:v>
                </c:pt>
                <c:pt idx="2">
                  <c:v>26</c:v>
                </c:pt>
                <c:pt idx="3">
                  <c:v>100</c:v>
                </c:pt>
                <c:pt idx="4">
                  <c:v>74</c:v>
                </c:pt>
                <c:pt idx="5">
                  <c:v>71</c:v>
                </c:pt>
              </c:numCache>
            </c:numRef>
          </c:val>
          <c:extLst>
            <c:ext xmlns:c16="http://schemas.microsoft.com/office/drawing/2014/chart" uri="{C3380CC4-5D6E-409C-BE32-E72D297353CC}">
              <c16:uniqueId val="{00000001-2B7A-491A-9E03-0FF7631C91E4}"/>
            </c:ext>
          </c:extLst>
        </c:ser>
        <c:dLbls>
          <c:showLegendKey val="0"/>
          <c:showVal val="0"/>
          <c:showCatName val="0"/>
          <c:showSerName val="0"/>
          <c:showPercent val="0"/>
          <c:showBubbleSize val="0"/>
        </c:dLbls>
        <c:gapWidth val="219"/>
        <c:overlap val="-27"/>
        <c:axId val="384768640"/>
        <c:axId val="384848256"/>
      </c:barChart>
      <c:catAx>
        <c:axId val="38476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4848256"/>
        <c:crosses val="autoZero"/>
        <c:auto val="1"/>
        <c:lblAlgn val="ctr"/>
        <c:lblOffset val="100"/>
        <c:noMultiLvlLbl val="0"/>
      </c:catAx>
      <c:valAx>
        <c:axId val="384848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Št.</a:t>
                </a:r>
                <a:r>
                  <a:rPr lang="sl-SI" baseline="0"/>
                  <a:t> KMG</a:t>
                </a:r>
                <a:endParaRPr lang="sl-SI"/>
              </a:p>
            </c:rich>
          </c:tx>
          <c:layout>
            <c:manualLayout>
              <c:xMode val="edge"/>
              <c:yMode val="edge"/>
              <c:x val="2.3756495916852263E-2"/>
              <c:y val="0.3201550387596899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476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54705939783859E-2"/>
          <c:y val="4.218282555106144E-2"/>
          <c:w val="0.59194625977740212"/>
          <c:h val="0.72095011287924682"/>
        </c:manualLayout>
      </c:layout>
      <c:barChart>
        <c:barDir val="col"/>
        <c:grouping val="clustered"/>
        <c:varyColors val="0"/>
        <c:ser>
          <c:idx val="0"/>
          <c:order val="0"/>
          <c:tx>
            <c:v>Delež pokritosti z mrežami glede na celotno površino (%)</c:v>
          </c:tx>
          <c:invertIfNegative val="0"/>
          <c:cat>
            <c:strRef>
              <c:f>IZBIRNIK!$S$54:$S$62</c:f>
              <c:strCache>
                <c:ptCount val="9"/>
                <c:pt idx="0">
                  <c:v>JABLANA</c:v>
                </c:pt>
                <c:pt idx="1">
                  <c:v>HRUŠKA</c:v>
                </c:pt>
                <c:pt idx="2">
                  <c:v>BRESKEV</c:v>
                </c:pt>
                <c:pt idx="3">
                  <c:v>ČEŠNJA</c:v>
                </c:pt>
                <c:pt idx="4">
                  <c:v>OREH</c:v>
                </c:pt>
                <c:pt idx="5">
                  <c:v>LESKA</c:v>
                </c:pt>
                <c:pt idx="6">
                  <c:v>KAKI</c:v>
                </c:pt>
                <c:pt idx="7">
                  <c:v>JAGODA</c:v>
                </c:pt>
                <c:pt idx="8">
                  <c:v>ARONIJA</c:v>
                </c:pt>
              </c:strCache>
            </c:strRef>
          </c:cat>
          <c:val>
            <c:numRef>
              <c:f>IZBIRNIK!$T$54:$T$62</c:f>
              <c:numCache>
                <c:formatCode>#,##0</c:formatCode>
                <c:ptCount val="9"/>
                <c:pt idx="0">
                  <c:v>52.253881741261054</c:v>
                </c:pt>
                <c:pt idx="1">
                  <c:v>17.173539474176156</c:v>
                </c:pt>
                <c:pt idx="2">
                  <c:v>7.8552071684314457</c:v>
                </c:pt>
                <c:pt idx="3">
                  <c:v>5.1634764649966831</c:v>
                </c:pt>
                <c:pt idx="4">
                  <c:v>9.2018795759221781E-5</c:v>
                </c:pt>
                <c:pt idx="5">
                  <c:v>0.16954454080524692</c:v>
                </c:pt>
                <c:pt idx="6">
                  <c:v>1.3977564177522082</c:v>
                </c:pt>
                <c:pt idx="7">
                  <c:v>2.9757384790186845</c:v>
                </c:pt>
                <c:pt idx="8">
                  <c:v>2.6970156675080523</c:v>
                </c:pt>
              </c:numCache>
            </c:numRef>
          </c:val>
          <c:extLst>
            <c:ext xmlns:c16="http://schemas.microsoft.com/office/drawing/2014/chart" uri="{C3380CC4-5D6E-409C-BE32-E72D297353CC}">
              <c16:uniqueId val="{00000000-A54C-4144-B17A-D738EEC2CE39}"/>
            </c:ext>
          </c:extLst>
        </c:ser>
        <c:ser>
          <c:idx val="1"/>
          <c:order val="1"/>
          <c:tx>
            <c:v>Delež namakanih površin glede na celotno površino (%)</c:v>
          </c:tx>
          <c:invertIfNegative val="0"/>
          <c:cat>
            <c:strRef>
              <c:f>IZBIRNIK!$S$54:$S$62</c:f>
              <c:strCache>
                <c:ptCount val="9"/>
                <c:pt idx="0">
                  <c:v>JABLANA</c:v>
                </c:pt>
                <c:pt idx="1">
                  <c:v>HRUŠKA</c:v>
                </c:pt>
                <c:pt idx="2">
                  <c:v>BRESKEV</c:v>
                </c:pt>
                <c:pt idx="3">
                  <c:v>ČEŠNJA</c:v>
                </c:pt>
                <c:pt idx="4">
                  <c:v>OREH</c:v>
                </c:pt>
                <c:pt idx="5">
                  <c:v>LESKA</c:v>
                </c:pt>
                <c:pt idx="6">
                  <c:v>KAKI</c:v>
                </c:pt>
                <c:pt idx="7">
                  <c:v>JAGODA</c:v>
                </c:pt>
                <c:pt idx="8">
                  <c:v>ARONIJA</c:v>
                </c:pt>
              </c:strCache>
            </c:strRef>
          </c:cat>
          <c:val>
            <c:numRef>
              <c:f>IZBIRNIK!$U$54:$U$62</c:f>
              <c:numCache>
                <c:formatCode>#,##0</c:formatCode>
                <c:ptCount val="9"/>
                <c:pt idx="0">
                  <c:v>16.053659608663136</c:v>
                </c:pt>
                <c:pt idx="1">
                  <c:v>37.018602557798459</c:v>
                </c:pt>
                <c:pt idx="2">
                  <c:v>42.004362138757791</c:v>
                </c:pt>
                <c:pt idx="3">
                  <c:v>18.76528302476644</c:v>
                </c:pt>
                <c:pt idx="4">
                  <c:v>1.1603340098248469</c:v>
                </c:pt>
                <c:pt idx="5">
                  <c:v>6.398596359806322</c:v>
                </c:pt>
                <c:pt idx="6">
                  <c:v>16.637519673137906</c:v>
                </c:pt>
                <c:pt idx="7">
                  <c:v>76.426569220102706</c:v>
                </c:pt>
                <c:pt idx="8">
                  <c:v>3.8986030042850492</c:v>
                </c:pt>
              </c:numCache>
            </c:numRef>
          </c:val>
          <c:extLst>
            <c:ext xmlns:c16="http://schemas.microsoft.com/office/drawing/2014/chart" uri="{C3380CC4-5D6E-409C-BE32-E72D297353CC}">
              <c16:uniqueId val="{00000001-A54C-4144-B17A-D738EEC2CE39}"/>
            </c:ext>
          </c:extLst>
        </c:ser>
        <c:dLbls>
          <c:showLegendKey val="0"/>
          <c:showVal val="0"/>
          <c:showCatName val="0"/>
          <c:showSerName val="0"/>
          <c:showPercent val="0"/>
          <c:showBubbleSize val="0"/>
        </c:dLbls>
        <c:gapWidth val="150"/>
        <c:axId val="386779008"/>
        <c:axId val="386780544"/>
      </c:barChart>
      <c:catAx>
        <c:axId val="386779008"/>
        <c:scaling>
          <c:orientation val="minMax"/>
        </c:scaling>
        <c:delete val="0"/>
        <c:axPos val="b"/>
        <c:numFmt formatCode="General" sourceLinked="0"/>
        <c:majorTickMark val="out"/>
        <c:minorTickMark val="none"/>
        <c:tickLblPos val="nextTo"/>
        <c:crossAx val="386780544"/>
        <c:crosses val="autoZero"/>
        <c:auto val="1"/>
        <c:lblAlgn val="ctr"/>
        <c:lblOffset val="100"/>
        <c:noMultiLvlLbl val="0"/>
      </c:catAx>
      <c:valAx>
        <c:axId val="386780544"/>
        <c:scaling>
          <c:orientation val="minMax"/>
        </c:scaling>
        <c:delete val="0"/>
        <c:axPos val="l"/>
        <c:majorGridlines/>
        <c:numFmt formatCode="#,##0" sourceLinked="1"/>
        <c:majorTickMark val="out"/>
        <c:minorTickMark val="none"/>
        <c:tickLblPos val="nextTo"/>
        <c:crossAx val="386779008"/>
        <c:crosses val="autoZero"/>
        <c:crossBetween val="between"/>
      </c:valAx>
    </c:plotArea>
    <c:legend>
      <c:legendPos val="r"/>
      <c:layout>
        <c:manualLayout>
          <c:xMode val="edge"/>
          <c:yMode val="edge"/>
          <c:x val="0.70418080803081895"/>
          <c:y val="0.32871641154121467"/>
          <c:w val="0.28047975147664927"/>
          <c:h val="0.3425671769175706"/>
        </c:manualLayout>
      </c:layout>
      <c:overlay val="0"/>
      <c:txPr>
        <a:bodyPr/>
        <a:lstStyle/>
        <a:p>
          <a:pPr>
            <a:defRPr>
              <a:latin typeface="Arial" panose="020B0604020202020204" pitchFamily="34" charset="0"/>
              <a:cs typeface="Arial" panose="020B0604020202020204" pitchFamily="34" charset="0"/>
            </a:defRPr>
          </a:pPr>
          <a:endParaRPr lang="sl-SI"/>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Sheet1!$B$732</c:f>
              <c:strCache>
                <c:ptCount val="1"/>
                <c:pt idx="0">
                  <c:v>Zaposlenost v kmetijstvu</c:v>
                </c:pt>
              </c:strCache>
            </c:strRef>
          </c:tx>
          <c:spPr>
            <a:solidFill>
              <a:schemeClr val="accent1"/>
            </a:solidFill>
            <a:ln>
              <a:noFill/>
            </a:ln>
            <a:effectLst/>
          </c:spPr>
          <c:invertIfNegative val="0"/>
          <c:cat>
            <c:strRef>
              <c:f>Sheet1!$A$733:$A$742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Sheet1!$B$733:$B$742</c:f>
              <c:numCache>
                <c:formatCode>###,000;\-###,000;#.000</c:formatCode>
                <c:ptCount val="10"/>
                <c:pt idx="0">
                  <c:v>8.0410000000000004</c:v>
                </c:pt>
                <c:pt idx="1">
                  <c:v>8.657</c:v>
                </c:pt>
                <c:pt idx="2">
                  <c:v>8.4580000000000002</c:v>
                </c:pt>
                <c:pt idx="3">
                  <c:v>8.1829999999999998</c:v>
                </c:pt>
                <c:pt idx="4">
                  <c:v>7.9240000000000004</c:v>
                </c:pt>
                <c:pt idx="5">
                  <c:v>8.0030000000000001</c:v>
                </c:pt>
                <c:pt idx="6">
                  <c:v>9.1519999999999992</c:v>
                </c:pt>
                <c:pt idx="7">
                  <c:v>6.5510000000000002</c:v>
                </c:pt>
                <c:pt idx="8">
                  <c:v>4.6230000000000002</c:v>
                </c:pt>
                <c:pt idx="9">
                  <c:v>5.1509999999999998</c:v>
                </c:pt>
              </c:numCache>
            </c:numRef>
          </c:val>
          <c:extLst>
            <c:ext xmlns:c16="http://schemas.microsoft.com/office/drawing/2014/chart" uri="{C3380CC4-5D6E-409C-BE32-E72D297353CC}">
              <c16:uniqueId val="{00000000-8BAF-40E3-9B1D-6E9DE3302B5F}"/>
            </c:ext>
          </c:extLst>
        </c:ser>
        <c:ser>
          <c:idx val="1"/>
          <c:order val="1"/>
          <c:tx>
            <c:strRef>
              <c:f>Sheet1!$C$732</c:f>
              <c:strCache>
                <c:ptCount val="1"/>
                <c:pt idx="0">
                  <c:v>Zaposlenost v gozdarstvu</c:v>
                </c:pt>
              </c:strCache>
            </c:strRef>
          </c:tx>
          <c:spPr>
            <a:solidFill>
              <a:schemeClr val="accent2"/>
            </a:solidFill>
            <a:ln>
              <a:noFill/>
            </a:ln>
            <a:effectLst/>
          </c:spPr>
          <c:invertIfNegative val="0"/>
          <c:cat>
            <c:strRef>
              <c:f>Sheet1!$A$733:$A$742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Sheet1!$C$733:$C$742</c:f>
              <c:numCache>
                <c:formatCode>###,000;\-###,000;#.000</c:formatCode>
                <c:ptCount val="10"/>
                <c:pt idx="0">
                  <c:v>0.46200000000000002</c:v>
                </c:pt>
                <c:pt idx="1">
                  <c:v>0.38700000000000001</c:v>
                </c:pt>
                <c:pt idx="2">
                  <c:v>0.311</c:v>
                </c:pt>
                <c:pt idx="3">
                  <c:v>0.36299999999999999</c:v>
                </c:pt>
                <c:pt idx="4">
                  <c:v>0.36799999999999999</c:v>
                </c:pt>
                <c:pt idx="5">
                  <c:v>0.39700000000000002</c:v>
                </c:pt>
                <c:pt idx="6">
                  <c:v>0.40400000000000003</c:v>
                </c:pt>
                <c:pt idx="7">
                  <c:v>0.436</c:v>
                </c:pt>
                <c:pt idx="8">
                  <c:v>0.36099999999999999</c:v>
                </c:pt>
                <c:pt idx="9">
                  <c:v>0.375</c:v>
                </c:pt>
              </c:numCache>
            </c:numRef>
          </c:val>
          <c:extLst>
            <c:ext xmlns:c16="http://schemas.microsoft.com/office/drawing/2014/chart" uri="{C3380CC4-5D6E-409C-BE32-E72D297353CC}">
              <c16:uniqueId val="{00000001-8BAF-40E3-9B1D-6E9DE3302B5F}"/>
            </c:ext>
          </c:extLst>
        </c:ser>
        <c:ser>
          <c:idx val="2"/>
          <c:order val="2"/>
          <c:tx>
            <c:strRef>
              <c:f>Sheet1!$D$732</c:f>
              <c:strCache>
                <c:ptCount val="1"/>
                <c:pt idx="0">
                  <c:v>Zaposlenost v prehrambeni industriji</c:v>
                </c:pt>
              </c:strCache>
            </c:strRef>
          </c:tx>
          <c:spPr>
            <a:solidFill>
              <a:schemeClr val="accent3"/>
            </a:solidFill>
            <a:ln>
              <a:noFill/>
            </a:ln>
            <a:effectLst/>
          </c:spPr>
          <c:invertIfNegative val="0"/>
          <c:cat>
            <c:strRef>
              <c:f>Sheet1!$A$733:$A$742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Sheet1!$D$733:$D$742</c:f>
              <c:numCache>
                <c:formatCode>###,000;\-###,000;#.000</c:formatCode>
                <c:ptCount val="10"/>
                <c:pt idx="0">
                  <c:v>2.2890000000000001</c:v>
                </c:pt>
                <c:pt idx="1">
                  <c:v>1.917</c:v>
                </c:pt>
                <c:pt idx="2">
                  <c:v>1.853</c:v>
                </c:pt>
                <c:pt idx="3">
                  <c:v>1.752</c:v>
                </c:pt>
                <c:pt idx="4">
                  <c:v>1.8839999999999999</c:v>
                </c:pt>
                <c:pt idx="5">
                  <c:v>1.9319999999999999</c:v>
                </c:pt>
                <c:pt idx="6">
                  <c:v>2.105</c:v>
                </c:pt>
                <c:pt idx="7">
                  <c:v>1.9730000000000001</c:v>
                </c:pt>
                <c:pt idx="8">
                  <c:v>1.8580000000000001</c:v>
                </c:pt>
                <c:pt idx="9">
                  <c:v>2.1480000000000001</c:v>
                </c:pt>
              </c:numCache>
            </c:numRef>
          </c:val>
          <c:extLst>
            <c:ext xmlns:c16="http://schemas.microsoft.com/office/drawing/2014/chart" uri="{C3380CC4-5D6E-409C-BE32-E72D297353CC}">
              <c16:uniqueId val="{00000002-8BAF-40E3-9B1D-6E9DE3302B5F}"/>
            </c:ext>
          </c:extLst>
        </c:ser>
        <c:ser>
          <c:idx val="3"/>
          <c:order val="3"/>
          <c:tx>
            <c:strRef>
              <c:f>Sheet1!$E$732</c:f>
              <c:strCache>
                <c:ptCount val="1"/>
                <c:pt idx="0">
                  <c:v>Zaposlenost v turizmu</c:v>
                </c:pt>
              </c:strCache>
            </c:strRef>
          </c:tx>
          <c:spPr>
            <a:solidFill>
              <a:schemeClr val="accent4"/>
            </a:solidFill>
            <a:ln>
              <a:noFill/>
            </a:ln>
            <a:effectLst/>
          </c:spPr>
          <c:invertIfNegative val="0"/>
          <c:cat>
            <c:strRef>
              <c:f>Sheet1!$A$733:$A$742</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Sheet1!$E$733:$E$742</c:f>
              <c:numCache>
                <c:formatCode>###,000;\-###,000;#.000</c:formatCode>
                <c:ptCount val="10"/>
                <c:pt idx="0">
                  <c:v>4.3570000000000002</c:v>
                </c:pt>
                <c:pt idx="1">
                  <c:v>4.1909999999999998</c:v>
                </c:pt>
                <c:pt idx="2">
                  <c:v>4.8029999999999999</c:v>
                </c:pt>
                <c:pt idx="3">
                  <c:v>4.5609999999999999</c:v>
                </c:pt>
                <c:pt idx="4">
                  <c:v>4.3079999999999998</c:v>
                </c:pt>
                <c:pt idx="5">
                  <c:v>4.1840000000000002</c:v>
                </c:pt>
                <c:pt idx="6">
                  <c:v>4.407</c:v>
                </c:pt>
                <c:pt idx="7">
                  <c:v>5.08</c:v>
                </c:pt>
                <c:pt idx="8">
                  <c:v>4.4589999999999996</c:v>
                </c:pt>
                <c:pt idx="9">
                  <c:v>4.6710000000000003</c:v>
                </c:pt>
              </c:numCache>
            </c:numRef>
          </c:val>
          <c:extLst>
            <c:ext xmlns:c16="http://schemas.microsoft.com/office/drawing/2014/chart" uri="{C3380CC4-5D6E-409C-BE32-E72D297353CC}">
              <c16:uniqueId val="{00000003-8BAF-40E3-9B1D-6E9DE3302B5F}"/>
            </c:ext>
          </c:extLst>
        </c:ser>
        <c:dLbls>
          <c:showLegendKey val="0"/>
          <c:showVal val="0"/>
          <c:showCatName val="0"/>
          <c:showSerName val="0"/>
          <c:showPercent val="0"/>
          <c:showBubbleSize val="0"/>
        </c:dLbls>
        <c:gapWidth val="219"/>
        <c:overlap val="-27"/>
        <c:axId val="127349120"/>
        <c:axId val="127350656"/>
      </c:barChart>
      <c:catAx>
        <c:axId val="12734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27350656"/>
        <c:crosses val="autoZero"/>
        <c:auto val="1"/>
        <c:lblAlgn val="ctr"/>
        <c:lblOffset val="100"/>
        <c:noMultiLvlLbl val="0"/>
      </c:catAx>
      <c:valAx>
        <c:axId val="127350656"/>
        <c:scaling>
          <c:orientation val="minMax"/>
        </c:scaling>
        <c:delete val="0"/>
        <c:axPos val="l"/>
        <c:majorGridlines>
          <c:spPr>
            <a:ln w="9525" cap="flat" cmpd="sng" algn="ctr">
              <a:solidFill>
                <a:schemeClr val="tx1">
                  <a:lumMod val="15000"/>
                  <a:lumOff val="85000"/>
                </a:schemeClr>
              </a:solidFill>
              <a:round/>
            </a:ln>
            <a:effectLst/>
          </c:spPr>
        </c:majorGridlines>
        <c:numFmt formatCode="###,000;\-###,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27349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16907261592301"/>
          <c:y val="5.1400554097404488E-2"/>
          <c:w val="0.65056014873140855"/>
          <c:h val="0.8326195683872849"/>
        </c:manualLayout>
      </c:layout>
      <c:barChart>
        <c:barDir val="col"/>
        <c:grouping val="clustered"/>
        <c:varyColors val="0"/>
        <c:ser>
          <c:idx val="0"/>
          <c:order val="0"/>
          <c:tx>
            <c:strRef>
              <c:f>ISAD_leto_sajenja!$DW$33</c:f>
              <c:strCache>
                <c:ptCount val="1"/>
                <c:pt idx="0">
                  <c:v>nad 40 let</c:v>
                </c:pt>
              </c:strCache>
            </c:strRef>
          </c:tx>
          <c:invertIfNegative val="0"/>
          <c:cat>
            <c:strRef>
              <c:f>ISAD_leto_sajenja!$DV$34:$DV$37</c:f>
              <c:strCache>
                <c:ptCount val="4"/>
                <c:pt idx="0">
                  <c:v>JABLANA</c:v>
                </c:pt>
                <c:pt idx="1">
                  <c:v>HRUŠKA</c:v>
                </c:pt>
                <c:pt idx="2">
                  <c:v>OREH</c:v>
                </c:pt>
                <c:pt idx="3">
                  <c:v>ČEŠNJA</c:v>
                </c:pt>
              </c:strCache>
            </c:strRef>
          </c:cat>
          <c:val>
            <c:numRef>
              <c:f>ISAD_leto_sajenja!$DW$34:$DW$37</c:f>
              <c:numCache>
                <c:formatCode>#,##0</c:formatCode>
                <c:ptCount val="4"/>
                <c:pt idx="0">
                  <c:v>19.2257</c:v>
                </c:pt>
                <c:pt idx="1">
                  <c:v>8.4443000000000001</c:v>
                </c:pt>
                <c:pt idx="2">
                  <c:v>4.3509000000000002</c:v>
                </c:pt>
                <c:pt idx="3">
                  <c:v>1.8442000000000001</c:v>
                </c:pt>
              </c:numCache>
            </c:numRef>
          </c:val>
          <c:extLst>
            <c:ext xmlns:c16="http://schemas.microsoft.com/office/drawing/2014/chart" uri="{C3380CC4-5D6E-409C-BE32-E72D297353CC}">
              <c16:uniqueId val="{00000000-2046-4E37-8E82-1F22C719C550}"/>
            </c:ext>
          </c:extLst>
        </c:ser>
        <c:ser>
          <c:idx val="1"/>
          <c:order val="1"/>
          <c:tx>
            <c:strRef>
              <c:f>ISAD_leto_sajenja!$DX$33</c:f>
              <c:strCache>
                <c:ptCount val="1"/>
                <c:pt idx="0">
                  <c:v>od 31 do 40 let</c:v>
                </c:pt>
              </c:strCache>
            </c:strRef>
          </c:tx>
          <c:invertIfNegative val="0"/>
          <c:cat>
            <c:strRef>
              <c:f>ISAD_leto_sajenja!$DV$34:$DV$37</c:f>
              <c:strCache>
                <c:ptCount val="4"/>
                <c:pt idx="0">
                  <c:v>JABLANA</c:v>
                </c:pt>
                <c:pt idx="1">
                  <c:v>HRUŠKA</c:v>
                </c:pt>
                <c:pt idx="2">
                  <c:v>OREH</c:v>
                </c:pt>
                <c:pt idx="3">
                  <c:v>ČEŠNJA</c:v>
                </c:pt>
              </c:strCache>
            </c:strRef>
          </c:cat>
          <c:val>
            <c:numRef>
              <c:f>ISAD_leto_sajenja!$DX$34:$DX$37</c:f>
              <c:numCache>
                <c:formatCode>#,##0</c:formatCode>
                <c:ptCount val="4"/>
                <c:pt idx="0">
                  <c:v>165.5643</c:v>
                </c:pt>
                <c:pt idx="1">
                  <c:v>47.536700000000003</c:v>
                </c:pt>
                <c:pt idx="2">
                  <c:v>16.928100000000001</c:v>
                </c:pt>
                <c:pt idx="3">
                  <c:v>7.4733999999999998</c:v>
                </c:pt>
              </c:numCache>
            </c:numRef>
          </c:val>
          <c:extLst>
            <c:ext xmlns:c16="http://schemas.microsoft.com/office/drawing/2014/chart" uri="{C3380CC4-5D6E-409C-BE32-E72D297353CC}">
              <c16:uniqueId val="{00000001-2046-4E37-8E82-1F22C719C550}"/>
            </c:ext>
          </c:extLst>
        </c:ser>
        <c:ser>
          <c:idx val="2"/>
          <c:order val="2"/>
          <c:tx>
            <c:strRef>
              <c:f>ISAD_leto_sajenja!$DY$33</c:f>
              <c:strCache>
                <c:ptCount val="1"/>
                <c:pt idx="0">
                  <c:v>od 21 do 30 let</c:v>
                </c:pt>
              </c:strCache>
            </c:strRef>
          </c:tx>
          <c:invertIfNegative val="0"/>
          <c:cat>
            <c:strRef>
              <c:f>ISAD_leto_sajenja!$DV$34:$DV$37</c:f>
              <c:strCache>
                <c:ptCount val="4"/>
                <c:pt idx="0">
                  <c:v>JABLANA</c:v>
                </c:pt>
                <c:pt idx="1">
                  <c:v>HRUŠKA</c:v>
                </c:pt>
                <c:pt idx="2">
                  <c:v>OREH</c:v>
                </c:pt>
                <c:pt idx="3">
                  <c:v>ČEŠNJA</c:v>
                </c:pt>
              </c:strCache>
            </c:strRef>
          </c:cat>
          <c:val>
            <c:numRef>
              <c:f>ISAD_leto_sajenja!$DY$34:$DY$37</c:f>
              <c:numCache>
                <c:formatCode>#,##0</c:formatCode>
                <c:ptCount val="4"/>
                <c:pt idx="0">
                  <c:v>368.31540000000001</c:v>
                </c:pt>
                <c:pt idx="1">
                  <c:v>50.032200000000003</c:v>
                </c:pt>
                <c:pt idx="2">
                  <c:v>30.007000000000001</c:v>
                </c:pt>
                <c:pt idx="3">
                  <c:v>25.417200000000001</c:v>
                </c:pt>
              </c:numCache>
            </c:numRef>
          </c:val>
          <c:extLst>
            <c:ext xmlns:c16="http://schemas.microsoft.com/office/drawing/2014/chart" uri="{C3380CC4-5D6E-409C-BE32-E72D297353CC}">
              <c16:uniqueId val="{00000002-2046-4E37-8E82-1F22C719C550}"/>
            </c:ext>
          </c:extLst>
        </c:ser>
        <c:ser>
          <c:idx val="3"/>
          <c:order val="3"/>
          <c:tx>
            <c:strRef>
              <c:f>ISAD_leto_sajenja!$DZ$33</c:f>
              <c:strCache>
                <c:ptCount val="1"/>
                <c:pt idx="0">
                  <c:v>od 11 do 20</c:v>
                </c:pt>
              </c:strCache>
            </c:strRef>
          </c:tx>
          <c:invertIfNegative val="0"/>
          <c:cat>
            <c:strRef>
              <c:f>ISAD_leto_sajenja!$DV$34:$DV$37</c:f>
              <c:strCache>
                <c:ptCount val="4"/>
                <c:pt idx="0">
                  <c:v>JABLANA</c:v>
                </c:pt>
                <c:pt idx="1">
                  <c:v>HRUŠKA</c:v>
                </c:pt>
                <c:pt idx="2">
                  <c:v>OREH</c:v>
                </c:pt>
                <c:pt idx="3">
                  <c:v>ČEŠNJA</c:v>
                </c:pt>
              </c:strCache>
            </c:strRef>
          </c:cat>
          <c:val>
            <c:numRef>
              <c:f>ISAD_leto_sajenja!$DZ$34:$DZ$37</c:f>
              <c:numCache>
                <c:formatCode>#,##0</c:formatCode>
                <c:ptCount val="4"/>
                <c:pt idx="0">
                  <c:v>883.54139999999995</c:v>
                </c:pt>
                <c:pt idx="1">
                  <c:v>45.2331</c:v>
                </c:pt>
                <c:pt idx="2">
                  <c:v>65.017499999999998</c:v>
                </c:pt>
                <c:pt idx="3">
                  <c:v>75.910300000000007</c:v>
                </c:pt>
              </c:numCache>
            </c:numRef>
          </c:val>
          <c:extLst>
            <c:ext xmlns:c16="http://schemas.microsoft.com/office/drawing/2014/chart" uri="{C3380CC4-5D6E-409C-BE32-E72D297353CC}">
              <c16:uniqueId val="{00000003-2046-4E37-8E82-1F22C719C550}"/>
            </c:ext>
          </c:extLst>
        </c:ser>
        <c:ser>
          <c:idx val="4"/>
          <c:order val="4"/>
          <c:tx>
            <c:strRef>
              <c:f>ISAD_leto_sajenja!$EA$33</c:f>
              <c:strCache>
                <c:ptCount val="1"/>
                <c:pt idx="0">
                  <c:v>od 6 do 10 let</c:v>
                </c:pt>
              </c:strCache>
            </c:strRef>
          </c:tx>
          <c:invertIfNegative val="0"/>
          <c:cat>
            <c:strRef>
              <c:f>ISAD_leto_sajenja!$DV$34:$DV$37</c:f>
              <c:strCache>
                <c:ptCount val="4"/>
                <c:pt idx="0">
                  <c:v>JABLANA</c:v>
                </c:pt>
                <c:pt idx="1">
                  <c:v>HRUŠKA</c:v>
                </c:pt>
                <c:pt idx="2">
                  <c:v>OREH</c:v>
                </c:pt>
                <c:pt idx="3">
                  <c:v>ČEŠNJA</c:v>
                </c:pt>
              </c:strCache>
            </c:strRef>
          </c:cat>
          <c:val>
            <c:numRef>
              <c:f>ISAD_leto_sajenja!$EA$34:$EA$37</c:f>
              <c:numCache>
                <c:formatCode>#,##0</c:formatCode>
                <c:ptCount val="4"/>
                <c:pt idx="0">
                  <c:v>427.33069999999998</c:v>
                </c:pt>
                <c:pt idx="1">
                  <c:v>26.705500000000001</c:v>
                </c:pt>
                <c:pt idx="2">
                  <c:v>93.887</c:v>
                </c:pt>
                <c:pt idx="3">
                  <c:v>42.454799999999999</c:v>
                </c:pt>
              </c:numCache>
            </c:numRef>
          </c:val>
          <c:extLst>
            <c:ext xmlns:c16="http://schemas.microsoft.com/office/drawing/2014/chart" uri="{C3380CC4-5D6E-409C-BE32-E72D297353CC}">
              <c16:uniqueId val="{00000004-2046-4E37-8E82-1F22C719C550}"/>
            </c:ext>
          </c:extLst>
        </c:ser>
        <c:ser>
          <c:idx val="5"/>
          <c:order val="5"/>
          <c:tx>
            <c:strRef>
              <c:f>ISAD_leto_sajenja!$EB$33</c:f>
              <c:strCache>
                <c:ptCount val="1"/>
                <c:pt idx="0">
                  <c:v>do 5 let</c:v>
                </c:pt>
              </c:strCache>
            </c:strRef>
          </c:tx>
          <c:invertIfNegative val="0"/>
          <c:cat>
            <c:strRef>
              <c:f>ISAD_leto_sajenja!$DV$34:$DV$37</c:f>
              <c:strCache>
                <c:ptCount val="4"/>
                <c:pt idx="0">
                  <c:v>JABLANA</c:v>
                </c:pt>
                <c:pt idx="1">
                  <c:v>HRUŠKA</c:v>
                </c:pt>
                <c:pt idx="2">
                  <c:v>OREH</c:v>
                </c:pt>
                <c:pt idx="3">
                  <c:v>ČEŠNJA</c:v>
                </c:pt>
              </c:strCache>
            </c:strRef>
          </c:cat>
          <c:val>
            <c:numRef>
              <c:f>ISAD_leto_sajenja!$EB$34:$EB$37</c:f>
              <c:numCache>
                <c:formatCode>#,##0</c:formatCode>
                <c:ptCount val="4"/>
                <c:pt idx="0">
                  <c:v>376.48660000000001</c:v>
                </c:pt>
                <c:pt idx="1">
                  <c:v>33.3474</c:v>
                </c:pt>
                <c:pt idx="2">
                  <c:v>224.50360000000001</c:v>
                </c:pt>
                <c:pt idx="3">
                  <c:v>51.620399999999997</c:v>
                </c:pt>
              </c:numCache>
            </c:numRef>
          </c:val>
          <c:extLst>
            <c:ext xmlns:c16="http://schemas.microsoft.com/office/drawing/2014/chart" uri="{C3380CC4-5D6E-409C-BE32-E72D297353CC}">
              <c16:uniqueId val="{00000005-2046-4E37-8E82-1F22C719C550}"/>
            </c:ext>
          </c:extLst>
        </c:ser>
        <c:dLbls>
          <c:showLegendKey val="0"/>
          <c:showVal val="0"/>
          <c:showCatName val="0"/>
          <c:showSerName val="0"/>
          <c:showPercent val="0"/>
          <c:showBubbleSize val="0"/>
        </c:dLbls>
        <c:gapWidth val="150"/>
        <c:axId val="386901504"/>
        <c:axId val="386903040"/>
      </c:barChart>
      <c:catAx>
        <c:axId val="386901504"/>
        <c:scaling>
          <c:orientation val="minMax"/>
        </c:scaling>
        <c:delete val="0"/>
        <c:axPos val="b"/>
        <c:numFmt formatCode="General" sourceLinked="0"/>
        <c:majorTickMark val="out"/>
        <c:minorTickMark val="none"/>
        <c:tickLblPos val="nextTo"/>
        <c:crossAx val="386903040"/>
        <c:crosses val="autoZero"/>
        <c:auto val="1"/>
        <c:lblAlgn val="ctr"/>
        <c:lblOffset val="100"/>
        <c:noMultiLvlLbl val="0"/>
      </c:catAx>
      <c:valAx>
        <c:axId val="386903040"/>
        <c:scaling>
          <c:orientation val="minMax"/>
        </c:scaling>
        <c:delete val="0"/>
        <c:axPos val="l"/>
        <c:majorGridlines/>
        <c:numFmt formatCode="#,##0" sourceLinked="1"/>
        <c:majorTickMark val="out"/>
        <c:minorTickMark val="none"/>
        <c:tickLblPos val="nextTo"/>
        <c:crossAx val="386901504"/>
        <c:crosses val="autoZero"/>
        <c:crossBetween val="between"/>
      </c:valAx>
    </c:plotArea>
    <c:legend>
      <c:legendPos val="r"/>
      <c:overlay val="0"/>
      <c:txPr>
        <a:bodyPr/>
        <a:lstStyle/>
        <a:p>
          <a:pPr>
            <a:defRPr>
              <a:latin typeface="Arial" panose="020B0604020202020204" pitchFamily="34" charset="0"/>
              <a:cs typeface="Arial" panose="020B0604020202020204" pitchFamily="34" charset="0"/>
            </a:defRPr>
          </a:pPr>
          <a:endParaRPr lang="sl-SI"/>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'oljke-površina'!$E$10</c:f>
              <c:strCache>
                <c:ptCount val="1"/>
                <c:pt idx="0">
                  <c:v>ST_KMG-RKG</c:v>
                </c:pt>
              </c:strCache>
            </c:strRef>
          </c:tx>
          <c:marker>
            <c:symbol val="none"/>
          </c:marker>
          <c:cat>
            <c:numRef>
              <c:f>'oljke-površina'!$D$11:$D$20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'oljke-površina'!$E$11:$E$20</c:f>
              <c:numCache>
                <c:formatCode>General</c:formatCode>
                <c:ptCount val="10"/>
                <c:pt idx="0">
                  <c:v>1312</c:v>
                </c:pt>
                <c:pt idx="1">
                  <c:v>1437</c:v>
                </c:pt>
                <c:pt idx="2">
                  <c:v>1720</c:v>
                </c:pt>
                <c:pt idx="3">
                  <c:v>1979</c:v>
                </c:pt>
                <c:pt idx="4">
                  <c:v>2168</c:v>
                </c:pt>
                <c:pt idx="5">
                  <c:v>2327</c:v>
                </c:pt>
                <c:pt idx="6">
                  <c:v>2534</c:v>
                </c:pt>
                <c:pt idx="7">
                  <c:v>2665</c:v>
                </c:pt>
                <c:pt idx="8">
                  <c:v>2808</c:v>
                </c:pt>
                <c:pt idx="9">
                  <c:v>3030</c:v>
                </c:pt>
              </c:numCache>
            </c:numRef>
          </c:val>
          <c:smooth val="0"/>
          <c:extLst>
            <c:ext xmlns:c16="http://schemas.microsoft.com/office/drawing/2014/chart" uri="{C3380CC4-5D6E-409C-BE32-E72D297353CC}">
              <c16:uniqueId val="{00000000-BACF-4886-B601-74A04C664700}"/>
            </c:ext>
          </c:extLst>
        </c:ser>
        <c:ser>
          <c:idx val="1"/>
          <c:order val="1"/>
          <c:tx>
            <c:strRef>
              <c:f>'oljke-površina'!$F$10</c:f>
              <c:strCache>
                <c:ptCount val="1"/>
                <c:pt idx="0">
                  <c:v>POV_HA-RKG</c:v>
                </c:pt>
              </c:strCache>
            </c:strRef>
          </c:tx>
          <c:marker>
            <c:symbol val="none"/>
          </c:marker>
          <c:cat>
            <c:numRef>
              <c:f>'oljke-površina'!$D$11:$D$20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'oljke-površina'!$F$11:$F$20</c:f>
              <c:numCache>
                <c:formatCode>General</c:formatCode>
                <c:ptCount val="10"/>
                <c:pt idx="0">
                  <c:v>682</c:v>
                </c:pt>
                <c:pt idx="1">
                  <c:v>752</c:v>
                </c:pt>
                <c:pt idx="2">
                  <c:v>852</c:v>
                </c:pt>
                <c:pt idx="3" formatCode="0">
                  <c:v>951.2</c:v>
                </c:pt>
                <c:pt idx="4" formatCode="0">
                  <c:v>1020.27</c:v>
                </c:pt>
                <c:pt idx="5" formatCode="0">
                  <c:v>1097.94</c:v>
                </c:pt>
                <c:pt idx="6" formatCode="0">
                  <c:v>1193.53</c:v>
                </c:pt>
                <c:pt idx="7" formatCode="0">
                  <c:v>1264.74</c:v>
                </c:pt>
                <c:pt idx="8" formatCode="0">
                  <c:v>1320.95</c:v>
                </c:pt>
                <c:pt idx="9" formatCode="0">
                  <c:v>1415</c:v>
                </c:pt>
              </c:numCache>
            </c:numRef>
          </c:val>
          <c:smooth val="0"/>
          <c:extLst>
            <c:ext xmlns:c16="http://schemas.microsoft.com/office/drawing/2014/chart" uri="{C3380CC4-5D6E-409C-BE32-E72D297353CC}">
              <c16:uniqueId val="{00000001-BACF-4886-B601-74A04C664700}"/>
            </c:ext>
          </c:extLst>
        </c:ser>
        <c:ser>
          <c:idx val="2"/>
          <c:order val="2"/>
          <c:tx>
            <c:strRef>
              <c:f>'oljke-površina'!$G$10</c:f>
              <c:strCache>
                <c:ptCount val="1"/>
                <c:pt idx="0">
                  <c:v>POV_HA-RABA</c:v>
                </c:pt>
              </c:strCache>
            </c:strRef>
          </c:tx>
          <c:marker>
            <c:symbol val="none"/>
          </c:marker>
          <c:cat>
            <c:numRef>
              <c:f>'oljke-površina'!$D$11:$D$20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'oljke-površina'!$G$11:$G$20</c:f>
              <c:numCache>
                <c:formatCode>General</c:formatCode>
                <c:ptCount val="10"/>
                <c:pt idx="0">
                  <c:v>1805</c:v>
                </c:pt>
                <c:pt idx="1">
                  <c:v>1821</c:v>
                </c:pt>
                <c:pt idx="2">
                  <c:v>1889</c:v>
                </c:pt>
                <c:pt idx="3" formatCode="0">
                  <c:v>1911</c:v>
                </c:pt>
                <c:pt idx="4" formatCode="0">
                  <c:v>1981</c:v>
                </c:pt>
                <c:pt idx="5" formatCode="0">
                  <c:v>2077</c:v>
                </c:pt>
                <c:pt idx="6" formatCode="0">
                  <c:v>2132</c:v>
                </c:pt>
                <c:pt idx="7" formatCode="0">
                  <c:v>2333</c:v>
                </c:pt>
                <c:pt idx="8" formatCode="0">
                  <c:v>2357</c:v>
                </c:pt>
                <c:pt idx="9" formatCode="0">
                  <c:v>2381</c:v>
                </c:pt>
              </c:numCache>
            </c:numRef>
          </c:val>
          <c:smooth val="0"/>
          <c:extLst>
            <c:ext xmlns:c16="http://schemas.microsoft.com/office/drawing/2014/chart" uri="{C3380CC4-5D6E-409C-BE32-E72D297353CC}">
              <c16:uniqueId val="{00000002-BACF-4886-B601-74A04C664700}"/>
            </c:ext>
          </c:extLst>
        </c:ser>
        <c:ser>
          <c:idx val="3"/>
          <c:order val="3"/>
          <c:tx>
            <c:strRef>
              <c:f>'oljke-površina'!$H$10</c:f>
              <c:strCache>
                <c:ptCount val="1"/>
                <c:pt idx="0">
                  <c:v>POV_HA-SURS</c:v>
                </c:pt>
              </c:strCache>
            </c:strRef>
          </c:tx>
          <c:marker>
            <c:symbol val="none"/>
          </c:marker>
          <c:cat>
            <c:numRef>
              <c:f>'oljke-površina'!$D$11:$D$20</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'oljke-površina'!$H$11:$H$20</c:f>
              <c:numCache>
                <c:formatCode>General</c:formatCode>
                <c:ptCount val="10"/>
                <c:pt idx="0">
                  <c:v>892</c:v>
                </c:pt>
                <c:pt idx="1">
                  <c:v>892</c:v>
                </c:pt>
                <c:pt idx="2">
                  <c:v>892</c:v>
                </c:pt>
                <c:pt idx="3">
                  <c:v>925</c:v>
                </c:pt>
                <c:pt idx="4">
                  <c:v>996</c:v>
                </c:pt>
                <c:pt idx="5">
                  <c:v>1076</c:v>
                </c:pt>
                <c:pt idx="6">
                  <c:v>1173</c:v>
                </c:pt>
                <c:pt idx="7">
                  <c:v>1243</c:v>
                </c:pt>
                <c:pt idx="8">
                  <c:v>1302</c:v>
                </c:pt>
                <c:pt idx="9">
                  <c:v>1374</c:v>
                </c:pt>
              </c:numCache>
            </c:numRef>
          </c:val>
          <c:smooth val="0"/>
          <c:extLst>
            <c:ext xmlns:c16="http://schemas.microsoft.com/office/drawing/2014/chart" uri="{C3380CC4-5D6E-409C-BE32-E72D297353CC}">
              <c16:uniqueId val="{00000003-BACF-4886-B601-74A04C664700}"/>
            </c:ext>
          </c:extLst>
        </c:ser>
        <c:dLbls>
          <c:showLegendKey val="0"/>
          <c:showVal val="0"/>
          <c:showCatName val="0"/>
          <c:showSerName val="0"/>
          <c:showPercent val="0"/>
          <c:showBubbleSize val="0"/>
        </c:dLbls>
        <c:smooth val="0"/>
        <c:axId val="388188800"/>
        <c:axId val="388202880"/>
      </c:lineChart>
      <c:catAx>
        <c:axId val="388188800"/>
        <c:scaling>
          <c:orientation val="minMax"/>
        </c:scaling>
        <c:delete val="0"/>
        <c:axPos val="b"/>
        <c:numFmt formatCode="General" sourceLinked="1"/>
        <c:majorTickMark val="none"/>
        <c:minorTickMark val="none"/>
        <c:tickLblPos val="nextTo"/>
        <c:crossAx val="388202880"/>
        <c:crosses val="autoZero"/>
        <c:auto val="1"/>
        <c:lblAlgn val="ctr"/>
        <c:lblOffset val="100"/>
        <c:noMultiLvlLbl val="0"/>
      </c:catAx>
      <c:valAx>
        <c:axId val="388202880"/>
        <c:scaling>
          <c:orientation val="minMax"/>
        </c:scaling>
        <c:delete val="0"/>
        <c:axPos val="l"/>
        <c:majorGridlines/>
        <c:title>
          <c:tx>
            <c:rich>
              <a:bodyPr/>
              <a:lstStyle/>
              <a:p>
                <a:pPr>
                  <a:defRPr sz="800" b="0">
                    <a:latin typeface="Arial" panose="020B0604020202020204" pitchFamily="34" charset="0"/>
                    <a:cs typeface="Arial" panose="020B0604020202020204" pitchFamily="34" charset="0"/>
                  </a:defRPr>
                </a:pPr>
                <a:r>
                  <a:rPr lang="sl-SI" sz="800" b="0">
                    <a:latin typeface="Arial" panose="020B0604020202020204" pitchFamily="34" charset="0"/>
                    <a:cs typeface="Arial" panose="020B0604020202020204" pitchFamily="34" charset="0"/>
                  </a:rPr>
                  <a:t>Površina (ha) in št. KMG</a:t>
                </a:r>
              </a:p>
              <a:p>
                <a:pPr>
                  <a:defRPr sz="800" b="0">
                    <a:latin typeface="Arial" panose="020B0604020202020204" pitchFamily="34" charset="0"/>
                    <a:cs typeface="Arial" panose="020B0604020202020204" pitchFamily="34" charset="0"/>
                  </a:defRPr>
                </a:pPr>
                <a:endParaRPr lang="sl-SI" sz="800" b="0">
                  <a:latin typeface="Arial" panose="020B0604020202020204" pitchFamily="34" charset="0"/>
                  <a:cs typeface="Arial" panose="020B0604020202020204" pitchFamily="34" charset="0"/>
                </a:endParaRPr>
              </a:p>
            </c:rich>
          </c:tx>
          <c:layout>
            <c:manualLayout>
              <c:xMode val="edge"/>
              <c:yMode val="edge"/>
              <c:x val="0.11223591549295775"/>
              <c:y val="5.2014398200224972E-2"/>
            </c:manualLayout>
          </c:layout>
          <c:overlay val="0"/>
        </c:title>
        <c:numFmt formatCode="General" sourceLinked="1"/>
        <c:majorTickMark val="none"/>
        <c:minorTickMark val="none"/>
        <c:tickLblPos val="nextTo"/>
        <c:crossAx val="38818880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'Pridelek oljk'!$C$2</c:f>
              <c:strCache>
                <c:ptCount val="1"/>
                <c:pt idx="0">
                  <c:v>RKG</c:v>
                </c:pt>
              </c:strCache>
            </c:strRef>
          </c:tx>
          <c:marker>
            <c:symbol val="none"/>
          </c:marker>
          <c:cat>
            <c:numRef>
              <c:f>'Pridelek oljk'!$B$3:$B$12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'Pridelek oljk'!$C$3:$C$12</c:f>
              <c:numCache>
                <c:formatCode>General</c:formatCode>
                <c:ptCount val="10"/>
                <c:pt idx="0">
                  <c:v>661</c:v>
                </c:pt>
                <c:pt idx="1">
                  <c:v>997</c:v>
                </c:pt>
                <c:pt idx="2">
                  <c:v>368</c:v>
                </c:pt>
                <c:pt idx="3">
                  <c:v>2086</c:v>
                </c:pt>
                <c:pt idx="4">
                  <c:v>346</c:v>
                </c:pt>
                <c:pt idx="5">
                  <c:v>1726</c:v>
                </c:pt>
                <c:pt idx="6">
                  <c:v>1488</c:v>
                </c:pt>
                <c:pt idx="7">
                  <c:v>1910</c:v>
                </c:pt>
                <c:pt idx="8">
                  <c:v>2199</c:v>
                </c:pt>
                <c:pt idx="9">
                  <c:v>1041</c:v>
                </c:pt>
              </c:numCache>
            </c:numRef>
          </c:val>
          <c:smooth val="0"/>
          <c:extLst>
            <c:ext xmlns:c16="http://schemas.microsoft.com/office/drawing/2014/chart" uri="{C3380CC4-5D6E-409C-BE32-E72D297353CC}">
              <c16:uniqueId val="{00000000-1A88-44DB-9F35-50B7325D4C0B}"/>
            </c:ext>
          </c:extLst>
        </c:ser>
        <c:ser>
          <c:idx val="1"/>
          <c:order val="1"/>
          <c:tx>
            <c:strRef>
              <c:f>'Pridelek oljk'!$D$2</c:f>
              <c:strCache>
                <c:ptCount val="1"/>
                <c:pt idx="0">
                  <c:v>SURS</c:v>
                </c:pt>
              </c:strCache>
            </c:strRef>
          </c:tx>
          <c:marker>
            <c:symbol val="none"/>
          </c:marker>
          <c:cat>
            <c:numRef>
              <c:f>'Pridelek oljk'!$B$3:$B$12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'Pridelek oljk'!$D$3:$D$12</c:f>
              <c:numCache>
                <c:formatCode>General</c:formatCode>
                <c:ptCount val="10"/>
                <c:pt idx="0">
                  <c:v>1895</c:v>
                </c:pt>
                <c:pt idx="1">
                  <c:v>1704</c:v>
                </c:pt>
                <c:pt idx="2">
                  <c:v>740</c:v>
                </c:pt>
                <c:pt idx="3">
                  <c:v>1479</c:v>
                </c:pt>
                <c:pt idx="4">
                  <c:v>814</c:v>
                </c:pt>
                <c:pt idx="5">
                  <c:v>1578</c:v>
                </c:pt>
                <c:pt idx="6">
                  <c:v>1662</c:v>
                </c:pt>
                <c:pt idx="7">
                  <c:v>1685</c:v>
                </c:pt>
                <c:pt idx="8">
                  <c:v>3958</c:v>
                </c:pt>
                <c:pt idx="9">
                  <c:v>1976</c:v>
                </c:pt>
              </c:numCache>
            </c:numRef>
          </c:val>
          <c:smooth val="0"/>
          <c:extLst>
            <c:ext xmlns:c16="http://schemas.microsoft.com/office/drawing/2014/chart" uri="{C3380CC4-5D6E-409C-BE32-E72D297353CC}">
              <c16:uniqueId val="{00000001-1A88-44DB-9F35-50B7325D4C0B}"/>
            </c:ext>
          </c:extLst>
        </c:ser>
        <c:dLbls>
          <c:showLegendKey val="0"/>
          <c:showVal val="0"/>
          <c:showCatName val="0"/>
          <c:showSerName val="0"/>
          <c:showPercent val="0"/>
          <c:showBubbleSize val="0"/>
        </c:dLbls>
        <c:smooth val="0"/>
        <c:axId val="388234624"/>
        <c:axId val="388269184"/>
      </c:lineChart>
      <c:catAx>
        <c:axId val="388234624"/>
        <c:scaling>
          <c:orientation val="minMax"/>
        </c:scaling>
        <c:delete val="0"/>
        <c:axPos val="b"/>
        <c:numFmt formatCode="General" sourceLinked="1"/>
        <c:majorTickMark val="none"/>
        <c:minorTickMark val="none"/>
        <c:tickLblPos val="nextTo"/>
        <c:crossAx val="388269184"/>
        <c:crosses val="autoZero"/>
        <c:auto val="1"/>
        <c:lblAlgn val="ctr"/>
        <c:lblOffset val="100"/>
        <c:noMultiLvlLbl val="0"/>
      </c:catAx>
      <c:valAx>
        <c:axId val="388269184"/>
        <c:scaling>
          <c:orientation val="minMax"/>
        </c:scaling>
        <c:delete val="0"/>
        <c:axPos val="l"/>
        <c:majorGridlines/>
        <c:title>
          <c:tx>
            <c:rich>
              <a:bodyPr/>
              <a:lstStyle/>
              <a:p>
                <a:pPr>
                  <a:defRPr b="0"/>
                </a:pPr>
                <a:r>
                  <a:rPr lang="sl-SI" b="0"/>
                  <a:t>Količina (t)</a:t>
                </a:r>
              </a:p>
            </c:rich>
          </c:tx>
          <c:layout>
            <c:manualLayout>
              <c:xMode val="edge"/>
              <c:yMode val="edge"/>
              <c:x val="5.2987930526935532E-2"/>
              <c:y val="0.23735389477699373"/>
            </c:manualLayout>
          </c:layout>
          <c:overlay val="0"/>
        </c:title>
        <c:numFmt formatCode="General" sourceLinked="1"/>
        <c:majorTickMark val="none"/>
        <c:minorTickMark val="none"/>
        <c:tickLblPos val="nextTo"/>
        <c:crossAx val="38823462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O.olje!$B$15</c:f>
              <c:strCache>
                <c:ptCount val="1"/>
                <c:pt idx="0">
                  <c:v>RKG</c:v>
                </c:pt>
              </c:strCache>
            </c:strRef>
          </c:tx>
          <c:marker>
            <c:symbol val="none"/>
          </c:marker>
          <c:cat>
            <c:numRef>
              <c:f>O.olje!$A$16:$A$25</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O.olje!$B$16:$B$25</c:f>
              <c:numCache>
                <c:formatCode>General</c:formatCode>
                <c:ptCount val="10"/>
                <c:pt idx="0">
                  <c:v>103</c:v>
                </c:pt>
                <c:pt idx="1">
                  <c:v>169</c:v>
                </c:pt>
                <c:pt idx="2">
                  <c:v>60</c:v>
                </c:pt>
                <c:pt idx="3">
                  <c:v>236</c:v>
                </c:pt>
                <c:pt idx="4">
                  <c:v>76.5</c:v>
                </c:pt>
                <c:pt idx="5">
                  <c:v>263</c:v>
                </c:pt>
                <c:pt idx="6">
                  <c:v>225</c:v>
                </c:pt>
                <c:pt idx="7">
                  <c:v>270</c:v>
                </c:pt>
                <c:pt idx="8">
                  <c:v>350</c:v>
                </c:pt>
                <c:pt idx="9">
                  <c:v>155</c:v>
                </c:pt>
              </c:numCache>
            </c:numRef>
          </c:val>
          <c:smooth val="0"/>
          <c:extLst>
            <c:ext xmlns:c16="http://schemas.microsoft.com/office/drawing/2014/chart" uri="{C3380CC4-5D6E-409C-BE32-E72D297353CC}">
              <c16:uniqueId val="{00000000-B773-41EF-BDED-26123DBEB575}"/>
            </c:ext>
          </c:extLst>
        </c:ser>
        <c:ser>
          <c:idx val="1"/>
          <c:order val="1"/>
          <c:tx>
            <c:strRef>
              <c:f>O.olje!$C$15</c:f>
              <c:strCache>
                <c:ptCount val="1"/>
                <c:pt idx="0">
                  <c:v>ocena</c:v>
                </c:pt>
              </c:strCache>
            </c:strRef>
          </c:tx>
          <c:marker>
            <c:symbol val="none"/>
          </c:marker>
          <c:cat>
            <c:numRef>
              <c:f>O.olje!$A$16:$A$25</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O.olje!$C$16:$C$25</c:f>
              <c:numCache>
                <c:formatCode>General</c:formatCode>
                <c:ptCount val="10"/>
                <c:pt idx="0">
                  <c:v>630</c:v>
                </c:pt>
                <c:pt idx="1">
                  <c:v>500</c:v>
                </c:pt>
                <c:pt idx="2">
                  <c:v>236</c:v>
                </c:pt>
                <c:pt idx="3">
                  <c:v>600</c:v>
                </c:pt>
                <c:pt idx="4">
                  <c:v>210</c:v>
                </c:pt>
                <c:pt idx="5">
                  <c:v>490</c:v>
                </c:pt>
                <c:pt idx="6">
                  <c:v>350</c:v>
                </c:pt>
                <c:pt idx="7">
                  <c:v>350</c:v>
                </c:pt>
                <c:pt idx="8">
                  <c:v>900</c:v>
                </c:pt>
                <c:pt idx="9">
                  <c:v>300</c:v>
                </c:pt>
              </c:numCache>
            </c:numRef>
          </c:val>
          <c:smooth val="0"/>
          <c:extLst>
            <c:ext xmlns:c16="http://schemas.microsoft.com/office/drawing/2014/chart" uri="{C3380CC4-5D6E-409C-BE32-E72D297353CC}">
              <c16:uniqueId val="{00000001-B773-41EF-BDED-26123DBEB575}"/>
            </c:ext>
          </c:extLst>
        </c:ser>
        <c:dLbls>
          <c:showLegendKey val="0"/>
          <c:showVal val="0"/>
          <c:showCatName val="0"/>
          <c:showSerName val="0"/>
          <c:showPercent val="0"/>
          <c:showBubbleSize val="0"/>
        </c:dLbls>
        <c:smooth val="0"/>
        <c:axId val="388288512"/>
        <c:axId val="388290048"/>
      </c:lineChart>
      <c:catAx>
        <c:axId val="388288512"/>
        <c:scaling>
          <c:orientation val="minMax"/>
        </c:scaling>
        <c:delete val="0"/>
        <c:axPos val="b"/>
        <c:numFmt formatCode="General" sourceLinked="1"/>
        <c:majorTickMark val="none"/>
        <c:minorTickMark val="none"/>
        <c:tickLblPos val="nextTo"/>
        <c:crossAx val="388290048"/>
        <c:crosses val="autoZero"/>
        <c:auto val="1"/>
        <c:lblAlgn val="ctr"/>
        <c:lblOffset val="100"/>
        <c:noMultiLvlLbl val="0"/>
      </c:catAx>
      <c:valAx>
        <c:axId val="388290048"/>
        <c:scaling>
          <c:orientation val="minMax"/>
        </c:scaling>
        <c:delete val="0"/>
        <c:axPos val="l"/>
        <c:majorGridlines/>
        <c:title>
          <c:tx>
            <c:rich>
              <a:bodyPr/>
              <a:lstStyle/>
              <a:p>
                <a:pPr>
                  <a:defRPr b="0"/>
                </a:pPr>
                <a:r>
                  <a:rPr lang="en-US" b="0"/>
                  <a:t>Količina (t)</a:t>
                </a:r>
              </a:p>
            </c:rich>
          </c:tx>
          <c:layout>
            <c:manualLayout>
              <c:xMode val="edge"/>
              <c:yMode val="edge"/>
              <c:x val="7.3507791825933547E-2"/>
              <c:y val="0.26430325307142077"/>
            </c:manualLayout>
          </c:layout>
          <c:overlay val="0"/>
        </c:title>
        <c:numFmt formatCode="General" sourceLinked="1"/>
        <c:majorTickMark val="none"/>
        <c:minorTickMark val="none"/>
        <c:tickLblPos val="nextTo"/>
        <c:crossAx val="38828851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938441188545359"/>
          <c:y val="0.17396404012874481"/>
          <c:w val="0.76061558811454644"/>
          <c:h val="0.67737131133959005"/>
        </c:manualLayout>
      </c:layout>
      <c:lineChart>
        <c:grouping val="standard"/>
        <c:varyColors val="0"/>
        <c:ser>
          <c:idx val="0"/>
          <c:order val="0"/>
          <c:tx>
            <c:strRef>
              <c:f>EKO!$C$4</c:f>
              <c:strCache>
                <c:ptCount val="1"/>
                <c:pt idx="0">
                  <c:v>Površina (ha)</c:v>
                </c:pt>
              </c:strCache>
            </c:strRef>
          </c:tx>
          <c:marker>
            <c:symbol val="none"/>
          </c:marker>
          <c:cat>
            <c:numRef>
              <c:f>EKO!$B$5:$B$14</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EKO!$C$5:$C$14</c:f>
              <c:numCache>
                <c:formatCode>General</c:formatCode>
                <c:ptCount val="10"/>
                <c:pt idx="0">
                  <c:v>76.599999999999994</c:v>
                </c:pt>
                <c:pt idx="1">
                  <c:v>91.62</c:v>
                </c:pt>
                <c:pt idx="2">
                  <c:v>184.53</c:v>
                </c:pt>
                <c:pt idx="3">
                  <c:v>208.33</c:v>
                </c:pt>
                <c:pt idx="4">
                  <c:v>226.17</c:v>
                </c:pt>
                <c:pt idx="5">
                  <c:v>214.11</c:v>
                </c:pt>
                <c:pt idx="6">
                  <c:v>240.05</c:v>
                </c:pt>
                <c:pt idx="7">
                  <c:v>242.55</c:v>
                </c:pt>
                <c:pt idx="8">
                  <c:v>258.66000000000003</c:v>
                </c:pt>
                <c:pt idx="9">
                  <c:v>278.27</c:v>
                </c:pt>
              </c:numCache>
            </c:numRef>
          </c:val>
          <c:smooth val="0"/>
          <c:extLst>
            <c:ext xmlns:c16="http://schemas.microsoft.com/office/drawing/2014/chart" uri="{C3380CC4-5D6E-409C-BE32-E72D297353CC}">
              <c16:uniqueId val="{00000000-B4AE-41B6-833E-A1CF89EB69C2}"/>
            </c:ext>
          </c:extLst>
        </c:ser>
        <c:dLbls>
          <c:showLegendKey val="0"/>
          <c:showVal val="0"/>
          <c:showCatName val="0"/>
          <c:showSerName val="0"/>
          <c:showPercent val="0"/>
          <c:showBubbleSize val="0"/>
        </c:dLbls>
        <c:smooth val="0"/>
        <c:axId val="388312064"/>
        <c:axId val="388330240"/>
      </c:lineChart>
      <c:catAx>
        <c:axId val="388312064"/>
        <c:scaling>
          <c:orientation val="minMax"/>
        </c:scaling>
        <c:delete val="0"/>
        <c:axPos val="b"/>
        <c:numFmt formatCode="General" sourceLinked="1"/>
        <c:majorTickMark val="none"/>
        <c:minorTickMark val="none"/>
        <c:tickLblPos val="nextTo"/>
        <c:crossAx val="388330240"/>
        <c:crosses val="autoZero"/>
        <c:auto val="1"/>
        <c:lblAlgn val="ctr"/>
        <c:lblOffset val="100"/>
        <c:noMultiLvlLbl val="0"/>
      </c:catAx>
      <c:valAx>
        <c:axId val="388330240"/>
        <c:scaling>
          <c:orientation val="minMax"/>
        </c:scaling>
        <c:delete val="0"/>
        <c:axPos val="l"/>
        <c:majorGridlines/>
        <c:numFmt formatCode="General" sourceLinked="1"/>
        <c:majorTickMark val="none"/>
        <c:minorTickMark val="none"/>
        <c:tickLblPos val="nextTo"/>
        <c:crossAx val="38831206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poljščine!$A$144:$C$144</c:f>
              <c:strCache>
                <c:ptCount val="3"/>
                <c:pt idx="0">
                  <c:v>PŠENICA</c:v>
                </c:pt>
              </c:strCache>
            </c:strRef>
          </c:tx>
          <c:spPr>
            <a:solidFill>
              <a:schemeClr val="accent1"/>
            </a:solidFill>
            <a:ln>
              <a:noFill/>
            </a:ln>
            <a:effectLst/>
          </c:spPr>
          <c:invertIfNegative val="0"/>
          <c:cat>
            <c:numRef>
              <c:f>poljščine!$D$143:$I$143</c:f>
              <c:numCache>
                <c:formatCode>General</c:formatCode>
                <c:ptCount val="6"/>
                <c:pt idx="0">
                  <c:v>2014</c:v>
                </c:pt>
                <c:pt idx="1">
                  <c:v>2015</c:v>
                </c:pt>
                <c:pt idx="2">
                  <c:v>2016</c:v>
                </c:pt>
                <c:pt idx="3">
                  <c:v>2017</c:v>
                </c:pt>
                <c:pt idx="4">
                  <c:v>2018</c:v>
                </c:pt>
                <c:pt idx="5">
                  <c:v>2019</c:v>
                </c:pt>
              </c:numCache>
            </c:numRef>
          </c:cat>
          <c:val>
            <c:numRef>
              <c:f>poljščine!$D$144:$I$144</c:f>
              <c:numCache>
                <c:formatCode>0</c:formatCode>
                <c:ptCount val="6"/>
                <c:pt idx="0">
                  <c:v>640.85</c:v>
                </c:pt>
                <c:pt idx="1">
                  <c:v>550.19999999999993</c:v>
                </c:pt>
                <c:pt idx="2">
                  <c:v>502.53000000000003</c:v>
                </c:pt>
                <c:pt idx="3">
                  <c:v>338.45</c:v>
                </c:pt>
                <c:pt idx="4">
                  <c:v>363.94000000000005</c:v>
                </c:pt>
                <c:pt idx="5">
                  <c:v>419.60010700000009</c:v>
                </c:pt>
              </c:numCache>
            </c:numRef>
          </c:val>
          <c:extLst>
            <c:ext xmlns:c16="http://schemas.microsoft.com/office/drawing/2014/chart" uri="{C3380CC4-5D6E-409C-BE32-E72D297353CC}">
              <c16:uniqueId val="{00000000-3701-4D34-808E-DECCEE4CC7BC}"/>
            </c:ext>
          </c:extLst>
        </c:ser>
        <c:ser>
          <c:idx val="1"/>
          <c:order val="1"/>
          <c:tx>
            <c:strRef>
              <c:f>poljščine!$A$145:$C$145</c:f>
              <c:strCache>
                <c:ptCount val="3"/>
                <c:pt idx="0">
                  <c:v>KORUZA</c:v>
                </c:pt>
              </c:strCache>
            </c:strRef>
          </c:tx>
          <c:spPr>
            <a:solidFill>
              <a:schemeClr val="accent2"/>
            </a:solidFill>
            <a:ln>
              <a:noFill/>
            </a:ln>
            <a:effectLst/>
          </c:spPr>
          <c:invertIfNegative val="0"/>
          <c:cat>
            <c:numRef>
              <c:f>poljščine!$D$143:$I$143</c:f>
              <c:numCache>
                <c:formatCode>General</c:formatCode>
                <c:ptCount val="6"/>
                <c:pt idx="0">
                  <c:v>2014</c:v>
                </c:pt>
                <c:pt idx="1">
                  <c:v>2015</c:v>
                </c:pt>
                <c:pt idx="2">
                  <c:v>2016</c:v>
                </c:pt>
                <c:pt idx="3">
                  <c:v>2017</c:v>
                </c:pt>
                <c:pt idx="4">
                  <c:v>2018</c:v>
                </c:pt>
                <c:pt idx="5">
                  <c:v>2019</c:v>
                </c:pt>
              </c:numCache>
            </c:numRef>
          </c:cat>
          <c:val>
            <c:numRef>
              <c:f>poljščine!$D$145:$I$145</c:f>
              <c:numCache>
                <c:formatCode>0</c:formatCode>
                <c:ptCount val="6"/>
                <c:pt idx="0">
                  <c:v>22.77</c:v>
                </c:pt>
                <c:pt idx="1">
                  <c:v>8.9500000000000011</c:v>
                </c:pt>
                <c:pt idx="2">
                  <c:v>20.7</c:v>
                </c:pt>
                <c:pt idx="3">
                  <c:v>17</c:v>
                </c:pt>
                <c:pt idx="4">
                  <c:v>15.23</c:v>
                </c:pt>
                <c:pt idx="5">
                  <c:v>18.809999999999999</c:v>
                </c:pt>
              </c:numCache>
            </c:numRef>
          </c:val>
          <c:extLst>
            <c:ext xmlns:c16="http://schemas.microsoft.com/office/drawing/2014/chart" uri="{C3380CC4-5D6E-409C-BE32-E72D297353CC}">
              <c16:uniqueId val="{00000001-3701-4D34-808E-DECCEE4CC7BC}"/>
            </c:ext>
          </c:extLst>
        </c:ser>
        <c:ser>
          <c:idx val="2"/>
          <c:order val="2"/>
          <c:tx>
            <c:strRef>
              <c:f>poljščine!$A$146:$C$146</c:f>
              <c:strCache>
                <c:ptCount val="3"/>
                <c:pt idx="0">
                  <c:v>OVES</c:v>
                </c:pt>
              </c:strCache>
            </c:strRef>
          </c:tx>
          <c:spPr>
            <a:solidFill>
              <a:schemeClr val="accent3"/>
            </a:solidFill>
            <a:ln>
              <a:noFill/>
            </a:ln>
            <a:effectLst/>
          </c:spPr>
          <c:invertIfNegative val="0"/>
          <c:cat>
            <c:numRef>
              <c:f>poljščine!$D$143:$I$143</c:f>
              <c:numCache>
                <c:formatCode>General</c:formatCode>
                <c:ptCount val="6"/>
                <c:pt idx="0">
                  <c:v>2014</c:v>
                </c:pt>
                <c:pt idx="1">
                  <c:v>2015</c:v>
                </c:pt>
                <c:pt idx="2">
                  <c:v>2016</c:v>
                </c:pt>
                <c:pt idx="3">
                  <c:v>2017</c:v>
                </c:pt>
                <c:pt idx="4">
                  <c:v>2018</c:v>
                </c:pt>
                <c:pt idx="5">
                  <c:v>2019</c:v>
                </c:pt>
              </c:numCache>
            </c:numRef>
          </c:cat>
          <c:val>
            <c:numRef>
              <c:f>poljščine!$D$146:$I$146</c:f>
              <c:numCache>
                <c:formatCode>0</c:formatCode>
                <c:ptCount val="6"/>
                <c:pt idx="0">
                  <c:v>17.170000000000002</c:v>
                </c:pt>
                <c:pt idx="1">
                  <c:v>11.1</c:v>
                </c:pt>
                <c:pt idx="2">
                  <c:v>25.67</c:v>
                </c:pt>
                <c:pt idx="3">
                  <c:v>37.020000000000003</c:v>
                </c:pt>
                <c:pt idx="4">
                  <c:v>34.56</c:v>
                </c:pt>
                <c:pt idx="5">
                  <c:v>44.22</c:v>
                </c:pt>
              </c:numCache>
            </c:numRef>
          </c:val>
          <c:extLst>
            <c:ext xmlns:c16="http://schemas.microsoft.com/office/drawing/2014/chart" uri="{C3380CC4-5D6E-409C-BE32-E72D297353CC}">
              <c16:uniqueId val="{00000002-3701-4D34-808E-DECCEE4CC7BC}"/>
            </c:ext>
          </c:extLst>
        </c:ser>
        <c:ser>
          <c:idx val="3"/>
          <c:order val="3"/>
          <c:tx>
            <c:strRef>
              <c:f>poljščine!$A$147:$C$147</c:f>
              <c:strCache>
                <c:ptCount val="3"/>
                <c:pt idx="0">
                  <c:v>AJDA</c:v>
                </c:pt>
              </c:strCache>
            </c:strRef>
          </c:tx>
          <c:spPr>
            <a:solidFill>
              <a:schemeClr val="accent4"/>
            </a:solidFill>
            <a:ln>
              <a:noFill/>
            </a:ln>
            <a:effectLst/>
          </c:spPr>
          <c:invertIfNegative val="0"/>
          <c:cat>
            <c:numRef>
              <c:f>poljščine!$D$143:$I$143</c:f>
              <c:numCache>
                <c:formatCode>General</c:formatCode>
                <c:ptCount val="6"/>
                <c:pt idx="0">
                  <c:v>2014</c:v>
                </c:pt>
                <c:pt idx="1">
                  <c:v>2015</c:v>
                </c:pt>
                <c:pt idx="2">
                  <c:v>2016</c:v>
                </c:pt>
                <c:pt idx="3">
                  <c:v>2017</c:v>
                </c:pt>
                <c:pt idx="4">
                  <c:v>2018</c:v>
                </c:pt>
                <c:pt idx="5">
                  <c:v>2019</c:v>
                </c:pt>
              </c:numCache>
            </c:numRef>
          </c:cat>
          <c:val>
            <c:numRef>
              <c:f>poljščine!$D$147:$I$147</c:f>
              <c:numCache>
                <c:formatCode>0</c:formatCode>
                <c:ptCount val="6"/>
                <c:pt idx="0">
                  <c:v>46.6</c:v>
                </c:pt>
                <c:pt idx="1">
                  <c:v>96.44</c:v>
                </c:pt>
                <c:pt idx="2">
                  <c:v>92.907999999999987</c:v>
                </c:pt>
                <c:pt idx="3">
                  <c:v>129.51</c:v>
                </c:pt>
                <c:pt idx="4">
                  <c:v>89.52</c:v>
                </c:pt>
                <c:pt idx="5">
                  <c:v>59.87</c:v>
                </c:pt>
              </c:numCache>
            </c:numRef>
          </c:val>
          <c:extLst>
            <c:ext xmlns:c16="http://schemas.microsoft.com/office/drawing/2014/chart" uri="{C3380CC4-5D6E-409C-BE32-E72D297353CC}">
              <c16:uniqueId val="{00000003-3701-4D34-808E-DECCEE4CC7BC}"/>
            </c:ext>
          </c:extLst>
        </c:ser>
        <c:ser>
          <c:idx val="4"/>
          <c:order val="4"/>
          <c:tx>
            <c:strRef>
              <c:f>poljščine!$A$148:$C$148</c:f>
              <c:strCache>
                <c:ptCount val="3"/>
                <c:pt idx="0">
                  <c:v>JEČMEN</c:v>
                </c:pt>
              </c:strCache>
            </c:strRef>
          </c:tx>
          <c:spPr>
            <a:solidFill>
              <a:schemeClr val="accent5"/>
            </a:solidFill>
            <a:ln>
              <a:noFill/>
            </a:ln>
            <a:effectLst/>
          </c:spPr>
          <c:invertIfNegative val="0"/>
          <c:cat>
            <c:numRef>
              <c:f>poljščine!$D$143:$I$143</c:f>
              <c:numCache>
                <c:formatCode>General</c:formatCode>
                <c:ptCount val="6"/>
                <c:pt idx="0">
                  <c:v>2014</c:v>
                </c:pt>
                <c:pt idx="1">
                  <c:v>2015</c:v>
                </c:pt>
                <c:pt idx="2">
                  <c:v>2016</c:v>
                </c:pt>
                <c:pt idx="3">
                  <c:v>2017</c:v>
                </c:pt>
                <c:pt idx="4">
                  <c:v>2018</c:v>
                </c:pt>
                <c:pt idx="5">
                  <c:v>2019</c:v>
                </c:pt>
              </c:numCache>
            </c:numRef>
          </c:cat>
          <c:val>
            <c:numRef>
              <c:f>poljščine!$D$148:$I$148</c:f>
              <c:numCache>
                <c:formatCode>0</c:formatCode>
                <c:ptCount val="6"/>
                <c:pt idx="0">
                  <c:v>303.03000000000003</c:v>
                </c:pt>
                <c:pt idx="1">
                  <c:v>241.81</c:v>
                </c:pt>
                <c:pt idx="2">
                  <c:v>245.26</c:v>
                </c:pt>
                <c:pt idx="3">
                  <c:v>219.89000000000001</c:v>
                </c:pt>
                <c:pt idx="4">
                  <c:v>264.93</c:v>
                </c:pt>
                <c:pt idx="5">
                  <c:v>306.87999999999994</c:v>
                </c:pt>
              </c:numCache>
            </c:numRef>
          </c:val>
          <c:extLst>
            <c:ext xmlns:c16="http://schemas.microsoft.com/office/drawing/2014/chart" uri="{C3380CC4-5D6E-409C-BE32-E72D297353CC}">
              <c16:uniqueId val="{00000004-3701-4D34-808E-DECCEE4CC7BC}"/>
            </c:ext>
          </c:extLst>
        </c:ser>
        <c:ser>
          <c:idx val="5"/>
          <c:order val="5"/>
          <c:tx>
            <c:strRef>
              <c:f>poljščine!$A$149:$C$149</c:f>
              <c:strCache>
                <c:ptCount val="3"/>
                <c:pt idx="0">
                  <c:v>TRITIKALA</c:v>
                </c:pt>
              </c:strCache>
            </c:strRef>
          </c:tx>
          <c:spPr>
            <a:solidFill>
              <a:schemeClr val="accent6"/>
            </a:solidFill>
            <a:ln>
              <a:noFill/>
            </a:ln>
            <a:effectLst/>
          </c:spPr>
          <c:invertIfNegative val="0"/>
          <c:cat>
            <c:numRef>
              <c:f>poljščine!$D$143:$I$143</c:f>
              <c:numCache>
                <c:formatCode>General</c:formatCode>
                <c:ptCount val="6"/>
                <c:pt idx="0">
                  <c:v>2014</c:v>
                </c:pt>
                <c:pt idx="1">
                  <c:v>2015</c:v>
                </c:pt>
                <c:pt idx="2">
                  <c:v>2016</c:v>
                </c:pt>
                <c:pt idx="3">
                  <c:v>2017</c:v>
                </c:pt>
                <c:pt idx="4">
                  <c:v>2018</c:v>
                </c:pt>
                <c:pt idx="5">
                  <c:v>2019</c:v>
                </c:pt>
              </c:numCache>
            </c:numRef>
          </c:cat>
          <c:val>
            <c:numRef>
              <c:f>poljščine!$D$149:$I$149</c:f>
              <c:numCache>
                <c:formatCode>0</c:formatCode>
                <c:ptCount val="6"/>
                <c:pt idx="0">
                  <c:v>152.91</c:v>
                </c:pt>
                <c:pt idx="1">
                  <c:v>189.29</c:v>
                </c:pt>
                <c:pt idx="2">
                  <c:v>67.47999999999999</c:v>
                </c:pt>
                <c:pt idx="3">
                  <c:v>55.900000000000006</c:v>
                </c:pt>
                <c:pt idx="4">
                  <c:v>168.32999999999998</c:v>
                </c:pt>
                <c:pt idx="5">
                  <c:v>95.16</c:v>
                </c:pt>
              </c:numCache>
            </c:numRef>
          </c:val>
          <c:extLst>
            <c:ext xmlns:c16="http://schemas.microsoft.com/office/drawing/2014/chart" uri="{C3380CC4-5D6E-409C-BE32-E72D297353CC}">
              <c16:uniqueId val="{00000005-3701-4D34-808E-DECCEE4CC7BC}"/>
            </c:ext>
          </c:extLst>
        </c:ser>
        <c:ser>
          <c:idx val="6"/>
          <c:order val="6"/>
          <c:tx>
            <c:strRef>
              <c:f>poljščine!$A$150:$C$150</c:f>
              <c:strCache>
                <c:ptCount val="3"/>
                <c:pt idx="0">
                  <c:v>DRUGA ŽITA</c:v>
                </c:pt>
              </c:strCache>
            </c:strRef>
          </c:tx>
          <c:spPr>
            <a:solidFill>
              <a:schemeClr val="accent1">
                <a:lumMod val="60000"/>
              </a:schemeClr>
            </a:solidFill>
            <a:ln>
              <a:noFill/>
            </a:ln>
            <a:effectLst/>
          </c:spPr>
          <c:invertIfNegative val="0"/>
          <c:cat>
            <c:numRef>
              <c:f>poljščine!$D$143:$I$143</c:f>
              <c:numCache>
                <c:formatCode>General</c:formatCode>
                <c:ptCount val="6"/>
                <c:pt idx="0">
                  <c:v>2014</c:v>
                </c:pt>
                <c:pt idx="1">
                  <c:v>2015</c:v>
                </c:pt>
                <c:pt idx="2">
                  <c:v>2016</c:v>
                </c:pt>
                <c:pt idx="3">
                  <c:v>2017</c:v>
                </c:pt>
                <c:pt idx="4">
                  <c:v>2018</c:v>
                </c:pt>
                <c:pt idx="5">
                  <c:v>2019</c:v>
                </c:pt>
              </c:numCache>
            </c:numRef>
          </c:cat>
          <c:val>
            <c:numRef>
              <c:f>poljščine!$D$150:$I$150</c:f>
              <c:numCache>
                <c:formatCode>0</c:formatCode>
                <c:ptCount val="6"/>
                <c:pt idx="0">
                  <c:v>51.879999999999995</c:v>
                </c:pt>
                <c:pt idx="1">
                  <c:v>61.809999999999995</c:v>
                </c:pt>
                <c:pt idx="2">
                  <c:v>4</c:v>
                </c:pt>
                <c:pt idx="3">
                  <c:v>9.39</c:v>
                </c:pt>
                <c:pt idx="4">
                  <c:v>55.199999999999996</c:v>
                </c:pt>
                <c:pt idx="5">
                  <c:v>20.29</c:v>
                </c:pt>
              </c:numCache>
            </c:numRef>
          </c:val>
          <c:extLst>
            <c:ext xmlns:c16="http://schemas.microsoft.com/office/drawing/2014/chart" uri="{C3380CC4-5D6E-409C-BE32-E72D297353CC}">
              <c16:uniqueId val="{00000006-3701-4D34-808E-DECCEE4CC7BC}"/>
            </c:ext>
          </c:extLst>
        </c:ser>
        <c:dLbls>
          <c:showLegendKey val="0"/>
          <c:showVal val="0"/>
          <c:showCatName val="0"/>
          <c:showSerName val="0"/>
          <c:showPercent val="0"/>
          <c:showBubbleSize val="0"/>
        </c:dLbls>
        <c:gapWidth val="269"/>
        <c:axId val="388001792"/>
        <c:axId val="388003328"/>
      </c:barChart>
      <c:lineChart>
        <c:grouping val="standard"/>
        <c:varyColors val="0"/>
        <c:ser>
          <c:idx val="7"/>
          <c:order val="7"/>
          <c:tx>
            <c:strRef>
              <c:f>poljščine!$A$151:$C$151</c:f>
              <c:strCache>
                <c:ptCount val="3"/>
                <c:pt idx="0">
                  <c:v>skupaj</c:v>
                </c:pt>
              </c:strCache>
            </c:strRef>
          </c:tx>
          <c:spPr>
            <a:ln w="28575" cap="rnd">
              <a:solidFill>
                <a:schemeClr val="accent2">
                  <a:lumMod val="60000"/>
                </a:schemeClr>
              </a:solidFill>
              <a:round/>
            </a:ln>
            <a:effectLst/>
          </c:spPr>
          <c:marker>
            <c:symbol val="none"/>
          </c:marker>
          <c:cat>
            <c:numRef>
              <c:f>poljščine!$D$143:$I$143</c:f>
              <c:numCache>
                <c:formatCode>General</c:formatCode>
                <c:ptCount val="6"/>
                <c:pt idx="0">
                  <c:v>2014</c:v>
                </c:pt>
                <c:pt idx="1">
                  <c:v>2015</c:v>
                </c:pt>
                <c:pt idx="2">
                  <c:v>2016</c:v>
                </c:pt>
                <c:pt idx="3">
                  <c:v>2017</c:v>
                </c:pt>
                <c:pt idx="4">
                  <c:v>2018</c:v>
                </c:pt>
                <c:pt idx="5">
                  <c:v>2019</c:v>
                </c:pt>
              </c:numCache>
            </c:numRef>
          </c:cat>
          <c:val>
            <c:numRef>
              <c:f>poljščine!$D$151:$I$151</c:f>
              <c:numCache>
                <c:formatCode>0</c:formatCode>
                <c:ptCount val="6"/>
                <c:pt idx="0">
                  <c:v>1235.21</c:v>
                </c:pt>
                <c:pt idx="1">
                  <c:v>1159.5999999999999</c:v>
                </c:pt>
                <c:pt idx="2">
                  <c:v>958.548</c:v>
                </c:pt>
                <c:pt idx="3">
                  <c:v>807.16</c:v>
                </c:pt>
                <c:pt idx="4">
                  <c:v>991.71</c:v>
                </c:pt>
                <c:pt idx="5">
                  <c:v>964.83010699999988</c:v>
                </c:pt>
              </c:numCache>
            </c:numRef>
          </c:val>
          <c:smooth val="0"/>
          <c:extLst>
            <c:ext xmlns:c16="http://schemas.microsoft.com/office/drawing/2014/chart" uri="{C3380CC4-5D6E-409C-BE32-E72D297353CC}">
              <c16:uniqueId val="{00000007-3701-4D34-808E-DECCEE4CC7BC}"/>
            </c:ext>
          </c:extLst>
        </c:ser>
        <c:dLbls>
          <c:showLegendKey val="0"/>
          <c:showVal val="0"/>
          <c:showCatName val="0"/>
          <c:showSerName val="0"/>
          <c:showPercent val="0"/>
          <c:showBubbleSize val="0"/>
        </c:dLbls>
        <c:marker val="1"/>
        <c:smooth val="0"/>
        <c:axId val="388001792"/>
        <c:axId val="388003328"/>
      </c:lineChart>
      <c:catAx>
        <c:axId val="38800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8003328"/>
        <c:crosses val="autoZero"/>
        <c:auto val="1"/>
        <c:lblAlgn val="ctr"/>
        <c:lblOffset val="100"/>
        <c:noMultiLvlLbl val="0"/>
      </c:catAx>
      <c:valAx>
        <c:axId val="388003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Površina</a:t>
                </a:r>
                <a:r>
                  <a:rPr lang="sl-SI" baseline="0"/>
                  <a:t> (ha)</a:t>
                </a:r>
                <a:endParaRPr lang="sl-SI"/>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8001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seme!$J$14</c:f>
              <c:strCache>
                <c:ptCount val="1"/>
                <c:pt idx="0">
                  <c:v>Detelje in lucerna</c:v>
                </c:pt>
              </c:strCache>
            </c:strRef>
          </c:tx>
          <c:spPr>
            <a:solidFill>
              <a:schemeClr val="accent1"/>
            </a:solidFill>
            <a:ln>
              <a:noFill/>
            </a:ln>
            <a:effectLst/>
          </c:spPr>
          <c:invertIfNegative val="0"/>
          <c:cat>
            <c:numRef>
              <c:f>seme!$K$4:$W$4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seme!$K$14:$W$14</c:f>
              <c:numCache>
                <c:formatCode>General</c:formatCode>
                <c:ptCount val="13"/>
                <c:pt idx="0">
                  <c:v>25.3</c:v>
                </c:pt>
                <c:pt idx="1">
                  <c:v>36.9</c:v>
                </c:pt>
                <c:pt idx="2">
                  <c:v>40.1</c:v>
                </c:pt>
                <c:pt idx="3">
                  <c:v>28</c:v>
                </c:pt>
                <c:pt idx="4">
                  <c:v>19.399999999999999</c:v>
                </c:pt>
                <c:pt idx="5">
                  <c:v>7.8</c:v>
                </c:pt>
                <c:pt idx="6">
                  <c:v>4.0999999999999996</c:v>
                </c:pt>
                <c:pt idx="7">
                  <c:v>10.3</c:v>
                </c:pt>
                <c:pt idx="8">
                  <c:v>2.2000000000000002</c:v>
                </c:pt>
                <c:pt idx="9">
                  <c:v>32.299999999999997</c:v>
                </c:pt>
                <c:pt idx="10">
                  <c:v>13</c:v>
                </c:pt>
                <c:pt idx="11">
                  <c:v>12.1</c:v>
                </c:pt>
                <c:pt idx="12">
                  <c:v>44.8</c:v>
                </c:pt>
              </c:numCache>
            </c:numRef>
          </c:val>
          <c:extLst>
            <c:ext xmlns:c16="http://schemas.microsoft.com/office/drawing/2014/chart" uri="{C3380CC4-5D6E-409C-BE32-E72D297353CC}">
              <c16:uniqueId val="{00000000-629E-4FC4-B3F2-69EA1ED936E7}"/>
            </c:ext>
          </c:extLst>
        </c:ser>
        <c:ser>
          <c:idx val="1"/>
          <c:order val="1"/>
          <c:tx>
            <c:strRef>
              <c:f>seme!$J$15</c:f>
              <c:strCache>
                <c:ptCount val="1"/>
                <c:pt idx="0">
                  <c:v>Trave</c:v>
                </c:pt>
              </c:strCache>
            </c:strRef>
          </c:tx>
          <c:spPr>
            <a:solidFill>
              <a:schemeClr val="accent2"/>
            </a:solidFill>
            <a:ln>
              <a:noFill/>
            </a:ln>
            <a:effectLst/>
          </c:spPr>
          <c:invertIfNegative val="0"/>
          <c:cat>
            <c:numRef>
              <c:f>seme!$K$4:$W$4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seme!$K$15:$W$15</c:f>
              <c:numCache>
                <c:formatCode>General</c:formatCode>
                <c:ptCount val="13"/>
                <c:pt idx="0">
                  <c:v>72.5</c:v>
                </c:pt>
                <c:pt idx="1">
                  <c:v>58.1</c:v>
                </c:pt>
                <c:pt idx="2">
                  <c:v>83.8</c:v>
                </c:pt>
                <c:pt idx="3">
                  <c:v>77.400000000000006</c:v>
                </c:pt>
                <c:pt idx="4">
                  <c:v>94.7</c:v>
                </c:pt>
                <c:pt idx="5">
                  <c:v>94.5</c:v>
                </c:pt>
                <c:pt idx="6">
                  <c:v>46.2</c:v>
                </c:pt>
                <c:pt idx="7">
                  <c:v>66.5</c:v>
                </c:pt>
                <c:pt idx="8">
                  <c:v>13.2</c:v>
                </c:pt>
                <c:pt idx="9">
                  <c:v>45.9</c:v>
                </c:pt>
                <c:pt idx="10">
                  <c:v>59.6</c:v>
                </c:pt>
                <c:pt idx="11">
                  <c:v>61.2</c:v>
                </c:pt>
                <c:pt idx="12">
                  <c:v>69.599999999999994</c:v>
                </c:pt>
              </c:numCache>
            </c:numRef>
          </c:val>
          <c:extLst>
            <c:ext xmlns:c16="http://schemas.microsoft.com/office/drawing/2014/chart" uri="{C3380CC4-5D6E-409C-BE32-E72D297353CC}">
              <c16:uniqueId val="{00000001-629E-4FC4-B3F2-69EA1ED936E7}"/>
            </c:ext>
          </c:extLst>
        </c:ser>
        <c:ser>
          <c:idx val="2"/>
          <c:order val="2"/>
          <c:tx>
            <c:strRef>
              <c:f>seme!$J$16</c:f>
              <c:strCache>
                <c:ptCount val="1"/>
                <c:pt idx="0">
                  <c:v>Druge krmne rastline</c:v>
                </c:pt>
              </c:strCache>
            </c:strRef>
          </c:tx>
          <c:spPr>
            <a:solidFill>
              <a:schemeClr val="accent3"/>
            </a:solidFill>
            <a:ln>
              <a:noFill/>
            </a:ln>
            <a:effectLst/>
          </c:spPr>
          <c:invertIfNegative val="0"/>
          <c:cat>
            <c:numRef>
              <c:f>seme!$K$4:$W$4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seme!$K$16:$W$16</c:f>
              <c:numCache>
                <c:formatCode>General</c:formatCode>
                <c:ptCount val="13"/>
                <c:pt idx="0">
                  <c:v>198.2</c:v>
                </c:pt>
                <c:pt idx="1">
                  <c:v>62.5</c:v>
                </c:pt>
                <c:pt idx="2">
                  <c:v>75.400000000000006</c:v>
                </c:pt>
                <c:pt idx="3">
                  <c:v>125.7</c:v>
                </c:pt>
                <c:pt idx="4">
                  <c:v>123.9</c:v>
                </c:pt>
                <c:pt idx="5">
                  <c:v>117.5</c:v>
                </c:pt>
                <c:pt idx="6">
                  <c:v>52.9</c:v>
                </c:pt>
                <c:pt idx="7">
                  <c:v>69.900000000000006</c:v>
                </c:pt>
                <c:pt idx="8">
                  <c:v>75.5</c:v>
                </c:pt>
                <c:pt idx="9">
                  <c:v>129.69999999999999</c:v>
                </c:pt>
                <c:pt idx="10">
                  <c:v>108.6</c:v>
                </c:pt>
                <c:pt idx="11">
                  <c:v>94.9</c:v>
                </c:pt>
                <c:pt idx="12">
                  <c:v>176.3</c:v>
                </c:pt>
              </c:numCache>
            </c:numRef>
          </c:val>
          <c:extLst>
            <c:ext xmlns:c16="http://schemas.microsoft.com/office/drawing/2014/chart" uri="{C3380CC4-5D6E-409C-BE32-E72D297353CC}">
              <c16:uniqueId val="{00000002-629E-4FC4-B3F2-69EA1ED936E7}"/>
            </c:ext>
          </c:extLst>
        </c:ser>
        <c:ser>
          <c:idx val="3"/>
          <c:order val="3"/>
          <c:tx>
            <c:strRef>
              <c:f>seme!$J$17</c:f>
              <c:strCache>
                <c:ptCount val="1"/>
                <c:pt idx="0">
                  <c:v>Vrtnine*</c:v>
                </c:pt>
              </c:strCache>
            </c:strRef>
          </c:tx>
          <c:spPr>
            <a:solidFill>
              <a:schemeClr val="accent4"/>
            </a:solidFill>
            <a:ln>
              <a:noFill/>
            </a:ln>
            <a:effectLst/>
          </c:spPr>
          <c:invertIfNegative val="0"/>
          <c:cat>
            <c:numRef>
              <c:f>seme!$K$4:$W$4</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seme!$K$17:$W$17</c:f>
              <c:numCache>
                <c:formatCode>General</c:formatCode>
                <c:ptCount val="13"/>
                <c:pt idx="0">
                  <c:v>0.08</c:v>
                </c:pt>
                <c:pt idx="1">
                  <c:v>0.09</c:v>
                </c:pt>
                <c:pt idx="2">
                  <c:v>0.14000000000000001</c:v>
                </c:pt>
                <c:pt idx="3">
                  <c:v>0.21</c:v>
                </c:pt>
                <c:pt idx="4">
                  <c:v>0.12</c:v>
                </c:pt>
                <c:pt idx="5">
                  <c:v>0.35</c:v>
                </c:pt>
                <c:pt idx="6">
                  <c:v>0.27</c:v>
                </c:pt>
                <c:pt idx="7">
                  <c:v>0.11</c:v>
                </c:pt>
                <c:pt idx="8">
                  <c:v>0.18</c:v>
                </c:pt>
                <c:pt idx="9">
                  <c:v>0.11</c:v>
                </c:pt>
                <c:pt idx="10">
                  <c:v>0.09</c:v>
                </c:pt>
                <c:pt idx="11">
                  <c:v>0.02</c:v>
                </c:pt>
                <c:pt idx="12">
                  <c:v>0.17</c:v>
                </c:pt>
              </c:numCache>
            </c:numRef>
          </c:val>
          <c:extLst>
            <c:ext xmlns:c16="http://schemas.microsoft.com/office/drawing/2014/chart" uri="{C3380CC4-5D6E-409C-BE32-E72D297353CC}">
              <c16:uniqueId val="{00000003-629E-4FC4-B3F2-69EA1ED936E7}"/>
            </c:ext>
          </c:extLst>
        </c:ser>
        <c:dLbls>
          <c:showLegendKey val="0"/>
          <c:showVal val="0"/>
          <c:showCatName val="0"/>
          <c:showSerName val="0"/>
          <c:showPercent val="0"/>
          <c:showBubbleSize val="0"/>
        </c:dLbls>
        <c:gapWidth val="219"/>
        <c:overlap val="-27"/>
        <c:axId val="388752896"/>
        <c:axId val="388754432"/>
      </c:barChart>
      <c:catAx>
        <c:axId val="38875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8754432"/>
        <c:crosses val="autoZero"/>
        <c:auto val="1"/>
        <c:lblAlgn val="ctr"/>
        <c:lblOffset val="100"/>
        <c:noMultiLvlLbl val="0"/>
      </c:catAx>
      <c:valAx>
        <c:axId val="388754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875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Sheet1!$B$630</c:f>
              <c:strCache>
                <c:ptCount val="1"/>
                <c:pt idx="0">
                  <c:v>Podeželje</c:v>
                </c:pt>
              </c:strCache>
            </c:strRef>
          </c:tx>
          <c:spPr>
            <a:solidFill>
              <a:schemeClr val="accent1"/>
            </a:solidFill>
            <a:ln>
              <a:noFill/>
            </a:ln>
            <a:effectLst/>
          </c:spPr>
          <c:invertIfNegative val="0"/>
          <c:cat>
            <c:strRef>
              <c:f>Sheet1!$A$631:$A$643</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Sheet1!$B$631:$B$643</c:f>
              <c:numCache>
                <c:formatCode>###,000;\-###,000;#.000</c:formatCode>
                <c:ptCount val="13"/>
                <c:pt idx="0">
                  <c:v>6.0720000000000001</c:v>
                </c:pt>
                <c:pt idx="1">
                  <c:v>5.2960000000000003</c:v>
                </c:pt>
                <c:pt idx="2">
                  <c:v>4.6230000000000002</c:v>
                </c:pt>
                <c:pt idx="3">
                  <c:v>4.1180000000000003</c:v>
                </c:pt>
                <c:pt idx="4">
                  <c:v>5.6340000000000003</c:v>
                </c:pt>
                <c:pt idx="5">
                  <c:v>6.6059999999999999</c:v>
                </c:pt>
                <c:pt idx="6">
                  <c:v>7.8079999999999998</c:v>
                </c:pt>
                <c:pt idx="7">
                  <c:v>8.968</c:v>
                </c:pt>
                <c:pt idx="8">
                  <c:v>9.7690000000000001</c:v>
                </c:pt>
                <c:pt idx="9">
                  <c:v>9.14</c:v>
                </c:pt>
                <c:pt idx="10">
                  <c:v>8.6760000000000002</c:v>
                </c:pt>
                <c:pt idx="11">
                  <c:v>7.2060000000000004</c:v>
                </c:pt>
                <c:pt idx="12">
                  <c:v>5.9169999999999998</c:v>
                </c:pt>
              </c:numCache>
            </c:numRef>
          </c:val>
          <c:extLst>
            <c:ext xmlns:c16="http://schemas.microsoft.com/office/drawing/2014/chart" uri="{C3380CC4-5D6E-409C-BE32-E72D297353CC}">
              <c16:uniqueId val="{00000000-05DA-4DFF-87A3-BFBC7A0889BD}"/>
            </c:ext>
          </c:extLst>
        </c:ser>
        <c:ser>
          <c:idx val="1"/>
          <c:order val="1"/>
          <c:tx>
            <c:strRef>
              <c:f>Sheet1!$C$630</c:f>
              <c:strCache>
                <c:ptCount val="1"/>
                <c:pt idx="0">
                  <c:v>RS</c:v>
                </c:pt>
              </c:strCache>
            </c:strRef>
          </c:tx>
          <c:spPr>
            <a:solidFill>
              <a:schemeClr val="accent2"/>
            </a:solidFill>
            <a:ln>
              <a:noFill/>
            </a:ln>
            <a:effectLst/>
          </c:spPr>
          <c:invertIfNegative val="0"/>
          <c:cat>
            <c:strRef>
              <c:f>Sheet1!$A$631:$A$643</c:f>
              <c:strCach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strCache>
            </c:strRef>
          </c:cat>
          <c:val>
            <c:numRef>
              <c:f>Sheet1!$C$631:$C$643</c:f>
              <c:numCache>
                <c:formatCode>###,000;\-###,000;#.000</c:formatCode>
                <c:ptCount val="13"/>
                <c:pt idx="0">
                  <c:v>6.5289999999999999</c:v>
                </c:pt>
                <c:pt idx="1">
                  <c:v>5.9820000000000002</c:v>
                </c:pt>
                <c:pt idx="2">
                  <c:v>4.8540000000000001</c:v>
                </c:pt>
                <c:pt idx="3">
                  <c:v>4.3890000000000002</c:v>
                </c:pt>
                <c:pt idx="4">
                  <c:v>5.8970000000000002</c:v>
                </c:pt>
                <c:pt idx="5">
                  <c:v>7.2789999999999999</c:v>
                </c:pt>
                <c:pt idx="6">
                  <c:v>8.2070000000000007</c:v>
                </c:pt>
                <c:pt idx="7">
                  <c:v>8.8810000000000002</c:v>
                </c:pt>
                <c:pt idx="8">
                  <c:v>10.141999999999999</c:v>
                </c:pt>
                <c:pt idx="9">
                  <c:v>9.734</c:v>
                </c:pt>
                <c:pt idx="10">
                  <c:v>8.9960000000000004</c:v>
                </c:pt>
                <c:pt idx="11">
                  <c:v>8.0229999999999997</c:v>
                </c:pt>
                <c:pt idx="12">
                  <c:v>6.5869999999999997</c:v>
                </c:pt>
              </c:numCache>
            </c:numRef>
          </c:val>
          <c:extLst>
            <c:ext xmlns:c16="http://schemas.microsoft.com/office/drawing/2014/chart" uri="{C3380CC4-5D6E-409C-BE32-E72D297353CC}">
              <c16:uniqueId val="{00000001-05DA-4DFF-87A3-BFBC7A0889BD}"/>
            </c:ext>
          </c:extLst>
        </c:ser>
        <c:dLbls>
          <c:showLegendKey val="0"/>
          <c:showVal val="0"/>
          <c:showCatName val="0"/>
          <c:showSerName val="0"/>
          <c:showPercent val="0"/>
          <c:showBubbleSize val="0"/>
        </c:dLbls>
        <c:gapWidth val="219"/>
        <c:overlap val="-27"/>
        <c:axId val="127368192"/>
        <c:axId val="127378176"/>
      </c:barChart>
      <c:catAx>
        <c:axId val="12736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27378176"/>
        <c:crosses val="autoZero"/>
        <c:auto val="1"/>
        <c:lblAlgn val="ctr"/>
        <c:lblOffset val="100"/>
        <c:noMultiLvlLbl val="0"/>
      </c:catAx>
      <c:valAx>
        <c:axId val="127378176"/>
        <c:scaling>
          <c:orientation val="minMax"/>
        </c:scaling>
        <c:delete val="0"/>
        <c:axPos val="l"/>
        <c:majorGridlines>
          <c:spPr>
            <a:ln w="9525" cap="flat" cmpd="sng" algn="ctr">
              <a:solidFill>
                <a:schemeClr val="tx1">
                  <a:lumMod val="15000"/>
                  <a:lumOff val="85000"/>
                </a:schemeClr>
              </a:solidFill>
              <a:round/>
            </a:ln>
            <a:effectLst/>
          </c:spPr>
        </c:majorGridlines>
        <c:numFmt formatCode="###,000;\-###,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27368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sl-SI"/>
              <a:t>Delež BDV kmetijstva, gozdarstva in ribištva v celotni BDV, Slovenija in EU-28, 1995-2018, tekoče cene </a:t>
            </a:r>
          </a:p>
        </c:rich>
      </c:tx>
      <c:overlay val="0"/>
      <c:spPr>
        <a:noFill/>
        <a:ln>
          <a:noFill/>
        </a:ln>
        <a:effectLst/>
      </c:spPr>
    </c:title>
    <c:autoTitleDeleted val="0"/>
    <c:plotArea>
      <c:layout/>
      <c:lineChart>
        <c:grouping val="stacked"/>
        <c:varyColors val="0"/>
        <c:ser>
          <c:idx val="0"/>
          <c:order val="0"/>
          <c:tx>
            <c:strRef>
              <c:f>Data!$A$23</c:f>
              <c:strCache>
                <c:ptCount val="1"/>
                <c:pt idx="0">
                  <c:v>European Union - 28 countries (2013-2020)</c:v>
                </c:pt>
              </c:strCache>
            </c:strRef>
          </c:tx>
          <c:spPr>
            <a:ln w="28575" cap="rnd">
              <a:solidFill>
                <a:schemeClr val="accent1"/>
              </a:solidFill>
              <a:round/>
            </a:ln>
            <a:effectLst/>
          </c:spPr>
          <c:marker>
            <c:symbol val="circle"/>
            <c:size val="4"/>
            <c:spPr>
              <a:solidFill>
                <a:schemeClr val="accent1"/>
              </a:solidFill>
              <a:ln w="9525">
                <a:solidFill>
                  <a:schemeClr val="accent1"/>
                </a:solidFill>
              </a:ln>
              <a:effectLst/>
            </c:spPr>
          </c:marker>
          <c:cat>
            <c:strRef>
              <c:f>Data!$B$22:$Y$22</c:f>
              <c:strCache>
                <c:ptCount val="24"/>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strCache>
            </c:strRef>
          </c:cat>
          <c:val>
            <c:numRef>
              <c:f>Data!$B$23:$Y$23</c:f>
              <c:numCache>
                <c:formatCode>##,#00</c:formatCode>
                <c:ptCount val="24"/>
                <c:pt idx="0">
                  <c:v>2.6</c:v>
                </c:pt>
                <c:pt idx="1">
                  <c:v>2.6</c:v>
                </c:pt>
                <c:pt idx="2">
                  <c:v>2.5</c:v>
                </c:pt>
                <c:pt idx="3">
                  <c:v>2.4</c:v>
                </c:pt>
                <c:pt idx="4">
                  <c:v>2.2999999999999998</c:v>
                </c:pt>
                <c:pt idx="5">
                  <c:v>2.2000000000000002</c:v>
                </c:pt>
                <c:pt idx="6">
                  <c:v>2.2000000000000002</c:v>
                </c:pt>
                <c:pt idx="7">
                  <c:v>2.1</c:v>
                </c:pt>
                <c:pt idx="8">
                  <c:v>2</c:v>
                </c:pt>
                <c:pt idx="9">
                  <c:v>2</c:v>
                </c:pt>
                <c:pt idx="10">
                  <c:v>1.7</c:v>
                </c:pt>
                <c:pt idx="11">
                  <c:v>1.7</c:v>
                </c:pt>
                <c:pt idx="12">
                  <c:v>1.7</c:v>
                </c:pt>
                <c:pt idx="13">
                  <c:v>1.7</c:v>
                </c:pt>
                <c:pt idx="14">
                  <c:v>1.6</c:v>
                </c:pt>
                <c:pt idx="15">
                  <c:v>1.7</c:v>
                </c:pt>
                <c:pt idx="16">
                  <c:v>1.7</c:v>
                </c:pt>
                <c:pt idx="17">
                  <c:v>1.7</c:v>
                </c:pt>
                <c:pt idx="18">
                  <c:v>1.8</c:v>
                </c:pt>
                <c:pt idx="19">
                  <c:v>1.7</c:v>
                </c:pt>
                <c:pt idx="20">
                  <c:v>1.6</c:v>
                </c:pt>
                <c:pt idx="21">
                  <c:v>1.6</c:v>
                </c:pt>
                <c:pt idx="22">
                  <c:v>1.7</c:v>
                </c:pt>
                <c:pt idx="23">
                  <c:v>1.6</c:v>
                </c:pt>
              </c:numCache>
            </c:numRef>
          </c:val>
          <c:smooth val="0"/>
          <c:extLst>
            <c:ext xmlns:c16="http://schemas.microsoft.com/office/drawing/2014/chart" uri="{C3380CC4-5D6E-409C-BE32-E72D297353CC}">
              <c16:uniqueId val="{00000000-199C-4F63-A70F-2A533CD04FD9}"/>
            </c:ext>
          </c:extLst>
        </c:ser>
        <c:dLbls>
          <c:showLegendKey val="0"/>
          <c:showVal val="0"/>
          <c:showCatName val="0"/>
          <c:showSerName val="0"/>
          <c:showPercent val="0"/>
          <c:showBubbleSize val="0"/>
        </c:dLbls>
        <c:marker val="1"/>
        <c:smooth val="0"/>
        <c:axId val="127426560"/>
        <c:axId val="127428480"/>
      </c:lineChart>
      <c:lineChart>
        <c:grouping val="stacked"/>
        <c:varyColors val="0"/>
        <c:ser>
          <c:idx val="1"/>
          <c:order val="1"/>
          <c:tx>
            <c:strRef>
              <c:f>Data!$A$24</c:f>
              <c:strCache>
                <c:ptCount val="1"/>
                <c:pt idx="0">
                  <c:v>Slovenia</c:v>
                </c:pt>
              </c:strCache>
            </c:strRef>
          </c:tx>
          <c:spPr>
            <a:ln w="28575" cap="rnd">
              <a:solidFill>
                <a:schemeClr val="accent2"/>
              </a:solidFill>
              <a:round/>
            </a:ln>
            <a:effectLst/>
          </c:spPr>
          <c:marker>
            <c:symbol val="circle"/>
            <c:size val="4"/>
            <c:spPr>
              <a:solidFill>
                <a:schemeClr val="accent2"/>
              </a:solidFill>
              <a:ln w="9525">
                <a:solidFill>
                  <a:schemeClr val="accent2"/>
                </a:solidFill>
              </a:ln>
              <a:effectLst/>
            </c:spPr>
          </c:marker>
          <c:cat>
            <c:strRef>
              <c:f>Data!$B$22:$Y$22</c:f>
              <c:strCache>
                <c:ptCount val="24"/>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strCache>
            </c:strRef>
          </c:cat>
          <c:val>
            <c:numRef>
              <c:f>Data!$B$24:$Y$24</c:f>
              <c:numCache>
                <c:formatCode>##,#00</c:formatCode>
                <c:ptCount val="24"/>
                <c:pt idx="0">
                  <c:v>4.7</c:v>
                </c:pt>
                <c:pt idx="1">
                  <c:v>4.4000000000000004</c:v>
                </c:pt>
                <c:pt idx="2">
                  <c:v>4.3</c:v>
                </c:pt>
                <c:pt idx="3">
                  <c:v>4.0999999999999996</c:v>
                </c:pt>
                <c:pt idx="4">
                  <c:v>3.5</c:v>
                </c:pt>
                <c:pt idx="5">
                  <c:v>3.5</c:v>
                </c:pt>
                <c:pt idx="6">
                  <c:v>3.2</c:v>
                </c:pt>
                <c:pt idx="7">
                  <c:v>3.4</c:v>
                </c:pt>
                <c:pt idx="8">
                  <c:v>2.6</c:v>
                </c:pt>
                <c:pt idx="9">
                  <c:v>2.8</c:v>
                </c:pt>
                <c:pt idx="10">
                  <c:v>2.8</c:v>
                </c:pt>
                <c:pt idx="11">
                  <c:v>2.4</c:v>
                </c:pt>
                <c:pt idx="12">
                  <c:v>2.2999999999999998</c:v>
                </c:pt>
                <c:pt idx="13">
                  <c:v>2.1</c:v>
                </c:pt>
                <c:pt idx="14">
                  <c:v>2.1</c:v>
                </c:pt>
                <c:pt idx="15">
                  <c:v>2.2000000000000002</c:v>
                </c:pt>
                <c:pt idx="16">
                  <c:v>2.5</c:v>
                </c:pt>
                <c:pt idx="17">
                  <c:v>2.2999999999999998</c:v>
                </c:pt>
                <c:pt idx="18">
                  <c:v>2.2999999999999998</c:v>
                </c:pt>
                <c:pt idx="19">
                  <c:v>2.2999999999999998</c:v>
                </c:pt>
                <c:pt idx="20">
                  <c:v>2.4</c:v>
                </c:pt>
                <c:pt idx="21">
                  <c:v>2.2999999999999998</c:v>
                </c:pt>
                <c:pt idx="22">
                  <c:v>2.1</c:v>
                </c:pt>
                <c:pt idx="23">
                  <c:v>2.4</c:v>
                </c:pt>
              </c:numCache>
            </c:numRef>
          </c:val>
          <c:smooth val="0"/>
          <c:extLst>
            <c:ext xmlns:c16="http://schemas.microsoft.com/office/drawing/2014/chart" uri="{C3380CC4-5D6E-409C-BE32-E72D297353CC}">
              <c16:uniqueId val="{00000001-199C-4F63-A70F-2A533CD04FD9}"/>
            </c:ext>
          </c:extLst>
        </c:ser>
        <c:dLbls>
          <c:showLegendKey val="0"/>
          <c:showVal val="0"/>
          <c:showCatName val="0"/>
          <c:showSerName val="0"/>
          <c:showPercent val="0"/>
          <c:showBubbleSize val="0"/>
        </c:dLbls>
        <c:marker val="1"/>
        <c:smooth val="0"/>
        <c:axId val="137958528"/>
        <c:axId val="127430016"/>
      </c:lineChart>
      <c:catAx>
        <c:axId val="12742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l-SI"/>
          </a:p>
        </c:txPr>
        <c:crossAx val="127428480"/>
        <c:crosses val="autoZero"/>
        <c:auto val="1"/>
        <c:lblAlgn val="ctr"/>
        <c:lblOffset val="100"/>
        <c:noMultiLvlLbl val="0"/>
      </c:catAx>
      <c:valAx>
        <c:axId val="127428480"/>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vert="horz"/>
          <a:lstStyle/>
          <a:p>
            <a:pPr>
              <a:defRPr/>
            </a:pPr>
            <a:endParaRPr lang="sl-SI"/>
          </a:p>
        </c:txPr>
        <c:crossAx val="127426560"/>
        <c:crosses val="autoZero"/>
        <c:crossBetween val="between"/>
      </c:valAx>
      <c:valAx>
        <c:axId val="127430016"/>
        <c:scaling>
          <c:orientation val="minMax"/>
        </c:scaling>
        <c:delete val="0"/>
        <c:axPos val="r"/>
        <c:numFmt formatCode="##,#00" sourceLinked="1"/>
        <c:majorTickMark val="out"/>
        <c:minorTickMark val="none"/>
        <c:tickLblPos val="nextTo"/>
        <c:spPr>
          <a:noFill/>
          <a:ln>
            <a:noFill/>
          </a:ln>
          <a:effectLst/>
        </c:spPr>
        <c:txPr>
          <a:bodyPr rot="-60000000" vert="horz"/>
          <a:lstStyle/>
          <a:p>
            <a:pPr>
              <a:defRPr/>
            </a:pPr>
            <a:endParaRPr lang="sl-SI"/>
          </a:p>
        </c:txPr>
        <c:crossAx val="137958528"/>
        <c:crosses val="max"/>
        <c:crossBetween val="between"/>
      </c:valAx>
      <c:catAx>
        <c:axId val="137958528"/>
        <c:scaling>
          <c:orientation val="minMax"/>
        </c:scaling>
        <c:delete val="1"/>
        <c:axPos val="b"/>
        <c:numFmt formatCode="General" sourceLinked="1"/>
        <c:majorTickMark val="out"/>
        <c:minorTickMark val="none"/>
        <c:tickLblPos val="none"/>
        <c:crossAx val="127430016"/>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sl-SI"/>
        </a:p>
      </c:txPr>
    </c:legend>
    <c:plotVisOnly val="1"/>
    <c:dispBlanksAs val="zero"/>
    <c:showDLblsOverMax val="0"/>
  </c:chart>
  <c:spPr>
    <a:solidFill>
      <a:schemeClr val="bg1"/>
    </a:solidFill>
    <a:ln w="9525" cap="flat" cmpd="sng" algn="ctr">
      <a:noFill/>
      <a:round/>
    </a:ln>
    <a:effectLst/>
  </c:spPr>
  <c:txPr>
    <a:bodyPr/>
    <a:lstStyle/>
    <a:p>
      <a:pPr>
        <a:defRPr sz="700"/>
      </a:pPr>
      <a:endParaRPr lang="sl-SI"/>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00"/>
              <a:t>Površina v 1.000 ha</a:t>
            </a:r>
          </a:p>
        </c:rich>
      </c:tx>
      <c:layout>
        <c:manualLayout>
          <c:xMode val="edge"/>
          <c:yMode val="edge"/>
          <c:x val="1.0640496211756922E-2"/>
          <c:y val="0.23779088707159193"/>
        </c:manualLayout>
      </c:layout>
      <c:overlay val="0"/>
      <c:spPr>
        <a:noFill/>
        <a:ln>
          <a:noFill/>
        </a:ln>
        <a:effectLst/>
      </c:spPr>
      <c:txPr>
        <a:bodyPr rot="-5400000" spcFirstLastPara="1" vertOverflow="ellipsis"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title>
    <c:autoTitleDeleted val="0"/>
    <c:plotArea>
      <c:layout>
        <c:manualLayout>
          <c:layoutTarget val="inner"/>
          <c:xMode val="edge"/>
          <c:yMode val="edge"/>
          <c:x val="0.16872151668399799"/>
          <c:y val="0.13930555555555557"/>
          <c:w val="0.79220672382051871"/>
          <c:h val="0.60941911200006749"/>
        </c:manualLayout>
      </c:layout>
      <c:lineChart>
        <c:grouping val="standard"/>
        <c:varyColors val="0"/>
        <c:ser>
          <c:idx val="0"/>
          <c:order val="0"/>
          <c:tx>
            <c:strRef>
              <c:f>List15!$C$5</c:f>
              <c:strCache>
                <c:ptCount val="1"/>
                <c:pt idx="0">
                  <c:v>Površina v 1.000 ha</c:v>
                </c:pt>
              </c:strCache>
            </c:strRef>
          </c:tx>
          <c:spPr>
            <a:ln w="28575" cap="rnd">
              <a:solidFill>
                <a:schemeClr val="accent1"/>
              </a:solidFill>
              <a:round/>
            </a:ln>
            <a:effectLst/>
          </c:spPr>
          <c:marker>
            <c:symbol val="none"/>
          </c:marker>
          <c:cat>
            <c:strRef>
              <c:f>List15!$D$1:$Q$1</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List15!$D$5:$Q$5</c:f>
              <c:numCache>
                <c:formatCode>#,##0.00;\-#,##0.00;0.00</c:formatCode>
                <c:ptCount val="14"/>
                <c:pt idx="0">
                  <c:v>510.7</c:v>
                </c:pt>
                <c:pt idx="1">
                  <c:v>490.6</c:v>
                </c:pt>
                <c:pt idx="2">
                  <c:v>498.47</c:v>
                </c:pt>
                <c:pt idx="3">
                  <c:v>492.42</c:v>
                </c:pt>
                <c:pt idx="4">
                  <c:v>468.5</c:v>
                </c:pt>
                <c:pt idx="5">
                  <c:v>482.65</c:v>
                </c:pt>
                <c:pt idx="6">
                  <c:v>458.2</c:v>
                </c:pt>
                <c:pt idx="7">
                  <c:v>479.65</c:v>
                </c:pt>
                <c:pt idx="8">
                  <c:v>478.89</c:v>
                </c:pt>
                <c:pt idx="9">
                  <c:v>482.21</c:v>
                </c:pt>
                <c:pt idx="10">
                  <c:v>476.86</c:v>
                </c:pt>
                <c:pt idx="11">
                  <c:v>477.67</c:v>
                </c:pt>
                <c:pt idx="12">
                  <c:v>481.42</c:v>
                </c:pt>
                <c:pt idx="13">
                  <c:v>477.93</c:v>
                </c:pt>
              </c:numCache>
            </c:numRef>
          </c:val>
          <c:smooth val="0"/>
          <c:extLst>
            <c:ext xmlns:c16="http://schemas.microsoft.com/office/drawing/2014/chart" uri="{C3380CC4-5D6E-409C-BE32-E72D297353CC}">
              <c16:uniqueId val="{00000000-C199-4BB9-A48F-B2B71D950CBA}"/>
            </c:ext>
          </c:extLst>
        </c:ser>
        <c:dLbls>
          <c:showLegendKey val="0"/>
          <c:showVal val="0"/>
          <c:showCatName val="0"/>
          <c:showSerName val="0"/>
          <c:showPercent val="0"/>
          <c:showBubbleSize val="0"/>
        </c:dLbls>
        <c:smooth val="0"/>
        <c:axId val="606160872"/>
        <c:axId val="606161200"/>
      </c:lineChart>
      <c:catAx>
        <c:axId val="606160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606161200"/>
        <c:crosses val="autoZero"/>
        <c:auto val="1"/>
        <c:lblAlgn val="ctr"/>
        <c:lblOffset val="100"/>
        <c:noMultiLvlLbl val="0"/>
      </c:catAx>
      <c:valAx>
        <c:axId val="606161200"/>
        <c:scaling>
          <c:orientation val="minMax"/>
          <c:max val="600"/>
          <c:min val="0"/>
        </c:scaling>
        <c:delete val="0"/>
        <c:axPos val="l"/>
        <c:majorGridlines>
          <c:spPr>
            <a:ln w="9525" cap="flat" cmpd="sng" algn="ctr">
              <a:solidFill>
                <a:schemeClr val="tx1">
                  <a:lumMod val="15000"/>
                  <a:lumOff val="85000"/>
                </a:schemeClr>
              </a:solidFill>
              <a:round/>
            </a:ln>
            <a:effectLst/>
          </c:spPr>
        </c:majorGridlines>
        <c:numFmt formatCode="#,##0.00;\-#,##0.00;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606160872"/>
        <c:crosses val="autoZero"/>
        <c:crossBetween val="between"/>
        <c:majorUnit val="1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sl-SI"/>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sl-SI" sz="1000">
                <a:latin typeface="Arial" panose="020B0604020202020204" pitchFamily="34" charset="0"/>
                <a:cs typeface="Arial" panose="020B0604020202020204" pitchFamily="34" charset="0"/>
              </a:rPr>
              <a:t>Delež v %</a:t>
            </a:r>
          </a:p>
        </c:rich>
      </c:tx>
      <c:layout>
        <c:manualLayout>
          <c:xMode val="edge"/>
          <c:yMode val="edge"/>
          <c:x val="3.1186059584035974E-2"/>
          <c:y val="0.35648148148148145"/>
        </c:manualLayout>
      </c:layout>
      <c:overlay val="0"/>
      <c:spPr>
        <a:noFill/>
        <a:ln>
          <a:noFill/>
        </a:ln>
        <a:effectLst/>
      </c:spPr>
      <c:txPr>
        <a:bodyPr rot="-5400000" spcFirstLastPara="1" vertOverflow="ellipsis"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title>
    <c:autoTitleDeleted val="0"/>
    <c:plotArea>
      <c:layout>
        <c:manualLayout>
          <c:layoutTarget val="inner"/>
          <c:xMode val="edge"/>
          <c:yMode val="edge"/>
          <c:x val="0.15139780377368511"/>
          <c:y val="0.17171296296296296"/>
          <c:w val="0.82386920016110976"/>
          <c:h val="0.61498432487605714"/>
        </c:manualLayout>
      </c:layout>
      <c:lineChart>
        <c:grouping val="standard"/>
        <c:varyColors val="0"/>
        <c:ser>
          <c:idx val="0"/>
          <c:order val="0"/>
          <c:tx>
            <c:strRef>
              <c:f>List15!$C$2</c:f>
              <c:strCache>
                <c:ptCount val="1"/>
                <c:pt idx="0">
                  <c:v>Delež ornih površin</c:v>
                </c:pt>
              </c:strCache>
            </c:strRef>
          </c:tx>
          <c:spPr>
            <a:ln w="28575" cap="rnd">
              <a:solidFill>
                <a:schemeClr val="accent1"/>
              </a:solidFill>
              <a:round/>
            </a:ln>
            <a:effectLst/>
          </c:spPr>
          <c:marker>
            <c:symbol val="none"/>
          </c:marker>
          <c:cat>
            <c:strRef>
              <c:f>List15!$D$1:$Q$1</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List15!$D$2:$Q$2</c:f>
              <c:numCache>
                <c:formatCode>#,##0.00;\-#,##0.00;0.00</c:formatCode>
                <c:ptCount val="14"/>
                <c:pt idx="0">
                  <c:v>34.912999999999997</c:v>
                </c:pt>
                <c:pt idx="1">
                  <c:v>36.302999999999997</c:v>
                </c:pt>
                <c:pt idx="2">
                  <c:v>35.116</c:v>
                </c:pt>
                <c:pt idx="3">
                  <c:v>36.615000000000002</c:v>
                </c:pt>
                <c:pt idx="4">
                  <c:v>37.393999999999998</c:v>
                </c:pt>
                <c:pt idx="5">
                  <c:v>35.250999999999998</c:v>
                </c:pt>
                <c:pt idx="6">
                  <c:v>36.826999999999998</c:v>
                </c:pt>
                <c:pt idx="7">
                  <c:v>35.790999999999997</c:v>
                </c:pt>
                <c:pt idx="8">
                  <c:v>36.356999999999999</c:v>
                </c:pt>
                <c:pt idx="9">
                  <c:v>36.305999999999997</c:v>
                </c:pt>
                <c:pt idx="10">
                  <c:v>35.895000000000003</c:v>
                </c:pt>
                <c:pt idx="11">
                  <c:v>36.383000000000003</c:v>
                </c:pt>
                <c:pt idx="12">
                  <c:v>36.218000000000004</c:v>
                </c:pt>
                <c:pt idx="13">
                  <c:v>36.194000000000003</c:v>
                </c:pt>
              </c:numCache>
            </c:numRef>
          </c:val>
          <c:smooth val="0"/>
          <c:extLst>
            <c:ext xmlns:c16="http://schemas.microsoft.com/office/drawing/2014/chart" uri="{C3380CC4-5D6E-409C-BE32-E72D297353CC}">
              <c16:uniqueId val="{00000000-E8FC-494E-B822-1AA89F522B0E}"/>
            </c:ext>
          </c:extLst>
        </c:ser>
        <c:ser>
          <c:idx val="1"/>
          <c:order val="1"/>
          <c:tx>
            <c:strRef>
              <c:f>List15!$C$3</c:f>
              <c:strCache>
                <c:ptCount val="1"/>
                <c:pt idx="0">
                  <c:v>Delež trajnih nasadov</c:v>
                </c:pt>
              </c:strCache>
            </c:strRef>
          </c:tx>
          <c:spPr>
            <a:ln w="28575" cap="rnd">
              <a:solidFill>
                <a:schemeClr val="accent2"/>
              </a:solidFill>
              <a:round/>
            </a:ln>
            <a:effectLst/>
          </c:spPr>
          <c:marker>
            <c:symbol val="none"/>
          </c:marker>
          <c:cat>
            <c:strRef>
              <c:f>List15!$D$1:$Q$1</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List15!$D$3:$Q$3</c:f>
              <c:numCache>
                <c:formatCode>#,##0.00;\-#,##0.00;0.00</c:formatCode>
                <c:ptCount val="14"/>
                <c:pt idx="0">
                  <c:v>5.3849999999999998</c:v>
                </c:pt>
                <c:pt idx="1">
                  <c:v>5.6050000000000004</c:v>
                </c:pt>
                <c:pt idx="2">
                  <c:v>5.2460000000000004</c:v>
                </c:pt>
                <c:pt idx="3">
                  <c:v>5.3109999999999999</c:v>
                </c:pt>
                <c:pt idx="4">
                  <c:v>5.55</c:v>
                </c:pt>
                <c:pt idx="5">
                  <c:v>5.5529999999999999</c:v>
                </c:pt>
                <c:pt idx="6">
                  <c:v>5.86</c:v>
                </c:pt>
                <c:pt idx="7">
                  <c:v>5.5940000000000003</c:v>
                </c:pt>
                <c:pt idx="8">
                  <c:v>5.7009999999999996</c:v>
                </c:pt>
                <c:pt idx="9">
                  <c:v>5.649</c:v>
                </c:pt>
                <c:pt idx="10">
                  <c:v>5.6660000000000004</c:v>
                </c:pt>
                <c:pt idx="11">
                  <c:v>5.7859999999999996</c:v>
                </c:pt>
                <c:pt idx="12">
                  <c:v>5.7830000000000004</c:v>
                </c:pt>
                <c:pt idx="13">
                  <c:v>5.8129999999999997</c:v>
                </c:pt>
              </c:numCache>
            </c:numRef>
          </c:val>
          <c:smooth val="0"/>
          <c:extLst>
            <c:ext xmlns:c16="http://schemas.microsoft.com/office/drawing/2014/chart" uri="{C3380CC4-5D6E-409C-BE32-E72D297353CC}">
              <c16:uniqueId val="{00000001-E8FC-494E-B822-1AA89F522B0E}"/>
            </c:ext>
          </c:extLst>
        </c:ser>
        <c:ser>
          <c:idx val="2"/>
          <c:order val="2"/>
          <c:tx>
            <c:strRef>
              <c:f>List15!$C$4</c:f>
              <c:strCache>
                <c:ptCount val="1"/>
                <c:pt idx="0">
                  <c:v>Delež trajnih travnikov</c:v>
                </c:pt>
              </c:strCache>
            </c:strRef>
          </c:tx>
          <c:spPr>
            <a:ln w="28575" cap="rnd">
              <a:solidFill>
                <a:schemeClr val="accent3"/>
              </a:solidFill>
              <a:round/>
            </a:ln>
            <a:effectLst/>
          </c:spPr>
          <c:marker>
            <c:symbol val="none"/>
          </c:marker>
          <c:cat>
            <c:strRef>
              <c:f>List15!$D$1:$Q$1</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List15!$D$4:$Q$4</c:f>
              <c:numCache>
                <c:formatCode>#,##0.00;\-#,##0.00;0.00</c:formatCode>
                <c:ptCount val="14"/>
                <c:pt idx="0">
                  <c:v>59.701999999999998</c:v>
                </c:pt>
                <c:pt idx="1">
                  <c:v>58.091999999999999</c:v>
                </c:pt>
                <c:pt idx="2">
                  <c:v>59.639000000000003</c:v>
                </c:pt>
                <c:pt idx="3">
                  <c:v>58.073999999999998</c:v>
                </c:pt>
                <c:pt idx="4">
                  <c:v>57.054000000000002</c:v>
                </c:pt>
                <c:pt idx="5">
                  <c:v>59.195999999999998</c:v>
                </c:pt>
                <c:pt idx="6">
                  <c:v>57.311</c:v>
                </c:pt>
                <c:pt idx="7">
                  <c:v>58.618000000000002</c:v>
                </c:pt>
                <c:pt idx="8">
                  <c:v>57.942</c:v>
                </c:pt>
                <c:pt idx="9">
                  <c:v>58.045000000000002</c:v>
                </c:pt>
                <c:pt idx="10">
                  <c:v>58.441000000000003</c:v>
                </c:pt>
                <c:pt idx="11">
                  <c:v>57.832999999999998</c:v>
                </c:pt>
                <c:pt idx="12">
                  <c:v>57.999000000000002</c:v>
                </c:pt>
                <c:pt idx="13">
                  <c:v>57.994</c:v>
                </c:pt>
              </c:numCache>
            </c:numRef>
          </c:val>
          <c:smooth val="0"/>
          <c:extLst>
            <c:ext xmlns:c16="http://schemas.microsoft.com/office/drawing/2014/chart" uri="{C3380CC4-5D6E-409C-BE32-E72D297353CC}">
              <c16:uniqueId val="{00000002-E8FC-494E-B822-1AA89F522B0E}"/>
            </c:ext>
          </c:extLst>
        </c:ser>
        <c:dLbls>
          <c:showLegendKey val="0"/>
          <c:showVal val="0"/>
          <c:showCatName val="0"/>
          <c:showSerName val="0"/>
          <c:showPercent val="0"/>
          <c:showBubbleSize val="0"/>
        </c:dLbls>
        <c:smooth val="0"/>
        <c:axId val="587835656"/>
        <c:axId val="587840248"/>
      </c:lineChart>
      <c:catAx>
        <c:axId val="587835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87840248"/>
        <c:crosses val="autoZero"/>
        <c:auto val="1"/>
        <c:lblAlgn val="ctr"/>
        <c:lblOffset val="100"/>
        <c:noMultiLvlLbl val="0"/>
      </c:catAx>
      <c:valAx>
        <c:axId val="587840248"/>
        <c:scaling>
          <c:orientation val="minMax"/>
        </c:scaling>
        <c:delete val="0"/>
        <c:axPos val="l"/>
        <c:majorGridlines>
          <c:spPr>
            <a:ln w="9525" cap="flat" cmpd="sng" algn="ctr">
              <a:solidFill>
                <a:schemeClr val="tx1">
                  <a:lumMod val="15000"/>
                  <a:lumOff val="85000"/>
                </a:schemeClr>
              </a:solidFill>
              <a:round/>
            </a:ln>
            <a:effectLst/>
          </c:spPr>
        </c:majorGridlines>
        <c:numFmt formatCode="#,##0.00;\-#,##0.00;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587835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5"/>
          <c:dPt>
            <c:idx val="0"/>
            <c:bubble3D val="0"/>
            <c:spPr>
              <a:solidFill>
                <a:schemeClr val="tx2">
                  <a:lumMod val="40000"/>
                  <a:lumOff val="60000"/>
                </a:schemeClr>
              </a:solidFill>
            </c:spPr>
            <c:extLst>
              <c:ext xmlns:c16="http://schemas.microsoft.com/office/drawing/2014/chart" uri="{C3380CC4-5D6E-409C-BE32-E72D297353CC}">
                <c16:uniqueId val="{00000001-1B8E-4CAB-9090-1DA861D85EF3}"/>
              </c:ext>
            </c:extLst>
          </c:dPt>
          <c:dPt>
            <c:idx val="1"/>
            <c:bubble3D val="0"/>
            <c:spPr>
              <a:solidFill>
                <a:schemeClr val="accent6">
                  <a:lumMod val="40000"/>
                  <a:lumOff val="60000"/>
                </a:schemeClr>
              </a:solidFill>
            </c:spPr>
            <c:extLst>
              <c:ext xmlns:c16="http://schemas.microsoft.com/office/drawing/2014/chart" uri="{C3380CC4-5D6E-409C-BE32-E72D297353CC}">
                <c16:uniqueId val="{00000003-1B8E-4CAB-9090-1DA861D85EF3}"/>
              </c:ext>
            </c:extLst>
          </c:dPt>
          <c:dPt>
            <c:idx val="2"/>
            <c:bubble3D val="0"/>
            <c:spPr>
              <a:solidFill>
                <a:srgbClr val="CCFF99"/>
              </a:solidFill>
            </c:spPr>
            <c:extLst>
              <c:ext xmlns:c16="http://schemas.microsoft.com/office/drawing/2014/chart" uri="{C3380CC4-5D6E-409C-BE32-E72D297353CC}">
                <c16:uniqueId val="{00000005-1B8E-4CAB-9090-1DA861D85EF3}"/>
              </c:ext>
            </c:extLst>
          </c:dPt>
          <c:dPt>
            <c:idx val="5"/>
            <c:bubble3D val="0"/>
            <c:spPr>
              <a:solidFill>
                <a:srgbClr val="FFFF00"/>
              </a:solidFill>
            </c:spPr>
            <c:extLst>
              <c:ext xmlns:c16="http://schemas.microsoft.com/office/drawing/2014/chart" uri="{C3380CC4-5D6E-409C-BE32-E72D297353CC}">
                <c16:uniqueId val="{00000007-1B8E-4CAB-9090-1DA861D85EF3}"/>
              </c:ext>
            </c:extLst>
          </c:dPt>
          <c:dLbls>
            <c:dLbl>
              <c:idx val="0"/>
              <c:layout>
                <c:manualLayout>
                  <c:x val="3.0424140769386075E-2"/>
                  <c:y val="-1.3791149480875411E-2"/>
                </c:manualLayout>
              </c:layout>
              <c:tx>
                <c:rich>
                  <a:bodyPr/>
                  <a:lstStyle/>
                  <a:p>
                    <a:r>
                      <a:rPr lang="en-US"/>
                      <a:t>Specializirani rejec pašne živine
35,7%</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1B8E-4CAB-9090-1DA861D85EF3}"/>
                </c:ext>
              </c:extLst>
            </c:dLbl>
            <c:dLbl>
              <c:idx val="1"/>
              <c:layout>
                <c:manualLayout>
                  <c:x val="8.8218989268353296E-2"/>
                  <c:y val="-5.4719050361597861E-2"/>
                </c:manualLayout>
              </c:layout>
              <c:tx>
                <c:rich>
                  <a:bodyPr/>
                  <a:lstStyle/>
                  <a:p>
                    <a:r>
                      <a:rPr lang="en-US"/>
                      <a:t>Specializirani pridelovalec poljščin
19,2%</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1B8E-4CAB-9090-1DA861D85EF3}"/>
                </c:ext>
              </c:extLst>
            </c:dLbl>
            <c:dLbl>
              <c:idx val="2"/>
              <c:layout>
                <c:manualLayout>
                  <c:x val="-3.2179720138532979E-2"/>
                  <c:y val="-3.6036693275720323E-2"/>
                </c:manualLayout>
              </c:layout>
              <c:tx>
                <c:rich>
                  <a:bodyPr/>
                  <a:lstStyle/>
                  <a:p>
                    <a:r>
                      <a:rPr lang="en-US"/>
                      <a:t>Mešano rastlinska pridelava – živinoreja
17,2%</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1B8E-4CAB-9090-1DA861D85EF3}"/>
                </c:ext>
              </c:extLst>
            </c:dLbl>
            <c:dLbl>
              <c:idx val="3"/>
              <c:layout>
                <c:manualLayout>
                  <c:x val="1.3857568839398034E-3"/>
                  <c:y val="-1.7809566684768005E-2"/>
                </c:manualLayout>
              </c:layout>
              <c:tx>
                <c:rich>
                  <a:bodyPr/>
                  <a:lstStyle/>
                  <a:p>
                    <a:r>
                      <a:rPr lang="en-US"/>
                      <a:t>Specializirani gojitelj trajnih nasadov
13,1%</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8-1B8E-4CAB-9090-1DA861D85EF3}"/>
                </c:ext>
              </c:extLst>
            </c:dLbl>
            <c:dLbl>
              <c:idx val="4"/>
              <c:layout>
                <c:manualLayout>
                  <c:x val="-4.5145477175035545E-2"/>
                  <c:y val="2.6020117145846192E-2"/>
                </c:manualLayout>
              </c:layout>
              <c:tx>
                <c:rich>
                  <a:bodyPr/>
                  <a:lstStyle/>
                  <a:p>
                    <a:r>
                      <a:rPr lang="en-US"/>
                      <a:t>Mešana rastlinska pridelava
8,2%</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1B8E-4CAB-9090-1DA861D85EF3}"/>
                </c:ext>
              </c:extLst>
            </c:dLbl>
            <c:dLbl>
              <c:idx val="5"/>
              <c:layout>
                <c:manualLayout>
                  <c:x val="-2.3128407026044823E-2"/>
                  <c:y val="2.9494479269105687E-3"/>
                </c:manualLayout>
              </c:layout>
              <c:tx>
                <c:rich>
                  <a:bodyPr/>
                  <a:lstStyle/>
                  <a:p>
                    <a:r>
                      <a:rPr lang="en-US"/>
                      <a:t>Mešana živinoreja
5,4%</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1B8E-4CAB-9090-1DA861D85EF3}"/>
                </c:ext>
              </c:extLst>
            </c:dLbl>
            <c:dLbl>
              <c:idx val="6"/>
              <c:tx>
                <c:rich>
                  <a:bodyPr/>
                  <a:lstStyle/>
                  <a:p>
                    <a:r>
                      <a:rPr lang="en-US"/>
                      <a:t>Specializirani vrtnar
0,6%</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A-1B8E-4CAB-9090-1DA861D85EF3}"/>
                </c:ext>
              </c:extLst>
            </c:dLbl>
            <c:dLbl>
              <c:idx val="7"/>
              <c:tx>
                <c:rich>
                  <a:bodyPr/>
                  <a:lstStyle/>
                  <a:p>
                    <a:r>
                      <a:rPr lang="en-US"/>
                      <a:t>Specializirani prašičerejci in perutninarji
0,6%</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1B8E-4CAB-9090-1DA861D85EF3}"/>
                </c:ext>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List2!$A$1:$A$8</c:f>
              <c:strCache>
                <c:ptCount val="8"/>
                <c:pt idx="0">
                  <c:v>Specializirani rejec pašne živine</c:v>
                </c:pt>
                <c:pt idx="1">
                  <c:v>Specializirani pridelovalec poljščin</c:v>
                </c:pt>
                <c:pt idx="2">
                  <c:v>Mešano rastlinska pridelava – živinoreja</c:v>
                </c:pt>
                <c:pt idx="3">
                  <c:v>Specializirani gojitelj trajnih nasadov</c:v>
                </c:pt>
                <c:pt idx="4">
                  <c:v>Mešana rastlinska pridelava</c:v>
                </c:pt>
                <c:pt idx="5">
                  <c:v>Mešana živinoreja</c:v>
                </c:pt>
                <c:pt idx="6">
                  <c:v>Specializirani vrtnar</c:v>
                </c:pt>
                <c:pt idx="7">
                  <c:v>Specializirani prašičerejci in perutninarji</c:v>
                </c:pt>
              </c:strCache>
            </c:strRef>
          </c:cat>
          <c:val>
            <c:numRef>
              <c:f>List2!$B$1:$B$8</c:f>
              <c:numCache>
                <c:formatCode>#,##0</c:formatCode>
                <c:ptCount val="8"/>
                <c:pt idx="0">
                  <c:v>24983</c:v>
                </c:pt>
                <c:pt idx="1">
                  <c:v>13413</c:v>
                </c:pt>
                <c:pt idx="2">
                  <c:v>11962</c:v>
                </c:pt>
                <c:pt idx="3">
                  <c:v>9189</c:v>
                </c:pt>
                <c:pt idx="4">
                  <c:v>5720</c:v>
                </c:pt>
                <c:pt idx="5">
                  <c:v>3793</c:v>
                </c:pt>
                <c:pt idx="6">
                  <c:v>432</c:v>
                </c:pt>
                <c:pt idx="7">
                  <c:v>410</c:v>
                </c:pt>
              </c:numCache>
            </c:numRef>
          </c:val>
          <c:extLst>
            <c:ext xmlns:c16="http://schemas.microsoft.com/office/drawing/2014/chart" uri="{C3380CC4-5D6E-409C-BE32-E72D297353CC}">
              <c16:uniqueId val="{0000000C-1B8E-4CAB-9090-1DA861D85EF3}"/>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pPr>
      <a:endParaRPr lang="sl-SI"/>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3080055407581822E-2"/>
          <c:y val="1.8469567823482688E-2"/>
          <c:w val="0.95171932523978542"/>
          <c:h val="0.93985581890544345"/>
        </c:manualLayout>
      </c:layout>
      <c:barChart>
        <c:barDir val="bar"/>
        <c:grouping val="clustered"/>
        <c:varyColors val="0"/>
        <c:ser>
          <c:idx val="0"/>
          <c:order val="0"/>
          <c:tx>
            <c:strRef>
              <c:f>List1!$C$3</c:f>
              <c:strCache>
                <c:ptCount val="1"/>
                <c:pt idx="0">
                  <c:v>2007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List1!$A$4:$A$11</c:f>
              <c:strCache>
                <c:ptCount val="8"/>
                <c:pt idx="0">
                  <c:v>Specializirani rejec pašne živine</c:v>
                </c:pt>
                <c:pt idx="1">
                  <c:v>Specializirani pridelovalec poljščin</c:v>
                </c:pt>
                <c:pt idx="2">
                  <c:v>Mešano rastlinska pridelava – živinoreja</c:v>
                </c:pt>
                <c:pt idx="3">
                  <c:v>Specializirani gojitelj trajnih nasadov</c:v>
                </c:pt>
                <c:pt idx="4">
                  <c:v>Mešana rastlinska pridelava</c:v>
                </c:pt>
                <c:pt idx="5">
                  <c:v>Mešana živinoreja</c:v>
                </c:pt>
                <c:pt idx="6">
                  <c:v>Specializirani vrtnar</c:v>
                </c:pt>
                <c:pt idx="7">
                  <c:v>Specializirani prašičerejci in perutninarji</c:v>
                </c:pt>
              </c:strCache>
            </c:strRef>
          </c:cat>
          <c:val>
            <c:numRef>
              <c:f>List1!$C$4:$C$11</c:f>
              <c:numCache>
                <c:formatCode>#,##0</c:formatCode>
                <c:ptCount val="8"/>
                <c:pt idx="0">
                  <c:v>33263</c:v>
                </c:pt>
                <c:pt idx="1">
                  <c:v>9444</c:v>
                </c:pt>
                <c:pt idx="2">
                  <c:v>12245</c:v>
                </c:pt>
                <c:pt idx="3">
                  <c:v>6789</c:v>
                </c:pt>
                <c:pt idx="4">
                  <c:v>6132</c:v>
                </c:pt>
                <c:pt idx="5">
                  <c:v>5587</c:v>
                </c:pt>
                <c:pt idx="6">
                  <c:v>516</c:v>
                </c:pt>
                <c:pt idx="7">
                  <c:v>1364</c:v>
                </c:pt>
              </c:numCache>
            </c:numRef>
          </c:val>
          <c:extLst>
            <c:ext xmlns:c16="http://schemas.microsoft.com/office/drawing/2014/chart" uri="{C3380CC4-5D6E-409C-BE32-E72D297353CC}">
              <c16:uniqueId val="{00000000-2BB8-4083-A368-133E742EBD63}"/>
            </c:ext>
          </c:extLst>
        </c:ser>
        <c:ser>
          <c:idx val="1"/>
          <c:order val="1"/>
          <c:tx>
            <c:strRef>
              <c:f>List1!$E$3</c:f>
              <c:strCache>
                <c:ptCount val="1"/>
                <c:pt idx="0">
                  <c:v>2010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List1!$A$4:$A$11</c:f>
              <c:strCache>
                <c:ptCount val="8"/>
                <c:pt idx="0">
                  <c:v>Specializirani rejec pašne živine</c:v>
                </c:pt>
                <c:pt idx="1">
                  <c:v>Specializirani pridelovalec poljščin</c:v>
                </c:pt>
                <c:pt idx="2">
                  <c:v>Mešano rastlinska pridelava – živinoreja</c:v>
                </c:pt>
                <c:pt idx="3">
                  <c:v>Specializirani gojitelj trajnih nasadov</c:v>
                </c:pt>
                <c:pt idx="4">
                  <c:v>Mešana rastlinska pridelava</c:v>
                </c:pt>
                <c:pt idx="5">
                  <c:v>Mešana živinoreja</c:v>
                </c:pt>
                <c:pt idx="6">
                  <c:v>Specializirani vrtnar</c:v>
                </c:pt>
                <c:pt idx="7">
                  <c:v>Specializirani prašičerejci in perutninarji</c:v>
                </c:pt>
              </c:strCache>
            </c:strRef>
          </c:cat>
          <c:val>
            <c:numRef>
              <c:f>List1!$E$4:$E$11</c:f>
              <c:numCache>
                <c:formatCode>#,##0</c:formatCode>
                <c:ptCount val="8"/>
                <c:pt idx="0">
                  <c:v>29885</c:v>
                </c:pt>
                <c:pt idx="1">
                  <c:v>12778</c:v>
                </c:pt>
                <c:pt idx="2">
                  <c:v>11416</c:v>
                </c:pt>
                <c:pt idx="3">
                  <c:v>8688</c:v>
                </c:pt>
                <c:pt idx="4">
                  <c:v>5513</c:v>
                </c:pt>
                <c:pt idx="5">
                  <c:v>4929</c:v>
                </c:pt>
                <c:pt idx="6">
                  <c:v>523</c:v>
                </c:pt>
                <c:pt idx="7">
                  <c:v>914</c:v>
                </c:pt>
              </c:numCache>
            </c:numRef>
          </c:val>
          <c:extLst>
            <c:ext xmlns:c16="http://schemas.microsoft.com/office/drawing/2014/chart" uri="{C3380CC4-5D6E-409C-BE32-E72D297353CC}">
              <c16:uniqueId val="{00000001-2BB8-4083-A368-133E742EBD63}"/>
            </c:ext>
          </c:extLst>
        </c:ser>
        <c:ser>
          <c:idx val="2"/>
          <c:order val="2"/>
          <c:tx>
            <c:strRef>
              <c:f>List1!$G$3</c:f>
              <c:strCache>
                <c:ptCount val="1"/>
                <c:pt idx="0">
                  <c:v>2013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List1!$A$4:$A$11</c:f>
              <c:strCache>
                <c:ptCount val="8"/>
                <c:pt idx="0">
                  <c:v>Specializirani rejec pašne živine</c:v>
                </c:pt>
                <c:pt idx="1">
                  <c:v>Specializirani pridelovalec poljščin</c:v>
                </c:pt>
                <c:pt idx="2">
                  <c:v>Mešano rastlinska pridelava – živinoreja</c:v>
                </c:pt>
                <c:pt idx="3">
                  <c:v>Specializirani gojitelj trajnih nasadov</c:v>
                </c:pt>
                <c:pt idx="4">
                  <c:v>Mešana rastlinska pridelava</c:v>
                </c:pt>
                <c:pt idx="5">
                  <c:v>Mešana živinoreja</c:v>
                </c:pt>
                <c:pt idx="6">
                  <c:v>Specializirani vrtnar</c:v>
                </c:pt>
                <c:pt idx="7">
                  <c:v>Specializirani prašičerejci in perutninarji</c:v>
                </c:pt>
              </c:strCache>
            </c:strRef>
          </c:cat>
          <c:val>
            <c:numRef>
              <c:f>List1!$G$4:$G$11</c:f>
              <c:numCache>
                <c:formatCode>#,##0</c:formatCode>
                <c:ptCount val="8"/>
                <c:pt idx="0">
                  <c:v>28535</c:v>
                </c:pt>
                <c:pt idx="1">
                  <c:v>14984</c:v>
                </c:pt>
                <c:pt idx="2">
                  <c:v>10393</c:v>
                </c:pt>
                <c:pt idx="3">
                  <c:v>7242</c:v>
                </c:pt>
                <c:pt idx="4">
                  <c:v>6032</c:v>
                </c:pt>
                <c:pt idx="5">
                  <c:v>4174</c:v>
                </c:pt>
                <c:pt idx="6">
                  <c:v>449</c:v>
                </c:pt>
                <c:pt idx="7">
                  <c:v>568</c:v>
                </c:pt>
              </c:numCache>
            </c:numRef>
          </c:val>
          <c:extLst>
            <c:ext xmlns:c16="http://schemas.microsoft.com/office/drawing/2014/chart" uri="{C3380CC4-5D6E-409C-BE32-E72D297353CC}">
              <c16:uniqueId val="{00000002-2BB8-4083-A368-133E742EBD63}"/>
            </c:ext>
          </c:extLst>
        </c:ser>
        <c:ser>
          <c:idx val="3"/>
          <c:order val="3"/>
          <c:tx>
            <c:strRef>
              <c:f>List1!$I$3</c:f>
              <c:strCache>
                <c:ptCount val="1"/>
                <c:pt idx="0">
                  <c:v>2016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List1!$A$4:$A$11</c:f>
              <c:strCache>
                <c:ptCount val="8"/>
                <c:pt idx="0">
                  <c:v>Specializirani rejec pašne živine</c:v>
                </c:pt>
                <c:pt idx="1">
                  <c:v>Specializirani pridelovalec poljščin</c:v>
                </c:pt>
                <c:pt idx="2">
                  <c:v>Mešano rastlinska pridelava – živinoreja</c:v>
                </c:pt>
                <c:pt idx="3">
                  <c:v>Specializirani gojitelj trajnih nasadov</c:v>
                </c:pt>
                <c:pt idx="4">
                  <c:v>Mešana rastlinska pridelava</c:v>
                </c:pt>
                <c:pt idx="5">
                  <c:v>Mešana živinoreja</c:v>
                </c:pt>
                <c:pt idx="6">
                  <c:v>Specializirani vrtnar</c:v>
                </c:pt>
                <c:pt idx="7">
                  <c:v>Specializirani prašičerejci in perutninarji</c:v>
                </c:pt>
              </c:strCache>
            </c:strRef>
          </c:cat>
          <c:val>
            <c:numRef>
              <c:f>List1!$I$4:$I$11</c:f>
              <c:numCache>
                <c:formatCode>#,##0</c:formatCode>
                <c:ptCount val="8"/>
                <c:pt idx="0">
                  <c:v>24983</c:v>
                </c:pt>
                <c:pt idx="1">
                  <c:v>13413</c:v>
                </c:pt>
                <c:pt idx="2">
                  <c:v>11962</c:v>
                </c:pt>
                <c:pt idx="3">
                  <c:v>9189</c:v>
                </c:pt>
                <c:pt idx="4">
                  <c:v>5720</c:v>
                </c:pt>
                <c:pt idx="5">
                  <c:v>3793</c:v>
                </c:pt>
                <c:pt idx="6">
                  <c:v>432</c:v>
                </c:pt>
                <c:pt idx="7">
                  <c:v>410</c:v>
                </c:pt>
              </c:numCache>
            </c:numRef>
          </c:val>
          <c:extLst>
            <c:ext xmlns:c16="http://schemas.microsoft.com/office/drawing/2014/chart" uri="{C3380CC4-5D6E-409C-BE32-E72D297353CC}">
              <c16:uniqueId val="{00000003-2BB8-4083-A368-133E742EBD63}"/>
            </c:ext>
          </c:extLst>
        </c:ser>
        <c:dLbls>
          <c:showLegendKey val="0"/>
          <c:showVal val="0"/>
          <c:showCatName val="0"/>
          <c:showSerName val="0"/>
          <c:showPercent val="0"/>
          <c:showBubbleSize val="0"/>
        </c:dLbls>
        <c:gapWidth val="150"/>
        <c:axId val="184307072"/>
        <c:axId val="184325248"/>
      </c:barChart>
      <c:catAx>
        <c:axId val="184307072"/>
        <c:scaling>
          <c:orientation val="minMax"/>
        </c:scaling>
        <c:delete val="0"/>
        <c:axPos val="l"/>
        <c:numFmt formatCode="General" sourceLinked="1"/>
        <c:majorTickMark val="out"/>
        <c:minorTickMark val="none"/>
        <c:tickLblPos val="nextTo"/>
        <c:crossAx val="184325248"/>
        <c:crosses val="autoZero"/>
        <c:auto val="1"/>
        <c:lblAlgn val="ctr"/>
        <c:lblOffset val="100"/>
        <c:noMultiLvlLbl val="0"/>
      </c:catAx>
      <c:valAx>
        <c:axId val="184325248"/>
        <c:scaling>
          <c:orientation val="minMax"/>
        </c:scaling>
        <c:delete val="0"/>
        <c:axPos val="b"/>
        <c:numFmt formatCode="#,##0" sourceLinked="1"/>
        <c:majorTickMark val="out"/>
        <c:minorTickMark val="none"/>
        <c:tickLblPos val="nextTo"/>
        <c:crossAx val="184307072"/>
        <c:crosses val="autoZero"/>
        <c:crossBetween val="between"/>
      </c:valAx>
    </c:plotArea>
    <c:legend>
      <c:legendPos val="r"/>
      <c:layout>
        <c:manualLayout>
          <c:xMode val="edge"/>
          <c:yMode val="edge"/>
          <c:x val="0.90794937069472414"/>
          <c:y val="2.0346625644722862E-2"/>
          <c:w val="7.422978377702788E-2"/>
          <c:h val="0.1835419360652886"/>
        </c:manualLayout>
      </c:layout>
      <c:overlay val="0"/>
    </c:legend>
    <c:plotVisOnly val="1"/>
    <c:dispBlanksAs val="gap"/>
    <c:showDLblsOverMax val="0"/>
  </c:chart>
  <c:spPr>
    <a:ln>
      <a:noFill/>
    </a:ln>
  </c:spPr>
  <c:txPr>
    <a:bodyPr/>
    <a:lstStyle/>
    <a:p>
      <a:pPr>
        <a:defRPr sz="800"/>
      </a:pPr>
      <a:endParaRPr lang="sl-SI"/>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List1!$B$3</c:f>
              <c:strCache>
                <c:ptCount val="1"/>
                <c:pt idx="0">
                  <c:v>2007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List1!$A$4:$A$11</c:f>
              <c:strCache>
                <c:ptCount val="8"/>
                <c:pt idx="0">
                  <c:v>Specializirani rejec pašne živine</c:v>
                </c:pt>
                <c:pt idx="1">
                  <c:v>Specializirani pridelovalec poljščin</c:v>
                </c:pt>
                <c:pt idx="2">
                  <c:v>Mešano rastlinska pridelava – živinoreja</c:v>
                </c:pt>
                <c:pt idx="3">
                  <c:v>Specializirani gojitelj trajnih nasadov</c:v>
                </c:pt>
                <c:pt idx="4">
                  <c:v>Mešana rastlinska pridelava</c:v>
                </c:pt>
                <c:pt idx="5">
                  <c:v>Mešana živinoreja</c:v>
                </c:pt>
                <c:pt idx="6">
                  <c:v>Specializirani vrtnar</c:v>
                </c:pt>
                <c:pt idx="7">
                  <c:v>Specializirani prašičerejci in perutninarji</c:v>
                </c:pt>
              </c:strCache>
            </c:strRef>
          </c:cat>
          <c:val>
            <c:numRef>
              <c:f>List1!$B$4:$B$11</c:f>
              <c:numCache>
                <c:formatCode>#,##0\ "€"</c:formatCode>
                <c:ptCount val="8"/>
                <c:pt idx="0">
                  <c:v>437035</c:v>
                </c:pt>
                <c:pt idx="1">
                  <c:v>37988</c:v>
                </c:pt>
                <c:pt idx="2">
                  <c:v>92045</c:v>
                </c:pt>
                <c:pt idx="3">
                  <c:v>54533</c:v>
                </c:pt>
                <c:pt idx="4">
                  <c:v>28225</c:v>
                </c:pt>
                <c:pt idx="5">
                  <c:v>50794</c:v>
                </c:pt>
                <c:pt idx="6">
                  <c:v>75439</c:v>
                </c:pt>
                <c:pt idx="7">
                  <c:v>108937</c:v>
                </c:pt>
              </c:numCache>
            </c:numRef>
          </c:val>
          <c:extLst>
            <c:ext xmlns:c16="http://schemas.microsoft.com/office/drawing/2014/chart" uri="{C3380CC4-5D6E-409C-BE32-E72D297353CC}">
              <c16:uniqueId val="{00000000-D28A-4CA1-8217-019892A4331B}"/>
            </c:ext>
          </c:extLst>
        </c:ser>
        <c:ser>
          <c:idx val="1"/>
          <c:order val="1"/>
          <c:tx>
            <c:strRef>
              <c:f>List1!$D$3</c:f>
              <c:strCache>
                <c:ptCount val="1"/>
                <c:pt idx="0">
                  <c:v>2010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List1!$A$4:$A$11</c:f>
              <c:strCache>
                <c:ptCount val="8"/>
                <c:pt idx="0">
                  <c:v>Specializirani rejec pašne živine</c:v>
                </c:pt>
                <c:pt idx="1">
                  <c:v>Specializirani pridelovalec poljščin</c:v>
                </c:pt>
                <c:pt idx="2">
                  <c:v>Mešano rastlinska pridelava – živinoreja</c:v>
                </c:pt>
                <c:pt idx="3">
                  <c:v>Specializirani gojitelj trajnih nasadov</c:v>
                </c:pt>
                <c:pt idx="4">
                  <c:v>Mešana rastlinska pridelava</c:v>
                </c:pt>
                <c:pt idx="5">
                  <c:v>Mešana živinoreja</c:v>
                </c:pt>
                <c:pt idx="6">
                  <c:v>Specializirani vrtnar</c:v>
                </c:pt>
                <c:pt idx="7">
                  <c:v>Specializirani prašičerejci in perutninarji</c:v>
                </c:pt>
              </c:strCache>
            </c:strRef>
          </c:cat>
          <c:val>
            <c:numRef>
              <c:f>List1!$D$4:$D$11</c:f>
              <c:numCache>
                <c:formatCode>#,##0\ "€"</c:formatCode>
                <c:ptCount val="8"/>
                <c:pt idx="0">
                  <c:v>457907</c:v>
                </c:pt>
                <c:pt idx="1">
                  <c:v>62666</c:v>
                </c:pt>
                <c:pt idx="2">
                  <c:v>117477</c:v>
                </c:pt>
                <c:pt idx="3">
                  <c:v>76194</c:v>
                </c:pt>
                <c:pt idx="4">
                  <c:v>31544</c:v>
                </c:pt>
                <c:pt idx="5">
                  <c:v>47735</c:v>
                </c:pt>
                <c:pt idx="6">
                  <c:v>27253</c:v>
                </c:pt>
                <c:pt idx="7">
                  <c:v>92419</c:v>
                </c:pt>
              </c:numCache>
            </c:numRef>
          </c:val>
          <c:extLst>
            <c:ext xmlns:c16="http://schemas.microsoft.com/office/drawing/2014/chart" uri="{C3380CC4-5D6E-409C-BE32-E72D297353CC}">
              <c16:uniqueId val="{00000001-D28A-4CA1-8217-019892A4331B}"/>
            </c:ext>
          </c:extLst>
        </c:ser>
        <c:ser>
          <c:idx val="2"/>
          <c:order val="2"/>
          <c:tx>
            <c:strRef>
              <c:f>List1!$F$3</c:f>
              <c:strCache>
                <c:ptCount val="1"/>
                <c:pt idx="0">
                  <c:v>2013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List1!$A$4:$A$11</c:f>
              <c:strCache>
                <c:ptCount val="8"/>
                <c:pt idx="0">
                  <c:v>Specializirani rejec pašne živine</c:v>
                </c:pt>
                <c:pt idx="1">
                  <c:v>Specializirani pridelovalec poljščin</c:v>
                </c:pt>
                <c:pt idx="2">
                  <c:v>Mešano rastlinska pridelava – živinoreja</c:v>
                </c:pt>
                <c:pt idx="3">
                  <c:v>Specializirani gojitelj trajnih nasadov</c:v>
                </c:pt>
                <c:pt idx="4">
                  <c:v>Mešana rastlinska pridelava</c:v>
                </c:pt>
                <c:pt idx="5">
                  <c:v>Mešana živinoreja</c:v>
                </c:pt>
                <c:pt idx="6">
                  <c:v>Specializirani vrtnar</c:v>
                </c:pt>
                <c:pt idx="7">
                  <c:v>Specializirani prašičerejci in perutninarji</c:v>
                </c:pt>
              </c:strCache>
            </c:strRef>
          </c:cat>
          <c:val>
            <c:numRef>
              <c:f>List1!$F$4:$F$11</c:f>
              <c:numCache>
                <c:formatCode>#,##0\ "€"</c:formatCode>
                <c:ptCount val="8"/>
                <c:pt idx="0">
                  <c:v>505440</c:v>
                </c:pt>
                <c:pt idx="1">
                  <c:v>88503</c:v>
                </c:pt>
                <c:pt idx="2">
                  <c:v>134549</c:v>
                </c:pt>
                <c:pt idx="3">
                  <c:v>80257</c:v>
                </c:pt>
                <c:pt idx="4">
                  <c:v>42945</c:v>
                </c:pt>
                <c:pt idx="5">
                  <c:v>48139</c:v>
                </c:pt>
                <c:pt idx="6">
                  <c:v>25306</c:v>
                </c:pt>
                <c:pt idx="7">
                  <c:v>84090</c:v>
                </c:pt>
              </c:numCache>
            </c:numRef>
          </c:val>
          <c:extLst>
            <c:ext xmlns:c16="http://schemas.microsoft.com/office/drawing/2014/chart" uri="{C3380CC4-5D6E-409C-BE32-E72D297353CC}">
              <c16:uniqueId val="{00000002-D28A-4CA1-8217-019892A4331B}"/>
            </c:ext>
          </c:extLst>
        </c:ser>
        <c:ser>
          <c:idx val="3"/>
          <c:order val="3"/>
          <c:tx>
            <c:strRef>
              <c:f>List1!$H$3</c:f>
              <c:strCache>
                <c:ptCount val="1"/>
                <c:pt idx="0">
                  <c:v>2016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List1!$A$4:$A$11</c:f>
              <c:strCache>
                <c:ptCount val="8"/>
                <c:pt idx="0">
                  <c:v>Specializirani rejec pašne živine</c:v>
                </c:pt>
                <c:pt idx="1">
                  <c:v>Specializirani pridelovalec poljščin</c:v>
                </c:pt>
                <c:pt idx="2">
                  <c:v>Mešano rastlinska pridelava – živinoreja</c:v>
                </c:pt>
                <c:pt idx="3">
                  <c:v>Specializirani gojitelj trajnih nasadov</c:v>
                </c:pt>
                <c:pt idx="4">
                  <c:v>Mešana rastlinska pridelava</c:v>
                </c:pt>
                <c:pt idx="5">
                  <c:v>Mešana živinoreja</c:v>
                </c:pt>
                <c:pt idx="6">
                  <c:v>Specializirani vrtnar</c:v>
                </c:pt>
                <c:pt idx="7">
                  <c:v>Specializirani prašičerejci in perutninarji</c:v>
                </c:pt>
              </c:strCache>
            </c:strRef>
          </c:cat>
          <c:val>
            <c:numRef>
              <c:f>List1!$H$4:$H$11</c:f>
              <c:numCache>
                <c:formatCode>#,##0\ "€"</c:formatCode>
                <c:ptCount val="8"/>
                <c:pt idx="0">
                  <c:v>503913</c:v>
                </c:pt>
                <c:pt idx="1">
                  <c:v>106024</c:v>
                </c:pt>
                <c:pt idx="2">
                  <c:v>164152</c:v>
                </c:pt>
                <c:pt idx="3">
                  <c:v>160069</c:v>
                </c:pt>
                <c:pt idx="4">
                  <c:v>60449</c:v>
                </c:pt>
                <c:pt idx="5">
                  <c:v>42767</c:v>
                </c:pt>
                <c:pt idx="6">
                  <c:v>27631</c:v>
                </c:pt>
                <c:pt idx="7">
                  <c:v>93768</c:v>
                </c:pt>
              </c:numCache>
            </c:numRef>
          </c:val>
          <c:extLst>
            <c:ext xmlns:c16="http://schemas.microsoft.com/office/drawing/2014/chart" uri="{C3380CC4-5D6E-409C-BE32-E72D297353CC}">
              <c16:uniqueId val="{00000003-D28A-4CA1-8217-019892A4331B}"/>
            </c:ext>
          </c:extLst>
        </c:ser>
        <c:dLbls>
          <c:showLegendKey val="0"/>
          <c:showVal val="0"/>
          <c:showCatName val="0"/>
          <c:showSerName val="0"/>
          <c:showPercent val="0"/>
          <c:showBubbleSize val="0"/>
        </c:dLbls>
        <c:gapWidth val="150"/>
        <c:axId val="184504320"/>
        <c:axId val="184505856"/>
      </c:barChart>
      <c:catAx>
        <c:axId val="184504320"/>
        <c:scaling>
          <c:orientation val="minMax"/>
        </c:scaling>
        <c:delete val="0"/>
        <c:axPos val="l"/>
        <c:numFmt formatCode="General" sourceLinked="0"/>
        <c:majorTickMark val="out"/>
        <c:minorTickMark val="none"/>
        <c:tickLblPos val="nextTo"/>
        <c:crossAx val="184505856"/>
        <c:crosses val="autoZero"/>
        <c:auto val="1"/>
        <c:lblAlgn val="ctr"/>
        <c:lblOffset val="100"/>
        <c:noMultiLvlLbl val="0"/>
      </c:catAx>
      <c:valAx>
        <c:axId val="184505856"/>
        <c:scaling>
          <c:orientation val="minMax"/>
        </c:scaling>
        <c:delete val="0"/>
        <c:axPos val="b"/>
        <c:numFmt formatCode="#,##0\ &quot;€&quot;" sourceLinked="1"/>
        <c:majorTickMark val="out"/>
        <c:minorTickMark val="none"/>
        <c:tickLblPos val="nextTo"/>
        <c:crossAx val="184504320"/>
        <c:crosses val="autoZero"/>
        <c:crossBetween val="between"/>
      </c:valAx>
    </c:plotArea>
    <c:legend>
      <c:legendPos val="r"/>
      <c:layout>
        <c:manualLayout>
          <c:xMode val="edge"/>
          <c:yMode val="edge"/>
          <c:x val="0.89542145778560622"/>
          <c:y val="2.4050168770317289E-2"/>
          <c:w val="8.0285300113171587E-2"/>
          <c:h val="0.2937468449948506"/>
        </c:manualLayout>
      </c:layout>
      <c:overlay val="0"/>
    </c:legend>
    <c:plotVisOnly val="1"/>
    <c:dispBlanksAs val="gap"/>
    <c:showDLblsOverMax val="0"/>
  </c:chart>
  <c:spPr>
    <a:ln>
      <a:noFill/>
    </a:ln>
  </c:spPr>
  <c:txPr>
    <a:bodyPr/>
    <a:lstStyle/>
    <a:p>
      <a:pPr>
        <a:defRPr sz="800"/>
      </a:pPr>
      <a:endParaRPr lang="sl-SI"/>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0.41978</cdr:x>
      <cdr:y>0.94097</cdr:y>
    </cdr:from>
    <cdr:to>
      <cdr:x>0.68097</cdr:x>
      <cdr:y>0.97569</cdr:y>
    </cdr:to>
    <cdr:sp macro="" textlink="">
      <cdr:nvSpPr>
        <cdr:cNvPr id="2" name="PoljeZBesedilom 1"/>
        <cdr:cNvSpPr txBox="1"/>
      </cdr:nvSpPr>
      <cdr:spPr>
        <a:xfrm xmlns:a="http://schemas.openxmlformats.org/drawingml/2006/main">
          <a:off x="2143126" y="2581275"/>
          <a:ext cx="1333500" cy="95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l-SI" sz="1100"/>
        </a:p>
      </cdr:txBody>
    </cdr:sp>
  </cdr:relSizeAnchor>
  <cdr:relSizeAnchor xmlns:cdr="http://schemas.openxmlformats.org/drawingml/2006/chartDrawing">
    <cdr:from>
      <cdr:x>0.52052</cdr:x>
      <cdr:y>0.83923</cdr:y>
    </cdr:from>
    <cdr:to>
      <cdr:x>0.79851</cdr:x>
      <cdr:y>0.92605</cdr:y>
    </cdr:to>
    <cdr:sp macro="" textlink="">
      <cdr:nvSpPr>
        <cdr:cNvPr id="3" name="PoljeZBesedilom 2"/>
        <cdr:cNvSpPr txBox="1"/>
      </cdr:nvSpPr>
      <cdr:spPr>
        <a:xfrm xmlns:a="http://schemas.openxmlformats.org/drawingml/2006/main">
          <a:off x="2657476" y="2486025"/>
          <a:ext cx="141922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l-SI" sz="1000">
              <a:latin typeface="Arial" panose="020B0604020202020204" pitchFamily="34" charset="0"/>
              <a:cs typeface="Arial" panose="020B0604020202020204" pitchFamily="34" charset="0"/>
            </a:rPr>
            <a:t>Leto</a:t>
          </a:r>
        </a:p>
      </cdr:txBody>
    </cdr:sp>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A039FD2-660B-41D8-92C8-BF1E30915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134</Pages>
  <Words>44963</Words>
  <Characters>256290</Characters>
  <Application>Microsoft Office Word</Application>
  <DocSecurity>0</DocSecurity>
  <Lines>2135</Lines>
  <Paragraphs>601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300652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Urška Keše</dc:creator>
  <cp:keywords/>
  <dc:description/>
  <cp:lastModifiedBy>Lenart Skof</cp:lastModifiedBy>
  <cp:revision>2</cp:revision>
  <dcterms:created xsi:type="dcterms:W3CDTF">2020-11-10T15:20:00Z</dcterms:created>
  <dcterms:modified xsi:type="dcterms:W3CDTF">2020-11-10T15:20:00Z</dcterms:modified>
</cp:coreProperties>
</file>