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E856" w14:textId="77777777" w:rsidR="004F6D5C"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bookmarkStart w:id="0" w:name="_Hlk54768325"/>
      <w:bookmarkEnd w:id="0"/>
      <w:r>
        <w:rPr>
          <w:rFonts w:eastAsia="Arial"/>
          <w:noProof/>
          <w:sz w:val="16"/>
          <w:szCs w:val="16"/>
          <w:lang w:eastAsia="sl-SI"/>
        </w:rPr>
        <w:drawing>
          <wp:anchor distT="0" distB="0" distL="114300" distR="114300" simplePos="0" relativeHeight="251658240" behindDoc="1" locked="0" layoutInCell="1" allowOverlap="1" wp14:anchorId="3EDAAEC3" wp14:editId="74293098">
            <wp:simplePos x="0" y="0"/>
            <wp:positionH relativeFrom="page">
              <wp:posOffset>3639928</wp:posOffset>
            </wp:positionH>
            <wp:positionV relativeFrom="page">
              <wp:posOffset>1612517</wp:posOffset>
            </wp:positionV>
            <wp:extent cx="4170608" cy="1086928"/>
            <wp:effectExtent l="0" t="0" r="1905" b="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7DA73" w14:textId="77777777" w:rsidR="004F6D5C" w:rsidRDefault="00A32B9A"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Pr>
          <w:noProof/>
          <w:lang w:eastAsia="sl-SI"/>
        </w:rPr>
        <w:drawing>
          <wp:anchor distT="0" distB="0" distL="114300" distR="114300" simplePos="0" relativeHeight="251660288" behindDoc="1" locked="0" layoutInCell="1" allowOverlap="1" wp14:anchorId="53756D37" wp14:editId="7E134B56">
            <wp:simplePos x="0" y="0"/>
            <wp:positionH relativeFrom="margin">
              <wp:align>left</wp:align>
            </wp:positionH>
            <wp:positionV relativeFrom="paragraph">
              <wp:posOffset>85258</wp:posOffset>
            </wp:positionV>
            <wp:extent cx="2725200" cy="1036800"/>
            <wp:effectExtent l="0" t="0" r="0" b="0"/>
            <wp:wrapNone/>
            <wp:docPr id="100002" name="Slika 1000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Slika 100002">
                      <a:extLst>
                        <a:ext uri="{C183D7F6-B498-43B3-948B-1728B52AA6E4}">
                          <adec:decorative xmlns:adec="http://schemas.microsoft.com/office/drawing/2017/decorative" val="1"/>
                        </a:ext>
                      </a:extLst>
                    </pic:cNvPr>
                    <pic:cNvPicPr>
                      <a:picLocks noChangeAspect="1"/>
                    </pic:cNvPicPr>
                  </pic:nvPicPr>
                  <pic:blipFill>
                    <a:blip r:embed="rId10"/>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235431E4" w14:textId="77777777" w:rsidR="004F6D5C" w:rsidRPr="00003B4D"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b/>
          <w:sz w:val="16"/>
          <w:szCs w:val="16"/>
          <w:lang w:eastAsia="en-GB"/>
        </w:rPr>
      </w:pPr>
    </w:p>
    <w:p w14:paraId="700AAF92" w14:textId="77777777" w:rsidR="004F6D5C"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118D36F6" w14:textId="1DBB6BCD" w:rsidR="009A295B" w:rsidRDefault="009A295B"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3A235E21" w14:textId="77777777" w:rsidR="00445B26" w:rsidRDefault="00445B26" w:rsidP="00445B26">
      <w:pPr>
        <w:pBdr>
          <w:top w:val="single" w:sz="4" w:space="1" w:color="auto"/>
          <w:left w:val="single" w:sz="4" w:space="1" w:color="auto"/>
          <w:bottom w:val="single" w:sz="4" w:space="1" w:color="auto"/>
          <w:right w:val="single" w:sz="4" w:space="1" w:color="auto"/>
        </w:pBdr>
        <w:spacing w:after="0" w:line="240" w:lineRule="auto"/>
        <w:rPr>
          <w:rFonts w:eastAsia="Malgun Gothic"/>
          <w:b/>
          <w:color w:val="92D050"/>
          <w:sz w:val="72"/>
          <w:szCs w:val="72"/>
          <w:lang w:val="de-DE" w:eastAsia="en-GB"/>
        </w:rPr>
      </w:pPr>
    </w:p>
    <w:p w14:paraId="71823F8D" w14:textId="77777777" w:rsidR="004F6D5C"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r w:rsidRPr="004F6D5C">
        <w:rPr>
          <w:rFonts w:eastAsia="Malgun Gothic"/>
          <w:b/>
          <w:color w:val="92D050"/>
          <w:sz w:val="72"/>
          <w:szCs w:val="72"/>
          <w:lang w:val="de-DE" w:eastAsia="en-GB"/>
        </w:rPr>
        <w:t>STRATEŠKI NAČRT SKUPNE KMETIJSKE POLITIKE 2021–2027</w:t>
      </w:r>
    </w:p>
    <w:p w14:paraId="2CCCE94D" w14:textId="77777777" w:rsidR="004F6D5C" w:rsidRPr="004F6D5C" w:rsidRDefault="004F6D5C" w:rsidP="004F6D5C">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72"/>
          <w:szCs w:val="72"/>
          <w:lang w:val="de-DE" w:eastAsia="en-GB"/>
        </w:rPr>
      </w:pPr>
    </w:p>
    <w:p w14:paraId="67D77A37" w14:textId="7C09C444" w:rsidR="004F6D5C" w:rsidRPr="00445B26" w:rsidRDefault="00FE1E32" w:rsidP="00445B26">
      <w:pPr>
        <w:pBdr>
          <w:top w:val="single" w:sz="4" w:space="1" w:color="auto"/>
          <w:left w:val="single" w:sz="4" w:space="1" w:color="auto"/>
          <w:bottom w:val="single" w:sz="4" w:space="1" w:color="auto"/>
          <w:right w:val="single" w:sz="4" w:space="1" w:color="auto"/>
        </w:pBdr>
        <w:spacing w:after="0" w:line="240" w:lineRule="auto"/>
        <w:jc w:val="center"/>
        <w:rPr>
          <w:rFonts w:eastAsia="Malgun Gothic"/>
          <w:b/>
          <w:color w:val="92D050"/>
          <w:sz w:val="52"/>
          <w:szCs w:val="52"/>
          <w:lang w:val="de-DE" w:eastAsia="en-GB"/>
        </w:rPr>
      </w:pPr>
      <w:r>
        <w:rPr>
          <w:rFonts w:eastAsia="Malgun Gothic"/>
          <w:b/>
          <w:color w:val="92D050"/>
          <w:sz w:val="52"/>
          <w:szCs w:val="52"/>
          <w:lang w:val="de-DE" w:eastAsia="en-GB"/>
        </w:rPr>
        <w:t>SPECIFIČNI CILJ 9</w:t>
      </w:r>
      <w:r w:rsidR="004F6D5C" w:rsidRPr="004F6D5C">
        <w:rPr>
          <w:rFonts w:eastAsia="Malgun Gothic"/>
          <w:b/>
          <w:color w:val="92D050"/>
          <w:sz w:val="52"/>
          <w:szCs w:val="52"/>
          <w:lang w:val="de-DE" w:eastAsia="en-GB"/>
        </w:rPr>
        <w:t xml:space="preserve">: </w:t>
      </w:r>
      <w:r>
        <w:rPr>
          <w:rFonts w:eastAsia="Malgun Gothic"/>
          <w:b/>
          <w:color w:val="92D050"/>
          <w:sz w:val="52"/>
          <w:szCs w:val="52"/>
          <w:lang w:val="de-DE" w:eastAsia="en-GB"/>
        </w:rPr>
        <w:t>IZBOLJŠANJE ODZIVA KMETIJSTVA EU NA POTREBE DRUŽBE PO HRANI IN ZDRAVJU, VKLJUČNO Z ZDRAVO, HRANLJIVO IN TRAJNOSTNO HRANO, TER DOBROBITI ŽIVALI</w:t>
      </w:r>
    </w:p>
    <w:p w14:paraId="50788B50" w14:textId="77777777" w:rsidR="004F6D5C"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3B855527" w14:textId="77777777" w:rsidR="004F6D5C" w:rsidRPr="00003B4D" w:rsidRDefault="004F6D5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003B4D">
        <w:rPr>
          <w:rFonts w:eastAsia="Times New Roman"/>
          <w:b/>
          <w:color w:val="92D050"/>
          <w:sz w:val="28"/>
          <w:szCs w:val="28"/>
          <w:lang w:eastAsia="en-GB"/>
        </w:rPr>
        <w:t>ANALIZA STANJA</w:t>
      </w:r>
    </w:p>
    <w:p w14:paraId="052091E3" w14:textId="77777777" w:rsidR="004F6D5C" w:rsidRPr="00003B4D" w:rsidRDefault="008875EC" w:rsidP="004F6D5C">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003B4D">
        <w:rPr>
          <w:rFonts w:eastAsia="Times New Roman"/>
          <w:b/>
          <w:color w:val="92D050"/>
          <w:sz w:val="28"/>
          <w:szCs w:val="28"/>
          <w:lang w:eastAsia="en-GB"/>
        </w:rPr>
        <w:t xml:space="preserve">ANALIZA </w:t>
      </w:r>
      <w:r w:rsidR="004F6D5C" w:rsidRPr="00003B4D">
        <w:rPr>
          <w:rFonts w:eastAsia="Times New Roman"/>
          <w:b/>
          <w:color w:val="92D050"/>
          <w:sz w:val="28"/>
          <w:szCs w:val="28"/>
          <w:lang w:eastAsia="en-GB"/>
        </w:rPr>
        <w:t xml:space="preserve">SWOT </w:t>
      </w:r>
    </w:p>
    <w:p w14:paraId="73D6F798" w14:textId="79DEFCD7" w:rsidR="00087002" w:rsidRPr="00445B26" w:rsidRDefault="004F6D5C" w:rsidP="00445B26">
      <w:pPr>
        <w:pBdr>
          <w:top w:val="single" w:sz="4" w:space="1" w:color="auto"/>
          <w:left w:val="single" w:sz="4" w:space="1" w:color="auto"/>
          <w:bottom w:val="single" w:sz="4" w:space="1" w:color="auto"/>
          <w:right w:val="single" w:sz="4" w:space="1" w:color="auto"/>
        </w:pBdr>
        <w:spacing w:before="120" w:after="0" w:line="360" w:lineRule="auto"/>
        <w:jc w:val="center"/>
        <w:rPr>
          <w:rFonts w:eastAsia="Times New Roman"/>
          <w:b/>
          <w:color w:val="92D050"/>
          <w:sz w:val="28"/>
          <w:szCs w:val="28"/>
          <w:lang w:eastAsia="en-GB"/>
        </w:rPr>
      </w:pPr>
      <w:r w:rsidRPr="00003B4D">
        <w:rPr>
          <w:rFonts w:eastAsia="Times New Roman"/>
          <w:b/>
          <w:color w:val="92D050"/>
          <w:sz w:val="28"/>
          <w:szCs w:val="28"/>
          <w:lang w:eastAsia="en-GB"/>
        </w:rPr>
        <w:t>O</w:t>
      </w:r>
      <w:r w:rsidR="0059195F">
        <w:rPr>
          <w:rFonts w:eastAsia="Times New Roman"/>
          <w:b/>
          <w:color w:val="92D050"/>
          <w:sz w:val="28"/>
          <w:szCs w:val="28"/>
          <w:lang w:eastAsia="en-GB"/>
        </w:rPr>
        <w:t>PREDELITEV</w:t>
      </w:r>
      <w:r w:rsidRPr="00003B4D">
        <w:rPr>
          <w:rFonts w:eastAsia="Times New Roman"/>
          <w:b/>
          <w:color w:val="92D050"/>
          <w:sz w:val="28"/>
          <w:szCs w:val="28"/>
          <w:lang w:eastAsia="en-GB"/>
        </w:rPr>
        <w:t xml:space="preserve"> POTRE</w:t>
      </w:r>
      <w:r w:rsidR="00445B26">
        <w:rPr>
          <w:rFonts w:eastAsia="Times New Roman"/>
          <w:b/>
          <w:color w:val="92D050"/>
          <w:sz w:val="28"/>
          <w:szCs w:val="28"/>
          <w:lang w:eastAsia="en-GB"/>
        </w:rPr>
        <w:t>V</w:t>
      </w:r>
    </w:p>
    <w:p w14:paraId="1F07D722" w14:textId="72B251E6" w:rsidR="004B51C6"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center"/>
        <w:rPr>
          <w:rFonts w:eastAsia="Malgun Gothic"/>
          <w:szCs w:val="24"/>
          <w:lang w:eastAsia="en-GB"/>
        </w:rPr>
      </w:pPr>
      <w:r w:rsidRPr="00087002">
        <w:rPr>
          <w:rFonts w:eastAsia="Malgun Gothic"/>
          <w:szCs w:val="24"/>
          <w:lang w:eastAsia="en-GB"/>
        </w:rPr>
        <w:t xml:space="preserve">Ljubljana, </w:t>
      </w:r>
    </w:p>
    <w:p w14:paraId="18E582CC" w14:textId="284B7ACA" w:rsidR="004F6D5C" w:rsidRPr="00087002" w:rsidRDefault="004B51C6" w:rsidP="004F6D5C">
      <w:pPr>
        <w:pBdr>
          <w:top w:val="single" w:sz="4" w:space="1" w:color="auto"/>
          <w:left w:val="single" w:sz="4" w:space="1" w:color="auto"/>
          <w:bottom w:val="single" w:sz="4" w:space="1" w:color="auto"/>
          <w:right w:val="single" w:sz="4" w:space="1" w:color="auto"/>
        </w:pBdr>
        <w:spacing w:before="120" w:after="0" w:line="264" w:lineRule="auto"/>
        <w:jc w:val="center"/>
        <w:rPr>
          <w:rFonts w:eastAsia="Malgun Gothic"/>
          <w:szCs w:val="24"/>
          <w:lang w:eastAsia="en-GB"/>
        </w:rPr>
      </w:pPr>
      <w:r>
        <w:rPr>
          <w:rFonts w:eastAsia="Malgun Gothic"/>
          <w:szCs w:val="24"/>
          <w:lang w:eastAsia="en-GB"/>
        </w:rPr>
        <w:t>november</w:t>
      </w:r>
      <w:r w:rsidRPr="00087002">
        <w:rPr>
          <w:rFonts w:eastAsia="Malgun Gothic"/>
          <w:szCs w:val="24"/>
          <w:lang w:eastAsia="en-GB"/>
        </w:rPr>
        <w:t xml:space="preserve"> </w:t>
      </w:r>
      <w:r w:rsidR="004F6D5C" w:rsidRPr="00087002">
        <w:rPr>
          <w:rFonts w:eastAsia="Malgun Gothic"/>
          <w:szCs w:val="24"/>
          <w:lang w:eastAsia="en-GB"/>
        </w:rPr>
        <w:t>2020</w:t>
      </w:r>
    </w:p>
    <w:p w14:paraId="37D79A43" w14:textId="77777777" w:rsidR="004F6D5C" w:rsidRDefault="004F6D5C" w:rsidP="004F6D5C">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p>
    <w:p w14:paraId="61DA1249" w14:textId="05FC67EB" w:rsidR="00342C52" w:rsidRPr="00342C52" w:rsidRDefault="004F6D5C" w:rsidP="00672EFA">
      <w:pPr>
        <w:pBdr>
          <w:top w:val="single" w:sz="4" w:space="1" w:color="auto"/>
          <w:left w:val="single" w:sz="4" w:space="1" w:color="auto"/>
          <w:bottom w:val="single" w:sz="4" w:space="1" w:color="auto"/>
          <w:right w:val="single" w:sz="4" w:space="1" w:color="auto"/>
        </w:pBdr>
        <w:spacing w:before="120" w:after="0" w:line="264" w:lineRule="auto"/>
        <w:jc w:val="both"/>
        <w:rPr>
          <w:rFonts w:eastAsia="Arial"/>
          <w:sz w:val="16"/>
          <w:szCs w:val="16"/>
          <w:lang w:eastAsia="en-GB"/>
        </w:rPr>
      </w:pPr>
      <w:r w:rsidRPr="00003B4D">
        <w:rPr>
          <w:rFonts w:eastAsia="Arial"/>
          <w:sz w:val="16"/>
          <w:szCs w:val="16"/>
          <w:lang w:eastAsia="en-GB"/>
        </w:rPr>
        <w:lastRenderedPageBreak/>
        <w:t xml:space="preserve">Ta dokument predstavlja osnutek analize stanja, analize SWOT ter </w:t>
      </w:r>
      <w:r>
        <w:rPr>
          <w:rFonts w:eastAsia="Arial"/>
          <w:sz w:val="16"/>
          <w:szCs w:val="16"/>
          <w:lang w:eastAsia="en-GB"/>
        </w:rPr>
        <w:t>opredelitev</w:t>
      </w:r>
      <w:r w:rsidRPr="00003B4D">
        <w:rPr>
          <w:rFonts w:eastAsia="Arial"/>
          <w:sz w:val="16"/>
          <w:szCs w:val="16"/>
          <w:lang w:eastAsia="en-GB"/>
        </w:rPr>
        <w:t xml:space="preserve"> potreb za Strateški načrt SKP 2021</w:t>
      </w:r>
      <w:r w:rsidRPr="003D18C9">
        <w:rPr>
          <w:rFonts w:eastAsia="Arial"/>
          <w:sz w:val="16"/>
          <w:szCs w:val="16"/>
          <w:lang w:eastAsia="en-GB"/>
        </w:rPr>
        <w:t>−</w:t>
      </w:r>
      <w:r w:rsidRPr="00003B4D">
        <w:rPr>
          <w:rFonts w:eastAsia="Arial"/>
          <w:sz w:val="16"/>
          <w:szCs w:val="16"/>
          <w:lang w:eastAsia="en-GB"/>
        </w:rPr>
        <w:t>2027. Gre za delovni dokument, ki je podlaga za razpravo in nadaljnje delo pri pripravi Strateškega načrta SKP 2021</w:t>
      </w:r>
      <w:r w:rsidRPr="003D18C9">
        <w:rPr>
          <w:rFonts w:eastAsia="Arial"/>
          <w:sz w:val="16"/>
          <w:szCs w:val="16"/>
          <w:lang w:eastAsia="en-GB"/>
        </w:rPr>
        <w:t>−</w:t>
      </w:r>
      <w:r w:rsidRPr="00003B4D">
        <w:rPr>
          <w:rFonts w:eastAsia="Arial"/>
          <w:sz w:val="16"/>
          <w:szCs w:val="16"/>
          <w:lang w:eastAsia="en-GB"/>
        </w:rPr>
        <w:t>2027. Vsebine, predstavljene v tem delovnem dokumentu, se lahko spremenijo in med nadaljnjo razpravo ustrezno prilagodijo.</w:t>
      </w:r>
    </w:p>
    <w:sdt>
      <w:sdtPr>
        <w:rPr>
          <w:rFonts w:ascii="Arial" w:eastAsiaTheme="minorHAnsi" w:hAnsi="Arial" w:cs="Arial"/>
          <w:b w:val="0"/>
          <w:bCs w:val="0"/>
          <w:color w:val="auto"/>
          <w:sz w:val="24"/>
          <w:szCs w:val="20"/>
          <w:lang w:eastAsia="en-US"/>
        </w:rPr>
        <w:id w:val="545950161"/>
        <w:docPartObj>
          <w:docPartGallery w:val="Table of Contents"/>
          <w:docPartUnique/>
        </w:docPartObj>
      </w:sdtPr>
      <w:sdtEndPr/>
      <w:sdtContent>
        <w:p w14:paraId="7DD3C96B" w14:textId="6A325D1D" w:rsidR="00342C52" w:rsidRPr="00F80C74" w:rsidRDefault="00F80C74">
          <w:pPr>
            <w:pStyle w:val="NaslovTOC"/>
            <w:rPr>
              <w:rFonts w:ascii="Arial" w:hAnsi="Arial" w:cs="Arial"/>
            </w:rPr>
          </w:pPr>
          <w:r w:rsidRPr="00F80C74">
            <w:rPr>
              <w:rFonts w:ascii="Arial" w:hAnsi="Arial" w:cs="Arial"/>
            </w:rPr>
            <w:t xml:space="preserve">Kazalo </w:t>
          </w:r>
        </w:p>
        <w:p w14:paraId="69906ABB" w14:textId="77777777" w:rsidR="00E15A45" w:rsidRDefault="00342C52">
          <w:pPr>
            <w:pStyle w:val="Kazalovsebine3"/>
            <w:tabs>
              <w:tab w:val="right" w:leader="dot" w:pos="9062"/>
            </w:tabs>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55547414" w:history="1">
            <w:r w:rsidR="00E15A45" w:rsidRPr="005970C2">
              <w:rPr>
                <w:rStyle w:val="Hiperpovezava"/>
                <w:noProof/>
              </w:rPr>
              <w:t>SEZNAM UPORABLJENIH KRATIC IN SIMBOLOV</w:t>
            </w:r>
            <w:r w:rsidR="00E15A45">
              <w:rPr>
                <w:noProof/>
                <w:webHidden/>
              </w:rPr>
              <w:tab/>
            </w:r>
            <w:r w:rsidR="00E15A45">
              <w:rPr>
                <w:noProof/>
                <w:webHidden/>
              </w:rPr>
              <w:fldChar w:fldCharType="begin"/>
            </w:r>
            <w:r w:rsidR="00E15A45">
              <w:rPr>
                <w:noProof/>
                <w:webHidden/>
              </w:rPr>
              <w:instrText xml:space="preserve"> PAGEREF _Toc55547414 \h </w:instrText>
            </w:r>
            <w:r w:rsidR="00E15A45">
              <w:rPr>
                <w:noProof/>
                <w:webHidden/>
              </w:rPr>
            </w:r>
            <w:r w:rsidR="00E15A45">
              <w:rPr>
                <w:noProof/>
                <w:webHidden/>
              </w:rPr>
              <w:fldChar w:fldCharType="separate"/>
            </w:r>
            <w:r w:rsidR="00E15A45">
              <w:rPr>
                <w:noProof/>
                <w:webHidden/>
              </w:rPr>
              <w:t>4</w:t>
            </w:r>
            <w:r w:rsidR="00E15A45">
              <w:rPr>
                <w:noProof/>
                <w:webHidden/>
              </w:rPr>
              <w:fldChar w:fldCharType="end"/>
            </w:r>
          </w:hyperlink>
        </w:p>
        <w:p w14:paraId="42916257" w14:textId="77777777" w:rsidR="00E15A45" w:rsidRDefault="00CF4D37">
          <w:pPr>
            <w:pStyle w:val="Kazalovsebine3"/>
            <w:tabs>
              <w:tab w:val="right" w:leader="dot" w:pos="9062"/>
            </w:tabs>
            <w:rPr>
              <w:rFonts w:asciiTheme="minorHAnsi" w:eastAsiaTheme="minorEastAsia" w:hAnsiTheme="minorHAnsi" w:cstheme="minorBidi"/>
              <w:noProof/>
              <w:sz w:val="22"/>
              <w:szCs w:val="22"/>
              <w:lang w:eastAsia="sl-SI"/>
            </w:rPr>
          </w:pPr>
          <w:hyperlink w:anchor="_Toc55547433" w:history="1">
            <w:r w:rsidR="00E15A45" w:rsidRPr="005970C2">
              <w:rPr>
                <w:rStyle w:val="Hiperpovezava"/>
                <w:noProof/>
              </w:rPr>
              <w:t>POVZETEK</w:t>
            </w:r>
            <w:r w:rsidR="00E15A45">
              <w:rPr>
                <w:noProof/>
                <w:webHidden/>
              </w:rPr>
              <w:tab/>
            </w:r>
            <w:r w:rsidR="00E15A45">
              <w:rPr>
                <w:noProof/>
                <w:webHidden/>
              </w:rPr>
              <w:fldChar w:fldCharType="begin"/>
            </w:r>
            <w:r w:rsidR="00E15A45">
              <w:rPr>
                <w:noProof/>
                <w:webHidden/>
              </w:rPr>
              <w:instrText xml:space="preserve"> PAGEREF _Toc55547433 \h </w:instrText>
            </w:r>
            <w:r w:rsidR="00E15A45">
              <w:rPr>
                <w:noProof/>
                <w:webHidden/>
              </w:rPr>
            </w:r>
            <w:r w:rsidR="00E15A45">
              <w:rPr>
                <w:noProof/>
                <w:webHidden/>
              </w:rPr>
              <w:fldChar w:fldCharType="separate"/>
            </w:r>
            <w:r w:rsidR="00E15A45">
              <w:rPr>
                <w:noProof/>
                <w:webHidden/>
              </w:rPr>
              <w:t>5</w:t>
            </w:r>
            <w:r w:rsidR="00E15A45">
              <w:rPr>
                <w:noProof/>
                <w:webHidden/>
              </w:rPr>
              <w:fldChar w:fldCharType="end"/>
            </w:r>
          </w:hyperlink>
        </w:p>
        <w:p w14:paraId="5E7677F9"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34" w:history="1">
            <w:r w:rsidR="00E15A45" w:rsidRPr="005970C2">
              <w:rPr>
                <w:rStyle w:val="Hiperpovezava"/>
                <w:rFonts w:eastAsia="Calibri"/>
                <w:b/>
                <w:bCs/>
                <w:noProof/>
              </w:rPr>
              <w:t>1.</w:t>
            </w:r>
            <w:r w:rsidR="00E15A45">
              <w:rPr>
                <w:rFonts w:asciiTheme="minorHAnsi" w:eastAsiaTheme="minorEastAsia" w:hAnsiTheme="minorHAnsi" w:cstheme="minorBidi"/>
                <w:noProof/>
                <w:sz w:val="22"/>
                <w:szCs w:val="22"/>
                <w:lang w:eastAsia="sl-SI"/>
              </w:rPr>
              <w:tab/>
            </w:r>
            <w:r w:rsidR="00E15A45" w:rsidRPr="005970C2">
              <w:rPr>
                <w:rStyle w:val="Hiperpovezava"/>
                <w:rFonts w:eastAsia="Calibri"/>
                <w:b/>
                <w:bCs/>
                <w:noProof/>
              </w:rPr>
              <w:t>VARNA HRANA</w:t>
            </w:r>
            <w:r w:rsidR="00E15A45">
              <w:rPr>
                <w:noProof/>
                <w:webHidden/>
              </w:rPr>
              <w:tab/>
            </w:r>
            <w:r w:rsidR="00E15A45">
              <w:rPr>
                <w:noProof/>
                <w:webHidden/>
              </w:rPr>
              <w:fldChar w:fldCharType="begin"/>
            </w:r>
            <w:r w:rsidR="00E15A45">
              <w:rPr>
                <w:noProof/>
                <w:webHidden/>
              </w:rPr>
              <w:instrText xml:space="preserve"> PAGEREF _Toc55547434 \h </w:instrText>
            </w:r>
            <w:r w:rsidR="00E15A45">
              <w:rPr>
                <w:noProof/>
                <w:webHidden/>
              </w:rPr>
            </w:r>
            <w:r w:rsidR="00E15A45">
              <w:rPr>
                <w:noProof/>
                <w:webHidden/>
              </w:rPr>
              <w:fldChar w:fldCharType="separate"/>
            </w:r>
            <w:r w:rsidR="00E15A45">
              <w:rPr>
                <w:noProof/>
                <w:webHidden/>
              </w:rPr>
              <w:t>9</w:t>
            </w:r>
            <w:r w:rsidR="00E15A45">
              <w:rPr>
                <w:noProof/>
                <w:webHidden/>
              </w:rPr>
              <w:fldChar w:fldCharType="end"/>
            </w:r>
          </w:hyperlink>
        </w:p>
        <w:p w14:paraId="01E57988"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35" w:history="1">
            <w:r w:rsidR="00E15A45" w:rsidRPr="005970C2">
              <w:rPr>
                <w:rStyle w:val="Hiperpovezava"/>
                <w:rFonts w:eastAsia="Calibri"/>
                <w:b/>
                <w:bCs/>
                <w:noProof/>
              </w:rPr>
              <w:t>2.</w:t>
            </w:r>
            <w:r w:rsidR="00E15A45">
              <w:rPr>
                <w:rFonts w:asciiTheme="minorHAnsi" w:eastAsiaTheme="minorEastAsia" w:hAnsiTheme="minorHAnsi" w:cstheme="minorBidi"/>
                <w:noProof/>
                <w:sz w:val="22"/>
                <w:szCs w:val="22"/>
                <w:lang w:eastAsia="sl-SI"/>
              </w:rPr>
              <w:tab/>
            </w:r>
            <w:r w:rsidR="00E15A45" w:rsidRPr="005970C2">
              <w:rPr>
                <w:rStyle w:val="Hiperpovezava"/>
                <w:rFonts w:eastAsia="Calibri"/>
                <w:b/>
                <w:bCs/>
                <w:noProof/>
              </w:rPr>
              <w:t>ZDRAVILA ZA ŽIVALI</w:t>
            </w:r>
            <w:r w:rsidR="00E15A45">
              <w:rPr>
                <w:noProof/>
                <w:webHidden/>
              </w:rPr>
              <w:tab/>
            </w:r>
            <w:r w:rsidR="00E15A45">
              <w:rPr>
                <w:noProof/>
                <w:webHidden/>
              </w:rPr>
              <w:fldChar w:fldCharType="begin"/>
            </w:r>
            <w:r w:rsidR="00E15A45">
              <w:rPr>
                <w:noProof/>
                <w:webHidden/>
              </w:rPr>
              <w:instrText xml:space="preserve"> PAGEREF _Toc55547435 \h </w:instrText>
            </w:r>
            <w:r w:rsidR="00E15A45">
              <w:rPr>
                <w:noProof/>
                <w:webHidden/>
              </w:rPr>
            </w:r>
            <w:r w:rsidR="00E15A45">
              <w:rPr>
                <w:noProof/>
                <w:webHidden/>
              </w:rPr>
              <w:fldChar w:fldCharType="separate"/>
            </w:r>
            <w:r w:rsidR="00E15A45">
              <w:rPr>
                <w:noProof/>
                <w:webHidden/>
              </w:rPr>
              <w:t>10</w:t>
            </w:r>
            <w:r w:rsidR="00E15A45">
              <w:rPr>
                <w:noProof/>
                <w:webHidden/>
              </w:rPr>
              <w:fldChar w:fldCharType="end"/>
            </w:r>
          </w:hyperlink>
        </w:p>
        <w:p w14:paraId="5B74035D"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36" w:history="1">
            <w:r w:rsidR="00E15A45" w:rsidRPr="005970C2">
              <w:rPr>
                <w:rStyle w:val="Hiperpovezava"/>
                <w:noProof/>
              </w:rPr>
              <w:t>2.1 Zakonodaja</w:t>
            </w:r>
            <w:r w:rsidR="00E15A45">
              <w:rPr>
                <w:noProof/>
                <w:webHidden/>
              </w:rPr>
              <w:tab/>
            </w:r>
            <w:r w:rsidR="00E15A45">
              <w:rPr>
                <w:noProof/>
                <w:webHidden/>
              </w:rPr>
              <w:fldChar w:fldCharType="begin"/>
            </w:r>
            <w:r w:rsidR="00E15A45">
              <w:rPr>
                <w:noProof/>
                <w:webHidden/>
              </w:rPr>
              <w:instrText xml:space="preserve"> PAGEREF _Toc55547436 \h </w:instrText>
            </w:r>
            <w:r w:rsidR="00E15A45">
              <w:rPr>
                <w:noProof/>
                <w:webHidden/>
              </w:rPr>
            </w:r>
            <w:r w:rsidR="00E15A45">
              <w:rPr>
                <w:noProof/>
                <w:webHidden/>
              </w:rPr>
              <w:fldChar w:fldCharType="separate"/>
            </w:r>
            <w:r w:rsidR="00E15A45">
              <w:rPr>
                <w:noProof/>
                <w:webHidden/>
              </w:rPr>
              <w:t>14</w:t>
            </w:r>
            <w:r w:rsidR="00E15A45">
              <w:rPr>
                <w:noProof/>
                <w:webHidden/>
              </w:rPr>
              <w:fldChar w:fldCharType="end"/>
            </w:r>
          </w:hyperlink>
        </w:p>
        <w:p w14:paraId="0CB1E008"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37" w:history="1">
            <w:r w:rsidR="00E15A45" w:rsidRPr="005970C2">
              <w:rPr>
                <w:rStyle w:val="Hiperpovezava"/>
                <w:noProof/>
              </w:rPr>
              <w:t>2.2 Ključne ugotovitve</w:t>
            </w:r>
            <w:r w:rsidR="00E15A45">
              <w:rPr>
                <w:noProof/>
                <w:webHidden/>
              </w:rPr>
              <w:tab/>
            </w:r>
            <w:r w:rsidR="00E15A45">
              <w:rPr>
                <w:noProof/>
                <w:webHidden/>
              </w:rPr>
              <w:fldChar w:fldCharType="begin"/>
            </w:r>
            <w:r w:rsidR="00E15A45">
              <w:rPr>
                <w:noProof/>
                <w:webHidden/>
              </w:rPr>
              <w:instrText xml:space="preserve"> PAGEREF _Toc55547437 \h </w:instrText>
            </w:r>
            <w:r w:rsidR="00E15A45">
              <w:rPr>
                <w:noProof/>
                <w:webHidden/>
              </w:rPr>
            </w:r>
            <w:r w:rsidR="00E15A45">
              <w:rPr>
                <w:noProof/>
                <w:webHidden/>
              </w:rPr>
              <w:fldChar w:fldCharType="separate"/>
            </w:r>
            <w:r w:rsidR="00E15A45">
              <w:rPr>
                <w:noProof/>
                <w:webHidden/>
              </w:rPr>
              <w:t>14</w:t>
            </w:r>
            <w:r w:rsidR="00E15A45">
              <w:rPr>
                <w:noProof/>
                <w:webHidden/>
              </w:rPr>
              <w:fldChar w:fldCharType="end"/>
            </w:r>
          </w:hyperlink>
        </w:p>
        <w:p w14:paraId="1EEC43D6"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38" w:history="1">
            <w:r w:rsidR="00E15A45" w:rsidRPr="005970C2">
              <w:rPr>
                <w:rStyle w:val="Hiperpovezava"/>
                <w:rFonts w:eastAsia="Arial"/>
                <w:b/>
                <w:bCs/>
                <w:noProof/>
              </w:rPr>
              <w:t>3.</w:t>
            </w:r>
            <w:r w:rsidR="00E15A45">
              <w:rPr>
                <w:rFonts w:asciiTheme="minorHAnsi" w:eastAsiaTheme="minorEastAsia" w:hAnsiTheme="minorHAnsi" w:cstheme="minorBidi"/>
                <w:noProof/>
                <w:sz w:val="22"/>
                <w:szCs w:val="22"/>
                <w:lang w:eastAsia="sl-SI"/>
              </w:rPr>
              <w:tab/>
            </w:r>
            <w:r w:rsidR="00E15A45" w:rsidRPr="005970C2">
              <w:rPr>
                <w:rStyle w:val="Hiperpovezava"/>
                <w:rFonts w:eastAsia="Arial"/>
                <w:b/>
                <w:bCs/>
                <w:noProof/>
              </w:rPr>
              <w:t>PESTICIDI</w:t>
            </w:r>
            <w:r w:rsidR="00E15A45">
              <w:rPr>
                <w:noProof/>
                <w:webHidden/>
              </w:rPr>
              <w:tab/>
            </w:r>
            <w:r w:rsidR="00E15A45">
              <w:rPr>
                <w:noProof/>
                <w:webHidden/>
              </w:rPr>
              <w:fldChar w:fldCharType="begin"/>
            </w:r>
            <w:r w:rsidR="00E15A45">
              <w:rPr>
                <w:noProof/>
                <w:webHidden/>
              </w:rPr>
              <w:instrText xml:space="preserve"> PAGEREF _Toc55547438 \h </w:instrText>
            </w:r>
            <w:r w:rsidR="00E15A45">
              <w:rPr>
                <w:noProof/>
                <w:webHidden/>
              </w:rPr>
            </w:r>
            <w:r w:rsidR="00E15A45">
              <w:rPr>
                <w:noProof/>
                <w:webHidden/>
              </w:rPr>
              <w:fldChar w:fldCharType="separate"/>
            </w:r>
            <w:r w:rsidR="00E15A45">
              <w:rPr>
                <w:noProof/>
                <w:webHidden/>
              </w:rPr>
              <w:t>14</w:t>
            </w:r>
            <w:r w:rsidR="00E15A45">
              <w:rPr>
                <w:noProof/>
                <w:webHidden/>
              </w:rPr>
              <w:fldChar w:fldCharType="end"/>
            </w:r>
          </w:hyperlink>
        </w:p>
        <w:p w14:paraId="68F333AB"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39" w:history="1">
            <w:r w:rsidR="00E15A45" w:rsidRPr="005970C2">
              <w:rPr>
                <w:rStyle w:val="Hiperpovezava"/>
                <w:noProof/>
              </w:rPr>
              <w:t>3.1 Podatki prodaji FFS</w:t>
            </w:r>
            <w:r w:rsidR="00E15A45">
              <w:rPr>
                <w:noProof/>
                <w:webHidden/>
              </w:rPr>
              <w:tab/>
            </w:r>
            <w:r w:rsidR="00E15A45">
              <w:rPr>
                <w:noProof/>
                <w:webHidden/>
              </w:rPr>
              <w:fldChar w:fldCharType="begin"/>
            </w:r>
            <w:r w:rsidR="00E15A45">
              <w:rPr>
                <w:noProof/>
                <w:webHidden/>
              </w:rPr>
              <w:instrText xml:space="preserve"> PAGEREF _Toc55547439 \h </w:instrText>
            </w:r>
            <w:r w:rsidR="00E15A45">
              <w:rPr>
                <w:noProof/>
                <w:webHidden/>
              </w:rPr>
            </w:r>
            <w:r w:rsidR="00E15A45">
              <w:rPr>
                <w:noProof/>
                <w:webHidden/>
              </w:rPr>
              <w:fldChar w:fldCharType="separate"/>
            </w:r>
            <w:r w:rsidR="00E15A45">
              <w:rPr>
                <w:noProof/>
                <w:webHidden/>
              </w:rPr>
              <w:t>15</w:t>
            </w:r>
            <w:r w:rsidR="00E15A45">
              <w:rPr>
                <w:noProof/>
                <w:webHidden/>
              </w:rPr>
              <w:fldChar w:fldCharType="end"/>
            </w:r>
          </w:hyperlink>
        </w:p>
        <w:p w14:paraId="55121989"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0" w:history="1">
            <w:r w:rsidR="00E15A45" w:rsidRPr="005970C2">
              <w:rPr>
                <w:rStyle w:val="Hiperpovezava"/>
                <w:noProof/>
              </w:rPr>
              <w:t>3.2 Podatki o rabi FFS pri uporabnikih</w:t>
            </w:r>
            <w:r w:rsidR="00E15A45">
              <w:rPr>
                <w:noProof/>
                <w:webHidden/>
              </w:rPr>
              <w:tab/>
            </w:r>
            <w:r w:rsidR="00E15A45">
              <w:rPr>
                <w:noProof/>
                <w:webHidden/>
              </w:rPr>
              <w:fldChar w:fldCharType="begin"/>
            </w:r>
            <w:r w:rsidR="00E15A45">
              <w:rPr>
                <w:noProof/>
                <w:webHidden/>
              </w:rPr>
              <w:instrText xml:space="preserve"> PAGEREF _Toc55547440 \h </w:instrText>
            </w:r>
            <w:r w:rsidR="00E15A45">
              <w:rPr>
                <w:noProof/>
                <w:webHidden/>
              </w:rPr>
            </w:r>
            <w:r w:rsidR="00E15A45">
              <w:rPr>
                <w:noProof/>
                <w:webHidden/>
              </w:rPr>
              <w:fldChar w:fldCharType="separate"/>
            </w:r>
            <w:r w:rsidR="00E15A45">
              <w:rPr>
                <w:noProof/>
                <w:webHidden/>
              </w:rPr>
              <w:t>17</w:t>
            </w:r>
            <w:r w:rsidR="00E15A45">
              <w:rPr>
                <w:noProof/>
                <w:webHidden/>
              </w:rPr>
              <w:fldChar w:fldCharType="end"/>
            </w:r>
          </w:hyperlink>
        </w:p>
        <w:p w14:paraId="326A849F"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1" w:history="1">
            <w:r w:rsidR="00E15A45" w:rsidRPr="005970C2">
              <w:rPr>
                <w:rStyle w:val="Hiperpovezava"/>
                <w:noProof/>
              </w:rPr>
              <w:t>3.3 Izvajanje Nacionalnega akcijskega programa za doseganje trajnostne rabe FFS</w:t>
            </w:r>
            <w:r w:rsidR="00E15A45">
              <w:rPr>
                <w:noProof/>
                <w:webHidden/>
              </w:rPr>
              <w:tab/>
            </w:r>
            <w:r w:rsidR="00E15A45">
              <w:rPr>
                <w:noProof/>
                <w:webHidden/>
              </w:rPr>
              <w:fldChar w:fldCharType="begin"/>
            </w:r>
            <w:r w:rsidR="00E15A45">
              <w:rPr>
                <w:noProof/>
                <w:webHidden/>
              </w:rPr>
              <w:instrText xml:space="preserve"> PAGEREF _Toc55547441 \h </w:instrText>
            </w:r>
            <w:r w:rsidR="00E15A45">
              <w:rPr>
                <w:noProof/>
                <w:webHidden/>
              </w:rPr>
            </w:r>
            <w:r w:rsidR="00E15A45">
              <w:rPr>
                <w:noProof/>
                <w:webHidden/>
              </w:rPr>
              <w:fldChar w:fldCharType="separate"/>
            </w:r>
            <w:r w:rsidR="00E15A45">
              <w:rPr>
                <w:noProof/>
                <w:webHidden/>
              </w:rPr>
              <w:t>17</w:t>
            </w:r>
            <w:r w:rsidR="00E15A45">
              <w:rPr>
                <w:noProof/>
                <w:webHidden/>
              </w:rPr>
              <w:fldChar w:fldCharType="end"/>
            </w:r>
          </w:hyperlink>
        </w:p>
        <w:p w14:paraId="3B6E9829"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2" w:history="1">
            <w:r w:rsidR="00E15A45" w:rsidRPr="005970C2">
              <w:rPr>
                <w:rStyle w:val="Hiperpovezava"/>
                <w:noProof/>
              </w:rPr>
              <w:t>3.4 Kazalniki tveganja za spremljanje napredka pri zmanjšanju tveganja in škodljivih vplivov fitofarmacevtskih sredstev</w:t>
            </w:r>
            <w:r w:rsidR="00E15A45">
              <w:rPr>
                <w:noProof/>
                <w:webHidden/>
              </w:rPr>
              <w:tab/>
            </w:r>
            <w:r w:rsidR="00E15A45">
              <w:rPr>
                <w:noProof/>
                <w:webHidden/>
              </w:rPr>
              <w:fldChar w:fldCharType="begin"/>
            </w:r>
            <w:r w:rsidR="00E15A45">
              <w:rPr>
                <w:noProof/>
                <w:webHidden/>
              </w:rPr>
              <w:instrText xml:space="preserve"> PAGEREF _Toc55547442 \h </w:instrText>
            </w:r>
            <w:r w:rsidR="00E15A45">
              <w:rPr>
                <w:noProof/>
                <w:webHidden/>
              </w:rPr>
            </w:r>
            <w:r w:rsidR="00E15A45">
              <w:rPr>
                <w:noProof/>
                <w:webHidden/>
              </w:rPr>
              <w:fldChar w:fldCharType="separate"/>
            </w:r>
            <w:r w:rsidR="00E15A45">
              <w:rPr>
                <w:noProof/>
                <w:webHidden/>
              </w:rPr>
              <w:t>19</w:t>
            </w:r>
            <w:r w:rsidR="00E15A45">
              <w:rPr>
                <w:noProof/>
                <w:webHidden/>
              </w:rPr>
              <w:fldChar w:fldCharType="end"/>
            </w:r>
          </w:hyperlink>
        </w:p>
        <w:p w14:paraId="1CD032EA" w14:textId="77777777" w:rsidR="00E15A45" w:rsidRDefault="00CF4D37">
          <w:pPr>
            <w:pStyle w:val="Kazalovsebine3"/>
            <w:tabs>
              <w:tab w:val="right" w:leader="dot" w:pos="9062"/>
            </w:tabs>
            <w:rPr>
              <w:rFonts w:asciiTheme="minorHAnsi" w:eastAsiaTheme="minorEastAsia" w:hAnsiTheme="minorHAnsi" w:cstheme="minorBidi"/>
              <w:noProof/>
              <w:sz w:val="22"/>
              <w:szCs w:val="22"/>
              <w:lang w:eastAsia="sl-SI"/>
            </w:rPr>
          </w:pPr>
          <w:hyperlink w:anchor="_Toc55547443" w:history="1">
            <w:r w:rsidR="00E15A45" w:rsidRPr="005970C2">
              <w:rPr>
                <w:rStyle w:val="Hiperpovezava"/>
                <w:noProof/>
              </w:rPr>
              <w:t>3.4.1 Kazalnik tveganja 1</w:t>
            </w:r>
            <w:r w:rsidR="00E15A45">
              <w:rPr>
                <w:noProof/>
                <w:webHidden/>
              </w:rPr>
              <w:tab/>
            </w:r>
            <w:r w:rsidR="00E15A45">
              <w:rPr>
                <w:noProof/>
                <w:webHidden/>
              </w:rPr>
              <w:fldChar w:fldCharType="begin"/>
            </w:r>
            <w:r w:rsidR="00E15A45">
              <w:rPr>
                <w:noProof/>
                <w:webHidden/>
              </w:rPr>
              <w:instrText xml:space="preserve"> PAGEREF _Toc55547443 \h </w:instrText>
            </w:r>
            <w:r w:rsidR="00E15A45">
              <w:rPr>
                <w:noProof/>
                <w:webHidden/>
              </w:rPr>
            </w:r>
            <w:r w:rsidR="00E15A45">
              <w:rPr>
                <w:noProof/>
                <w:webHidden/>
              </w:rPr>
              <w:fldChar w:fldCharType="separate"/>
            </w:r>
            <w:r w:rsidR="00E15A45">
              <w:rPr>
                <w:noProof/>
                <w:webHidden/>
              </w:rPr>
              <w:t>19</w:t>
            </w:r>
            <w:r w:rsidR="00E15A45">
              <w:rPr>
                <w:noProof/>
                <w:webHidden/>
              </w:rPr>
              <w:fldChar w:fldCharType="end"/>
            </w:r>
          </w:hyperlink>
        </w:p>
        <w:p w14:paraId="7A3E0290" w14:textId="77777777" w:rsidR="00E15A45" w:rsidRDefault="00CF4D37">
          <w:pPr>
            <w:pStyle w:val="Kazalovsebine3"/>
            <w:tabs>
              <w:tab w:val="right" w:leader="dot" w:pos="9062"/>
            </w:tabs>
            <w:rPr>
              <w:rFonts w:asciiTheme="minorHAnsi" w:eastAsiaTheme="minorEastAsia" w:hAnsiTheme="minorHAnsi" w:cstheme="minorBidi"/>
              <w:noProof/>
              <w:sz w:val="22"/>
              <w:szCs w:val="22"/>
              <w:lang w:eastAsia="sl-SI"/>
            </w:rPr>
          </w:pPr>
          <w:hyperlink w:anchor="_Toc55547444" w:history="1">
            <w:r w:rsidR="00E15A45" w:rsidRPr="005970C2">
              <w:rPr>
                <w:rStyle w:val="Hiperpovezava"/>
                <w:noProof/>
              </w:rPr>
              <w:t>3.4.2. Kazalnik tveganja 2</w:t>
            </w:r>
            <w:r w:rsidR="00E15A45">
              <w:rPr>
                <w:noProof/>
                <w:webHidden/>
              </w:rPr>
              <w:tab/>
            </w:r>
            <w:r w:rsidR="00E15A45">
              <w:rPr>
                <w:noProof/>
                <w:webHidden/>
              </w:rPr>
              <w:fldChar w:fldCharType="begin"/>
            </w:r>
            <w:r w:rsidR="00E15A45">
              <w:rPr>
                <w:noProof/>
                <w:webHidden/>
              </w:rPr>
              <w:instrText xml:space="preserve"> PAGEREF _Toc55547444 \h </w:instrText>
            </w:r>
            <w:r w:rsidR="00E15A45">
              <w:rPr>
                <w:noProof/>
                <w:webHidden/>
              </w:rPr>
            </w:r>
            <w:r w:rsidR="00E15A45">
              <w:rPr>
                <w:noProof/>
                <w:webHidden/>
              </w:rPr>
              <w:fldChar w:fldCharType="separate"/>
            </w:r>
            <w:r w:rsidR="00E15A45">
              <w:rPr>
                <w:noProof/>
                <w:webHidden/>
              </w:rPr>
              <w:t>20</w:t>
            </w:r>
            <w:r w:rsidR="00E15A45">
              <w:rPr>
                <w:noProof/>
                <w:webHidden/>
              </w:rPr>
              <w:fldChar w:fldCharType="end"/>
            </w:r>
          </w:hyperlink>
        </w:p>
        <w:p w14:paraId="37F53A0F"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5" w:history="1">
            <w:r w:rsidR="00E15A45" w:rsidRPr="005970C2">
              <w:rPr>
                <w:rStyle w:val="Hiperpovezava"/>
                <w:noProof/>
              </w:rPr>
              <w:t>3.5 Ukrepi za zmanjšanje rabe FFS</w:t>
            </w:r>
            <w:r w:rsidR="00E15A45">
              <w:rPr>
                <w:noProof/>
                <w:webHidden/>
              </w:rPr>
              <w:tab/>
            </w:r>
            <w:r w:rsidR="00E15A45">
              <w:rPr>
                <w:noProof/>
                <w:webHidden/>
              </w:rPr>
              <w:fldChar w:fldCharType="begin"/>
            </w:r>
            <w:r w:rsidR="00E15A45">
              <w:rPr>
                <w:noProof/>
                <w:webHidden/>
              </w:rPr>
              <w:instrText xml:space="preserve"> PAGEREF _Toc55547445 \h </w:instrText>
            </w:r>
            <w:r w:rsidR="00E15A45">
              <w:rPr>
                <w:noProof/>
                <w:webHidden/>
              </w:rPr>
            </w:r>
            <w:r w:rsidR="00E15A45">
              <w:rPr>
                <w:noProof/>
                <w:webHidden/>
              </w:rPr>
              <w:fldChar w:fldCharType="separate"/>
            </w:r>
            <w:r w:rsidR="00E15A45">
              <w:rPr>
                <w:noProof/>
                <w:webHidden/>
              </w:rPr>
              <w:t>20</w:t>
            </w:r>
            <w:r w:rsidR="00E15A45">
              <w:rPr>
                <w:noProof/>
                <w:webHidden/>
              </w:rPr>
              <w:fldChar w:fldCharType="end"/>
            </w:r>
          </w:hyperlink>
        </w:p>
        <w:p w14:paraId="55C132EE"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6" w:history="1">
            <w:r w:rsidR="00E15A45" w:rsidRPr="005970C2">
              <w:rPr>
                <w:rStyle w:val="Hiperpovezava"/>
                <w:noProof/>
              </w:rPr>
              <w:t>3.6 Zdravstveno varstvo rastlin</w:t>
            </w:r>
            <w:r w:rsidR="00E15A45">
              <w:rPr>
                <w:noProof/>
                <w:webHidden/>
              </w:rPr>
              <w:tab/>
            </w:r>
            <w:r w:rsidR="00E15A45">
              <w:rPr>
                <w:noProof/>
                <w:webHidden/>
              </w:rPr>
              <w:fldChar w:fldCharType="begin"/>
            </w:r>
            <w:r w:rsidR="00E15A45">
              <w:rPr>
                <w:noProof/>
                <w:webHidden/>
              </w:rPr>
              <w:instrText xml:space="preserve"> PAGEREF _Toc55547446 \h </w:instrText>
            </w:r>
            <w:r w:rsidR="00E15A45">
              <w:rPr>
                <w:noProof/>
                <w:webHidden/>
              </w:rPr>
            </w:r>
            <w:r w:rsidR="00E15A45">
              <w:rPr>
                <w:noProof/>
                <w:webHidden/>
              </w:rPr>
              <w:fldChar w:fldCharType="separate"/>
            </w:r>
            <w:r w:rsidR="00E15A45">
              <w:rPr>
                <w:noProof/>
                <w:webHidden/>
              </w:rPr>
              <w:t>23</w:t>
            </w:r>
            <w:r w:rsidR="00E15A45">
              <w:rPr>
                <w:noProof/>
                <w:webHidden/>
              </w:rPr>
              <w:fldChar w:fldCharType="end"/>
            </w:r>
          </w:hyperlink>
        </w:p>
        <w:p w14:paraId="6FCBBA5C"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7" w:history="1">
            <w:r w:rsidR="00E15A45" w:rsidRPr="005970C2">
              <w:rPr>
                <w:rStyle w:val="Hiperpovezava"/>
                <w:noProof/>
              </w:rPr>
              <w:t>3.7 Ključne ugotovitve</w:t>
            </w:r>
            <w:r w:rsidR="00E15A45">
              <w:rPr>
                <w:noProof/>
                <w:webHidden/>
              </w:rPr>
              <w:tab/>
            </w:r>
            <w:r w:rsidR="00E15A45">
              <w:rPr>
                <w:noProof/>
                <w:webHidden/>
              </w:rPr>
              <w:fldChar w:fldCharType="begin"/>
            </w:r>
            <w:r w:rsidR="00E15A45">
              <w:rPr>
                <w:noProof/>
                <w:webHidden/>
              </w:rPr>
              <w:instrText xml:space="preserve"> PAGEREF _Toc55547447 \h </w:instrText>
            </w:r>
            <w:r w:rsidR="00E15A45">
              <w:rPr>
                <w:noProof/>
                <w:webHidden/>
              </w:rPr>
            </w:r>
            <w:r w:rsidR="00E15A45">
              <w:rPr>
                <w:noProof/>
                <w:webHidden/>
              </w:rPr>
              <w:fldChar w:fldCharType="separate"/>
            </w:r>
            <w:r w:rsidR="00E15A45">
              <w:rPr>
                <w:noProof/>
                <w:webHidden/>
              </w:rPr>
              <w:t>25</w:t>
            </w:r>
            <w:r w:rsidR="00E15A45">
              <w:rPr>
                <w:noProof/>
                <w:webHidden/>
              </w:rPr>
              <w:fldChar w:fldCharType="end"/>
            </w:r>
          </w:hyperlink>
        </w:p>
        <w:p w14:paraId="75B95CD2"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48" w:history="1">
            <w:r w:rsidR="00E15A45" w:rsidRPr="005970C2">
              <w:rPr>
                <w:rStyle w:val="Hiperpovezava"/>
                <w:rFonts w:eastAsia="Calibri"/>
                <w:b/>
                <w:bCs/>
                <w:noProof/>
              </w:rPr>
              <w:t>4.</w:t>
            </w:r>
            <w:r w:rsidR="00E15A45">
              <w:rPr>
                <w:rFonts w:asciiTheme="minorHAnsi" w:eastAsiaTheme="minorEastAsia" w:hAnsiTheme="minorHAnsi" w:cstheme="minorBidi"/>
                <w:noProof/>
                <w:sz w:val="22"/>
                <w:szCs w:val="22"/>
                <w:lang w:eastAsia="sl-SI"/>
              </w:rPr>
              <w:tab/>
            </w:r>
            <w:r w:rsidR="00E15A45" w:rsidRPr="005970C2">
              <w:rPr>
                <w:rStyle w:val="Hiperpovezava"/>
                <w:rFonts w:eastAsia="Calibri"/>
                <w:b/>
                <w:bCs/>
                <w:noProof/>
              </w:rPr>
              <w:t>DOBROBIT ŽIVALI</w:t>
            </w:r>
            <w:r w:rsidR="00E15A45">
              <w:rPr>
                <w:noProof/>
                <w:webHidden/>
              </w:rPr>
              <w:tab/>
            </w:r>
            <w:r w:rsidR="00E15A45">
              <w:rPr>
                <w:noProof/>
                <w:webHidden/>
              </w:rPr>
              <w:fldChar w:fldCharType="begin"/>
            </w:r>
            <w:r w:rsidR="00E15A45">
              <w:rPr>
                <w:noProof/>
                <w:webHidden/>
              </w:rPr>
              <w:instrText xml:space="preserve"> PAGEREF _Toc55547448 \h </w:instrText>
            </w:r>
            <w:r w:rsidR="00E15A45">
              <w:rPr>
                <w:noProof/>
                <w:webHidden/>
              </w:rPr>
            </w:r>
            <w:r w:rsidR="00E15A45">
              <w:rPr>
                <w:noProof/>
                <w:webHidden/>
              </w:rPr>
              <w:fldChar w:fldCharType="separate"/>
            </w:r>
            <w:r w:rsidR="00E15A45">
              <w:rPr>
                <w:noProof/>
                <w:webHidden/>
              </w:rPr>
              <w:t>25</w:t>
            </w:r>
            <w:r w:rsidR="00E15A45">
              <w:rPr>
                <w:noProof/>
                <w:webHidden/>
              </w:rPr>
              <w:fldChar w:fldCharType="end"/>
            </w:r>
          </w:hyperlink>
        </w:p>
        <w:p w14:paraId="632AD8CD"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49" w:history="1">
            <w:r w:rsidR="00E15A45" w:rsidRPr="005970C2">
              <w:rPr>
                <w:rStyle w:val="Hiperpovezava"/>
                <w:rFonts w:eastAsia="Arial"/>
                <w:noProof/>
              </w:rPr>
              <w:t>4.1 Pričakovanja potrošnikov</w:t>
            </w:r>
            <w:r w:rsidR="00E15A45">
              <w:rPr>
                <w:noProof/>
                <w:webHidden/>
              </w:rPr>
              <w:tab/>
            </w:r>
            <w:r w:rsidR="00E15A45">
              <w:rPr>
                <w:noProof/>
                <w:webHidden/>
              </w:rPr>
              <w:fldChar w:fldCharType="begin"/>
            </w:r>
            <w:r w:rsidR="00E15A45">
              <w:rPr>
                <w:noProof/>
                <w:webHidden/>
              </w:rPr>
              <w:instrText xml:space="preserve"> PAGEREF _Toc55547449 \h </w:instrText>
            </w:r>
            <w:r w:rsidR="00E15A45">
              <w:rPr>
                <w:noProof/>
                <w:webHidden/>
              </w:rPr>
            </w:r>
            <w:r w:rsidR="00E15A45">
              <w:rPr>
                <w:noProof/>
                <w:webHidden/>
              </w:rPr>
              <w:fldChar w:fldCharType="separate"/>
            </w:r>
            <w:r w:rsidR="00E15A45">
              <w:rPr>
                <w:noProof/>
                <w:webHidden/>
              </w:rPr>
              <w:t>25</w:t>
            </w:r>
            <w:r w:rsidR="00E15A45">
              <w:rPr>
                <w:noProof/>
                <w:webHidden/>
              </w:rPr>
              <w:fldChar w:fldCharType="end"/>
            </w:r>
          </w:hyperlink>
        </w:p>
        <w:p w14:paraId="7DCC1BB1"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50" w:history="1">
            <w:r w:rsidR="00E15A45" w:rsidRPr="005970C2">
              <w:rPr>
                <w:rStyle w:val="Hiperpovezava"/>
                <w:noProof/>
              </w:rPr>
              <w:t>4.2 Stanje in dosedanje izkušnje</w:t>
            </w:r>
            <w:r w:rsidR="00E15A45">
              <w:rPr>
                <w:noProof/>
                <w:webHidden/>
              </w:rPr>
              <w:tab/>
            </w:r>
            <w:r w:rsidR="00E15A45">
              <w:rPr>
                <w:noProof/>
                <w:webHidden/>
              </w:rPr>
              <w:fldChar w:fldCharType="begin"/>
            </w:r>
            <w:r w:rsidR="00E15A45">
              <w:rPr>
                <w:noProof/>
                <w:webHidden/>
              </w:rPr>
              <w:instrText xml:space="preserve"> PAGEREF _Toc55547450 \h </w:instrText>
            </w:r>
            <w:r w:rsidR="00E15A45">
              <w:rPr>
                <w:noProof/>
                <w:webHidden/>
              </w:rPr>
            </w:r>
            <w:r w:rsidR="00E15A45">
              <w:rPr>
                <w:noProof/>
                <w:webHidden/>
              </w:rPr>
              <w:fldChar w:fldCharType="separate"/>
            </w:r>
            <w:r w:rsidR="00E15A45">
              <w:rPr>
                <w:noProof/>
                <w:webHidden/>
              </w:rPr>
              <w:t>27</w:t>
            </w:r>
            <w:r w:rsidR="00E15A45">
              <w:rPr>
                <w:noProof/>
                <w:webHidden/>
              </w:rPr>
              <w:fldChar w:fldCharType="end"/>
            </w:r>
          </w:hyperlink>
        </w:p>
        <w:p w14:paraId="1A4F52BC"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51" w:history="1">
            <w:r w:rsidR="00E15A45" w:rsidRPr="005970C2">
              <w:rPr>
                <w:rStyle w:val="Hiperpovezava"/>
                <w:noProof/>
              </w:rPr>
              <w:t>4.3 Ukrep Dobrobiti v Sloveniji</w:t>
            </w:r>
            <w:r w:rsidR="00E15A45">
              <w:rPr>
                <w:noProof/>
                <w:webHidden/>
              </w:rPr>
              <w:tab/>
            </w:r>
            <w:r w:rsidR="00E15A45">
              <w:rPr>
                <w:noProof/>
                <w:webHidden/>
              </w:rPr>
              <w:fldChar w:fldCharType="begin"/>
            </w:r>
            <w:r w:rsidR="00E15A45">
              <w:rPr>
                <w:noProof/>
                <w:webHidden/>
              </w:rPr>
              <w:instrText xml:space="preserve"> PAGEREF _Toc55547451 \h </w:instrText>
            </w:r>
            <w:r w:rsidR="00E15A45">
              <w:rPr>
                <w:noProof/>
                <w:webHidden/>
              </w:rPr>
            </w:r>
            <w:r w:rsidR="00E15A45">
              <w:rPr>
                <w:noProof/>
                <w:webHidden/>
              </w:rPr>
              <w:fldChar w:fldCharType="separate"/>
            </w:r>
            <w:r w:rsidR="00E15A45">
              <w:rPr>
                <w:noProof/>
                <w:webHidden/>
              </w:rPr>
              <w:t>31</w:t>
            </w:r>
            <w:r w:rsidR="00E15A45">
              <w:rPr>
                <w:noProof/>
                <w:webHidden/>
              </w:rPr>
              <w:fldChar w:fldCharType="end"/>
            </w:r>
          </w:hyperlink>
        </w:p>
        <w:p w14:paraId="7025AC51"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52" w:history="1">
            <w:r w:rsidR="00E15A45" w:rsidRPr="005970C2">
              <w:rPr>
                <w:rStyle w:val="Hiperpovezava"/>
                <w:noProof/>
              </w:rPr>
              <w:t>4.4 Ključne ugotovitve</w:t>
            </w:r>
            <w:r w:rsidR="00E15A45">
              <w:rPr>
                <w:noProof/>
                <w:webHidden/>
              </w:rPr>
              <w:tab/>
            </w:r>
            <w:r w:rsidR="00E15A45">
              <w:rPr>
                <w:noProof/>
                <w:webHidden/>
              </w:rPr>
              <w:fldChar w:fldCharType="begin"/>
            </w:r>
            <w:r w:rsidR="00E15A45">
              <w:rPr>
                <w:noProof/>
                <w:webHidden/>
              </w:rPr>
              <w:instrText xml:space="preserve"> PAGEREF _Toc55547452 \h </w:instrText>
            </w:r>
            <w:r w:rsidR="00E15A45">
              <w:rPr>
                <w:noProof/>
                <w:webHidden/>
              </w:rPr>
            </w:r>
            <w:r w:rsidR="00E15A45">
              <w:rPr>
                <w:noProof/>
                <w:webHidden/>
              </w:rPr>
              <w:fldChar w:fldCharType="separate"/>
            </w:r>
            <w:r w:rsidR="00E15A45">
              <w:rPr>
                <w:noProof/>
                <w:webHidden/>
              </w:rPr>
              <w:t>34</w:t>
            </w:r>
            <w:r w:rsidR="00E15A45">
              <w:rPr>
                <w:noProof/>
                <w:webHidden/>
              </w:rPr>
              <w:fldChar w:fldCharType="end"/>
            </w:r>
          </w:hyperlink>
        </w:p>
        <w:p w14:paraId="70509E34" w14:textId="77777777" w:rsidR="00E15A45" w:rsidRDefault="00CF4D37">
          <w:pPr>
            <w:pStyle w:val="Kazalovsebine1"/>
            <w:tabs>
              <w:tab w:val="right" w:leader="dot" w:pos="9062"/>
            </w:tabs>
            <w:rPr>
              <w:rFonts w:asciiTheme="minorHAnsi" w:eastAsiaTheme="minorEastAsia" w:hAnsiTheme="minorHAnsi" w:cstheme="minorBidi"/>
              <w:noProof/>
              <w:sz w:val="22"/>
              <w:szCs w:val="22"/>
              <w:lang w:eastAsia="sl-SI"/>
            </w:rPr>
          </w:pPr>
          <w:hyperlink w:anchor="_Toc55547453" w:history="1">
            <w:r w:rsidR="00E15A45" w:rsidRPr="005970C2">
              <w:rPr>
                <w:rStyle w:val="Hiperpovezava"/>
                <w:rFonts w:eastAsia="Calibri"/>
                <w:b/>
                <w:bCs/>
                <w:noProof/>
              </w:rPr>
              <w:t>5. ODPADNA HRANA</w:t>
            </w:r>
            <w:r w:rsidR="00E15A45">
              <w:rPr>
                <w:noProof/>
                <w:webHidden/>
              </w:rPr>
              <w:tab/>
            </w:r>
            <w:r w:rsidR="00E15A45">
              <w:rPr>
                <w:noProof/>
                <w:webHidden/>
              </w:rPr>
              <w:fldChar w:fldCharType="begin"/>
            </w:r>
            <w:r w:rsidR="00E15A45">
              <w:rPr>
                <w:noProof/>
                <w:webHidden/>
              </w:rPr>
              <w:instrText xml:space="preserve"> PAGEREF _Toc55547453 \h </w:instrText>
            </w:r>
            <w:r w:rsidR="00E15A45">
              <w:rPr>
                <w:noProof/>
                <w:webHidden/>
              </w:rPr>
            </w:r>
            <w:r w:rsidR="00E15A45">
              <w:rPr>
                <w:noProof/>
                <w:webHidden/>
              </w:rPr>
              <w:fldChar w:fldCharType="separate"/>
            </w:r>
            <w:r w:rsidR="00E15A45">
              <w:rPr>
                <w:noProof/>
                <w:webHidden/>
              </w:rPr>
              <w:t>34</w:t>
            </w:r>
            <w:r w:rsidR="00E15A45">
              <w:rPr>
                <w:noProof/>
                <w:webHidden/>
              </w:rPr>
              <w:fldChar w:fldCharType="end"/>
            </w:r>
          </w:hyperlink>
        </w:p>
        <w:p w14:paraId="5FD2179E" w14:textId="77777777" w:rsidR="00E15A45" w:rsidRDefault="00CF4D37">
          <w:pPr>
            <w:pStyle w:val="Kazalovsebine2"/>
            <w:tabs>
              <w:tab w:val="right" w:leader="dot" w:pos="9062"/>
            </w:tabs>
            <w:rPr>
              <w:rFonts w:asciiTheme="minorHAnsi" w:eastAsiaTheme="minorEastAsia" w:hAnsiTheme="minorHAnsi" w:cstheme="minorBidi"/>
              <w:noProof/>
              <w:sz w:val="22"/>
              <w:szCs w:val="22"/>
              <w:lang w:eastAsia="sl-SI"/>
            </w:rPr>
          </w:pPr>
          <w:hyperlink w:anchor="_Toc55547454" w:history="1">
            <w:r w:rsidR="00E15A45" w:rsidRPr="005970C2">
              <w:rPr>
                <w:rStyle w:val="Hiperpovezava"/>
                <w:noProof/>
                <w:shd w:val="clear" w:color="auto" w:fill="FFFFFF"/>
              </w:rPr>
              <w:t>5.1 Ključne ugotovitve</w:t>
            </w:r>
            <w:r w:rsidR="00E15A45">
              <w:rPr>
                <w:noProof/>
                <w:webHidden/>
              </w:rPr>
              <w:tab/>
            </w:r>
            <w:r w:rsidR="00E15A45">
              <w:rPr>
                <w:noProof/>
                <w:webHidden/>
              </w:rPr>
              <w:fldChar w:fldCharType="begin"/>
            </w:r>
            <w:r w:rsidR="00E15A45">
              <w:rPr>
                <w:noProof/>
                <w:webHidden/>
              </w:rPr>
              <w:instrText xml:space="preserve"> PAGEREF _Toc55547454 \h </w:instrText>
            </w:r>
            <w:r w:rsidR="00E15A45">
              <w:rPr>
                <w:noProof/>
                <w:webHidden/>
              </w:rPr>
            </w:r>
            <w:r w:rsidR="00E15A45">
              <w:rPr>
                <w:noProof/>
                <w:webHidden/>
              </w:rPr>
              <w:fldChar w:fldCharType="separate"/>
            </w:r>
            <w:r w:rsidR="00E15A45">
              <w:rPr>
                <w:noProof/>
                <w:webHidden/>
              </w:rPr>
              <w:t>39</w:t>
            </w:r>
            <w:r w:rsidR="00E15A45">
              <w:rPr>
                <w:noProof/>
                <w:webHidden/>
              </w:rPr>
              <w:fldChar w:fldCharType="end"/>
            </w:r>
          </w:hyperlink>
        </w:p>
        <w:p w14:paraId="19E0E370"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55" w:history="1">
            <w:r w:rsidR="00E15A45" w:rsidRPr="005970C2">
              <w:rPr>
                <w:rStyle w:val="Hiperpovezava"/>
                <w:b/>
                <w:bCs/>
                <w:noProof/>
              </w:rPr>
              <w:t>6.</w:t>
            </w:r>
            <w:r w:rsidR="00E15A45">
              <w:rPr>
                <w:rFonts w:asciiTheme="minorHAnsi" w:eastAsiaTheme="minorEastAsia" w:hAnsiTheme="minorHAnsi" w:cstheme="minorBidi"/>
                <w:noProof/>
                <w:sz w:val="22"/>
                <w:szCs w:val="22"/>
                <w:lang w:eastAsia="sl-SI"/>
              </w:rPr>
              <w:tab/>
            </w:r>
            <w:r w:rsidR="00E15A45" w:rsidRPr="005970C2">
              <w:rPr>
                <w:rStyle w:val="Hiperpovezava"/>
                <w:b/>
                <w:bCs/>
                <w:noProof/>
              </w:rPr>
              <w:t>ANALIZA SWOT</w:t>
            </w:r>
            <w:r w:rsidR="00E15A45">
              <w:rPr>
                <w:noProof/>
                <w:webHidden/>
              </w:rPr>
              <w:tab/>
            </w:r>
            <w:r w:rsidR="00E15A45">
              <w:rPr>
                <w:noProof/>
                <w:webHidden/>
              </w:rPr>
              <w:fldChar w:fldCharType="begin"/>
            </w:r>
            <w:r w:rsidR="00E15A45">
              <w:rPr>
                <w:noProof/>
                <w:webHidden/>
              </w:rPr>
              <w:instrText xml:space="preserve"> PAGEREF _Toc55547455 \h </w:instrText>
            </w:r>
            <w:r w:rsidR="00E15A45">
              <w:rPr>
                <w:noProof/>
                <w:webHidden/>
              </w:rPr>
            </w:r>
            <w:r w:rsidR="00E15A45">
              <w:rPr>
                <w:noProof/>
                <w:webHidden/>
              </w:rPr>
              <w:fldChar w:fldCharType="separate"/>
            </w:r>
            <w:r w:rsidR="00E15A45">
              <w:rPr>
                <w:noProof/>
                <w:webHidden/>
              </w:rPr>
              <w:t>39</w:t>
            </w:r>
            <w:r w:rsidR="00E15A45">
              <w:rPr>
                <w:noProof/>
                <w:webHidden/>
              </w:rPr>
              <w:fldChar w:fldCharType="end"/>
            </w:r>
          </w:hyperlink>
        </w:p>
        <w:p w14:paraId="63820DC3" w14:textId="77777777" w:rsidR="00E15A45" w:rsidRDefault="00CF4D37">
          <w:pPr>
            <w:pStyle w:val="Kazalovsebine1"/>
            <w:tabs>
              <w:tab w:val="left" w:pos="440"/>
              <w:tab w:val="right" w:leader="dot" w:pos="9062"/>
            </w:tabs>
            <w:rPr>
              <w:rFonts w:asciiTheme="minorHAnsi" w:eastAsiaTheme="minorEastAsia" w:hAnsiTheme="minorHAnsi" w:cstheme="minorBidi"/>
              <w:noProof/>
              <w:sz w:val="22"/>
              <w:szCs w:val="22"/>
              <w:lang w:eastAsia="sl-SI"/>
            </w:rPr>
          </w:pPr>
          <w:hyperlink w:anchor="_Toc55547456" w:history="1">
            <w:r w:rsidR="00E15A45" w:rsidRPr="005970C2">
              <w:rPr>
                <w:rStyle w:val="Hiperpovezava"/>
                <w:b/>
                <w:bCs/>
                <w:noProof/>
              </w:rPr>
              <w:t>7.</w:t>
            </w:r>
            <w:r w:rsidR="00E15A45">
              <w:rPr>
                <w:rFonts w:asciiTheme="minorHAnsi" w:eastAsiaTheme="minorEastAsia" w:hAnsiTheme="minorHAnsi" w:cstheme="minorBidi"/>
                <w:noProof/>
                <w:sz w:val="22"/>
                <w:szCs w:val="22"/>
                <w:lang w:eastAsia="sl-SI"/>
              </w:rPr>
              <w:tab/>
            </w:r>
            <w:r w:rsidR="00E15A45" w:rsidRPr="005970C2">
              <w:rPr>
                <w:rStyle w:val="Hiperpovezava"/>
                <w:b/>
                <w:bCs/>
                <w:noProof/>
              </w:rPr>
              <w:t>OPREDELITEV POTREB</w:t>
            </w:r>
            <w:r w:rsidR="00E15A45">
              <w:rPr>
                <w:noProof/>
                <w:webHidden/>
              </w:rPr>
              <w:tab/>
            </w:r>
            <w:r w:rsidR="00E15A45">
              <w:rPr>
                <w:noProof/>
                <w:webHidden/>
              </w:rPr>
              <w:fldChar w:fldCharType="begin"/>
            </w:r>
            <w:r w:rsidR="00E15A45">
              <w:rPr>
                <w:noProof/>
                <w:webHidden/>
              </w:rPr>
              <w:instrText xml:space="preserve"> PAGEREF _Toc55547456 \h </w:instrText>
            </w:r>
            <w:r w:rsidR="00E15A45">
              <w:rPr>
                <w:noProof/>
                <w:webHidden/>
              </w:rPr>
            </w:r>
            <w:r w:rsidR="00E15A45">
              <w:rPr>
                <w:noProof/>
                <w:webHidden/>
              </w:rPr>
              <w:fldChar w:fldCharType="separate"/>
            </w:r>
            <w:r w:rsidR="00E15A45">
              <w:rPr>
                <w:noProof/>
                <w:webHidden/>
              </w:rPr>
              <w:t>45</w:t>
            </w:r>
            <w:r w:rsidR="00E15A45">
              <w:rPr>
                <w:noProof/>
                <w:webHidden/>
              </w:rPr>
              <w:fldChar w:fldCharType="end"/>
            </w:r>
          </w:hyperlink>
        </w:p>
        <w:p w14:paraId="0F56D606" w14:textId="77777777" w:rsidR="00E15A45" w:rsidRDefault="00CF4D37">
          <w:pPr>
            <w:pStyle w:val="Kazalovsebine1"/>
            <w:tabs>
              <w:tab w:val="right" w:leader="dot" w:pos="9062"/>
            </w:tabs>
            <w:rPr>
              <w:rFonts w:asciiTheme="minorHAnsi" w:eastAsiaTheme="minorEastAsia" w:hAnsiTheme="minorHAnsi" w:cstheme="minorBidi"/>
              <w:noProof/>
              <w:sz w:val="22"/>
              <w:szCs w:val="22"/>
              <w:lang w:eastAsia="sl-SI"/>
            </w:rPr>
          </w:pPr>
          <w:hyperlink w:anchor="_Toc55547457" w:history="1">
            <w:r w:rsidR="00E15A45" w:rsidRPr="005970C2">
              <w:rPr>
                <w:rStyle w:val="Hiperpovezava"/>
                <w:b/>
                <w:bCs/>
                <w:noProof/>
              </w:rPr>
              <w:t>8. VIRI IN LITERATURA</w:t>
            </w:r>
            <w:r w:rsidR="00E15A45">
              <w:rPr>
                <w:noProof/>
                <w:webHidden/>
              </w:rPr>
              <w:tab/>
            </w:r>
            <w:r w:rsidR="00E15A45">
              <w:rPr>
                <w:noProof/>
                <w:webHidden/>
              </w:rPr>
              <w:fldChar w:fldCharType="begin"/>
            </w:r>
            <w:r w:rsidR="00E15A45">
              <w:rPr>
                <w:noProof/>
                <w:webHidden/>
              </w:rPr>
              <w:instrText xml:space="preserve"> PAGEREF _Toc55547457 \h </w:instrText>
            </w:r>
            <w:r w:rsidR="00E15A45">
              <w:rPr>
                <w:noProof/>
                <w:webHidden/>
              </w:rPr>
            </w:r>
            <w:r w:rsidR="00E15A45">
              <w:rPr>
                <w:noProof/>
                <w:webHidden/>
              </w:rPr>
              <w:fldChar w:fldCharType="separate"/>
            </w:r>
            <w:r w:rsidR="00E15A45">
              <w:rPr>
                <w:noProof/>
                <w:webHidden/>
              </w:rPr>
              <w:t>49</w:t>
            </w:r>
            <w:r w:rsidR="00E15A45">
              <w:rPr>
                <w:noProof/>
                <w:webHidden/>
              </w:rPr>
              <w:fldChar w:fldCharType="end"/>
            </w:r>
          </w:hyperlink>
        </w:p>
        <w:p w14:paraId="5390717E" w14:textId="36562E53" w:rsidR="00342C52" w:rsidRDefault="00342C52" w:rsidP="007F41C6">
          <w:pPr>
            <w:rPr>
              <w:b/>
              <w:bCs/>
            </w:rPr>
          </w:pPr>
          <w:r>
            <w:rPr>
              <w:b/>
              <w:bCs/>
            </w:rPr>
            <w:fldChar w:fldCharType="end"/>
          </w:r>
        </w:p>
        <w:p w14:paraId="5C8B5BF1" w14:textId="77777777" w:rsidR="00F80C74" w:rsidRDefault="00CF4D37" w:rsidP="00F80C74"/>
      </w:sdtContent>
    </w:sdt>
    <w:p w14:paraId="0158F847" w14:textId="77777777" w:rsidR="00C60873" w:rsidRDefault="00C60873" w:rsidP="00F80C74">
      <w:pPr>
        <w:pStyle w:val="Kazaloslik"/>
        <w:tabs>
          <w:tab w:val="right" w:leader="dot" w:pos="9062"/>
        </w:tabs>
        <w:rPr>
          <w:sz w:val="20"/>
        </w:rPr>
      </w:pPr>
    </w:p>
    <w:p w14:paraId="63DFE554" w14:textId="77777777" w:rsidR="00FA679D" w:rsidRPr="00FA679D" w:rsidRDefault="00FA679D">
      <w:pPr>
        <w:pStyle w:val="Kazaloslik"/>
        <w:tabs>
          <w:tab w:val="right" w:leader="dot" w:pos="9062"/>
        </w:tabs>
        <w:rPr>
          <w:rFonts w:asciiTheme="minorHAnsi" w:eastAsiaTheme="minorEastAsia" w:hAnsiTheme="minorHAnsi" w:cstheme="minorBidi"/>
          <w:noProof/>
          <w:sz w:val="20"/>
          <w:lang w:eastAsia="sl-SI"/>
        </w:rPr>
      </w:pPr>
      <w:r w:rsidRPr="00FA679D">
        <w:rPr>
          <w:sz w:val="20"/>
        </w:rPr>
        <w:lastRenderedPageBreak/>
        <w:fldChar w:fldCharType="begin"/>
      </w:r>
      <w:r w:rsidRPr="00FA679D">
        <w:rPr>
          <w:sz w:val="20"/>
        </w:rPr>
        <w:instrText xml:space="preserve"> TOC \h \z \c "Slika" </w:instrText>
      </w:r>
      <w:r w:rsidRPr="00FA679D">
        <w:rPr>
          <w:sz w:val="20"/>
        </w:rPr>
        <w:fldChar w:fldCharType="separate"/>
      </w:r>
      <w:hyperlink w:anchor="_Toc55484776" w:history="1">
        <w:r w:rsidRPr="00FA679D">
          <w:rPr>
            <w:rStyle w:val="Hiperpovezava"/>
            <w:noProof/>
            <w:sz w:val="20"/>
          </w:rPr>
          <w:t>Slika 1:Skupna prodaja veterinarskih protimikrobnih zdravil za živalske vrste, ki proizvajajo hrano, v mg/PCU, po državah, od 2010 do 2017 (VIR: NINTH ESVAC REPORT)</w:t>
        </w:r>
        <w:r w:rsidRPr="00FA679D">
          <w:rPr>
            <w:rStyle w:val="Hiperpovezava"/>
            <w:noProof/>
            <w:sz w:val="20"/>
            <w:vertAlign w:val="superscript"/>
          </w:rPr>
          <w:t>2</w:t>
        </w:r>
        <w:r w:rsidRPr="00FA679D">
          <w:rPr>
            <w:noProof/>
            <w:webHidden/>
            <w:sz w:val="20"/>
          </w:rPr>
          <w:tab/>
        </w:r>
        <w:r w:rsidRPr="00FA679D">
          <w:rPr>
            <w:noProof/>
            <w:webHidden/>
            <w:sz w:val="20"/>
          </w:rPr>
          <w:fldChar w:fldCharType="begin"/>
        </w:r>
        <w:r w:rsidRPr="00FA679D">
          <w:rPr>
            <w:noProof/>
            <w:webHidden/>
            <w:sz w:val="20"/>
          </w:rPr>
          <w:instrText xml:space="preserve"> PAGEREF _Toc55484776 \h </w:instrText>
        </w:r>
        <w:r w:rsidRPr="00FA679D">
          <w:rPr>
            <w:noProof/>
            <w:webHidden/>
            <w:sz w:val="20"/>
          </w:rPr>
        </w:r>
        <w:r w:rsidRPr="00FA679D">
          <w:rPr>
            <w:noProof/>
            <w:webHidden/>
            <w:sz w:val="20"/>
          </w:rPr>
          <w:fldChar w:fldCharType="separate"/>
        </w:r>
        <w:r w:rsidRPr="00FA679D">
          <w:rPr>
            <w:noProof/>
            <w:webHidden/>
            <w:sz w:val="20"/>
          </w:rPr>
          <w:t>10</w:t>
        </w:r>
        <w:r w:rsidRPr="00FA679D">
          <w:rPr>
            <w:noProof/>
            <w:webHidden/>
            <w:sz w:val="20"/>
          </w:rPr>
          <w:fldChar w:fldCharType="end"/>
        </w:r>
      </w:hyperlink>
    </w:p>
    <w:p w14:paraId="1F6DAEC5"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77" w:history="1">
        <w:r w:rsidR="00FA679D" w:rsidRPr="00FA679D">
          <w:rPr>
            <w:rStyle w:val="Hiperpovezava"/>
            <w:noProof/>
            <w:sz w:val="20"/>
          </w:rPr>
          <w:t>Slika 2:Prodaja  veterinarskih protimikrobnih zdravil za živali za proizvodnjo hrane (v mg/PCU) po evropskih državah (VIR: NINTH ESVAC REPORT)</w:t>
        </w:r>
        <w:r w:rsidR="00FA679D" w:rsidRPr="00FA679D">
          <w:rPr>
            <w:rStyle w:val="Hiperpovezava"/>
            <w:noProof/>
            <w:sz w:val="20"/>
            <w:vertAlign w:val="superscript"/>
          </w:rPr>
          <w:t>2</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_Toc55484777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11</w:t>
        </w:r>
        <w:r w:rsidR="00FA679D" w:rsidRPr="00FA679D">
          <w:rPr>
            <w:noProof/>
            <w:webHidden/>
            <w:sz w:val="20"/>
          </w:rPr>
          <w:fldChar w:fldCharType="end"/>
        </w:r>
      </w:hyperlink>
    </w:p>
    <w:p w14:paraId="4DD67A95"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78" w:history="1">
        <w:r w:rsidR="00FA679D" w:rsidRPr="00FA679D">
          <w:rPr>
            <w:rStyle w:val="Hiperpovezava"/>
            <w:noProof/>
            <w:sz w:val="20"/>
          </w:rPr>
          <w:t>Slika 3:Prodaja veterinarskih protimikrobnih zdravil za živali za proizvodnjo hrane (v mg/PCU) v Sloveniji ter v 25 državah EU in EGP v obdobju med leti 2011 in 2017 (Vir: Ninth ESVAC report)</w:t>
        </w:r>
        <w:r w:rsidR="00FA679D" w:rsidRPr="00FA679D">
          <w:rPr>
            <w:rStyle w:val="Hiperpovezava"/>
            <w:noProof/>
            <w:sz w:val="20"/>
            <w:vertAlign w:val="superscript"/>
          </w:rPr>
          <w:t xml:space="preserve"> 2</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_Toc55484778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12</w:t>
        </w:r>
        <w:r w:rsidR="00FA679D" w:rsidRPr="00FA679D">
          <w:rPr>
            <w:noProof/>
            <w:webHidden/>
            <w:sz w:val="20"/>
          </w:rPr>
          <w:fldChar w:fldCharType="end"/>
        </w:r>
      </w:hyperlink>
    </w:p>
    <w:p w14:paraId="382976C1"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79" w:history="1">
        <w:r w:rsidR="00FA679D" w:rsidRPr="00FA679D">
          <w:rPr>
            <w:rStyle w:val="Hiperpovezava"/>
            <w:noProof/>
            <w:sz w:val="20"/>
          </w:rPr>
          <w:t>Slika 4:Prodaja  cefalosporinov 3. in 4. generacije, fluorokinolonov, drugih kinolonov in polimiksinov pri živalih za hrano, v mg/PCU, za 31 Evropskih držav v letu 2017  (Vir: Ninth ESVAC report)</w:t>
        </w:r>
        <w:r w:rsidR="00FA679D" w:rsidRPr="00FA679D">
          <w:rPr>
            <w:rStyle w:val="Hiperpovezava"/>
            <w:noProof/>
            <w:sz w:val="20"/>
            <w:vertAlign w:val="superscript"/>
          </w:rPr>
          <w:t>2</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_Toc55484779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13</w:t>
        </w:r>
        <w:r w:rsidR="00FA679D" w:rsidRPr="00FA679D">
          <w:rPr>
            <w:noProof/>
            <w:webHidden/>
            <w:sz w:val="20"/>
          </w:rPr>
          <w:fldChar w:fldCharType="end"/>
        </w:r>
      </w:hyperlink>
    </w:p>
    <w:p w14:paraId="29BD8EAD"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0" w:history="1">
        <w:r w:rsidR="00FA679D" w:rsidRPr="00FA679D">
          <w:rPr>
            <w:rStyle w:val="Hiperpovezava"/>
            <w:noProof/>
            <w:sz w:val="20"/>
          </w:rPr>
          <w:t>Slika 5:Prodaja fitofarmacevtskih sredstev (v milijonih kilogramov) v letu 2018 v EU</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_Toc55484780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15</w:t>
        </w:r>
        <w:r w:rsidR="00FA679D" w:rsidRPr="00FA679D">
          <w:rPr>
            <w:noProof/>
            <w:webHidden/>
            <w:sz w:val="20"/>
          </w:rPr>
          <w:fldChar w:fldCharType="end"/>
        </w:r>
      </w:hyperlink>
    </w:p>
    <w:p w14:paraId="68173E0A"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1" w:history="1">
        <w:r w:rsidR="00FA679D" w:rsidRPr="00FA679D">
          <w:rPr>
            <w:rStyle w:val="Hiperpovezava"/>
            <w:noProof/>
            <w:sz w:val="20"/>
          </w:rPr>
          <w:t>Slika 6: Prodaja fitofarmacevtskih sredstev (v milijonih kilogramov) v letu 2018 v EU</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_Toc55484781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16</w:t>
        </w:r>
        <w:r w:rsidR="00FA679D" w:rsidRPr="00FA679D">
          <w:rPr>
            <w:noProof/>
            <w:webHidden/>
            <w:sz w:val="20"/>
          </w:rPr>
          <w:fldChar w:fldCharType="end"/>
        </w:r>
      </w:hyperlink>
    </w:p>
    <w:p w14:paraId="5EB3F281"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2" w:history="1">
        <w:r w:rsidR="00FA679D" w:rsidRPr="00FA679D">
          <w:rPr>
            <w:rStyle w:val="Hiperpovezava"/>
            <w:noProof/>
            <w:sz w:val="20"/>
          </w:rPr>
          <w:t>Slika 7: Pomembnost zaščite dobrobiti rejnih živali za potrošnike v EU in Sloveniji</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_Toc55484782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26</w:t>
        </w:r>
        <w:r w:rsidR="00FA679D" w:rsidRPr="00FA679D">
          <w:rPr>
            <w:noProof/>
            <w:webHidden/>
            <w:sz w:val="20"/>
          </w:rPr>
          <w:fldChar w:fldCharType="end"/>
        </w:r>
      </w:hyperlink>
    </w:p>
    <w:p w14:paraId="386B15C8"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3" w:history="1">
        <w:r w:rsidR="00FA679D" w:rsidRPr="00FA679D">
          <w:rPr>
            <w:rStyle w:val="Hiperpovezava"/>
            <w:noProof/>
            <w:sz w:val="20"/>
          </w:rPr>
          <w:t>Slika 8: Koliko so pripravljeni EU in slovenski potrošniki plačati več za izdelke, ki izvirajo iz živalim prijaznih sistemov reje</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_Toc55484783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26</w:t>
        </w:r>
        <w:r w:rsidR="00FA679D" w:rsidRPr="00FA679D">
          <w:rPr>
            <w:noProof/>
            <w:webHidden/>
            <w:sz w:val="20"/>
          </w:rPr>
          <w:fldChar w:fldCharType="end"/>
        </w:r>
      </w:hyperlink>
    </w:p>
    <w:p w14:paraId="7F2F681A"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4" w:history="1">
        <w:r w:rsidR="00FA679D" w:rsidRPr="00FA679D">
          <w:rPr>
            <w:rStyle w:val="Hiperpovezava"/>
            <w:noProof/>
            <w:sz w:val="20"/>
          </w:rPr>
          <w:t>Slika 9: Delež EU in slovenskih potrošnikov, ki pri nakupu na izdelkih iščejo oznake, da le ti izvirajo iz živalim prijaznih sistemov reje</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_Toc55484784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27</w:t>
        </w:r>
        <w:r w:rsidR="00FA679D" w:rsidRPr="00FA679D">
          <w:rPr>
            <w:noProof/>
            <w:webHidden/>
            <w:sz w:val="20"/>
          </w:rPr>
          <w:fldChar w:fldCharType="end"/>
        </w:r>
      </w:hyperlink>
    </w:p>
    <w:p w14:paraId="58B9B477"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5" w:history="1">
        <w:r w:rsidR="00FA679D" w:rsidRPr="00FA679D">
          <w:rPr>
            <w:rStyle w:val="Hiperpovezava"/>
            <w:noProof/>
            <w:sz w:val="20"/>
          </w:rPr>
          <w:t>Slika 10: Število GVŽ in delež prašičev vključenih v ukrep DŽ glede na celoten stalež prašičev v GVŽ</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_Toc55484785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33</w:t>
        </w:r>
        <w:r w:rsidR="00FA679D" w:rsidRPr="00FA679D">
          <w:rPr>
            <w:noProof/>
            <w:webHidden/>
            <w:sz w:val="20"/>
          </w:rPr>
          <w:fldChar w:fldCharType="end"/>
        </w:r>
      </w:hyperlink>
    </w:p>
    <w:p w14:paraId="674D1F35"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6" w:history="1">
        <w:r w:rsidR="00FA679D" w:rsidRPr="00FA679D">
          <w:rPr>
            <w:rStyle w:val="Hiperpovezava"/>
            <w:noProof/>
            <w:sz w:val="20"/>
          </w:rPr>
          <w:t>Slika 11: Število GVŽ in delež goveda vključenega v ukrep DŽ glede na celoten stalež goveda v GVŽ</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_Toc55484786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33</w:t>
        </w:r>
        <w:r w:rsidR="00FA679D" w:rsidRPr="00FA679D">
          <w:rPr>
            <w:noProof/>
            <w:webHidden/>
            <w:sz w:val="20"/>
          </w:rPr>
          <w:fldChar w:fldCharType="end"/>
        </w:r>
      </w:hyperlink>
    </w:p>
    <w:p w14:paraId="14B31643"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7" w:history="1">
        <w:r w:rsidR="00FA679D" w:rsidRPr="00FA679D">
          <w:rPr>
            <w:rStyle w:val="Hiperpovezava"/>
            <w:noProof/>
            <w:sz w:val="20"/>
          </w:rPr>
          <w:t>Slika 12: Število GVŽ in delež drobnice vključene v ukrep DŽ glede na celoten stalež drobnice v GVŽ</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_Toc55484787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34</w:t>
        </w:r>
        <w:r w:rsidR="00FA679D" w:rsidRPr="00FA679D">
          <w:rPr>
            <w:noProof/>
            <w:webHidden/>
            <w:sz w:val="20"/>
          </w:rPr>
          <w:fldChar w:fldCharType="end"/>
        </w:r>
      </w:hyperlink>
    </w:p>
    <w:p w14:paraId="3569D24C"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788" w:history="1">
        <w:r w:rsidR="00FA679D" w:rsidRPr="00FA679D">
          <w:rPr>
            <w:rStyle w:val="Hiperpovezava"/>
            <w:noProof/>
            <w:sz w:val="20"/>
          </w:rPr>
          <w:t>Slika 13: Odpadna hrana po gospodinjstvih in skupaj  (1000 t) po letih</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_Toc55484788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37</w:t>
        </w:r>
        <w:r w:rsidR="00FA679D" w:rsidRPr="00FA679D">
          <w:rPr>
            <w:noProof/>
            <w:webHidden/>
            <w:sz w:val="20"/>
          </w:rPr>
          <w:fldChar w:fldCharType="end"/>
        </w:r>
      </w:hyperlink>
    </w:p>
    <w:p w14:paraId="37625CD3" w14:textId="4AE82227" w:rsidR="00F80C74" w:rsidRPr="00EE416E" w:rsidRDefault="00FA679D" w:rsidP="00F80C74">
      <w:r w:rsidRPr="00FA679D">
        <w:rPr>
          <w:sz w:val="20"/>
        </w:rPr>
        <w:fldChar w:fldCharType="end"/>
      </w:r>
      <w:r w:rsidR="00F80C74">
        <w:t xml:space="preserve"> </w:t>
      </w:r>
    </w:p>
    <w:p w14:paraId="69714050" w14:textId="77777777" w:rsidR="00FA679D" w:rsidRPr="00FA679D" w:rsidRDefault="00FA679D">
      <w:pPr>
        <w:pStyle w:val="Kazaloslik"/>
        <w:tabs>
          <w:tab w:val="right" w:leader="dot" w:pos="9062"/>
        </w:tabs>
        <w:rPr>
          <w:rFonts w:asciiTheme="minorHAnsi" w:eastAsiaTheme="minorEastAsia" w:hAnsiTheme="minorHAnsi" w:cstheme="minorBidi"/>
          <w:noProof/>
          <w:sz w:val="20"/>
          <w:lang w:eastAsia="sl-SI"/>
        </w:rPr>
      </w:pPr>
      <w:r w:rsidRPr="00FA679D">
        <w:rPr>
          <w:sz w:val="20"/>
        </w:rPr>
        <w:fldChar w:fldCharType="begin"/>
      </w:r>
      <w:r w:rsidRPr="00FA679D">
        <w:rPr>
          <w:sz w:val="20"/>
        </w:rPr>
        <w:instrText xml:space="preserve"> TOC \h \z \c "Tabela" </w:instrText>
      </w:r>
      <w:r w:rsidRPr="00FA679D">
        <w:rPr>
          <w:sz w:val="20"/>
        </w:rPr>
        <w:fldChar w:fldCharType="separate"/>
      </w:r>
      <w:hyperlink w:anchor="_Toc55484823" w:history="1">
        <w:r w:rsidRPr="00FA679D">
          <w:rPr>
            <w:rStyle w:val="Hiperpovezava"/>
            <w:noProof/>
            <w:sz w:val="20"/>
          </w:rPr>
          <w:t>Tabela 1: Kazalniki stanja, ki so uporabljeni v okviru specifičnega cilja 9:</w:t>
        </w:r>
        <w:r w:rsidRPr="00FA679D">
          <w:rPr>
            <w:noProof/>
            <w:webHidden/>
            <w:sz w:val="20"/>
          </w:rPr>
          <w:tab/>
        </w:r>
        <w:r w:rsidRPr="00FA679D">
          <w:rPr>
            <w:noProof/>
            <w:webHidden/>
            <w:sz w:val="20"/>
          </w:rPr>
          <w:fldChar w:fldCharType="begin"/>
        </w:r>
        <w:r w:rsidRPr="00FA679D">
          <w:rPr>
            <w:noProof/>
            <w:webHidden/>
            <w:sz w:val="20"/>
          </w:rPr>
          <w:instrText xml:space="preserve"> PAGEREF _Toc55484823 \h </w:instrText>
        </w:r>
        <w:r w:rsidRPr="00FA679D">
          <w:rPr>
            <w:noProof/>
            <w:webHidden/>
            <w:sz w:val="20"/>
          </w:rPr>
        </w:r>
        <w:r w:rsidRPr="00FA679D">
          <w:rPr>
            <w:noProof/>
            <w:webHidden/>
            <w:sz w:val="20"/>
          </w:rPr>
          <w:fldChar w:fldCharType="separate"/>
        </w:r>
        <w:r w:rsidRPr="00FA679D">
          <w:rPr>
            <w:noProof/>
            <w:webHidden/>
            <w:sz w:val="20"/>
          </w:rPr>
          <w:t>7</w:t>
        </w:r>
        <w:r w:rsidRPr="00FA679D">
          <w:rPr>
            <w:noProof/>
            <w:webHidden/>
            <w:sz w:val="20"/>
          </w:rPr>
          <w:fldChar w:fldCharType="end"/>
        </w:r>
      </w:hyperlink>
    </w:p>
    <w:p w14:paraId="38BD2BCF"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4" w:history="1">
        <w:r w:rsidR="00FA679D" w:rsidRPr="00FA679D">
          <w:rPr>
            <w:rStyle w:val="Hiperpovezava"/>
            <w:noProof/>
            <w:sz w:val="20"/>
          </w:rPr>
          <w:t>Tabela 2: Prodaja veterinarskih protimikrobnih zdravil za živali, ki so pretežno namenjene proizvodnji hrane, v Sloveniji, v tonah, od leta 2011 do leta 2017</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_Toc55484824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11</w:t>
        </w:r>
        <w:r w:rsidR="00FA679D" w:rsidRPr="00FA679D">
          <w:rPr>
            <w:noProof/>
            <w:webHidden/>
            <w:sz w:val="20"/>
          </w:rPr>
          <w:fldChar w:fldCharType="end"/>
        </w:r>
      </w:hyperlink>
    </w:p>
    <w:p w14:paraId="4C466982"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5" w:history="1">
        <w:r w:rsidR="00FA679D" w:rsidRPr="00FA679D">
          <w:rPr>
            <w:rStyle w:val="Hiperpovezava"/>
            <w:noProof/>
            <w:sz w:val="20"/>
          </w:rPr>
          <w:t>Tabela 3: Prodaja FFS (kg aktivnih snovi) po glavnih skupinah, Slovenija, letno</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_Toc55484825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15</w:t>
        </w:r>
        <w:r w:rsidR="00FA679D" w:rsidRPr="00FA679D">
          <w:rPr>
            <w:noProof/>
            <w:webHidden/>
            <w:sz w:val="20"/>
          </w:rPr>
          <w:fldChar w:fldCharType="end"/>
        </w:r>
      </w:hyperlink>
    </w:p>
    <w:p w14:paraId="444A7ABD"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6" w:history="1">
        <w:r w:rsidR="00FA679D" w:rsidRPr="00FA679D">
          <w:rPr>
            <w:rStyle w:val="Hiperpovezava"/>
            <w:noProof/>
            <w:sz w:val="20"/>
          </w:rPr>
          <w:t>Tabela 4: Gibanje celotnega utežnega indeksa z izhodiščno vrednostjo 100. Izhodiščna vrednost za kazalnik tveganja 1 je enaka povprečnemu rezultatu izračuna za obdobje od leta 2011 do 2013</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_Toc55484826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18</w:t>
        </w:r>
        <w:r w:rsidR="00FA679D" w:rsidRPr="00FA679D">
          <w:rPr>
            <w:noProof/>
            <w:webHidden/>
            <w:sz w:val="20"/>
          </w:rPr>
          <w:fldChar w:fldCharType="end"/>
        </w:r>
      </w:hyperlink>
    </w:p>
    <w:p w14:paraId="78538EAE"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7" w:history="1">
        <w:r w:rsidR="00FA679D" w:rsidRPr="00FA679D">
          <w:rPr>
            <w:rStyle w:val="Hiperpovezava"/>
            <w:noProof/>
            <w:sz w:val="20"/>
          </w:rPr>
          <w:t>Tabela 5: Gibanje celotnega utežnega indeksa v vsaki izmed sedmih razredov aktivnih snovi (a.s.) z izhodiščno vrednostjo 100. Izhodiščna vrednost za kazalnik tveganja 1 je enaka povprečnemu rezultatu izračuna za obdobje 2011–2013</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_Toc55484827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18</w:t>
        </w:r>
        <w:r w:rsidR="00FA679D" w:rsidRPr="00FA679D">
          <w:rPr>
            <w:noProof/>
            <w:webHidden/>
            <w:sz w:val="20"/>
          </w:rPr>
          <w:fldChar w:fldCharType="end"/>
        </w:r>
      </w:hyperlink>
    </w:p>
    <w:p w14:paraId="3895AA3D"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8" w:history="1">
        <w:r w:rsidR="00FA679D" w:rsidRPr="00FA679D">
          <w:rPr>
            <w:rStyle w:val="Hiperpovezava"/>
            <w:noProof/>
            <w:sz w:val="20"/>
          </w:rPr>
          <w:t>Tabela 6: Gibanje celotnega utežnega indeksa z izhodiščno vrednostjo 100. Izhodiščna vrednost za usklajeni kazalnik tveganja 2 je enaka povprečnemu rezultatu izračuna iz števila izdanih dovoljenj za obdobje 2011–2013</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_Toc55484828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19</w:t>
        </w:r>
        <w:r w:rsidR="00FA679D" w:rsidRPr="00FA679D">
          <w:rPr>
            <w:noProof/>
            <w:webHidden/>
            <w:sz w:val="20"/>
          </w:rPr>
          <w:fldChar w:fldCharType="end"/>
        </w:r>
      </w:hyperlink>
    </w:p>
    <w:p w14:paraId="60B0B7C1"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29" w:history="1">
        <w:r w:rsidR="00FA679D" w:rsidRPr="00FA679D">
          <w:rPr>
            <w:rStyle w:val="Hiperpovezava"/>
            <w:noProof/>
            <w:sz w:val="20"/>
          </w:rPr>
          <w:t>Tabela 7: Operacije ukrepa KOPOP, ki zmanjšujejo uporabo FFS</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_Toc55484829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20</w:t>
        </w:r>
        <w:r w:rsidR="00FA679D" w:rsidRPr="00FA679D">
          <w:rPr>
            <w:noProof/>
            <w:webHidden/>
            <w:sz w:val="20"/>
          </w:rPr>
          <w:fldChar w:fldCharType="end"/>
        </w:r>
      </w:hyperlink>
    </w:p>
    <w:p w14:paraId="76865FE5"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30" w:history="1">
        <w:r w:rsidR="00FA679D" w:rsidRPr="00FA679D">
          <w:rPr>
            <w:rStyle w:val="Hiperpovezava"/>
            <w:noProof/>
            <w:sz w:val="20"/>
          </w:rPr>
          <w:t>Tabela 8: Kmetijska gospodarstva po velikostnih razredih števila GVŽ v letu 2016</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_Toc55484830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27</w:t>
        </w:r>
        <w:r w:rsidR="00FA679D" w:rsidRPr="00FA679D">
          <w:rPr>
            <w:noProof/>
            <w:webHidden/>
            <w:sz w:val="20"/>
          </w:rPr>
          <w:fldChar w:fldCharType="end"/>
        </w:r>
      </w:hyperlink>
    </w:p>
    <w:p w14:paraId="1C19CCE7"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31" w:history="1">
        <w:r w:rsidR="00FA679D" w:rsidRPr="00FA679D">
          <w:rPr>
            <w:rStyle w:val="Hiperpovezava"/>
            <w:noProof/>
            <w:sz w:val="20"/>
          </w:rPr>
          <w:t>Tabela 9: Ocena deleža prašičev s skrajšanimi repi glede na velikost gospodarstev na podlagi podatkov iz obveznih letnih pregledov gospodarstev v letu 2016</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_Toc55484831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28</w:t>
        </w:r>
        <w:r w:rsidR="00FA679D" w:rsidRPr="00FA679D">
          <w:rPr>
            <w:noProof/>
            <w:webHidden/>
            <w:sz w:val="20"/>
          </w:rPr>
          <w:fldChar w:fldCharType="end"/>
        </w:r>
      </w:hyperlink>
    </w:p>
    <w:p w14:paraId="24D6855F"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32" w:history="1">
        <w:r w:rsidR="00FA679D" w:rsidRPr="00FA679D">
          <w:rPr>
            <w:rStyle w:val="Hiperpovezava"/>
            <w:noProof/>
            <w:sz w:val="20"/>
          </w:rPr>
          <w:t>Tabela 10: Število živali na KMG na 1. februar iz obrazca Stalež živali po vrstah in kategorijah rejnih živali ter število in delež živali vključenih v ukrep DŽ</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_Toc55484832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30</w:t>
        </w:r>
        <w:r w:rsidR="00FA679D" w:rsidRPr="00FA679D">
          <w:rPr>
            <w:noProof/>
            <w:webHidden/>
            <w:sz w:val="20"/>
          </w:rPr>
          <w:fldChar w:fldCharType="end"/>
        </w:r>
      </w:hyperlink>
    </w:p>
    <w:p w14:paraId="54C763FA"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33" w:history="1">
        <w:r w:rsidR="00FA679D" w:rsidRPr="00FA679D">
          <w:rPr>
            <w:rStyle w:val="Hiperpovezava"/>
            <w:noProof/>
            <w:sz w:val="20"/>
          </w:rPr>
          <w:t>Tabela 11: Odpadki, nastali v proizvodnih in storitvenih dejavnostih iz kmetijstva, vrtnarstva, ribogojstva, gozdarstva, lova in ribištva ter proizvodnje hrane, kakor tudi izbrani povezani komunalni odpadki* (v tonah) za leta 2013–2018</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_Toc55484833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35</w:t>
        </w:r>
        <w:r w:rsidR="00FA679D" w:rsidRPr="00FA679D">
          <w:rPr>
            <w:noProof/>
            <w:webHidden/>
            <w:sz w:val="20"/>
          </w:rPr>
          <w:fldChar w:fldCharType="end"/>
        </w:r>
      </w:hyperlink>
    </w:p>
    <w:p w14:paraId="00535F31" w14:textId="77777777" w:rsidR="00FA679D" w:rsidRPr="00FA679D" w:rsidRDefault="00CF4D37">
      <w:pPr>
        <w:pStyle w:val="Kazaloslik"/>
        <w:tabs>
          <w:tab w:val="right" w:leader="dot" w:pos="9062"/>
        </w:tabs>
        <w:rPr>
          <w:rFonts w:asciiTheme="minorHAnsi" w:eastAsiaTheme="minorEastAsia" w:hAnsiTheme="minorHAnsi" w:cstheme="minorBidi"/>
          <w:noProof/>
          <w:sz w:val="20"/>
          <w:lang w:eastAsia="sl-SI"/>
        </w:rPr>
      </w:pPr>
      <w:hyperlink w:anchor="_Toc55484834" w:history="1">
        <w:r w:rsidR="00FA679D" w:rsidRPr="00FA679D">
          <w:rPr>
            <w:rStyle w:val="Hiperpovezava"/>
            <w:noProof/>
            <w:sz w:val="20"/>
          </w:rPr>
          <w:t>Tabela 12: Nastajanje in ravnanje z odpadno hrano v obdobju 2013 do 2018</w:t>
        </w:r>
        <w:r w:rsidR="00FA679D" w:rsidRPr="00FA679D">
          <w:rPr>
            <w:noProof/>
            <w:webHidden/>
            <w:sz w:val="20"/>
          </w:rPr>
          <w:tab/>
        </w:r>
        <w:r w:rsidR="00FA679D" w:rsidRPr="00FA679D">
          <w:rPr>
            <w:noProof/>
            <w:webHidden/>
            <w:sz w:val="20"/>
          </w:rPr>
          <w:fldChar w:fldCharType="begin"/>
        </w:r>
        <w:r w:rsidR="00FA679D" w:rsidRPr="00FA679D">
          <w:rPr>
            <w:noProof/>
            <w:webHidden/>
            <w:sz w:val="20"/>
          </w:rPr>
          <w:instrText xml:space="preserve"> PAGEREF _Toc55484834 \h </w:instrText>
        </w:r>
        <w:r w:rsidR="00FA679D" w:rsidRPr="00FA679D">
          <w:rPr>
            <w:noProof/>
            <w:webHidden/>
            <w:sz w:val="20"/>
          </w:rPr>
        </w:r>
        <w:r w:rsidR="00FA679D" w:rsidRPr="00FA679D">
          <w:rPr>
            <w:noProof/>
            <w:webHidden/>
            <w:sz w:val="20"/>
          </w:rPr>
          <w:fldChar w:fldCharType="separate"/>
        </w:r>
        <w:r w:rsidR="00FA679D" w:rsidRPr="00FA679D">
          <w:rPr>
            <w:noProof/>
            <w:webHidden/>
            <w:sz w:val="20"/>
          </w:rPr>
          <w:t>36</w:t>
        </w:r>
        <w:r w:rsidR="00FA679D" w:rsidRPr="00FA679D">
          <w:rPr>
            <w:noProof/>
            <w:webHidden/>
            <w:sz w:val="20"/>
          </w:rPr>
          <w:fldChar w:fldCharType="end"/>
        </w:r>
      </w:hyperlink>
    </w:p>
    <w:p w14:paraId="6C7D4FF4" w14:textId="14344334" w:rsidR="00342C52" w:rsidRPr="00342C52" w:rsidRDefault="00FA679D" w:rsidP="00F80C74">
      <w:r w:rsidRPr="00FA679D">
        <w:rPr>
          <w:sz w:val="20"/>
        </w:rPr>
        <w:fldChar w:fldCharType="end"/>
      </w:r>
    </w:p>
    <w:p w14:paraId="6BE482E3" w14:textId="77777777" w:rsidR="00F80C74" w:rsidRDefault="00F80C74" w:rsidP="00803049">
      <w:pPr>
        <w:pStyle w:val="Naslov3"/>
        <w:numPr>
          <w:ilvl w:val="0"/>
          <w:numId w:val="0"/>
        </w:numPr>
        <w:ind w:left="720" w:hanging="360"/>
      </w:pPr>
    </w:p>
    <w:p w14:paraId="387E2412" w14:textId="77777777" w:rsidR="00F80C74" w:rsidRDefault="00F80C74" w:rsidP="00803049">
      <w:pPr>
        <w:pStyle w:val="Naslov3"/>
        <w:numPr>
          <w:ilvl w:val="0"/>
          <w:numId w:val="0"/>
        </w:numPr>
        <w:ind w:left="720" w:hanging="360"/>
      </w:pPr>
    </w:p>
    <w:p w14:paraId="5A3A85B4" w14:textId="77777777" w:rsidR="00F80C74" w:rsidRDefault="00F80C74" w:rsidP="00803049">
      <w:pPr>
        <w:pStyle w:val="Naslov3"/>
        <w:numPr>
          <w:ilvl w:val="0"/>
          <w:numId w:val="0"/>
        </w:numPr>
        <w:ind w:left="720" w:hanging="360"/>
      </w:pPr>
    </w:p>
    <w:p w14:paraId="122828F4" w14:textId="77777777" w:rsidR="00F80C74" w:rsidRDefault="00F80C74" w:rsidP="00803049">
      <w:pPr>
        <w:pStyle w:val="Naslov3"/>
        <w:numPr>
          <w:ilvl w:val="0"/>
          <w:numId w:val="0"/>
        </w:numPr>
        <w:ind w:left="720" w:hanging="360"/>
      </w:pPr>
    </w:p>
    <w:p w14:paraId="4DB84590" w14:textId="77777777" w:rsidR="004F6D5C" w:rsidRDefault="00CA6187" w:rsidP="00803049">
      <w:pPr>
        <w:pStyle w:val="Naslov3"/>
        <w:numPr>
          <w:ilvl w:val="0"/>
          <w:numId w:val="0"/>
        </w:numPr>
        <w:ind w:left="720" w:hanging="360"/>
      </w:pPr>
      <w:bookmarkStart w:id="1" w:name="_Toc55547414"/>
      <w:r w:rsidRPr="00996CAF">
        <w:t>SEZNAM UPORABLJENIH KRATIC IN SIMBOLOV</w:t>
      </w:r>
      <w:bookmarkEnd w:id="1"/>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126"/>
      </w:tblGrid>
      <w:tr w:rsidR="00983F82" w:rsidRPr="00CF0FC8" w14:paraId="6E801F05" w14:textId="77777777" w:rsidTr="0048262F">
        <w:trPr>
          <w:jc w:val="center"/>
        </w:trPr>
        <w:tc>
          <w:tcPr>
            <w:tcW w:w="1701" w:type="dxa"/>
          </w:tcPr>
          <w:p w14:paraId="65A13163" w14:textId="45A7A296" w:rsidR="007C24FA" w:rsidRPr="00CF0FC8" w:rsidRDefault="00983F82" w:rsidP="00803049">
            <w:pPr>
              <w:pStyle w:val="Naslov3"/>
              <w:numPr>
                <w:ilvl w:val="0"/>
                <w:numId w:val="0"/>
              </w:numPr>
              <w:outlineLvl w:val="2"/>
              <w:rPr>
                <w:b w:val="0"/>
                <w:sz w:val="20"/>
                <w:szCs w:val="20"/>
              </w:rPr>
            </w:pPr>
            <w:bookmarkStart w:id="2" w:name="_Toc55464574"/>
            <w:bookmarkStart w:id="3" w:name="_Toc55484716"/>
            <w:bookmarkStart w:id="4" w:name="_Toc55547415"/>
            <w:r w:rsidRPr="00CF0FC8">
              <w:rPr>
                <w:b w:val="0"/>
                <w:sz w:val="20"/>
                <w:szCs w:val="20"/>
              </w:rPr>
              <w:t>AM</w:t>
            </w:r>
            <w:bookmarkEnd w:id="2"/>
            <w:bookmarkEnd w:id="3"/>
            <w:bookmarkEnd w:id="4"/>
          </w:p>
        </w:tc>
        <w:tc>
          <w:tcPr>
            <w:tcW w:w="6126" w:type="dxa"/>
          </w:tcPr>
          <w:p w14:paraId="73F08DE2" w14:textId="113B519A" w:rsidR="007C24FA" w:rsidRPr="00CF0FC8" w:rsidRDefault="00983F82" w:rsidP="00803049">
            <w:pPr>
              <w:pStyle w:val="Naslov3"/>
              <w:numPr>
                <w:ilvl w:val="0"/>
                <w:numId w:val="0"/>
              </w:numPr>
              <w:outlineLvl w:val="2"/>
              <w:rPr>
                <w:b w:val="0"/>
                <w:sz w:val="20"/>
                <w:szCs w:val="20"/>
              </w:rPr>
            </w:pPr>
            <w:r w:rsidRPr="00CF0FC8">
              <w:rPr>
                <w:b w:val="0"/>
                <w:sz w:val="20"/>
                <w:szCs w:val="20"/>
              </w:rPr>
              <w:t xml:space="preserve"> </w:t>
            </w:r>
            <w:bookmarkStart w:id="5" w:name="_Toc55464575"/>
            <w:bookmarkStart w:id="6" w:name="_Toc55484717"/>
            <w:bookmarkStart w:id="7" w:name="_Toc55547416"/>
            <w:r w:rsidRPr="00CF0FC8">
              <w:rPr>
                <w:b w:val="0"/>
                <w:sz w:val="20"/>
                <w:szCs w:val="20"/>
              </w:rPr>
              <w:t>Protimikrobna zdravila</w:t>
            </w:r>
            <w:bookmarkEnd w:id="5"/>
            <w:bookmarkEnd w:id="6"/>
            <w:bookmarkEnd w:id="7"/>
          </w:p>
        </w:tc>
      </w:tr>
      <w:tr w:rsidR="00983F82" w:rsidRPr="00CF0FC8" w14:paraId="41E3C4E1" w14:textId="77777777" w:rsidTr="0048262F">
        <w:trPr>
          <w:jc w:val="center"/>
        </w:trPr>
        <w:tc>
          <w:tcPr>
            <w:tcW w:w="1701" w:type="dxa"/>
          </w:tcPr>
          <w:p w14:paraId="4432EFB0" w14:textId="4B153BD1" w:rsidR="007C24FA" w:rsidRPr="00CF0FC8" w:rsidRDefault="00983F82" w:rsidP="00803049">
            <w:pPr>
              <w:pStyle w:val="Naslov3"/>
              <w:numPr>
                <w:ilvl w:val="0"/>
                <w:numId w:val="0"/>
              </w:numPr>
              <w:outlineLvl w:val="2"/>
              <w:rPr>
                <w:b w:val="0"/>
                <w:sz w:val="20"/>
                <w:szCs w:val="20"/>
              </w:rPr>
            </w:pPr>
            <w:bookmarkStart w:id="8" w:name="_Toc55464576"/>
            <w:bookmarkStart w:id="9" w:name="_Toc55484718"/>
            <w:bookmarkStart w:id="10" w:name="_Toc55547417"/>
            <w:r w:rsidRPr="00CF0FC8">
              <w:rPr>
                <w:b w:val="0"/>
                <w:sz w:val="20"/>
                <w:szCs w:val="20"/>
              </w:rPr>
              <w:t>ARSO</w:t>
            </w:r>
            <w:bookmarkEnd w:id="8"/>
            <w:bookmarkEnd w:id="9"/>
            <w:bookmarkEnd w:id="10"/>
          </w:p>
        </w:tc>
        <w:tc>
          <w:tcPr>
            <w:tcW w:w="6126" w:type="dxa"/>
          </w:tcPr>
          <w:p w14:paraId="712209ED" w14:textId="2BB62D01" w:rsidR="007C24FA" w:rsidRPr="00CF0FC8" w:rsidRDefault="00983F82" w:rsidP="00803049">
            <w:pPr>
              <w:pStyle w:val="Naslov3"/>
              <w:numPr>
                <w:ilvl w:val="0"/>
                <w:numId w:val="0"/>
              </w:numPr>
              <w:outlineLvl w:val="2"/>
              <w:rPr>
                <w:b w:val="0"/>
                <w:sz w:val="20"/>
                <w:szCs w:val="20"/>
              </w:rPr>
            </w:pPr>
            <w:bookmarkStart w:id="11" w:name="_Toc55464577"/>
            <w:bookmarkStart w:id="12" w:name="_Toc55484719"/>
            <w:bookmarkStart w:id="13" w:name="_Toc55547418"/>
            <w:r w:rsidRPr="00CF0FC8">
              <w:rPr>
                <w:b w:val="0"/>
                <w:sz w:val="20"/>
                <w:szCs w:val="20"/>
              </w:rPr>
              <w:t>Agencija Republike Slovenije za okolje</w:t>
            </w:r>
            <w:bookmarkEnd w:id="11"/>
            <w:bookmarkEnd w:id="12"/>
            <w:bookmarkEnd w:id="13"/>
          </w:p>
        </w:tc>
      </w:tr>
      <w:tr w:rsidR="005B4F92" w:rsidRPr="00CF0FC8" w14:paraId="4BF123F0" w14:textId="77777777" w:rsidTr="0048262F">
        <w:trPr>
          <w:jc w:val="center"/>
        </w:trPr>
        <w:tc>
          <w:tcPr>
            <w:tcW w:w="1701" w:type="dxa"/>
          </w:tcPr>
          <w:p w14:paraId="6AF417F9" w14:textId="7E4BEE1A" w:rsidR="005B4F92" w:rsidRPr="00CF0FC8" w:rsidRDefault="005B4F92" w:rsidP="00803049">
            <w:pPr>
              <w:pStyle w:val="Naslov3"/>
              <w:numPr>
                <w:ilvl w:val="0"/>
                <w:numId w:val="0"/>
              </w:numPr>
              <w:outlineLvl w:val="2"/>
              <w:rPr>
                <w:b w:val="0"/>
                <w:sz w:val="20"/>
                <w:szCs w:val="20"/>
              </w:rPr>
            </w:pPr>
            <w:bookmarkStart w:id="14" w:name="_Toc55547419"/>
            <w:r>
              <w:rPr>
                <w:b w:val="0"/>
                <w:sz w:val="20"/>
                <w:szCs w:val="20"/>
              </w:rPr>
              <w:t>EFSA</w:t>
            </w:r>
            <w:bookmarkEnd w:id="14"/>
          </w:p>
        </w:tc>
        <w:tc>
          <w:tcPr>
            <w:tcW w:w="6126" w:type="dxa"/>
          </w:tcPr>
          <w:p w14:paraId="3148ABBC" w14:textId="04A05F15" w:rsidR="005B4F92" w:rsidRPr="005B4F92" w:rsidRDefault="005B4F92" w:rsidP="005B4F92">
            <w:pPr>
              <w:pStyle w:val="Naslov3"/>
              <w:numPr>
                <w:ilvl w:val="0"/>
                <w:numId w:val="0"/>
              </w:numPr>
              <w:outlineLvl w:val="2"/>
              <w:rPr>
                <w:b w:val="0"/>
                <w:sz w:val="20"/>
                <w:szCs w:val="20"/>
              </w:rPr>
            </w:pPr>
            <w:bookmarkStart w:id="15" w:name="_Toc55547420"/>
            <w:r w:rsidRPr="005B4F92">
              <w:rPr>
                <w:rFonts w:eastAsia="Arial"/>
                <w:b w:val="0"/>
                <w:sz w:val="20"/>
              </w:rPr>
              <w:t>Evropska agencija za varnost hrane</w:t>
            </w:r>
            <w:bookmarkEnd w:id="15"/>
          </w:p>
        </w:tc>
      </w:tr>
      <w:tr w:rsidR="00983F82" w:rsidRPr="00CF0FC8" w14:paraId="58C4D624" w14:textId="77777777" w:rsidTr="0048262F">
        <w:trPr>
          <w:jc w:val="center"/>
        </w:trPr>
        <w:tc>
          <w:tcPr>
            <w:tcW w:w="1701" w:type="dxa"/>
          </w:tcPr>
          <w:p w14:paraId="5A04C846" w14:textId="08A4AD47" w:rsidR="007C24FA" w:rsidRPr="00CF0FC8" w:rsidRDefault="00983F82" w:rsidP="00803049">
            <w:pPr>
              <w:pStyle w:val="Naslov3"/>
              <w:numPr>
                <w:ilvl w:val="0"/>
                <w:numId w:val="0"/>
              </w:numPr>
              <w:outlineLvl w:val="2"/>
              <w:rPr>
                <w:b w:val="0"/>
                <w:sz w:val="20"/>
                <w:szCs w:val="20"/>
              </w:rPr>
            </w:pPr>
            <w:bookmarkStart w:id="16" w:name="_Toc55464578"/>
            <w:bookmarkStart w:id="17" w:name="_Toc55484720"/>
            <w:bookmarkStart w:id="18" w:name="_Toc55547421"/>
            <w:r w:rsidRPr="00CF0FC8">
              <w:rPr>
                <w:b w:val="0"/>
                <w:sz w:val="20"/>
                <w:szCs w:val="20"/>
              </w:rPr>
              <w:t>EGP</w:t>
            </w:r>
            <w:bookmarkEnd w:id="16"/>
            <w:bookmarkEnd w:id="17"/>
            <w:bookmarkEnd w:id="18"/>
          </w:p>
        </w:tc>
        <w:tc>
          <w:tcPr>
            <w:tcW w:w="6126" w:type="dxa"/>
          </w:tcPr>
          <w:p w14:paraId="04840BC9" w14:textId="06E951B7" w:rsidR="007C24FA" w:rsidRPr="00CF0FC8" w:rsidRDefault="00983F82" w:rsidP="00803049">
            <w:pPr>
              <w:pStyle w:val="Naslov3"/>
              <w:numPr>
                <w:ilvl w:val="0"/>
                <w:numId w:val="0"/>
              </w:numPr>
              <w:outlineLvl w:val="2"/>
              <w:rPr>
                <w:b w:val="0"/>
                <w:sz w:val="20"/>
                <w:szCs w:val="20"/>
              </w:rPr>
            </w:pPr>
            <w:bookmarkStart w:id="19" w:name="_Toc55464579"/>
            <w:bookmarkStart w:id="20" w:name="_Toc55484721"/>
            <w:bookmarkStart w:id="21" w:name="_Toc55547422"/>
            <w:r w:rsidRPr="00CF0FC8">
              <w:rPr>
                <w:b w:val="0"/>
                <w:sz w:val="20"/>
                <w:szCs w:val="20"/>
              </w:rPr>
              <w:t>Evropski gospodarski prostor</w:t>
            </w:r>
            <w:bookmarkEnd w:id="19"/>
            <w:bookmarkEnd w:id="20"/>
            <w:bookmarkEnd w:id="21"/>
          </w:p>
        </w:tc>
      </w:tr>
      <w:tr w:rsidR="00983F82" w:rsidRPr="00CF0FC8" w14:paraId="41D8F7A7" w14:textId="77777777" w:rsidTr="0048262F">
        <w:trPr>
          <w:jc w:val="center"/>
        </w:trPr>
        <w:tc>
          <w:tcPr>
            <w:tcW w:w="1701" w:type="dxa"/>
          </w:tcPr>
          <w:p w14:paraId="1257FECB" w14:textId="309822EF" w:rsidR="007C24FA" w:rsidRPr="00CF0FC8" w:rsidRDefault="00983F82" w:rsidP="00803049">
            <w:pPr>
              <w:pStyle w:val="Naslov3"/>
              <w:numPr>
                <w:ilvl w:val="0"/>
                <w:numId w:val="0"/>
              </w:numPr>
              <w:outlineLvl w:val="2"/>
              <w:rPr>
                <w:b w:val="0"/>
                <w:sz w:val="20"/>
                <w:szCs w:val="20"/>
              </w:rPr>
            </w:pPr>
            <w:bookmarkStart w:id="22" w:name="_Toc55464580"/>
            <w:bookmarkStart w:id="23" w:name="_Toc55484722"/>
            <w:bookmarkStart w:id="24" w:name="_Toc55547423"/>
            <w:r w:rsidRPr="00CF0FC8">
              <w:rPr>
                <w:b w:val="0"/>
                <w:sz w:val="20"/>
                <w:szCs w:val="20"/>
              </w:rPr>
              <w:t>EU</w:t>
            </w:r>
            <w:bookmarkEnd w:id="22"/>
            <w:bookmarkEnd w:id="23"/>
            <w:bookmarkEnd w:id="24"/>
          </w:p>
        </w:tc>
        <w:tc>
          <w:tcPr>
            <w:tcW w:w="6126" w:type="dxa"/>
          </w:tcPr>
          <w:p w14:paraId="54D671CF" w14:textId="3FF07E7F" w:rsidR="007C24FA" w:rsidRPr="00CF0FC8" w:rsidRDefault="00983F82" w:rsidP="00803049">
            <w:pPr>
              <w:pStyle w:val="Naslov3"/>
              <w:numPr>
                <w:ilvl w:val="0"/>
                <w:numId w:val="0"/>
              </w:numPr>
              <w:outlineLvl w:val="2"/>
              <w:rPr>
                <w:b w:val="0"/>
                <w:sz w:val="20"/>
                <w:szCs w:val="20"/>
              </w:rPr>
            </w:pPr>
            <w:bookmarkStart w:id="25" w:name="_Toc55464581"/>
            <w:bookmarkStart w:id="26" w:name="_Toc55484723"/>
            <w:bookmarkStart w:id="27" w:name="_Toc55547424"/>
            <w:r w:rsidRPr="00CF0FC8">
              <w:rPr>
                <w:b w:val="0"/>
                <w:sz w:val="20"/>
                <w:szCs w:val="20"/>
              </w:rPr>
              <w:t>Evropska unija</w:t>
            </w:r>
            <w:bookmarkEnd w:id="25"/>
            <w:bookmarkEnd w:id="26"/>
            <w:bookmarkEnd w:id="27"/>
          </w:p>
        </w:tc>
      </w:tr>
      <w:tr w:rsidR="00983F82" w:rsidRPr="00CF0FC8" w14:paraId="1B44373A" w14:textId="77777777" w:rsidTr="0048262F">
        <w:trPr>
          <w:jc w:val="center"/>
        </w:trPr>
        <w:tc>
          <w:tcPr>
            <w:tcW w:w="1701" w:type="dxa"/>
          </w:tcPr>
          <w:p w14:paraId="3BA19942" w14:textId="5780EFC2" w:rsidR="007C24FA" w:rsidRPr="00C40617" w:rsidRDefault="00983F82" w:rsidP="00803049">
            <w:pPr>
              <w:pStyle w:val="Naslov3"/>
              <w:numPr>
                <w:ilvl w:val="0"/>
                <w:numId w:val="0"/>
              </w:numPr>
              <w:outlineLvl w:val="2"/>
              <w:rPr>
                <w:b w:val="0"/>
                <w:sz w:val="20"/>
                <w:szCs w:val="20"/>
              </w:rPr>
            </w:pPr>
            <w:bookmarkStart w:id="28" w:name="_Toc55464582"/>
            <w:bookmarkStart w:id="29" w:name="_Toc55484724"/>
            <w:bookmarkStart w:id="30" w:name="_Toc55547425"/>
            <w:r w:rsidRPr="00C40617">
              <w:rPr>
                <w:b w:val="0"/>
                <w:sz w:val="20"/>
                <w:szCs w:val="20"/>
              </w:rPr>
              <w:t>ESVAC</w:t>
            </w:r>
            <w:bookmarkEnd w:id="28"/>
            <w:bookmarkEnd w:id="29"/>
            <w:bookmarkEnd w:id="30"/>
          </w:p>
        </w:tc>
        <w:tc>
          <w:tcPr>
            <w:tcW w:w="6126" w:type="dxa"/>
          </w:tcPr>
          <w:p w14:paraId="41815FC7" w14:textId="24EEF747" w:rsidR="007C24FA" w:rsidRPr="00C40617" w:rsidRDefault="00C40617" w:rsidP="00C40617">
            <w:pPr>
              <w:pStyle w:val="Naslov3"/>
              <w:numPr>
                <w:ilvl w:val="0"/>
                <w:numId w:val="0"/>
              </w:numPr>
              <w:outlineLvl w:val="2"/>
              <w:rPr>
                <w:b w:val="0"/>
                <w:sz w:val="20"/>
                <w:szCs w:val="20"/>
              </w:rPr>
            </w:pPr>
            <w:bookmarkStart w:id="31" w:name="_Toc55547426"/>
            <w:r w:rsidRPr="00C40617">
              <w:rPr>
                <w:b w:val="0"/>
                <w:color w:val="000000"/>
                <w:sz w:val="20"/>
                <w:szCs w:val="20"/>
              </w:rPr>
              <w:t>Evropski uradni nadzor porabe protimikrobnih zdravil za uporabo v veterinarski medicini</w:t>
            </w:r>
            <w:bookmarkEnd w:id="31"/>
            <w:r w:rsidRPr="00C40617">
              <w:rPr>
                <w:rFonts w:eastAsia="Arial"/>
                <w:b w:val="0"/>
                <w:sz w:val="20"/>
                <w:szCs w:val="20"/>
              </w:rPr>
              <w:t xml:space="preserve"> </w:t>
            </w:r>
          </w:p>
        </w:tc>
      </w:tr>
      <w:tr w:rsidR="00983F82" w:rsidRPr="00CF0FC8" w14:paraId="788C8D29" w14:textId="77777777" w:rsidTr="0048262F">
        <w:trPr>
          <w:jc w:val="center"/>
        </w:trPr>
        <w:tc>
          <w:tcPr>
            <w:tcW w:w="1701" w:type="dxa"/>
          </w:tcPr>
          <w:p w14:paraId="23076F0F" w14:textId="298D9F66" w:rsidR="007C24FA" w:rsidRPr="00CF0FC8" w:rsidRDefault="00983F82" w:rsidP="00803049">
            <w:pPr>
              <w:pStyle w:val="Naslov3"/>
              <w:numPr>
                <w:ilvl w:val="0"/>
                <w:numId w:val="0"/>
              </w:numPr>
              <w:outlineLvl w:val="2"/>
              <w:rPr>
                <w:b w:val="0"/>
                <w:sz w:val="20"/>
                <w:szCs w:val="20"/>
              </w:rPr>
            </w:pPr>
            <w:bookmarkStart w:id="32" w:name="_Toc55464583"/>
            <w:bookmarkStart w:id="33" w:name="_Toc55484725"/>
            <w:bookmarkStart w:id="34" w:name="_Toc55547427"/>
            <w:r w:rsidRPr="00CF0FC8">
              <w:rPr>
                <w:b w:val="0"/>
                <w:sz w:val="20"/>
                <w:szCs w:val="20"/>
              </w:rPr>
              <w:t>FFS</w:t>
            </w:r>
            <w:bookmarkEnd w:id="32"/>
            <w:bookmarkEnd w:id="33"/>
            <w:bookmarkEnd w:id="34"/>
          </w:p>
        </w:tc>
        <w:tc>
          <w:tcPr>
            <w:tcW w:w="6126" w:type="dxa"/>
          </w:tcPr>
          <w:p w14:paraId="6F3C54C2" w14:textId="2E4B9794" w:rsidR="007C24FA" w:rsidRPr="00CF0FC8" w:rsidRDefault="00983F82" w:rsidP="00803049">
            <w:pPr>
              <w:pStyle w:val="Naslov3"/>
              <w:numPr>
                <w:ilvl w:val="0"/>
                <w:numId w:val="0"/>
              </w:numPr>
              <w:outlineLvl w:val="2"/>
              <w:rPr>
                <w:b w:val="0"/>
                <w:sz w:val="20"/>
                <w:szCs w:val="20"/>
              </w:rPr>
            </w:pPr>
            <w:bookmarkStart w:id="35" w:name="_Toc55464584"/>
            <w:bookmarkStart w:id="36" w:name="_Toc55484726"/>
            <w:bookmarkStart w:id="37" w:name="_Toc55547428"/>
            <w:r w:rsidRPr="00CF0FC8">
              <w:rPr>
                <w:b w:val="0"/>
                <w:sz w:val="20"/>
                <w:szCs w:val="20"/>
              </w:rPr>
              <w:t>Fitofarmacevtska sredstva</w:t>
            </w:r>
            <w:bookmarkEnd w:id="35"/>
            <w:bookmarkEnd w:id="36"/>
            <w:bookmarkEnd w:id="37"/>
          </w:p>
        </w:tc>
      </w:tr>
      <w:tr w:rsidR="00983F82" w:rsidRPr="00CF0FC8" w14:paraId="3D35331E" w14:textId="77777777" w:rsidTr="0048262F">
        <w:trPr>
          <w:jc w:val="center"/>
        </w:trPr>
        <w:tc>
          <w:tcPr>
            <w:tcW w:w="1701" w:type="dxa"/>
          </w:tcPr>
          <w:p w14:paraId="4310534F" w14:textId="01E276A6" w:rsidR="007C24FA" w:rsidRPr="00CF0FC8" w:rsidRDefault="00983F82" w:rsidP="00803049">
            <w:pPr>
              <w:pStyle w:val="Naslov3"/>
              <w:numPr>
                <w:ilvl w:val="0"/>
                <w:numId w:val="0"/>
              </w:numPr>
              <w:outlineLvl w:val="2"/>
              <w:rPr>
                <w:b w:val="0"/>
                <w:sz w:val="20"/>
                <w:szCs w:val="20"/>
              </w:rPr>
            </w:pPr>
            <w:bookmarkStart w:id="38" w:name="_Toc55464585"/>
            <w:bookmarkStart w:id="39" w:name="_Toc55484727"/>
            <w:bookmarkStart w:id="40" w:name="_Toc55547429"/>
            <w:r w:rsidRPr="00CF0FC8">
              <w:rPr>
                <w:b w:val="0"/>
                <w:sz w:val="20"/>
                <w:szCs w:val="20"/>
              </w:rPr>
              <w:t>IVR</w:t>
            </w:r>
            <w:bookmarkEnd w:id="38"/>
            <w:bookmarkEnd w:id="39"/>
            <w:bookmarkEnd w:id="40"/>
          </w:p>
        </w:tc>
        <w:tc>
          <w:tcPr>
            <w:tcW w:w="6126" w:type="dxa"/>
          </w:tcPr>
          <w:p w14:paraId="6458C973" w14:textId="2502CEC0" w:rsidR="007C24FA" w:rsidRPr="00CF0FC8" w:rsidRDefault="00983F82" w:rsidP="00803049">
            <w:pPr>
              <w:pStyle w:val="Naslov3"/>
              <w:numPr>
                <w:ilvl w:val="0"/>
                <w:numId w:val="0"/>
              </w:numPr>
              <w:outlineLvl w:val="2"/>
              <w:rPr>
                <w:b w:val="0"/>
                <w:sz w:val="20"/>
                <w:szCs w:val="20"/>
              </w:rPr>
            </w:pPr>
            <w:bookmarkStart w:id="41" w:name="_Toc55464586"/>
            <w:bookmarkStart w:id="42" w:name="_Toc55484728"/>
            <w:bookmarkStart w:id="43" w:name="_Toc55547430"/>
            <w:r w:rsidRPr="00CF0FC8">
              <w:rPr>
                <w:b w:val="0"/>
                <w:sz w:val="20"/>
                <w:szCs w:val="20"/>
              </w:rPr>
              <w:t>Integrirano varstvo rastlin</w:t>
            </w:r>
            <w:bookmarkEnd w:id="41"/>
            <w:bookmarkEnd w:id="42"/>
            <w:bookmarkEnd w:id="43"/>
          </w:p>
        </w:tc>
      </w:tr>
      <w:tr w:rsidR="00983F82" w:rsidRPr="00CF0FC8" w14:paraId="13B6A2FE" w14:textId="77777777" w:rsidTr="0048262F">
        <w:trPr>
          <w:jc w:val="center"/>
        </w:trPr>
        <w:tc>
          <w:tcPr>
            <w:tcW w:w="1701" w:type="dxa"/>
          </w:tcPr>
          <w:p w14:paraId="3CF6E6C8" w14:textId="0F49BA5A" w:rsidR="007C24FA" w:rsidRPr="00CF0FC8" w:rsidRDefault="00983F82" w:rsidP="00803049">
            <w:pPr>
              <w:pStyle w:val="Naslov3"/>
              <w:numPr>
                <w:ilvl w:val="0"/>
                <w:numId w:val="0"/>
              </w:numPr>
              <w:outlineLvl w:val="2"/>
              <w:rPr>
                <w:b w:val="0"/>
                <w:sz w:val="20"/>
                <w:szCs w:val="20"/>
              </w:rPr>
            </w:pPr>
            <w:bookmarkStart w:id="44" w:name="_Toc55464587"/>
            <w:bookmarkStart w:id="45" w:name="_Toc55484729"/>
            <w:bookmarkStart w:id="46" w:name="_Toc55547431"/>
            <w:r w:rsidRPr="00CF0FC8">
              <w:rPr>
                <w:b w:val="0"/>
                <w:sz w:val="20"/>
                <w:szCs w:val="20"/>
              </w:rPr>
              <w:t>UVHVVR</w:t>
            </w:r>
            <w:bookmarkEnd w:id="44"/>
            <w:bookmarkEnd w:id="45"/>
            <w:bookmarkEnd w:id="46"/>
          </w:p>
        </w:tc>
        <w:tc>
          <w:tcPr>
            <w:tcW w:w="6126" w:type="dxa"/>
          </w:tcPr>
          <w:p w14:paraId="67005B2C" w14:textId="77C26840" w:rsidR="007C24FA" w:rsidRPr="00CF0FC8" w:rsidRDefault="00983F82" w:rsidP="00803049">
            <w:pPr>
              <w:pStyle w:val="Naslov3"/>
              <w:numPr>
                <w:ilvl w:val="0"/>
                <w:numId w:val="0"/>
              </w:numPr>
              <w:outlineLvl w:val="2"/>
              <w:rPr>
                <w:b w:val="0"/>
                <w:sz w:val="20"/>
                <w:szCs w:val="20"/>
              </w:rPr>
            </w:pPr>
            <w:bookmarkStart w:id="47" w:name="_Toc55464588"/>
            <w:bookmarkStart w:id="48" w:name="_Toc55484730"/>
            <w:bookmarkStart w:id="49" w:name="_Toc55547432"/>
            <w:r w:rsidRPr="00CF0FC8">
              <w:rPr>
                <w:b w:val="0"/>
                <w:sz w:val="20"/>
                <w:szCs w:val="20"/>
              </w:rPr>
              <w:t>Uprava za varno hrano, veterinarstvo in varstvo rastlin</w:t>
            </w:r>
            <w:bookmarkEnd w:id="47"/>
            <w:bookmarkEnd w:id="48"/>
            <w:bookmarkEnd w:id="49"/>
          </w:p>
        </w:tc>
      </w:tr>
    </w:tbl>
    <w:p w14:paraId="58B67782" w14:textId="77777777" w:rsidR="007C24FA" w:rsidRPr="00996CAF" w:rsidRDefault="007C24FA" w:rsidP="00803049">
      <w:pPr>
        <w:pStyle w:val="Naslov3"/>
        <w:numPr>
          <w:ilvl w:val="0"/>
          <w:numId w:val="0"/>
        </w:numPr>
        <w:ind w:left="720" w:hanging="360"/>
      </w:pPr>
    </w:p>
    <w:p w14:paraId="31519508" w14:textId="675ED101" w:rsidR="00CA6187" w:rsidRDefault="00CA6187" w:rsidP="00CA6187">
      <w:pPr>
        <w:rPr>
          <w:sz w:val="28"/>
          <w:szCs w:val="28"/>
        </w:rPr>
      </w:pPr>
    </w:p>
    <w:p w14:paraId="3B84F239" w14:textId="764D4CE5" w:rsidR="00342C52" w:rsidRDefault="00342C52" w:rsidP="00CA6187">
      <w:pPr>
        <w:rPr>
          <w:sz w:val="28"/>
          <w:szCs w:val="28"/>
        </w:rPr>
      </w:pPr>
    </w:p>
    <w:p w14:paraId="0E8BE561" w14:textId="77777777" w:rsidR="00342C52" w:rsidRDefault="00342C52" w:rsidP="00CA6187">
      <w:pPr>
        <w:rPr>
          <w:sz w:val="28"/>
          <w:szCs w:val="28"/>
        </w:rPr>
      </w:pPr>
    </w:p>
    <w:p w14:paraId="78264A8B" w14:textId="77777777" w:rsidR="00983F82" w:rsidRDefault="00983F82" w:rsidP="00CA6187">
      <w:pPr>
        <w:rPr>
          <w:sz w:val="28"/>
          <w:szCs w:val="28"/>
        </w:rPr>
      </w:pPr>
    </w:p>
    <w:p w14:paraId="7006BAE4" w14:textId="77777777" w:rsidR="00983F82" w:rsidRDefault="00983F82" w:rsidP="00CA6187">
      <w:pPr>
        <w:rPr>
          <w:sz w:val="28"/>
          <w:szCs w:val="28"/>
        </w:rPr>
      </w:pPr>
    </w:p>
    <w:p w14:paraId="4D3CBB88" w14:textId="77777777" w:rsidR="00983F82" w:rsidRDefault="00983F82" w:rsidP="00CA6187">
      <w:pPr>
        <w:rPr>
          <w:sz w:val="28"/>
          <w:szCs w:val="28"/>
        </w:rPr>
      </w:pPr>
    </w:p>
    <w:p w14:paraId="2DF3303E" w14:textId="77777777" w:rsidR="00983F82" w:rsidRDefault="00983F82" w:rsidP="00CA6187">
      <w:pPr>
        <w:rPr>
          <w:sz w:val="28"/>
          <w:szCs w:val="28"/>
        </w:rPr>
      </w:pPr>
    </w:p>
    <w:p w14:paraId="658E7A36" w14:textId="77777777" w:rsidR="00983F82" w:rsidRDefault="00983F82" w:rsidP="00CA6187">
      <w:pPr>
        <w:rPr>
          <w:sz w:val="28"/>
          <w:szCs w:val="28"/>
        </w:rPr>
      </w:pPr>
    </w:p>
    <w:p w14:paraId="25F35298" w14:textId="77777777" w:rsidR="00983F82" w:rsidRDefault="00983F82" w:rsidP="00CA6187">
      <w:pPr>
        <w:rPr>
          <w:sz w:val="28"/>
          <w:szCs w:val="28"/>
        </w:rPr>
      </w:pPr>
    </w:p>
    <w:p w14:paraId="02B4570E" w14:textId="77777777" w:rsidR="00983F82" w:rsidRDefault="00983F82" w:rsidP="00CA6187">
      <w:pPr>
        <w:rPr>
          <w:sz w:val="28"/>
          <w:szCs w:val="28"/>
        </w:rPr>
      </w:pPr>
    </w:p>
    <w:p w14:paraId="5B7C72A6" w14:textId="77777777" w:rsidR="00983F82" w:rsidRDefault="00983F82" w:rsidP="00CA6187">
      <w:pPr>
        <w:rPr>
          <w:sz w:val="28"/>
          <w:szCs w:val="28"/>
        </w:rPr>
      </w:pPr>
    </w:p>
    <w:p w14:paraId="50473DD9" w14:textId="77777777" w:rsidR="00983F82" w:rsidRDefault="00983F82" w:rsidP="00CA6187">
      <w:pPr>
        <w:rPr>
          <w:sz w:val="28"/>
          <w:szCs w:val="28"/>
        </w:rPr>
      </w:pPr>
    </w:p>
    <w:p w14:paraId="581C7BC2" w14:textId="77777777" w:rsidR="00983F82" w:rsidRDefault="00983F82" w:rsidP="00CA6187">
      <w:pPr>
        <w:rPr>
          <w:sz w:val="28"/>
          <w:szCs w:val="28"/>
        </w:rPr>
      </w:pPr>
    </w:p>
    <w:p w14:paraId="57C497B8" w14:textId="77777777" w:rsidR="00983F82" w:rsidRDefault="00983F82" w:rsidP="00CA6187">
      <w:pPr>
        <w:rPr>
          <w:sz w:val="28"/>
          <w:szCs w:val="28"/>
        </w:rPr>
      </w:pPr>
    </w:p>
    <w:p w14:paraId="2BFD4A4F" w14:textId="77777777" w:rsidR="00983F82" w:rsidRPr="00996CAF" w:rsidRDefault="00983F82" w:rsidP="00CA6187">
      <w:pPr>
        <w:rPr>
          <w:sz w:val="28"/>
          <w:szCs w:val="28"/>
        </w:rPr>
      </w:pPr>
    </w:p>
    <w:p w14:paraId="21CF2714" w14:textId="77777777" w:rsidR="006F3E8D" w:rsidRPr="00996CAF" w:rsidRDefault="00B1297E" w:rsidP="00803049">
      <w:pPr>
        <w:pStyle w:val="Naslov3"/>
        <w:numPr>
          <w:ilvl w:val="0"/>
          <w:numId w:val="0"/>
        </w:numPr>
        <w:ind w:left="720" w:hanging="360"/>
      </w:pPr>
      <w:bookmarkStart w:id="50" w:name="_Toc55547433"/>
      <w:r w:rsidRPr="00996CAF">
        <w:t>POVZETEK</w:t>
      </w:r>
      <w:bookmarkEnd w:id="50"/>
    </w:p>
    <w:p w14:paraId="641589B9" w14:textId="4E7963E2" w:rsidR="00AA5B80" w:rsidRDefault="008F7DD1" w:rsidP="00AA5B80">
      <w:pPr>
        <w:jc w:val="both"/>
        <w:rPr>
          <w:rFonts w:eastAsia="Arial"/>
          <w:sz w:val="20"/>
        </w:rPr>
      </w:pPr>
      <w:bookmarkStart w:id="51" w:name="_Toc49245361"/>
      <w:r>
        <w:rPr>
          <w:rFonts w:eastAsia="Arial"/>
          <w:sz w:val="20"/>
        </w:rPr>
        <w:t xml:space="preserve">Potrošniki danes vedno bolj cenijo prehransko </w:t>
      </w:r>
      <w:proofErr w:type="spellStart"/>
      <w:r>
        <w:rPr>
          <w:rFonts w:eastAsia="Arial"/>
          <w:sz w:val="20"/>
        </w:rPr>
        <w:t>trajnostnost</w:t>
      </w:r>
      <w:proofErr w:type="spellEnd"/>
      <w:r>
        <w:rPr>
          <w:rFonts w:eastAsia="Arial"/>
          <w:sz w:val="20"/>
        </w:rPr>
        <w:t xml:space="preserve">, ki  pomeni priložnost za izboljšanje  načina življenja, zdravja in okolja. Velika pozornost je namenjena </w:t>
      </w:r>
      <w:r w:rsidR="00F102E0">
        <w:rPr>
          <w:rFonts w:eastAsia="Arial"/>
          <w:sz w:val="20"/>
        </w:rPr>
        <w:t xml:space="preserve">zdravemu </w:t>
      </w:r>
      <w:r>
        <w:rPr>
          <w:rFonts w:eastAsia="Arial"/>
          <w:sz w:val="20"/>
        </w:rPr>
        <w:t>in trajnostn</w:t>
      </w:r>
      <w:r w:rsidR="00F102E0">
        <w:rPr>
          <w:rFonts w:eastAsia="Arial"/>
          <w:sz w:val="20"/>
        </w:rPr>
        <w:t>emu</w:t>
      </w:r>
      <w:r>
        <w:rPr>
          <w:rFonts w:eastAsia="Arial"/>
          <w:sz w:val="20"/>
        </w:rPr>
        <w:t xml:space="preserve"> način</w:t>
      </w:r>
      <w:r w:rsidR="00F102E0">
        <w:rPr>
          <w:rFonts w:eastAsia="Arial"/>
          <w:sz w:val="20"/>
        </w:rPr>
        <w:t>u</w:t>
      </w:r>
      <w:r>
        <w:rPr>
          <w:rFonts w:eastAsia="Arial"/>
          <w:sz w:val="20"/>
        </w:rPr>
        <w:t xml:space="preserve"> prehranjevanja, ki pozitivno vpliva  na zdravje in kakovost življenje potrošnikov in bo  posledično vplivalo tudi  na zmanjševanje stroškov družbe v skrbi za zdravje. </w:t>
      </w:r>
    </w:p>
    <w:p w14:paraId="19119EAA" w14:textId="72207AF6" w:rsidR="00F94EC5" w:rsidRDefault="00F94EC5" w:rsidP="00AA5B80">
      <w:pPr>
        <w:jc w:val="both"/>
        <w:rPr>
          <w:rFonts w:eastAsia="Arial"/>
          <w:sz w:val="20"/>
        </w:rPr>
      </w:pPr>
      <w:r>
        <w:rPr>
          <w:rFonts w:eastAsia="Arial"/>
          <w:sz w:val="20"/>
        </w:rPr>
        <w:t xml:space="preserve">V zadnjem obdobju je naraščajoča odpornost mikrobov proti protimikrobnim zdravilom/antibiotikom vse večji zdravstveni problem po vsem svetu. Za zdravljenje živali se uporablja antibiotike, ki z nekaj izjemami spadajo v iste skupine, kot tisti, ki se uporabljajo za zdravljenje ljudi. Za ohranjanje  učinkovitosti obstoječih antibiotikov (ker razvoja novih skoraj ni) in obvladovanje odpornosti proti njim </w:t>
      </w:r>
      <w:r w:rsidRPr="00673AB5">
        <w:rPr>
          <w:rFonts w:eastAsia="Arial"/>
          <w:sz w:val="20"/>
        </w:rPr>
        <w:t xml:space="preserve">se jih uporabi le za nujne potrebe zdravljenja živali, saj lahko vsaka prekomerna in neprimerna raba antibiotikov dodatno doprinese k pojavu in širjenju odpornih mikrobov. V bodoče bo več antibiotikov rezerviranih za zdravljenje ljudi, oziroma se bo njihovo rabo za zdravljenje živali omejevalo. Razmere kažejo, da je treba v Sloveniji obstoječe aktivnosti okrepiti in jih še dopolniti. Med drugim </w:t>
      </w:r>
      <w:r w:rsidR="00F102E0">
        <w:rPr>
          <w:rFonts w:eastAsia="Arial"/>
          <w:sz w:val="20"/>
        </w:rPr>
        <w:t xml:space="preserve">bo potrebno uvesti </w:t>
      </w:r>
      <w:r w:rsidRPr="00673AB5">
        <w:rPr>
          <w:rFonts w:eastAsia="Arial"/>
          <w:sz w:val="20"/>
        </w:rPr>
        <w:t xml:space="preserve"> spremljanj</w:t>
      </w:r>
      <w:r w:rsidR="00F102E0">
        <w:rPr>
          <w:rFonts w:eastAsia="Arial"/>
          <w:sz w:val="20"/>
        </w:rPr>
        <w:t>e</w:t>
      </w:r>
      <w:r w:rsidRPr="00673AB5">
        <w:rPr>
          <w:rFonts w:eastAsia="Arial"/>
          <w:sz w:val="20"/>
        </w:rPr>
        <w:t xml:space="preserve"> porabe antibiotikov na gospodarstvih po živalskih vrstah</w:t>
      </w:r>
      <w:r w:rsidR="003D045B" w:rsidRPr="00673AB5">
        <w:rPr>
          <w:rFonts w:eastAsia="Arial"/>
          <w:sz w:val="20"/>
        </w:rPr>
        <w:t>, k</w:t>
      </w:r>
      <w:r w:rsidR="00F102E0">
        <w:rPr>
          <w:rFonts w:eastAsia="Arial"/>
          <w:sz w:val="20"/>
        </w:rPr>
        <w:t>ar bo</w:t>
      </w:r>
      <w:r w:rsidR="003D045B" w:rsidRPr="00673AB5">
        <w:rPr>
          <w:rFonts w:eastAsia="Arial"/>
          <w:sz w:val="20"/>
        </w:rPr>
        <w:t xml:space="preserve"> </w:t>
      </w:r>
      <w:r w:rsidR="00F102E0">
        <w:rPr>
          <w:rFonts w:eastAsia="Arial"/>
          <w:sz w:val="20"/>
        </w:rPr>
        <w:t>podlaga</w:t>
      </w:r>
      <w:r w:rsidR="00F102E0" w:rsidRPr="00673AB5">
        <w:rPr>
          <w:rFonts w:eastAsia="Arial"/>
          <w:sz w:val="20"/>
        </w:rPr>
        <w:t xml:space="preserve"> </w:t>
      </w:r>
      <w:r w:rsidR="00F102E0">
        <w:rPr>
          <w:rFonts w:eastAsia="Arial"/>
          <w:sz w:val="20"/>
        </w:rPr>
        <w:t>za</w:t>
      </w:r>
      <w:r w:rsidR="00F102E0" w:rsidRPr="00673AB5">
        <w:rPr>
          <w:rFonts w:eastAsia="Arial"/>
          <w:sz w:val="20"/>
        </w:rPr>
        <w:t xml:space="preserve"> </w:t>
      </w:r>
      <w:r w:rsidRPr="00673AB5">
        <w:rPr>
          <w:rFonts w:eastAsia="Arial"/>
          <w:sz w:val="20"/>
        </w:rPr>
        <w:t>ukrepanj</w:t>
      </w:r>
      <w:r w:rsidR="00F102E0">
        <w:rPr>
          <w:rFonts w:eastAsia="Arial"/>
          <w:sz w:val="20"/>
        </w:rPr>
        <w:t>e</w:t>
      </w:r>
      <w:r w:rsidRPr="00673AB5">
        <w:rPr>
          <w:rFonts w:eastAsia="Arial"/>
          <w:sz w:val="20"/>
        </w:rPr>
        <w:t xml:space="preserve"> za ureditev razmer (strokovni nadzori idr.)</w:t>
      </w:r>
      <w:r w:rsidR="003D045B" w:rsidRPr="00673AB5">
        <w:rPr>
          <w:rFonts w:eastAsia="Arial"/>
          <w:sz w:val="20"/>
        </w:rPr>
        <w:t>. Vsi ukrepi so z namenom</w:t>
      </w:r>
      <w:r w:rsidRPr="00673AB5">
        <w:rPr>
          <w:rFonts w:eastAsia="Arial"/>
          <w:sz w:val="20"/>
        </w:rPr>
        <w:t xml:space="preserve">, da bi bile potrebe po uporabi antibiotikov pri </w:t>
      </w:r>
      <w:r w:rsidR="003D045B" w:rsidRPr="00673AB5">
        <w:rPr>
          <w:rFonts w:eastAsia="Arial"/>
          <w:sz w:val="20"/>
        </w:rPr>
        <w:t xml:space="preserve">prekomernih </w:t>
      </w:r>
      <w:r w:rsidR="00305172" w:rsidRPr="00673AB5">
        <w:rPr>
          <w:rFonts w:eastAsia="Arial"/>
          <w:sz w:val="20"/>
        </w:rPr>
        <w:t>porabnikih</w:t>
      </w:r>
      <w:r w:rsidRPr="00673AB5">
        <w:rPr>
          <w:rFonts w:eastAsia="Arial"/>
          <w:sz w:val="20"/>
        </w:rPr>
        <w:t xml:space="preserve"> manjše, kar </w:t>
      </w:r>
      <w:r w:rsidR="003D045B" w:rsidRPr="00673AB5">
        <w:rPr>
          <w:rFonts w:eastAsia="Arial"/>
          <w:sz w:val="20"/>
        </w:rPr>
        <w:t>je med</w:t>
      </w:r>
      <w:r w:rsidRPr="00673AB5">
        <w:rPr>
          <w:rFonts w:eastAsia="Arial"/>
          <w:sz w:val="20"/>
        </w:rPr>
        <w:t xml:space="preserve"> </w:t>
      </w:r>
      <w:r w:rsidR="00305172" w:rsidRPr="00673AB5">
        <w:rPr>
          <w:rFonts w:eastAsia="Arial"/>
          <w:sz w:val="20"/>
        </w:rPr>
        <w:t>drugim</w:t>
      </w:r>
      <w:r w:rsidRPr="00673AB5">
        <w:rPr>
          <w:rFonts w:eastAsia="Arial"/>
          <w:sz w:val="20"/>
        </w:rPr>
        <w:t xml:space="preserve"> predvide</w:t>
      </w:r>
      <w:r w:rsidR="003D045B" w:rsidRPr="00673AB5">
        <w:rPr>
          <w:rFonts w:eastAsia="Arial"/>
          <w:sz w:val="20"/>
        </w:rPr>
        <w:t>no</w:t>
      </w:r>
      <w:r w:rsidRPr="00673AB5">
        <w:rPr>
          <w:rFonts w:eastAsia="Arial"/>
          <w:sz w:val="20"/>
        </w:rPr>
        <w:t xml:space="preserve"> v Državni strategiji „Eno zdravje" za obvladovanje odpornosti mikrobov (2019-2024), s triletnim nacionalnim akcijskim načrtom (2019-2021). V intenzivnih panogah, kjer </w:t>
      </w:r>
      <w:r w:rsidR="003D045B" w:rsidRPr="00673AB5">
        <w:rPr>
          <w:rFonts w:eastAsia="Arial"/>
          <w:sz w:val="20"/>
        </w:rPr>
        <w:t xml:space="preserve">imamo močno </w:t>
      </w:r>
      <w:r w:rsidRPr="00673AB5">
        <w:rPr>
          <w:rFonts w:eastAsia="Arial"/>
          <w:sz w:val="20"/>
        </w:rPr>
        <w:t>zastopan</w:t>
      </w:r>
      <w:r w:rsidR="003D045B" w:rsidRPr="00673AB5">
        <w:rPr>
          <w:rFonts w:eastAsia="Arial"/>
          <w:sz w:val="20"/>
        </w:rPr>
        <w:t>ost,</w:t>
      </w:r>
      <w:r w:rsidRPr="00673AB5">
        <w:rPr>
          <w:rFonts w:eastAsia="Arial"/>
          <w:sz w:val="20"/>
        </w:rPr>
        <w:t xml:space="preserve"> na primer v reji perutnine, ki je v Sloveniji med največjimi porabniki </w:t>
      </w:r>
      <w:r w:rsidR="00305172" w:rsidRPr="00673AB5">
        <w:rPr>
          <w:rFonts w:eastAsia="Arial"/>
          <w:sz w:val="20"/>
        </w:rPr>
        <w:t>antibiotikov</w:t>
      </w:r>
      <w:r w:rsidRPr="00673AB5">
        <w:rPr>
          <w:rFonts w:eastAsia="Arial"/>
          <w:sz w:val="20"/>
        </w:rPr>
        <w:t>, želimo ostati proizvodn</w:t>
      </w:r>
      <w:r w:rsidR="00305172" w:rsidRPr="00673AB5">
        <w:rPr>
          <w:rFonts w:eastAsia="Arial"/>
          <w:sz w:val="20"/>
        </w:rPr>
        <w:t>o</w:t>
      </w:r>
      <w:r w:rsidRPr="00673AB5">
        <w:rPr>
          <w:rFonts w:eastAsia="Arial"/>
          <w:sz w:val="20"/>
        </w:rPr>
        <w:t xml:space="preserve"> konkurenčni ostalim državam. Zato </w:t>
      </w:r>
      <w:r w:rsidR="003D045B" w:rsidRPr="00673AB5">
        <w:rPr>
          <w:rFonts w:eastAsia="Arial"/>
          <w:sz w:val="20"/>
        </w:rPr>
        <w:t>je treba p</w:t>
      </w:r>
      <w:r w:rsidRPr="00673AB5">
        <w:rPr>
          <w:rFonts w:eastAsia="Arial"/>
          <w:sz w:val="20"/>
        </w:rPr>
        <w:t xml:space="preserve">ravočasno zagotoviti potrebne pogoje za realizacijo že sprejetega nacionalnega akcijskega načrta. </w:t>
      </w:r>
      <w:r w:rsidRPr="00580AF1">
        <w:rPr>
          <w:rFonts w:eastAsia="Arial"/>
          <w:sz w:val="20"/>
        </w:rPr>
        <w:t xml:space="preserve">Zlasti pa se bo z zagotavljanjem primerno dobre oskrbe </w:t>
      </w:r>
      <w:proofErr w:type="spellStart"/>
      <w:r w:rsidRPr="00580AF1">
        <w:rPr>
          <w:rFonts w:eastAsia="Arial"/>
          <w:sz w:val="20"/>
        </w:rPr>
        <w:t>rejnih</w:t>
      </w:r>
      <w:proofErr w:type="spellEnd"/>
      <w:r w:rsidRPr="00580AF1">
        <w:rPr>
          <w:rFonts w:eastAsia="Arial"/>
          <w:sz w:val="20"/>
        </w:rPr>
        <w:t xml:space="preserve"> živali, njihove dobrobiti, z uspešnim preprečevanjem širjenja okužb ob razumnem in vestnem izvajanju zdravstvenega varstva živali pred boleznimi, v prihodnje zmanjševalo potrebe po rabi/predpisovanju protimikrobnih zdravil/antibiotikov za njihovo zdravljenje.  Najboljše prakse, </w:t>
      </w:r>
      <w:r w:rsidR="00673AB5">
        <w:rPr>
          <w:rFonts w:eastAsia="Arial"/>
          <w:sz w:val="20"/>
        </w:rPr>
        <w:t>gospodarstva z n</w:t>
      </w:r>
      <w:r w:rsidRPr="00580AF1">
        <w:rPr>
          <w:rFonts w:eastAsia="Arial"/>
          <w:sz w:val="20"/>
        </w:rPr>
        <w:t>ajnižj</w:t>
      </w:r>
      <w:r w:rsidR="00673AB5">
        <w:rPr>
          <w:rFonts w:eastAsia="Arial"/>
          <w:sz w:val="20"/>
        </w:rPr>
        <w:t>o</w:t>
      </w:r>
      <w:r w:rsidRPr="00580AF1">
        <w:rPr>
          <w:rFonts w:eastAsia="Arial"/>
          <w:sz w:val="20"/>
        </w:rPr>
        <w:t xml:space="preserve"> poraba antibiotikov, bi lahko primerno nagradili.</w:t>
      </w:r>
    </w:p>
    <w:p w14:paraId="4DA064EC" w14:textId="77777777" w:rsidR="00673AB5" w:rsidRPr="00673AB5" w:rsidRDefault="00673AB5" w:rsidP="00673AB5">
      <w:pPr>
        <w:spacing w:before="120" w:after="0" w:line="240" w:lineRule="auto"/>
        <w:jc w:val="both"/>
        <w:rPr>
          <w:rFonts w:eastAsia="Arial"/>
          <w:color w:val="FF0000"/>
          <w:sz w:val="20"/>
        </w:rPr>
      </w:pPr>
    </w:p>
    <w:p w14:paraId="54009209" w14:textId="2C84015B" w:rsidR="00F94EC5" w:rsidRDefault="00F94EC5" w:rsidP="00F94EC5">
      <w:pPr>
        <w:jc w:val="both"/>
        <w:rPr>
          <w:sz w:val="20"/>
        </w:rPr>
      </w:pPr>
      <w:r w:rsidRPr="008C0FAF">
        <w:rPr>
          <w:sz w:val="20"/>
        </w:rPr>
        <w:t>Fitofarmacevtska sredstva (</w:t>
      </w:r>
      <w:r w:rsidR="00305172">
        <w:rPr>
          <w:sz w:val="20"/>
        </w:rPr>
        <w:t xml:space="preserve">v </w:t>
      </w:r>
      <w:r w:rsidR="00750B72">
        <w:rPr>
          <w:rFonts w:eastAsia="Arial"/>
          <w:sz w:val="20"/>
        </w:rPr>
        <w:t>nadaljnjem besedilu</w:t>
      </w:r>
      <w:r w:rsidR="00305172">
        <w:rPr>
          <w:sz w:val="20"/>
        </w:rPr>
        <w:t xml:space="preserve">: </w:t>
      </w:r>
      <w:r w:rsidRPr="008C0FAF">
        <w:rPr>
          <w:sz w:val="20"/>
        </w:rPr>
        <w:t xml:space="preserve">FFS) </w:t>
      </w:r>
      <w:r w:rsidR="00AA5B80">
        <w:rPr>
          <w:sz w:val="20"/>
        </w:rPr>
        <w:t xml:space="preserve">so pripravki, ki </w:t>
      </w:r>
      <w:r w:rsidRPr="008C0FAF">
        <w:rPr>
          <w:sz w:val="20"/>
        </w:rPr>
        <w:t>se v kmetijstvu uporabljajo za varstvo rastlin in pridelkov pred škodljivci, povzročitelji bolezni in plevelom.</w:t>
      </w:r>
      <w:r w:rsidRPr="007F41C6">
        <w:rPr>
          <w:sz w:val="20"/>
        </w:rPr>
        <w:t xml:space="preserve"> </w:t>
      </w:r>
      <w:r w:rsidRPr="008C0FAF">
        <w:rPr>
          <w:sz w:val="20"/>
        </w:rPr>
        <w:t>Področje fitofarmacevtskih sredstev zajema registracijo FFS in izdajo dovoljenj za dajanje v promet in uporabo ter trajnostno rabo FFS z vsemi ukrepi, s katerimi skušamo zagotoviti, da uporabniki uporabljajo FFS pravilno in tako, da FFS ne pomenijo nevarnosti za okolje in zdravje ljudi. Ti ukrepi so usposabljanje uporabnikov FFS o pravilni uporabi FFS, pregled naprav za nanašanje FFS, vodenje registra distributerjev FFS, zbiranje podatkov o prodaji FFS, spremljanje ostankov FFS v vodah in hrani, spremljanje podatkov o zastrupitvah s FFS pri ljudeh ter izračunavanje kazalnikov tveganja, s katerimi spremljamo gibanje prodaje in uporabe FFS.</w:t>
      </w:r>
      <w:r>
        <w:rPr>
          <w:sz w:val="20"/>
        </w:rPr>
        <w:t xml:space="preserve"> </w:t>
      </w:r>
    </w:p>
    <w:p w14:paraId="34EF388A" w14:textId="037C6D92" w:rsidR="00F94EC5" w:rsidRDefault="00F94EC5" w:rsidP="00F94EC5">
      <w:pPr>
        <w:jc w:val="both"/>
        <w:rPr>
          <w:sz w:val="20"/>
        </w:rPr>
      </w:pPr>
      <w:r w:rsidRPr="002653D8">
        <w:rPr>
          <w:sz w:val="20"/>
        </w:rPr>
        <w:t>Prodaja FFS v Sloveniji niha in je odvisna od vremenskih vplivov, vrste aktivnih snovi v pripravkih ter ekonomskih razlogov, kot je cena pripravkov.</w:t>
      </w:r>
      <w:r>
        <w:rPr>
          <w:sz w:val="20"/>
        </w:rPr>
        <w:t xml:space="preserve"> </w:t>
      </w:r>
      <w:r w:rsidRPr="002653D8">
        <w:rPr>
          <w:sz w:val="20"/>
        </w:rPr>
        <w:t>Porabe FFS v kmetijstvu ne moremo enačiti s prodajo FFS v Sloveniji</w:t>
      </w:r>
      <w:r w:rsidR="00226D62">
        <w:rPr>
          <w:sz w:val="20"/>
        </w:rPr>
        <w:t>, saj</w:t>
      </w:r>
      <w:r w:rsidRPr="002653D8">
        <w:rPr>
          <w:sz w:val="20"/>
        </w:rPr>
        <w:t xml:space="preserve"> se določene aktivne snovi lahko uporabljajo tudi na drugih površinah, </w:t>
      </w:r>
      <w:r>
        <w:rPr>
          <w:sz w:val="20"/>
        </w:rPr>
        <w:t>npr.</w:t>
      </w:r>
      <w:r w:rsidRPr="002653D8">
        <w:rPr>
          <w:sz w:val="20"/>
        </w:rPr>
        <w:t xml:space="preserve"> za vzdrževanje javnih površin, med njimi cest in železnic</w:t>
      </w:r>
      <w:r w:rsidR="005E7FC2">
        <w:rPr>
          <w:sz w:val="20"/>
        </w:rPr>
        <w:t>. P</w:t>
      </w:r>
      <w:r w:rsidRPr="002653D8">
        <w:rPr>
          <w:sz w:val="20"/>
        </w:rPr>
        <w:t xml:space="preserve">otreba po uporabi FFS </w:t>
      </w:r>
      <w:r>
        <w:rPr>
          <w:sz w:val="20"/>
        </w:rPr>
        <w:t xml:space="preserve">je </w:t>
      </w:r>
      <w:r w:rsidR="005E7FC2">
        <w:rPr>
          <w:sz w:val="20"/>
        </w:rPr>
        <w:t xml:space="preserve">tudi </w:t>
      </w:r>
      <w:r w:rsidRPr="002653D8">
        <w:rPr>
          <w:sz w:val="20"/>
        </w:rPr>
        <w:t xml:space="preserve">močno odvisna od vremenskih razmer. Vse nabavljene količine se ne uporabijo v tekočem letu, </w:t>
      </w:r>
      <w:r>
        <w:rPr>
          <w:sz w:val="20"/>
        </w:rPr>
        <w:t>lahko</w:t>
      </w:r>
      <w:r w:rsidRPr="002653D8">
        <w:rPr>
          <w:sz w:val="20"/>
        </w:rPr>
        <w:t xml:space="preserve"> ostanejo na zalogi pri pridelovalcu za uporabo v naslednjem letu.</w:t>
      </w:r>
    </w:p>
    <w:p w14:paraId="5858D4BB" w14:textId="77777777" w:rsidR="00F94EC5" w:rsidRPr="002653D8" w:rsidRDefault="00F94EC5" w:rsidP="00F94EC5">
      <w:pPr>
        <w:jc w:val="both"/>
        <w:rPr>
          <w:sz w:val="20"/>
        </w:rPr>
      </w:pPr>
      <w:r w:rsidRPr="002653D8">
        <w:rPr>
          <w:sz w:val="20"/>
        </w:rPr>
        <w:t xml:space="preserve">Slovenski </w:t>
      </w:r>
      <w:r>
        <w:rPr>
          <w:sz w:val="20"/>
        </w:rPr>
        <w:t>Nacionalni akcijski program za doseganje trajnostne rabe fitofarmacevtskih sredstev (</w:t>
      </w:r>
      <w:r w:rsidRPr="002653D8">
        <w:rPr>
          <w:sz w:val="20"/>
        </w:rPr>
        <w:t>NAP</w:t>
      </w:r>
      <w:r>
        <w:rPr>
          <w:sz w:val="20"/>
        </w:rPr>
        <w:t>)</w:t>
      </w:r>
      <w:r w:rsidRPr="002653D8">
        <w:rPr>
          <w:sz w:val="20"/>
        </w:rPr>
        <w:t xml:space="preserve"> obravnava vse ukrepe za zmanjšanje tveganja zaradi uporabe FFS, od izobraževanja in informiranja, tehničnih pogojev za trgovanje s FFS in njihovo uporabo, spremljanja in uradnega nadzora nad uporabo FFS, pridelano hrano in pitno vodo</w:t>
      </w:r>
      <w:r>
        <w:rPr>
          <w:sz w:val="20"/>
        </w:rPr>
        <w:t>,</w:t>
      </w:r>
      <w:r w:rsidRPr="002653D8">
        <w:rPr>
          <w:sz w:val="20"/>
        </w:rPr>
        <w:t xml:space="preserve"> do zmanjšanja uporabe FFS na javnih površinah. Ukrepi </w:t>
      </w:r>
      <w:r w:rsidRPr="002653D8">
        <w:rPr>
          <w:sz w:val="20"/>
        </w:rPr>
        <w:lastRenderedPageBreak/>
        <w:t xml:space="preserve">so namenjeni ozaveščanju uporabnikov o pravilni rabi FFS s poudarkom na varovanju podzemnih in površinskih voda ter čebel, varnemu odstranjevanju odpadkov in odpadne embalaže FFS, spodbujanju integrirane in ekološke pridelave ter uporabe </w:t>
      </w:r>
      <w:proofErr w:type="spellStart"/>
      <w:r w:rsidRPr="002653D8">
        <w:rPr>
          <w:sz w:val="20"/>
        </w:rPr>
        <w:t>nekemičnih</w:t>
      </w:r>
      <w:proofErr w:type="spellEnd"/>
      <w:r w:rsidRPr="002653D8">
        <w:rPr>
          <w:sz w:val="20"/>
        </w:rPr>
        <w:t xml:space="preserve"> metod varstva rastlin in metod varstva rastlin z majhnim tveganjem</w:t>
      </w:r>
      <w:r>
        <w:rPr>
          <w:sz w:val="20"/>
        </w:rPr>
        <w:t>.</w:t>
      </w:r>
    </w:p>
    <w:p w14:paraId="402B44E4" w14:textId="45393705" w:rsidR="00AA5B80" w:rsidRDefault="00F94EC5" w:rsidP="00AA5B80">
      <w:pPr>
        <w:jc w:val="both"/>
        <w:rPr>
          <w:sz w:val="20"/>
        </w:rPr>
      </w:pPr>
      <w:r w:rsidRPr="002653D8">
        <w:rPr>
          <w:sz w:val="20"/>
        </w:rPr>
        <w:t>Pri sprejemanju ukrepov za zmanjševanje rabe FFS se je potrebno osredotočiti na kmetijske panoge, kjer se uporablja največ FFS (trajni nasadi)</w:t>
      </w:r>
      <w:r w:rsidR="00AA5B80">
        <w:rPr>
          <w:sz w:val="20"/>
        </w:rPr>
        <w:t>.</w:t>
      </w:r>
    </w:p>
    <w:p w14:paraId="17140305" w14:textId="77777777" w:rsidR="0015477E" w:rsidRPr="0015477E" w:rsidRDefault="0015477E" w:rsidP="0015477E">
      <w:pPr>
        <w:spacing w:beforeLines="60" w:before="144" w:afterLines="60" w:after="144"/>
        <w:jc w:val="both"/>
        <w:rPr>
          <w:sz w:val="20"/>
        </w:rPr>
      </w:pPr>
      <w:r w:rsidRPr="0015477E">
        <w:rPr>
          <w:bCs/>
          <w:sz w:val="20"/>
        </w:rPr>
        <w:t xml:space="preserve">Upoštevati pa je treba tudi vidik zdravja rastlin, ki pomembno vpliva na pridelavo hrane in krme ter porabo FFS. Zaradi podnebnih sprememb se spreminja obnašanje in pojavnost običajnih bolezni in škodljivcev v kmetijstvu. Zato je v posameznih letih pri določenih panogah večja potreba po nujni uporabi FFS za obvladovanje določenega škodljivca ali bolezni. </w:t>
      </w:r>
      <w:r w:rsidRPr="0015477E">
        <w:rPr>
          <w:sz w:val="20"/>
        </w:rPr>
        <w:t xml:space="preserve">Za količinsko manjšo uporabo FFS pri obvladovanju običajno navzočih bolezni in škodljivcev v kmetijstvu, je ključnega pomena prognoza bolezni in škodljivcev rastlin. Spremljanje, opazovanje in napovedovanje pojava pomembnejših bolezni in škodljivcev (škodljivih organizmov) v kmetijstvu na podlagi meteoroloških, biotičnih in drugih podatkov, je eno od pomembnejših orodij pri zmanjševanju količine FFS. </w:t>
      </w:r>
    </w:p>
    <w:p w14:paraId="75C4A3FD" w14:textId="77777777" w:rsidR="0015477E" w:rsidRPr="0015477E" w:rsidRDefault="0015477E" w:rsidP="0015477E">
      <w:pPr>
        <w:spacing w:beforeLines="60" w:before="144" w:afterLines="60" w:after="144"/>
        <w:jc w:val="both"/>
        <w:rPr>
          <w:bCs/>
          <w:sz w:val="20"/>
        </w:rPr>
      </w:pPr>
      <w:r w:rsidRPr="0015477E">
        <w:rPr>
          <w:bCs/>
          <w:sz w:val="20"/>
        </w:rPr>
        <w:t xml:space="preserve">Poseben izziv pri zmanjšani porabi FFS predstavljajo ukrepi za izkoreninjenje tujerodnih škodljivih organizmov rastlin (karantenski škodljivi organizmi). V primeru njihovega pojava so predpisane zahteve za njihovo takojšnje uničenje in preprečevanje nadaljnjega širjenja. Zlasti  izkoreninjenje karantenskih škodljivcev, ki povzročajo škodo rastlinam ali prenašajo različne nevarne bolezni, je večinoma mogoče le z uporabo kemičnih FFS. </w:t>
      </w:r>
    </w:p>
    <w:p w14:paraId="13D42490" w14:textId="4C90FE86" w:rsidR="0015477E" w:rsidRPr="0015477E" w:rsidRDefault="0015477E" w:rsidP="0015477E">
      <w:pPr>
        <w:spacing w:beforeLines="60" w:before="144" w:afterLines="60" w:after="144"/>
        <w:jc w:val="both"/>
        <w:rPr>
          <w:bCs/>
          <w:sz w:val="20"/>
        </w:rPr>
      </w:pPr>
      <w:r w:rsidRPr="0015477E">
        <w:rPr>
          <w:sz w:val="20"/>
        </w:rPr>
        <w:t xml:space="preserve">Mednarodna trgovina, potovanja in podnebne spremembe predstavljajo povečana tveganja za vnos in širjenje novih karantenskih škodljivih organizmov rastlin, ki lahko v kmetijstvu in gozdarstvu povzročijo veliko gospodarsko, okoljsko in družbeno škodo. Za zmanjševanje potreb po uporabi FFS, se je treba osredotočiti na preventivne ukrepe za preprečevanje vnosa in širjenja karantenskih škodljivih organizmov rastlin. V ta namen se izvaja redno spremljanje zdravstvenega stanja rastlin v kmetijski pridelavi, gozdovih in na drugih površinah (programi preiskav) ter izvaja stalni inšpekcijski nadzor ob uvozu in premeščanju pošiljk rastlin in rastlinskih proizvodov. Le zgodnje odkrivanje karantenskih in novih potencialno nevarnih bolezni in škodljivcev ter hitro in učinkovito ukrepanje omogoča uspešno izkoreninjenje nevarnih karantenskih škodljivih organizmov. Pomemben element pri zgodnjem odkrivanju karantenskih škodljivih organizmov je ozaveščanje in </w:t>
      </w:r>
      <w:proofErr w:type="spellStart"/>
      <w:r w:rsidRPr="0015477E">
        <w:rPr>
          <w:sz w:val="20"/>
        </w:rPr>
        <w:t>kampan</w:t>
      </w:r>
      <w:r w:rsidR="0033061E">
        <w:rPr>
          <w:sz w:val="20"/>
        </w:rPr>
        <w:t>i</w:t>
      </w:r>
      <w:r w:rsidRPr="0015477E">
        <w:rPr>
          <w:sz w:val="20"/>
        </w:rPr>
        <w:t>je</w:t>
      </w:r>
      <w:proofErr w:type="spellEnd"/>
      <w:r w:rsidRPr="0015477E">
        <w:rPr>
          <w:sz w:val="20"/>
        </w:rPr>
        <w:t xml:space="preserve"> obveščanja pridelovalcev in drugih državljanov o teh organizmih. Ob tem ne smemo pozabiti tudi na ključen element zagotavljanja zanesljive in hitre diagnostike škodljivih organizmov rastlin. To zahteva visoko usposobljene strokovnjake in akreditirane diagnostične laboratorije za opravljanje laboratorijskih analiz. Enega večjih izzivov bo predstavljajo izvajanje kurativnih ukrepov izkoreninjenja ob pojavu karantenskih škodljivcev (žuželke, pršice, ogorčice) brez uporabe kemičnih FFS.</w:t>
      </w:r>
      <w:r w:rsidRPr="0015477E">
        <w:rPr>
          <w:bCs/>
          <w:sz w:val="20"/>
        </w:rPr>
        <w:t xml:space="preserve"> </w:t>
      </w:r>
    </w:p>
    <w:p w14:paraId="4C8B6155" w14:textId="77777777" w:rsidR="0015477E" w:rsidRPr="0015477E" w:rsidRDefault="0015477E" w:rsidP="0015477E">
      <w:pPr>
        <w:spacing w:beforeLines="60" w:before="144" w:afterLines="60" w:after="144"/>
        <w:jc w:val="both"/>
        <w:rPr>
          <w:sz w:val="20"/>
        </w:rPr>
      </w:pPr>
      <w:r w:rsidRPr="0015477E">
        <w:rPr>
          <w:bCs/>
          <w:sz w:val="20"/>
        </w:rPr>
        <w:t xml:space="preserve">Za zmanjšanje porabe FFS na področju zdravstvenega varstva rastlin je treba intenzivno vlagati v raziskave in razvoj za vpeljavo učinkovitih alternativnih metod, ki bodo omogočile zmanjšanje odvisnosti od rabe kemičnih FFS. Ena od alternativnih metod je biotično varstvo rastlin, ko se </w:t>
      </w:r>
      <w:r w:rsidRPr="0015477E">
        <w:rPr>
          <w:sz w:val="20"/>
        </w:rPr>
        <w:t xml:space="preserve">za zatiranje škodljivih organizmov uporablja druge, koristne organizme, ki so naravni sovražniki, antagonisti ali </w:t>
      </w:r>
      <w:proofErr w:type="spellStart"/>
      <w:r w:rsidRPr="0015477E">
        <w:rPr>
          <w:sz w:val="20"/>
        </w:rPr>
        <w:t>kompetitorji</w:t>
      </w:r>
      <w:proofErr w:type="spellEnd"/>
      <w:r w:rsidRPr="0015477E">
        <w:rPr>
          <w:sz w:val="20"/>
        </w:rPr>
        <w:t xml:space="preserve"> in se lahko sami razmnožujejo (npr. </w:t>
      </w:r>
      <w:proofErr w:type="spellStart"/>
      <w:r w:rsidRPr="0015477E">
        <w:rPr>
          <w:sz w:val="20"/>
        </w:rPr>
        <w:t>parazitoidi</w:t>
      </w:r>
      <w:proofErr w:type="spellEnd"/>
      <w:r w:rsidRPr="0015477E">
        <w:rPr>
          <w:sz w:val="20"/>
        </w:rPr>
        <w:t>). Za povečanje obsega uporabe biotičnega varstva rastlin je potrebna sprememba veljavne zakonodaje s področja zdravstvenega varstva rastlin in ohranjanja narave.</w:t>
      </w:r>
    </w:p>
    <w:p w14:paraId="231AF592" w14:textId="462433F8" w:rsidR="002653D8" w:rsidRPr="002653D8" w:rsidRDefault="007F41C6" w:rsidP="002653D8">
      <w:pPr>
        <w:jc w:val="both"/>
        <w:rPr>
          <w:rFonts w:eastAsia="Arial"/>
          <w:sz w:val="20"/>
        </w:rPr>
      </w:pPr>
      <w:r w:rsidRPr="007F41C6">
        <w:rPr>
          <w:rFonts w:eastAsia="Arial"/>
          <w:sz w:val="20"/>
        </w:rPr>
        <w:t>Po mnenju Evropske agencije za varnost hrane (</w:t>
      </w:r>
      <w:r w:rsidR="00FA7A05">
        <w:rPr>
          <w:rFonts w:eastAsia="Arial"/>
          <w:sz w:val="20"/>
        </w:rPr>
        <w:t xml:space="preserve">v </w:t>
      </w:r>
      <w:r w:rsidR="00750B72">
        <w:rPr>
          <w:rFonts w:eastAsia="Arial"/>
          <w:sz w:val="20"/>
        </w:rPr>
        <w:t>nadaljnjem besedilu</w:t>
      </w:r>
      <w:r w:rsidR="00FA7A05">
        <w:rPr>
          <w:rFonts w:eastAsia="Arial"/>
          <w:sz w:val="20"/>
        </w:rPr>
        <w:t xml:space="preserve">: </w:t>
      </w:r>
      <w:r w:rsidRPr="007F41C6">
        <w:rPr>
          <w:rFonts w:eastAsia="Arial"/>
          <w:sz w:val="20"/>
        </w:rPr>
        <w:t>EFSA)</w:t>
      </w:r>
      <w:r w:rsidR="00F94EC5">
        <w:rPr>
          <w:rFonts w:eastAsia="Arial"/>
          <w:sz w:val="20"/>
        </w:rPr>
        <w:t xml:space="preserve"> </w:t>
      </w:r>
      <w:r w:rsidRPr="007F41C6">
        <w:rPr>
          <w:rFonts w:eastAsia="Arial"/>
          <w:sz w:val="20"/>
        </w:rPr>
        <w:t xml:space="preserve">dobrobit </w:t>
      </w:r>
      <w:proofErr w:type="spellStart"/>
      <w:r w:rsidRPr="007F41C6">
        <w:rPr>
          <w:rFonts w:eastAsia="Arial"/>
          <w:sz w:val="20"/>
        </w:rPr>
        <w:t>rejnih</w:t>
      </w:r>
      <w:proofErr w:type="spellEnd"/>
      <w:r w:rsidRPr="007F41C6">
        <w:rPr>
          <w:rFonts w:eastAsia="Arial"/>
          <w:sz w:val="20"/>
        </w:rPr>
        <w:t xml:space="preserve"> živali posredno vpliva na varnost hrane zaradi tesne povezanosti med dobrobitjo živali, zdravjem živali in boleznimi, ki se prenašajo s hrano. Dobrobit je tesno povezana s sistemi reje in pogoji </w:t>
      </w:r>
      <w:proofErr w:type="spellStart"/>
      <w:r w:rsidRPr="007F41C6">
        <w:rPr>
          <w:rFonts w:eastAsia="Arial"/>
          <w:sz w:val="20"/>
        </w:rPr>
        <w:t>vhlevitve</w:t>
      </w:r>
      <w:proofErr w:type="spellEnd"/>
      <w:r w:rsidRPr="007F41C6">
        <w:rPr>
          <w:rFonts w:eastAsia="Arial"/>
          <w:sz w:val="20"/>
        </w:rPr>
        <w:t xml:space="preserve"> </w:t>
      </w:r>
      <w:proofErr w:type="spellStart"/>
      <w:r w:rsidRPr="007F41C6">
        <w:rPr>
          <w:rFonts w:eastAsia="Arial"/>
          <w:sz w:val="20"/>
        </w:rPr>
        <w:t>rejnih</w:t>
      </w:r>
      <w:proofErr w:type="spellEnd"/>
      <w:r w:rsidRPr="007F41C6">
        <w:rPr>
          <w:rFonts w:eastAsia="Arial"/>
          <w:sz w:val="20"/>
        </w:rPr>
        <w:t xml:space="preserve"> živali. Z izboljšanjem dobrobiti </w:t>
      </w:r>
      <w:r w:rsidR="00FE4A5C">
        <w:rPr>
          <w:rFonts w:eastAsia="Arial"/>
          <w:sz w:val="20"/>
        </w:rPr>
        <w:t>pričakujemo</w:t>
      </w:r>
      <w:r w:rsidRPr="007F41C6">
        <w:rPr>
          <w:rFonts w:eastAsia="Arial"/>
          <w:sz w:val="20"/>
        </w:rPr>
        <w:t xml:space="preserve"> manj poškodb in bolezni, </w:t>
      </w:r>
      <w:r w:rsidR="005E7FC2">
        <w:rPr>
          <w:rFonts w:eastAsia="Arial"/>
          <w:sz w:val="20"/>
        </w:rPr>
        <w:t xml:space="preserve">boljše počutje živali, </w:t>
      </w:r>
      <w:r w:rsidRPr="007F41C6">
        <w:rPr>
          <w:rFonts w:eastAsia="Arial"/>
          <w:sz w:val="20"/>
        </w:rPr>
        <w:t>s tem pa manj zdravljenj, boljšo proizvodnost in boljšo kakovost živalskih proizvodov. Izboljšana dobrobit zato prispeva k manjši porabi antibiotikov. Ukrepi za skrbno ravna</w:t>
      </w:r>
      <w:r w:rsidR="00F94EC5">
        <w:rPr>
          <w:rFonts w:eastAsia="Arial"/>
          <w:sz w:val="20"/>
        </w:rPr>
        <w:t>n</w:t>
      </w:r>
      <w:r w:rsidRPr="007F41C6">
        <w:rPr>
          <w:rFonts w:eastAsia="Arial"/>
          <w:sz w:val="20"/>
        </w:rPr>
        <w:t>je z antibiotiki so pomembni za ohranjanje njihove učinkovitosti za uspešno zdravljenje ljudi in živali, za zagotavljanja varne hrane, za obvladovanje mikrobne odpornosti</w:t>
      </w:r>
      <w:r w:rsidR="005E7FC2">
        <w:rPr>
          <w:rFonts w:eastAsia="Arial"/>
          <w:sz w:val="20"/>
        </w:rPr>
        <w:t>.</w:t>
      </w:r>
      <w:r w:rsidR="002653D8" w:rsidRPr="002653D8">
        <w:t xml:space="preserve"> </w:t>
      </w:r>
      <w:r w:rsidR="002653D8" w:rsidRPr="002653D8">
        <w:rPr>
          <w:rFonts w:eastAsia="Arial"/>
          <w:sz w:val="20"/>
        </w:rPr>
        <w:t xml:space="preserve">V Sloveniji se rejci zaradi različnih razlogov v premajhnem obsegu </w:t>
      </w:r>
      <w:r w:rsidR="002653D8" w:rsidRPr="002653D8">
        <w:rPr>
          <w:rFonts w:eastAsia="Arial"/>
          <w:sz w:val="20"/>
        </w:rPr>
        <w:lastRenderedPageBreak/>
        <w:t xml:space="preserve">odločajo za nadstandardne načine reje živali, ki upoštevajo vidike dobrobiti živali in presegajo predpisane zahteve ravnanja ali običajno rejsko prakso. Pomembni razlogi so neugodna posestna struktura kmetijskih gospodarstev in starostna struktura rejcev ter v veliko primerih tudi lokacija kmetijskega gospodarstva znotraj strnjenega vaškega naselja brez možnosti za povečanje in prilagoditev hlevov višjim standardom dobrobiti. Poleg tega rejce od nadstandardnih načinov reje, ki so praviloma dražji, odvrača predvsem ekonomika, zato zagotavljanje višjih standardov od minimalnih, predpisanih z zakonodajo, še vedno vidijo kot dodaten strošek, namesto da bi ga izkoristili kot tržno priložnost v okviru shem kakovosti. V Sloveniji, razen pri prireji perutninskega mesa, še ni vzpostavljenih nadstandardnih shem, ki bi potrošnikom zagotavljale, da so bile živali vzrejene v skladu z višjimi standardi dobrobiti živali. </w:t>
      </w:r>
    </w:p>
    <w:p w14:paraId="5C4BAA91" w14:textId="2F1871B9" w:rsidR="00867750" w:rsidRDefault="002653D8" w:rsidP="002653D8">
      <w:pPr>
        <w:jc w:val="both"/>
        <w:rPr>
          <w:rFonts w:eastAsia="Arial"/>
          <w:sz w:val="20"/>
        </w:rPr>
      </w:pPr>
      <w:r w:rsidRPr="002653D8">
        <w:rPr>
          <w:rFonts w:eastAsia="Arial"/>
          <w:sz w:val="20"/>
        </w:rPr>
        <w:t xml:space="preserve">Dobrobit živali je zelo pomemben dejavnik pri konceptu kakovosti hrane, saj potrošniki pričakujejo, da bo njihova hrana živalskega izvora pridelana na živalim in okolju prijazen način. Predpogoj za vključitev dobrobiti živali v koncept kakovostne hrane je razvoj sistema za ocenjevanje dobrobiti živali, ki temelji na znanstvenih utemeljitvah in metodah. Eden takih sistemov, ki je bil razvit v okviru programa </w:t>
      </w:r>
      <w:proofErr w:type="spellStart"/>
      <w:r w:rsidRPr="002653D8">
        <w:rPr>
          <w:rFonts w:eastAsia="Arial"/>
          <w:sz w:val="20"/>
        </w:rPr>
        <w:t>Welfare</w:t>
      </w:r>
      <w:proofErr w:type="spellEnd"/>
      <w:r w:rsidRPr="002653D8">
        <w:rPr>
          <w:rFonts w:eastAsia="Arial"/>
          <w:sz w:val="20"/>
        </w:rPr>
        <w:t xml:space="preserve"> </w:t>
      </w:r>
      <w:proofErr w:type="spellStart"/>
      <w:r w:rsidRPr="002653D8">
        <w:rPr>
          <w:rFonts w:eastAsia="Arial"/>
          <w:sz w:val="20"/>
        </w:rPr>
        <w:t>Quality</w:t>
      </w:r>
      <w:proofErr w:type="spellEnd"/>
      <w:r w:rsidRPr="002653D8">
        <w:rPr>
          <w:rFonts w:eastAsia="Arial"/>
          <w:sz w:val="20"/>
        </w:rPr>
        <w:t xml:space="preserve"> s strani Evropske komisije, se v Sloveniji v okviru ciljnih raziskovalnih projektov še preizkuša in prilagaja za uporabo </w:t>
      </w:r>
      <w:r w:rsidR="0033061E">
        <w:rPr>
          <w:rFonts w:eastAsia="Arial"/>
          <w:sz w:val="20"/>
        </w:rPr>
        <w:t>v</w:t>
      </w:r>
      <w:r w:rsidR="00E273E7" w:rsidRPr="002653D8">
        <w:rPr>
          <w:rFonts w:eastAsia="Arial"/>
          <w:sz w:val="20"/>
        </w:rPr>
        <w:t xml:space="preserve"> </w:t>
      </w:r>
      <w:r w:rsidRPr="002653D8">
        <w:rPr>
          <w:rFonts w:eastAsia="Arial"/>
          <w:sz w:val="20"/>
        </w:rPr>
        <w:t>slovenskih rejah prašičev, p</w:t>
      </w:r>
      <w:r w:rsidR="00E273E7">
        <w:rPr>
          <w:rFonts w:eastAsia="Arial"/>
          <w:sz w:val="20"/>
        </w:rPr>
        <w:t>e</w:t>
      </w:r>
      <w:r w:rsidRPr="002653D8">
        <w:rPr>
          <w:rFonts w:eastAsia="Arial"/>
          <w:sz w:val="20"/>
        </w:rPr>
        <w:t>rutnine in krav mo</w:t>
      </w:r>
      <w:r w:rsidR="00E273E7">
        <w:rPr>
          <w:rFonts w:eastAsia="Arial"/>
          <w:sz w:val="20"/>
        </w:rPr>
        <w:t>l</w:t>
      </w:r>
      <w:r w:rsidRPr="002653D8">
        <w:rPr>
          <w:rFonts w:eastAsia="Arial"/>
          <w:sz w:val="20"/>
        </w:rPr>
        <w:t xml:space="preserve">znic. </w:t>
      </w:r>
      <w:r w:rsidR="00E273E7">
        <w:rPr>
          <w:rFonts w:eastAsia="Arial"/>
          <w:sz w:val="20"/>
        </w:rPr>
        <w:t>T</w:t>
      </w:r>
      <w:r w:rsidRPr="002653D8">
        <w:rPr>
          <w:rFonts w:eastAsia="Arial"/>
          <w:sz w:val="20"/>
        </w:rPr>
        <w:t>renutno še ni uveljavljen enoten sistem ocenjevanja</w:t>
      </w:r>
      <w:r w:rsidR="00E273E7">
        <w:rPr>
          <w:rFonts w:eastAsia="Arial"/>
          <w:sz w:val="20"/>
        </w:rPr>
        <w:t xml:space="preserve">, </w:t>
      </w:r>
      <w:r w:rsidRPr="002653D8">
        <w:rPr>
          <w:rFonts w:eastAsia="Arial"/>
          <w:sz w:val="20"/>
        </w:rPr>
        <w:t xml:space="preserve">obstajajo le posamezne </w:t>
      </w:r>
      <w:r w:rsidR="00E273E7">
        <w:rPr>
          <w:rFonts w:eastAsia="Arial"/>
          <w:sz w:val="20"/>
        </w:rPr>
        <w:t>delne</w:t>
      </w:r>
      <w:r w:rsidR="00E273E7" w:rsidRPr="002653D8">
        <w:rPr>
          <w:rFonts w:eastAsia="Arial"/>
          <w:sz w:val="20"/>
        </w:rPr>
        <w:t xml:space="preserve"> </w:t>
      </w:r>
      <w:r w:rsidRPr="002653D8">
        <w:rPr>
          <w:rFonts w:eastAsia="Arial"/>
          <w:sz w:val="20"/>
        </w:rPr>
        <w:t xml:space="preserve">ocene o stanju dobrobiti v slovenskih rejah. Predpisi, ki urejajo zaščito živali, določajo minimalne pogoje, nadgradnjo pa predstavljajo nadstandardne sheme zagotavljanja dobrobiti živali, pri katerih gre za prostovoljno prevzemanje nadstandardnih zahtev za rejo živali. V Sloveniji so težava »standardi«, saj trenutno po posameznih usmeritvah in vrstah reje, predvsem za tiste vrste in kategorije </w:t>
      </w:r>
      <w:proofErr w:type="spellStart"/>
      <w:r w:rsidRPr="002653D8">
        <w:rPr>
          <w:rFonts w:eastAsia="Arial"/>
          <w:sz w:val="20"/>
        </w:rPr>
        <w:t>rejnih</w:t>
      </w:r>
      <w:proofErr w:type="spellEnd"/>
      <w:r w:rsidRPr="002653D8">
        <w:rPr>
          <w:rFonts w:eastAsia="Arial"/>
          <w:sz w:val="20"/>
        </w:rPr>
        <w:t xml:space="preserve"> živali</w:t>
      </w:r>
      <w:r w:rsidR="00E273E7">
        <w:rPr>
          <w:rFonts w:eastAsia="Arial"/>
          <w:sz w:val="20"/>
        </w:rPr>
        <w:t>,</w:t>
      </w:r>
      <w:r w:rsidRPr="002653D8">
        <w:rPr>
          <w:rFonts w:eastAsia="Arial"/>
          <w:sz w:val="20"/>
        </w:rPr>
        <w:t xml:space="preserve"> za katere ni predpisanih minimalnih zahtev, še ni opredeljenih standardiziranih načinov reje oziroma običajne rejske prakse.</w:t>
      </w:r>
    </w:p>
    <w:p w14:paraId="59348947" w14:textId="0D2E38F0" w:rsidR="00B97EB7" w:rsidRDefault="007F41C6" w:rsidP="00867750">
      <w:pPr>
        <w:jc w:val="both"/>
        <w:rPr>
          <w:sz w:val="20"/>
          <w:lang w:eastAsia="sl-SI"/>
        </w:rPr>
      </w:pPr>
      <w:r w:rsidRPr="007F41C6">
        <w:rPr>
          <w:sz w:val="20"/>
          <w:lang w:eastAsia="sl-SI"/>
        </w:rPr>
        <w:t xml:space="preserve">Problematika odpadne hrane je vključena v pomembnejše strateške dokumente EU – Krožno gospodarstvo, Zeleni dogovor, strategija Od vil do vilic in je </w:t>
      </w:r>
      <w:r w:rsidRPr="007F41C6">
        <w:rPr>
          <w:rFonts w:eastAsia="Arial"/>
          <w:sz w:val="20"/>
        </w:rPr>
        <w:t xml:space="preserve">izziv za vse člene v verigi preskrbe s hrano. Proizvodnja hrane </w:t>
      </w:r>
      <w:r w:rsidR="00EA25D9">
        <w:rPr>
          <w:rFonts w:eastAsia="Arial"/>
          <w:sz w:val="20"/>
        </w:rPr>
        <w:t xml:space="preserve">porablja </w:t>
      </w:r>
      <w:r w:rsidRPr="007F41C6">
        <w:rPr>
          <w:rFonts w:eastAsia="Arial"/>
          <w:sz w:val="20"/>
        </w:rPr>
        <w:t>vire, kot so tla, voda, zrak, energija in gorivo in je povezana z emisijami toplogrednih plinov. Zato je z</w:t>
      </w:r>
      <w:r w:rsidRPr="007F41C6">
        <w:rPr>
          <w:sz w:val="20"/>
          <w:lang w:eastAsia="sl-SI"/>
        </w:rPr>
        <w:t xml:space="preserve"> etičnega, ekološkega in gospodarskega vidika zmanjšanje količin odpadne hrane izziv tako za oblikovalce politike, kot tudi za gospodarske subjekte, potrošnike, znanstvenike in nevladne organizacije. Potrebno je globalno ukrepanje in preobrat v strateškem načrtovanju </w:t>
      </w:r>
      <w:r w:rsidR="00EA25D9">
        <w:rPr>
          <w:sz w:val="20"/>
          <w:lang w:eastAsia="sl-SI"/>
        </w:rPr>
        <w:t>o</w:t>
      </w:r>
      <w:r w:rsidRPr="007F41C6">
        <w:rPr>
          <w:sz w:val="20"/>
          <w:lang w:eastAsia="sl-SI"/>
        </w:rPr>
        <w:t xml:space="preserve"> </w:t>
      </w:r>
      <w:r w:rsidR="00EA25D9" w:rsidRPr="007F41C6">
        <w:rPr>
          <w:sz w:val="20"/>
          <w:lang w:eastAsia="sl-SI"/>
        </w:rPr>
        <w:t>proizvodnj</w:t>
      </w:r>
      <w:r w:rsidR="00EA25D9">
        <w:rPr>
          <w:sz w:val="20"/>
          <w:lang w:eastAsia="sl-SI"/>
        </w:rPr>
        <w:t>i</w:t>
      </w:r>
      <w:r w:rsidR="00EA25D9" w:rsidRPr="007F41C6">
        <w:rPr>
          <w:sz w:val="20"/>
          <w:lang w:eastAsia="sl-SI"/>
        </w:rPr>
        <w:t xml:space="preserve"> </w:t>
      </w:r>
      <w:r w:rsidRPr="007F41C6">
        <w:rPr>
          <w:sz w:val="20"/>
          <w:lang w:eastAsia="sl-SI"/>
        </w:rPr>
        <w:t xml:space="preserve">in </w:t>
      </w:r>
      <w:r w:rsidR="00EA25D9" w:rsidRPr="007F41C6">
        <w:rPr>
          <w:sz w:val="20"/>
          <w:lang w:eastAsia="sl-SI"/>
        </w:rPr>
        <w:t>porab</w:t>
      </w:r>
      <w:r w:rsidR="00EA25D9">
        <w:rPr>
          <w:sz w:val="20"/>
          <w:lang w:eastAsia="sl-SI"/>
        </w:rPr>
        <w:t>i</w:t>
      </w:r>
      <w:r w:rsidR="00EA25D9" w:rsidRPr="007F41C6">
        <w:rPr>
          <w:sz w:val="20"/>
          <w:lang w:eastAsia="sl-SI"/>
        </w:rPr>
        <w:t xml:space="preserve"> </w:t>
      </w:r>
      <w:r w:rsidRPr="007F41C6">
        <w:rPr>
          <w:sz w:val="20"/>
          <w:lang w:eastAsia="sl-SI"/>
        </w:rPr>
        <w:t>hrane.</w:t>
      </w:r>
      <w:r w:rsidR="002653D8" w:rsidRPr="002653D8">
        <w:t xml:space="preserve"> </w:t>
      </w:r>
      <w:r w:rsidR="002653D8" w:rsidRPr="002653D8">
        <w:rPr>
          <w:sz w:val="20"/>
          <w:lang w:eastAsia="sl-SI"/>
        </w:rPr>
        <w:t>Kljub temu, da prebivalec Slovenije zavrže povprečno 6</w:t>
      </w:r>
      <w:r w:rsidR="00226D62">
        <w:rPr>
          <w:sz w:val="20"/>
          <w:lang w:eastAsia="sl-SI"/>
        </w:rPr>
        <w:t>6</w:t>
      </w:r>
      <w:r w:rsidR="002653D8" w:rsidRPr="002653D8">
        <w:rPr>
          <w:sz w:val="20"/>
          <w:lang w:eastAsia="sl-SI"/>
        </w:rPr>
        <w:t xml:space="preserve"> kg hrane, kar je sicer manj od EU povprečja</w:t>
      </w:r>
      <w:r w:rsidR="00A15219">
        <w:rPr>
          <w:sz w:val="20"/>
          <w:lang w:eastAsia="sl-SI"/>
        </w:rPr>
        <w:t xml:space="preserve"> </w:t>
      </w:r>
      <w:r w:rsidR="00A15219" w:rsidRPr="002653D8">
        <w:rPr>
          <w:sz w:val="20"/>
          <w:lang w:eastAsia="sl-SI"/>
        </w:rPr>
        <w:t>(EU-28)</w:t>
      </w:r>
      <w:r w:rsidR="002653D8" w:rsidRPr="002653D8">
        <w:rPr>
          <w:sz w:val="20"/>
          <w:lang w:eastAsia="sl-SI"/>
        </w:rPr>
        <w:t>, ki je 173 kg na prebivalca (FUSIONS,</w:t>
      </w:r>
      <w:r w:rsidR="00EA25D9">
        <w:rPr>
          <w:sz w:val="20"/>
          <w:lang w:eastAsia="sl-SI"/>
        </w:rPr>
        <w:t xml:space="preserve"> </w:t>
      </w:r>
      <w:r w:rsidR="002653D8" w:rsidRPr="002653D8">
        <w:rPr>
          <w:sz w:val="20"/>
          <w:lang w:eastAsia="sl-SI"/>
        </w:rPr>
        <w:t xml:space="preserve">2016), </w:t>
      </w:r>
      <w:r w:rsidR="00226D62">
        <w:rPr>
          <w:sz w:val="20"/>
          <w:lang w:eastAsia="sl-SI"/>
        </w:rPr>
        <w:t>je</w:t>
      </w:r>
      <w:r w:rsidR="002653D8" w:rsidRPr="002653D8">
        <w:rPr>
          <w:sz w:val="20"/>
          <w:lang w:eastAsia="sl-SI"/>
        </w:rPr>
        <w:t xml:space="preserve"> odpadna hrana naraščajoča težava v celotni verigi preskrbe s hrano. Odpadna hrana</w:t>
      </w:r>
      <w:r w:rsidR="00226D62">
        <w:rPr>
          <w:sz w:val="20"/>
          <w:lang w:eastAsia="sl-SI"/>
        </w:rPr>
        <w:t xml:space="preserve"> namreč</w:t>
      </w:r>
      <w:r w:rsidR="002653D8" w:rsidRPr="002653D8">
        <w:rPr>
          <w:sz w:val="20"/>
          <w:lang w:eastAsia="sl-SI"/>
        </w:rPr>
        <w:t xml:space="preserve"> povečuje negativne učinke na okolje in potrošnika ter gospodarstvu povzroča finančne izgube. </w:t>
      </w:r>
    </w:p>
    <w:p w14:paraId="414B147F" w14:textId="77777777" w:rsidR="00CA2047" w:rsidRPr="00837C52" w:rsidRDefault="00CA2047" w:rsidP="00867750">
      <w:pPr>
        <w:jc w:val="both"/>
        <w:rPr>
          <w:sz w:val="20"/>
          <w:lang w:eastAsia="sl-SI"/>
        </w:rPr>
      </w:pPr>
    </w:p>
    <w:p w14:paraId="2491B471" w14:textId="74241482" w:rsidR="00B97EB7" w:rsidRPr="00837C52" w:rsidRDefault="00CA2047" w:rsidP="00CA2047">
      <w:pPr>
        <w:pStyle w:val="Napis"/>
        <w:rPr>
          <w:sz w:val="20"/>
          <w:szCs w:val="20"/>
        </w:rPr>
      </w:pPr>
      <w:bookmarkStart w:id="52" w:name="_Toc55484823"/>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1</w:t>
      </w:r>
      <w:r w:rsidR="004270C0" w:rsidRPr="00837C52">
        <w:rPr>
          <w:noProof/>
          <w:sz w:val="20"/>
          <w:szCs w:val="20"/>
        </w:rPr>
        <w:fldChar w:fldCharType="end"/>
      </w:r>
      <w:r w:rsidRPr="00837C52">
        <w:rPr>
          <w:sz w:val="20"/>
          <w:szCs w:val="20"/>
        </w:rPr>
        <w:t>: Kazalniki stanja, ki so uporabljeni v okviru specifičnega cilja 9:</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4A0" w:firstRow="1" w:lastRow="0" w:firstColumn="1" w:lastColumn="0" w:noHBand="0" w:noVBand="1"/>
      </w:tblPr>
      <w:tblGrid>
        <w:gridCol w:w="2631"/>
        <w:gridCol w:w="2045"/>
        <w:gridCol w:w="4612"/>
      </w:tblGrid>
      <w:tr w:rsidR="00B97EB7" w:rsidRPr="00B97EB7" w14:paraId="291A2145" w14:textId="77777777" w:rsidTr="004C5674">
        <w:trPr>
          <w:tblHeader/>
        </w:trPr>
        <w:tc>
          <w:tcPr>
            <w:tcW w:w="1416" w:type="pct"/>
            <w:shd w:val="clear" w:color="auto" w:fill="92D050"/>
            <w:vAlign w:val="center"/>
          </w:tcPr>
          <w:p w14:paraId="04C41D15" w14:textId="77777777" w:rsidR="00B97EB7" w:rsidRPr="00B97EB7" w:rsidRDefault="00B97EB7" w:rsidP="00B97EB7">
            <w:pPr>
              <w:jc w:val="both"/>
              <w:rPr>
                <w:b/>
                <w:sz w:val="20"/>
                <w:lang w:eastAsia="sl-SI"/>
              </w:rPr>
            </w:pPr>
            <w:r w:rsidRPr="00B97EB7">
              <w:rPr>
                <w:b/>
                <w:sz w:val="20"/>
                <w:lang w:eastAsia="sl-SI"/>
              </w:rPr>
              <w:t>Področje</w:t>
            </w:r>
          </w:p>
        </w:tc>
        <w:tc>
          <w:tcPr>
            <w:tcW w:w="1101" w:type="pct"/>
            <w:shd w:val="clear" w:color="auto" w:fill="92D050"/>
            <w:vAlign w:val="center"/>
          </w:tcPr>
          <w:p w14:paraId="729C73C9" w14:textId="77777777" w:rsidR="00B97EB7" w:rsidRPr="00B97EB7" w:rsidRDefault="00B97EB7" w:rsidP="00B97EB7">
            <w:pPr>
              <w:jc w:val="both"/>
              <w:rPr>
                <w:b/>
                <w:sz w:val="20"/>
                <w:lang w:eastAsia="sl-SI"/>
              </w:rPr>
            </w:pPr>
            <w:r w:rsidRPr="00B97EB7">
              <w:rPr>
                <w:b/>
                <w:sz w:val="20"/>
                <w:lang w:eastAsia="sl-SI"/>
              </w:rPr>
              <w:t>Oznaka kazalnika PMEF</w:t>
            </w:r>
          </w:p>
        </w:tc>
        <w:tc>
          <w:tcPr>
            <w:tcW w:w="2483" w:type="pct"/>
            <w:shd w:val="clear" w:color="auto" w:fill="92D050"/>
            <w:vAlign w:val="center"/>
          </w:tcPr>
          <w:p w14:paraId="7712D8F5" w14:textId="77777777" w:rsidR="00B97EB7" w:rsidRPr="00B97EB7" w:rsidRDefault="00B97EB7" w:rsidP="00B97EB7">
            <w:pPr>
              <w:jc w:val="both"/>
              <w:rPr>
                <w:b/>
                <w:sz w:val="20"/>
                <w:lang w:eastAsia="sl-SI"/>
              </w:rPr>
            </w:pPr>
            <w:r w:rsidRPr="00B97EB7">
              <w:rPr>
                <w:b/>
                <w:sz w:val="20"/>
                <w:lang w:eastAsia="sl-SI"/>
              </w:rPr>
              <w:t>Kazalnik PMEF</w:t>
            </w:r>
          </w:p>
        </w:tc>
      </w:tr>
      <w:tr w:rsidR="00B97EB7" w:rsidRPr="00B97EB7" w14:paraId="63430189" w14:textId="77777777" w:rsidTr="004C5674">
        <w:tc>
          <w:tcPr>
            <w:tcW w:w="1416" w:type="pct"/>
            <w:vMerge w:val="restart"/>
            <w:shd w:val="clear" w:color="auto" w:fill="auto"/>
            <w:vAlign w:val="center"/>
          </w:tcPr>
          <w:p w14:paraId="6A7B2E0E" w14:textId="77777777" w:rsidR="00B97EB7" w:rsidRPr="00B97EB7" w:rsidRDefault="00B97EB7" w:rsidP="00B97EB7">
            <w:pPr>
              <w:jc w:val="both"/>
              <w:rPr>
                <w:sz w:val="20"/>
                <w:lang w:eastAsia="sl-SI"/>
              </w:rPr>
            </w:pPr>
            <w:r w:rsidRPr="00B97EB7">
              <w:rPr>
                <w:sz w:val="20"/>
                <w:lang w:eastAsia="sl-SI"/>
              </w:rPr>
              <w:t>Živinoreja</w:t>
            </w:r>
          </w:p>
        </w:tc>
        <w:tc>
          <w:tcPr>
            <w:tcW w:w="1101" w:type="pct"/>
            <w:shd w:val="clear" w:color="auto" w:fill="auto"/>
            <w:vAlign w:val="center"/>
          </w:tcPr>
          <w:p w14:paraId="12A2AEB3" w14:textId="77777777" w:rsidR="00B97EB7" w:rsidRPr="00B97EB7" w:rsidRDefault="00B97EB7" w:rsidP="00B97EB7">
            <w:pPr>
              <w:jc w:val="both"/>
              <w:rPr>
                <w:sz w:val="20"/>
                <w:lang w:eastAsia="sl-SI"/>
              </w:rPr>
            </w:pPr>
            <w:r w:rsidRPr="00B97EB7">
              <w:rPr>
                <w:sz w:val="20"/>
                <w:lang w:eastAsia="sl-SI"/>
              </w:rPr>
              <w:t>C.22</w:t>
            </w:r>
          </w:p>
        </w:tc>
        <w:tc>
          <w:tcPr>
            <w:tcW w:w="2483" w:type="pct"/>
            <w:shd w:val="clear" w:color="auto" w:fill="auto"/>
            <w:vAlign w:val="center"/>
          </w:tcPr>
          <w:p w14:paraId="0614B3D1" w14:textId="77777777" w:rsidR="00B97EB7" w:rsidRPr="00B97EB7" w:rsidRDefault="00B97EB7" w:rsidP="00B97EB7">
            <w:pPr>
              <w:jc w:val="both"/>
              <w:rPr>
                <w:sz w:val="20"/>
                <w:lang w:eastAsia="sl-SI"/>
              </w:rPr>
            </w:pPr>
            <w:r w:rsidRPr="00B97EB7">
              <w:rPr>
                <w:sz w:val="20"/>
                <w:lang w:eastAsia="sl-SI"/>
              </w:rPr>
              <w:t>Število živali v glavah velike živine (GVŽ)</w:t>
            </w:r>
          </w:p>
        </w:tc>
      </w:tr>
      <w:tr w:rsidR="00B97EB7" w:rsidRPr="00B97EB7" w14:paraId="4B54E348" w14:textId="77777777" w:rsidTr="004C5674">
        <w:tc>
          <w:tcPr>
            <w:tcW w:w="1416" w:type="pct"/>
            <w:vMerge/>
            <w:shd w:val="clear" w:color="auto" w:fill="auto"/>
            <w:vAlign w:val="center"/>
          </w:tcPr>
          <w:p w14:paraId="1C9ECFD8" w14:textId="77777777" w:rsidR="00B97EB7" w:rsidRPr="00B97EB7" w:rsidRDefault="00B97EB7" w:rsidP="00B97EB7">
            <w:pPr>
              <w:jc w:val="both"/>
              <w:rPr>
                <w:sz w:val="20"/>
                <w:lang w:eastAsia="sl-SI"/>
              </w:rPr>
            </w:pPr>
          </w:p>
        </w:tc>
        <w:tc>
          <w:tcPr>
            <w:tcW w:w="1101" w:type="pct"/>
            <w:shd w:val="clear" w:color="auto" w:fill="auto"/>
            <w:vAlign w:val="center"/>
          </w:tcPr>
          <w:p w14:paraId="13985A9A" w14:textId="77777777" w:rsidR="00B97EB7" w:rsidRPr="00B97EB7" w:rsidRDefault="00B97EB7" w:rsidP="00B97EB7">
            <w:pPr>
              <w:jc w:val="both"/>
              <w:rPr>
                <w:sz w:val="20"/>
                <w:lang w:eastAsia="sl-SI"/>
              </w:rPr>
            </w:pPr>
            <w:r w:rsidRPr="00B97EB7">
              <w:rPr>
                <w:sz w:val="20"/>
                <w:lang w:eastAsia="sl-SI"/>
              </w:rPr>
              <w:t>C.23</w:t>
            </w:r>
          </w:p>
        </w:tc>
        <w:tc>
          <w:tcPr>
            <w:tcW w:w="2483" w:type="pct"/>
            <w:shd w:val="clear" w:color="auto" w:fill="auto"/>
            <w:vAlign w:val="center"/>
          </w:tcPr>
          <w:p w14:paraId="56D88436" w14:textId="77777777" w:rsidR="00B97EB7" w:rsidRPr="00B97EB7" w:rsidRDefault="00B97EB7" w:rsidP="00B97EB7">
            <w:pPr>
              <w:jc w:val="both"/>
              <w:rPr>
                <w:sz w:val="20"/>
                <w:lang w:eastAsia="sl-SI"/>
              </w:rPr>
            </w:pPr>
            <w:r w:rsidRPr="00B97EB7">
              <w:rPr>
                <w:sz w:val="20"/>
                <w:lang w:eastAsia="sl-SI"/>
              </w:rPr>
              <w:t>Gostota (obtežba) z živalmi (GVŽ na ha kmetijskih zemljišč v uporabi)</w:t>
            </w:r>
          </w:p>
        </w:tc>
      </w:tr>
      <w:tr w:rsidR="00B97EB7" w:rsidRPr="00B97EB7" w14:paraId="69DD5084" w14:textId="77777777" w:rsidTr="004C5674">
        <w:tc>
          <w:tcPr>
            <w:tcW w:w="1416" w:type="pct"/>
            <w:vMerge w:val="restart"/>
            <w:shd w:val="clear" w:color="auto" w:fill="auto"/>
            <w:vAlign w:val="center"/>
          </w:tcPr>
          <w:p w14:paraId="12A02EEE" w14:textId="77777777" w:rsidR="00B97EB7" w:rsidRPr="00B97EB7" w:rsidRDefault="00B97EB7" w:rsidP="00B97EB7">
            <w:pPr>
              <w:jc w:val="both"/>
              <w:rPr>
                <w:sz w:val="20"/>
                <w:lang w:eastAsia="sl-SI"/>
              </w:rPr>
            </w:pPr>
            <w:r w:rsidRPr="00B97EB7">
              <w:rPr>
                <w:sz w:val="20"/>
                <w:lang w:eastAsia="sl-SI"/>
              </w:rPr>
              <w:t>Zdravje</w:t>
            </w:r>
          </w:p>
        </w:tc>
        <w:tc>
          <w:tcPr>
            <w:tcW w:w="1101" w:type="pct"/>
            <w:shd w:val="clear" w:color="auto" w:fill="auto"/>
            <w:vAlign w:val="center"/>
          </w:tcPr>
          <w:p w14:paraId="263517E9" w14:textId="77777777" w:rsidR="00B97EB7" w:rsidRPr="00B97EB7" w:rsidRDefault="00B97EB7" w:rsidP="00B97EB7">
            <w:pPr>
              <w:jc w:val="both"/>
              <w:rPr>
                <w:sz w:val="20"/>
                <w:lang w:eastAsia="sl-SI"/>
              </w:rPr>
            </w:pPr>
            <w:r w:rsidRPr="00B97EB7">
              <w:rPr>
                <w:sz w:val="20"/>
                <w:lang w:eastAsia="sl-SI"/>
              </w:rPr>
              <w:t>C.47</w:t>
            </w:r>
          </w:p>
        </w:tc>
        <w:tc>
          <w:tcPr>
            <w:tcW w:w="2483" w:type="pct"/>
            <w:shd w:val="clear" w:color="auto" w:fill="auto"/>
            <w:vAlign w:val="center"/>
          </w:tcPr>
          <w:p w14:paraId="5DE30901" w14:textId="77777777" w:rsidR="00B97EB7" w:rsidRPr="00B97EB7" w:rsidRDefault="00B97EB7" w:rsidP="00B97EB7">
            <w:pPr>
              <w:jc w:val="both"/>
              <w:rPr>
                <w:sz w:val="20"/>
                <w:lang w:eastAsia="sl-SI"/>
              </w:rPr>
            </w:pPr>
            <w:r w:rsidRPr="00B97EB7">
              <w:rPr>
                <w:sz w:val="20"/>
                <w:lang w:eastAsia="sl-SI"/>
              </w:rPr>
              <w:t>Prodaja antibiotikov pri živalih za proizvodnjo živil</w:t>
            </w:r>
          </w:p>
        </w:tc>
      </w:tr>
      <w:tr w:rsidR="00B97EB7" w:rsidRPr="00B97EB7" w14:paraId="1E30C2E0" w14:textId="77777777" w:rsidTr="004C5674">
        <w:tc>
          <w:tcPr>
            <w:tcW w:w="1416" w:type="pct"/>
            <w:vMerge/>
            <w:shd w:val="clear" w:color="auto" w:fill="auto"/>
            <w:vAlign w:val="center"/>
          </w:tcPr>
          <w:p w14:paraId="6A66BA08" w14:textId="77777777" w:rsidR="00B97EB7" w:rsidRPr="00B97EB7" w:rsidRDefault="00B97EB7" w:rsidP="00B97EB7">
            <w:pPr>
              <w:jc w:val="both"/>
              <w:rPr>
                <w:sz w:val="20"/>
                <w:lang w:eastAsia="sl-SI"/>
              </w:rPr>
            </w:pPr>
          </w:p>
        </w:tc>
        <w:tc>
          <w:tcPr>
            <w:tcW w:w="1101" w:type="pct"/>
            <w:shd w:val="clear" w:color="auto" w:fill="auto"/>
            <w:vAlign w:val="center"/>
          </w:tcPr>
          <w:p w14:paraId="01FBBC32" w14:textId="77777777" w:rsidR="00B97EB7" w:rsidRPr="00B97EB7" w:rsidRDefault="00B97EB7" w:rsidP="00B97EB7">
            <w:pPr>
              <w:jc w:val="both"/>
              <w:rPr>
                <w:sz w:val="20"/>
                <w:lang w:eastAsia="sl-SI"/>
              </w:rPr>
            </w:pPr>
            <w:r w:rsidRPr="00B97EB7">
              <w:rPr>
                <w:sz w:val="20"/>
                <w:lang w:eastAsia="sl-SI"/>
              </w:rPr>
              <w:t>C.48</w:t>
            </w:r>
          </w:p>
        </w:tc>
        <w:tc>
          <w:tcPr>
            <w:tcW w:w="2483" w:type="pct"/>
            <w:shd w:val="clear" w:color="auto" w:fill="auto"/>
            <w:vAlign w:val="center"/>
          </w:tcPr>
          <w:p w14:paraId="316F843C" w14:textId="77777777" w:rsidR="00B97EB7" w:rsidRPr="00B97EB7" w:rsidRDefault="00B97EB7" w:rsidP="00B97EB7">
            <w:pPr>
              <w:jc w:val="both"/>
              <w:rPr>
                <w:sz w:val="20"/>
                <w:lang w:eastAsia="sl-SI"/>
              </w:rPr>
            </w:pPr>
            <w:r w:rsidRPr="00B97EB7">
              <w:rPr>
                <w:sz w:val="20"/>
                <w:lang w:eastAsia="sl-SI"/>
              </w:rPr>
              <w:t>Tveganje in vplivi pesticidov</w:t>
            </w:r>
          </w:p>
        </w:tc>
      </w:tr>
    </w:tbl>
    <w:p w14:paraId="097EDC93" w14:textId="71A3FF78" w:rsidR="00867750" w:rsidRDefault="00867750" w:rsidP="00867750">
      <w:pPr>
        <w:jc w:val="both"/>
        <w:rPr>
          <w:sz w:val="20"/>
          <w:lang w:eastAsia="sl-SI"/>
        </w:rPr>
      </w:pPr>
      <w:r>
        <w:rPr>
          <w:sz w:val="20"/>
          <w:lang w:eastAsia="sl-SI"/>
        </w:rPr>
        <w:br w:type="page"/>
      </w:r>
    </w:p>
    <w:p w14:paraId="35380F31" w14:textId="1F10CA0C" w:rsidR="00900630" w:rsidRDefault="004821DC" w:rsidP="00C07901">
      <w:pPr>
        <w:pStyle w:val="Naslov1"/>
        <w:numPr>
          <w:ilvl w:val="0"/>
          <w:numId w:val="1"/>
        </w:numPr>
        <w:rPr>
          <w:rFonts w:ascii="Arial" w:eastAsia="Calibri" w:hAnsi="Arial" w:cs="Arial"/>
          <w:b/>
          <w:bCs/>
          <w:sz w:val="28"/>
          <w:szCs w:val="28"/>
          <w:lang w:eastAsia="en-GB"/>
        </w:rPr>
      </w:pPr>
      <w:bookmarkStart w:id="53" w:name="_Toc55547434"/>
      <w:bookmarkStart w:id="54" w:name="_Toc30495272"/>
      <w:bookmarkStart w:id="55" w:name="_Toc50376679"/>
      <w:bookmarkEnd w:id="51"/>
      <w:r w:rsidRPr="004372F7">
        <w:rPr>
          <w:rFonts w:ascii="Arial" w:eastAsia="Calibri" w:hAnsi="Arial" w:cs="Arial"/>
          <w:b/>
          <w:bCs/>
          <w:sz w:val="28"/>
          <w:szCs w:val="28"/>
          <w:lang w:eastAsia="en-GB"/>
        </w:rPr>
        <w:lastRenderedPageBreak/>
        <w:t>VARNA HRANA</w:t>
      </w:r>
      <w:bookmarkEnd w:id="53"/>
    </w:p>
    <w:p w14:paraId="6223F22B" w14:textId="77777777" w:rsidR="00C07901" w:rsidRPr="00C07901" w:rsidRDefault="00C07901" w:rsidP="00C07901">
      <w:pPr>
        <w:rPr>
          <w:lang w:eastAsia="en-GB"/>
        </w:rPr>
      </w:pPr>
    </w:p>
    <w:p w14:paraId="0475F115" w14:textId="624DE9B8" w:rsidR="003557E8" w:rsidRDefault="00900630" w:rsidP="00900630">
      <w:pPr>
        <w:spacing w:after="120" w:line="259" w:lineRule="auto"/>
        <w:jc w:val="both"/>
        <w:rPr>
          <w:rFonts w:eastAsia="Calibri"/>
          <w:sz w:val="20"/>
        </w:rPr>
      </w:pPr>
      <w:r w:rsidRPr="007C24FA">
        <w:rPr>
          <w:rFonts w:eastAsia="Calibri"/>
          <w:sz w:val="20"/>
        </w:rPr>
        <w:t>»Varna hrana« je  izraz za skupek pravil, katerih izvajanje v največji možni meri zagotavlja, da imajo potrošniki na razpolago živila, ki niso škodljiva za zdravje, upoštevajoč dolgoročne učinke in ki so ustrezna za prehrano ljudi. Na skupnem evropskem trgu, katerega del je R Slovenija, velja prost pretok blaga vključno z živili, zato so pravila, ki opredeljujejo varnost živil harmonizirana znotraj držav Evropske unije. Zaradi navedenega dejstva so tudi pravila o uradnem nadzoru enotna in se morajo izvajati na kar se da enoten način. R Slovenija je z ustanovitvijo Uprave za varno hrano, veterinarstvo in varstvo rastlin (UVHVVR) sledila najsodobnejšim trendom Evrope in sveta, saj je združevanje in povezovanje v agroživilski verigi edin odgovor na vedno večje in vedno nove izzive varovanja zdravja ljudi, živali, rastlin in okolja.  Različna tveganja se pojavljajo na vseh stopnjah agroživilske verige od pridelave, predelave in distribucije vključno z uvozom. Za obvladovanje tveganj so v prvi vrsti odgovorni izvajalci dejavnosti, uspešnost njihovega delovanja pa preverja UVHVVR z uradnim nadzorom tako izvajalcev dejavnosti kot preverjanjem skladnosti živali in blaga na trgu. Ob tem pa z izvajanjem programov spremljanja stanja pravočasno odkriva, preprečuje oziroma odpravlja pojav bolezni živali ali pojav škodljivcev rastlin.</w:t>
      </w:r>
    </w:p>
    <w:p w14:paraId="3BAE5DDD" w14:textId="2A9C47D6" w:rsidR="003557E8" w:rsidRDefault="003557E8" w:rsidP="00900630">
      <w:pPr>
        <w:spacing w:after="120" w:line="259" w:lineRule="auto"/>
        <w:jc w:val="both"/>
        <w:rPr>
          <w:rFonts w:eastAsia="Calibri"/>
          <w:sz w:val="20"/>
        </w:rPr>
      </w:pPr>
      <w:r w:rsidRPr="003557E8">
        <w:rPr>
          <w:rFonts w:eastAsia="Calibri"/>
          <w:sz w:val="20"/>
        </w:rPr>
        <w:t>Varovanje zdravja ljudi je ena najpomembnejših družbenih nalog. Evropska unija in Slovenija si s politiko varne hrane prizadevata zagotoviti prebivalcem čim bolj varno hrano, ki nima škodljivih vplivov na naše zdravje in je primerna za prehrano. Varnost hrane se zagotavlja v celotni „agroživilski verigi“, to je na vsaki stopnji pridelave in predelave ter distribucije hrane vse do potrošnikov. Govorimo o načelu »od vil do vilic« oziroma od »hleva do mize«.</w:t>
      </w:r>
    </w:p>
    <w:p w14:paraId="67DBF3A4" w14:textId="2FE65349" w:rsidR="003557E8" w:rsidRPr="003557E8" w:rsidRDefault="003557E8" w:rsidP="003557E8">
      <w:pPr>
        <w:spacing w:after="120" w:line="259" w:lineRule="auto"/>
        <w:jc w:val="both"/>
        <w:rPr>
          <w:rFonts w:eastAsia="Calibri"/>
          <w:sz w:val="20"/>
        </w:rPr>
      </w:pPr>
      <w:r w:rsidRPr="003557E8">
        <w:rPr>
          <w:rFonts w:eastAsia="Calibri"/>
          <w:sz w:val="20"/>
        </w:rPr>
        <w:t>Varna krma je ključna za zdravje živali, zdravo okolje in varno hrano živalskega izvora. Zakonodaja zagotavlja, da krma ne predstavlja nevarnosti za zdravje ljudi in živali ali za okolje. Vključuje pravila o prometu in uporabi krme, zahteve za higieno krme, pravila o nezaželenih snoveh v krmi, pravila o gensko spremenjeni krmi ter pogoje za uporabo krmnih dodatkov v prehrani živali.</w:t>
      </w:r>
    </w:p>
    <w:p w14:paraId="4301A744" w14:textId="3215E0A7" w:rsidR="003557E8" w:rsidRPr="003557E8" w:rsidRDefault="003557E8" w:rsidP="003557E8">
      <w:pPr>
        <w:spacing w:after="120" w:line="259" w:lineRule="auto"/>
        <w:jc w:val="both"/>
        <w:rPr>
          <w:rFonts w:eastAsia="Calibri"/>
          <w:sz w:val="20"/>
        </w:rPr>
      </w:pPr>
      <w:r w:rsidRPr="003557E8">
        <w:rPr>
          <w:rFonts w:eastAsia="Calibri"/>
          <w:sz w:val="20"/>
        </w:rPr>
        <w:t>Živinoreja ima zelo pomembno vlogo v kmetijskem sektorju. Zadovoljivi rezultati te dejavnosti so v veliki meri odvisni od uporabe varne in kakovostne krme. V Evropski uniji vzreja živali za proizvodnjo hrane približno 5 milijonov kmetov, ki za svoje živali vsako leto potrebujejo 450 milijonov ton krme. Poleg tega 70 milijonov gospodinjstev porabi 10 milijonov ton krme za svoje hišne ljubljenčke.</w:t>
      </w:r>
    </w:p>
    <w:p w14:paraId="1820E34B" w14:textId="317AA835" w:rsidR="00571CEB" w:rsidRDefault="003557E8" w:rsidP="003557E8">
      <w:pPr>
        <w:spacing w:after="120" w:line="259" w:lineRule="auto"/>
        <w:jc w:val="both"/>
        <w:rPr>
          <w:rFonts w:eastAsia="Calibri"/>
          <w:sz w:val="20"/>
        </w:rPr>
      </w:pPr>
      <w:r w:rsidRPr="003557E8">
        <w:rPr>
          <w:rFonts w:eastAsia="Calibri"/>
          <w:sz w:val="20"/>
        </w:rPr>
        <w:t>V preteklosti so se v Evropi na področju živil zgodile številne krize, katerih vzrok je bila kontaminirana krma. Zaradi tega je bila uvedena politika na področju zagotavljanja varne hrane, ki je uveljavila strategijo od vil do vilic. Varnost krme je pomemben faktor na začetku prehranske verige.</w:t>
      </w:r>
    </w:p>
    <w:p w14:paraId="23099EEA" w14:textId="0C5824F0" w:rsidR="003557E8" w:rsidRDefault="00571CEB" w:rsidP="00571CEB">
      <w:pPr>
        <w:spacing w:after="120" w:line="259" w:lineRule="auto"/>
        <w:jc w:val="both"/>
        <w:rPr>
          <w:rFonts w:eastAsia="Calibri"/>
          <w:sz w:val="20"/>
        </w:rPr>
      </w:pPr>
      <w:r w:rsidRPr="00571CEB">
        <w:rPr>
          <w:rFonts w:eastAsia="Calibri"/>
          <w:sz w:val="20"/>
        </w:rPr>
        <w:t xml:space="preserve">Podatki o uradnem nadzoru in o spremljanju stanja na področju zdravja živali </w:t>
      </w:r>
      <w:r>
        <w:rPr>
          <w:rFonts w:eastAsia="Calibri"/>
          <w:sz w:val="20"/>
        </w:rPr>
        <w:t xml:space="preserve">za leto 2019 </w:t>
      </w:r>
      <w:r w:rsidRPr="00571CEB">
        <w:rPr>
          <w:rFonts w:eastAsia="Calibri"/>
          <w:sz w:val="20"/>
        </w:rPr>
        <w:t>kažejo izjemno dobro situacijo.</w:t>
      </w:r>
      <w:r>
        <w:rPr>
          <w:rFonts w:eastAsia="Calibri"/>
          <w:sz w:val="20"/>
        </w:rPr>
        <w:t xml:space="preserve"> Kar se tiče podatkov</w:t>
      </w:r>
      <w:r w:rsidRPr="00571CEB">
        <w:rPr>
          <w:rFonts w:eastAsia="Calibri"/>
          <w:sz w:val="20"/>
        </w:rPr>
        <w:t xml:space="preserve"> o preiskavah in drugih aktivnostih glede škodljivih organizmov rastlin  in odgovornosti izvajalcev dejavnosti </w:t>
      </w:r>
      <w:r>
        <w:rPr>
          <w:rFonts w:eastAsia="Calibri"/>
          <w:sz w:val="20"/>
        </w:rPr>
        <w:t xml:space="preserve">pa ti </w:t>
      </w:r>
      <w:r w:rsidRPr="00571CEB">
        <w:rPr>
          <w:rFonts w:eastAsia="Calibri"/>
          <w:sz w:val="20"/>
        </w:rPr>
        <w:t>kažejo, da so usmerjene v učinkovito obvladovanje tveganj.</w:t>
      </w:r>
    </w:p>
    <w:p w14:paraId="02FA748B" w14:textId="57CF8273" w:rsidR="00571CEB" w:rsidRDefault="003557E8" w:rsidP="00571CEB">
      <w:pPr>
        <w:spacing w:after="120" w:line="259" w:lineRule="auto"/>
        <w:jc w:val="both"/>
        <w:rPr>
          <w:rFonts w:eastAsia="Calibri"/>
          <w:sz w:val="20"/>
        </w:rPr>
      </w:pPr>
      <w:r>
        <w:rPr>
          <w:rFonts w:eastAsia="Calibri"/>
          <w:sz w:val="20"/>
        </w:rPr>
        <w:t xml:space="preserve">UVHVVR izvaja tudi nadzor </w:t>
      </w:r>
      <w:r w:rsidRPr="003557E8">
        <w:rPr>
          <w:rFonts w:eastAsia="Calibri"/>
          <w:sz w:val="20"/>
        </w:rPr>
        <w:t>nosilcev dejavnosti na področju  predelave živil rastlinskega izvora ter distribucije živil</w:t>
      </w:r>
      <w:r>
        <w:rPr>
          <w:rFonts w:eastAsia="Calibri"/>
          <w:sz w:val="20"/>
        </w:rPr>
        <w:t xml:space="preserve"> (proizvodnja živil, skladiščenje, pakiranje, sledljivost, sheme kakovosti in označevanje).</w:t>
      </w:r>
      <w:r w:rsidRPr="003557E8">
        <w:t xml:space="preserve"> </w:t>
      </w:r>
      <w:r w:rsidRPr="003557E8">
        <w:rPr>
          <w:rFonts w:eastAsia="Calibri"/>
          <w:sz w:val="20"/>
        </w:rPr>
        <w:t xml:space="preserve">V skladu z zakonodajo uradni veterinarji Inšpekcije UVHVVR izvajajo v klavnicah stalen nadzor za zagotavljanje </w:t>
      </w:r>
      <w:proofErr w:type="spellStart"/>
      <w:r w:rsidRPr="003557E8">
        <w:rPr>
          <w:rFonts w:eastAsia="Calibri"/>
          <w:sz w:val="20"/>
        </w:rPr>
        <w:t>ante</w:t>
      </w:r>
      <w:proofErr w:type="spellEnd"/>
      <w:r w:rsidRPr="003557E8">
        <w:rPr>
          <w:rFonts w:eastAsia="Calibri"/>
          <w:sz w:val="20"/>
        </w:rPr>
        <w:t xml:space="preserve"> in post </w:t>
      </w:r>
      <w:proofErr w:type="spellStart"/>
      <w:r w:rsidRPr="003557E8">
        <w:rPr>
          <w:rFonts w:eastAsia="Calibri"/>
          <w:sz w:val="20"/>
        </w:rPr>
        <w:t>mortem</w:t>
      </w:r>
      <w:proofErr w:type="spellEnd"/>
      <w:r w:rsidRPr="003557E8">
        <w:rPr>
          <w:rFonts w:eastAsia="Calibri"/>
          <w:sz w:val="20"/>
        </w:rPr>
        <w:t xml:space="preserve"> pregleda živali, ki vstopajo v prehransko verigo in pregled notranjih kontrol v skladu s frekvenco nadzora.</w:t>
      </w:r>
      <w:r w:rsidRPr="003557E8">
        <w:t xml:space="preserve"> </w:t>
      </w:r>
      <w:r w:rsidRPr="003557E8">
        <w:rPr>
          <w:rFonts w:eastAsia="Calibri"/>
          <w:sz w:val="20"/>
        </w:rPr>
        <w:t>V odobrenih obratih za klanje živali je UVHVVR zagotovila prisotnost vsaj enega uradnega veterinarja v času izvajanja klanja živali in obdelave trupov živali. Večina klavnic izvaja klanje vsak delovni dan, nekatere pa le določene dni v tednu ali delujejo sezonsko. Vsaka žival ali skupina živali (perutnina, kunci), ki vstopi v prehransko verigo, je pregledana pred in po klanju z namenom ugotavljanja zdravstvene ustreznosti za prehrano ljudi.</w:t>
      </w:r>
    </w:p>
    <w:p w14:paraId="6AC0F68B" w14:textId="35702A5D" w:rsidR="003557E8" w:rsidRDefault="003557E8" w:rsidP="00571CEB">
      <w:pPr>
        <w:spacing w:after="120" w:line="259" w:lineRule="auto"/>
        <w:jc w:val="both"/>
        <w:rPr>
          <w:rFonts w:eastAsia="Calibri"/>
          <w:sz w:val="20"/>
        </w:rPr>
      </w:pPr>
      <w:r>
        <w:rPr>
          <w:rFonts w:eastAsia="Calibri"/>
          <w:sz w:val="20"/>
        </w:rPr>
        <w:t>K</w:t>
      </w:r>
      <w:r w:rsidRPr="003557E8">
        <w:rPr>
          <w:rFonts w:eastAsia="Calibri"/>
          <w:sz w:val="20"/>
        </w:rPr>
        <w:t>ot splošni nadzor in kot poostreni oz. nujni nadzor.</w:t>
      </w:r>
      <w:r>
        <w:rPr>
          <w:rFonts w:eastAsia="Calibri"/>
          <w:sz w:val="20"/>
        </w:rPr>
        <w:t>se izvaja tudi u</w:t>
      </w:r>
      <w:r w:rsidRPr="003557E8">
        <w:rPr>
          <w:rFonts w:eastAsia="Calibri"/>
          <w:sz w:val="20"/>
        </w:rPr>
        <w:t xml:space="preserve">radni nadzor nad vnosom živil </w:t>
      </w:r>
      <w:proofErr w:type="spellStart"/>
      <w:r w:rsidRPr="003557E8">
        <w:rPr>
          <w:rFonts w:eastAsia="Calibri"/>
          <w:sz w:val="20"/>
        </w:rPr>
        <w:t>neživalskega</w:t>
      </w:r>
      <w:proofErr w:type="spellEnd"/>
      <w:r w:rsidRPr="003557E8">
        <w:rPr>
          <w:rFonts w:eastAsia="Calibri"/>
          <w:sz w:val="20"/>
        </w:rPr>
        <w:t xml:space="preserve"> izvora iz tretjih držav</w:t>
      </w:r>
      <w:r>
        <w:rPr>
          <w:rFonts w:eastAsia="Calibri"/>
          <w:sz w:val="20"/>
        </w:rPr>
        <w:t xml:space="preserve">. </w:t>
      </w:r>
    </w:p>
    <w:p w14:paraId="07BF2045" w14:textId="77777777" w:rsidR="003557E8" w:rsidRDefault="003557E8" w:rsidP="00571CEB">
      <w:pPr>
        <w:spacing w:after="120" w:line="259" w:lineRule="auto"/>
        <w:jc w:val="both"/>
        <w:rPr>
          <w:rFonts w:eastAsia="Calibri"/>
          <w:sz w:val="20"/>
        </w:rPr>
      </w:pPr>
    </w:p>
    <w:p w14:paraId="052B97DC" w14:textId="0DBAB302" w:rsidR="007F41C6" w:rsidRPr="00285183" w:rsidRDefault="004372F7" w:rsidP="009B695E">
      <w:pPr>
        <w:pStyle w:val="Naslov1"/>
        <w:numPr>
          <w:ilvl w:val="0"/>
          <w:numId w:val="1"/>
        </w:numPr>
        <w:rPr>
          <w:rFonts w:ascii="Arial" w:eastAsia="Calibri" w:hAnsi="Arial" w:cs="Arial"/>
          <w:b/>
          <w:bCs/>
          <w:sz w:val="28"/>
          <w:szCs w:val="28"/>
          <w:lang w:eastAsia="en-GB"/>
        </w:rPr>
      </w:pPr>
      <w:bookmarkStart w:id="56" w:name="_Toc55547435"/>
      <w:bookmarkEnd w:id="54"/>
      <w:bookmarkEnd w:id="55"/>
      <w:r w:rsidRPr="00285183">
        <w:rPr>
          <w:rFonts w:ascii="Arial" w:eastAsia="Calibri" w:hAnsi="Arial" w:cs="Arial"/>
          <w:b/>
          <w:bCs/>
          <w:sz w:val="28"/>
          <w:szCs w:val="28"/>
          <w:lang w:eastAsia="en-GB"/>
        </w:rPr>
        <w:lastRenderedPageBreak/>
        <w:t>ZDRAVILA ZA ŽIVALI</w:t>
      </w:r>
      <w:bookmarkEnd w:id="56"/>
    </w:p>
    <w:p w14:paraId="746D9202" w14:textId="6A9077DB" w:rsidR="007F41C6" w:rsidRDefault="007F41C6" w:rsidP="007F41C6">
      <w:pPr>
        <w:spacing w:before="120" w:after="0" w:line="240" w:lineRule="auto"/>
        <w:jc w:val="both"/>
        <w:rPr>
          <w:rFonts w:eastAsia="Arial"/>
          <w:sz w:val="20"/>
        </w:rPr>
      </w:pPr>
      <w:r w:rsidRPr="00E03F15">
        <w:rPr>
          <w:rFonts w:eastAsia="Arial"/>
          <w:sz w:val="20"/>
        </w:rPr>
        <w:t>Na osnovi podatkov o prodaji protimikrobnih zdravil</w:t>
      </w:r>
      <w:r w:rsidR="005E7FC2">
        <w:rPr>
          <w:rFonts w:eastAsia="Arial"/>
          <w:sz w:val="20"/>
        </w:rPr>
        <w:t xml:space="preserve"> (AM)</w:t>
      </w:r>
      <w:r w:rsidRPr="00E03F15">
        <w:rPr>
          <w:rFonts w:eastAsia="Arial"/>
          <w:sz w:val="20"/>
        </w:rPr>
        <w:t xml:space="preserve">, ki nam jih posredujejo veletrgovci z zdravili, ocenjeni v </w:t>
      </w:r>
      <w:r w:rsidRPr="00821F2F">
        <w:rPr>
          <w:rFonts w:eastAsia="Arial"/>
          <w:sz w:val="20"/>
        </w:rPr>
        <w:t xml:space="preserve">okviru </w:t>
      </w:r>
      <w:r w:rsidR="00821F2F">
        <w:rPr>
          <w:rFonts w:eastAsia="Arial"/>
          <w:sz w:val="20"/>
        </w:rPr>
        <w:t xml:space="preserve">projekta </w:t>
      </w:r>
      <w:r w:rsidR="00821F2F" w:rsidRPr="00821F2F">
        <w:rPr>
          <w:rFonts w:eastAsia="Arial"/>
          <w:sz w:val="20"/>
        </w:rPr>
        <w:t>E</w:t>
      </w:r>
      <w:r w:rsidR="00821F2F" w:rsidRPr="00821F2F">
        <w:rPr>
          <w:rFonts w:eastAsia="Times New Roman"/>
          <w:color w:val="000000"/>
          <w:sz w:val="20"/>
          <w:lang w:eastAsia="sl-SI"/>
        </w:rPr>
        <w:t>vropsk</w:t>
      </w:r>
      <w:r w:rsidR="00821F2F">
        <w:rPr>
          <w:rFonts w:eastAsia="Times New Roman"/>
          <w:color w:val="000000"/>
          <w:sz w:val="20"/>
          <w:lang w:eastAsia="sl-SI"/>
        </w:rPr>
        <w:t>ega</w:t>
      </w:r>
      <w:r w:rsidR="00821F2F" w:rsidRPr="00821F2F">
        <w:rPr>
          <w:rFonts w:eastAsia="Times New Roman"/>
          <w:color w:val="000000"/>
          <w:sz w:val="20"/>
          <w:lang w:eastAsia="sl-SI"/>
        </w:rPr>
        <w:t xml:space="preserve"> uradn</w:t>
      </w:r>
      <w:r w:rsidR="00821F2F">
        <w:rPr>
          <w:rFonts w:eastAsia="Times New Roman"/>
          <w:color w:val="000000"/>
          <w:sz w:val="20"/>
          <w:lang w:eastAsia="sl-SI"/>
        </w:rPr>
        <w:t>ega</w:t>
      </w:r>
      <w:r w:rsidR="00821F2F" w:rsidRPr="00821F2F">
        <w:rPr>
          <w:rFonts w:eastAsia="Times New Roman"/>
          <w:color w:val="000000"/>
          <w:sz w:val="20"/>
          <w:lang w:eastAsia="sl-SI"/>
        </w:rPr>
        <w:t xml:space="preserve"> nadzor</w:t>
      </w:r>
      <w:r w:rsidR="00821F2F">
        <w:rPr>
          <w:rFonts w:eastAsia="Times New Roman"/>
          <w:color w:val="000000"/>
          <w:sz w:val="20"/>
          <w:lang w:eastAsia="sl-SI"/>
        </w:rPr>
        <w:t>a</w:t>
      </w:r>
      <w:r w:rsidR="00821F2F" w:rsidRPr="00821F2F">
        <w:rPr>
          <w:rFonts w:eastAsia="Times New Roman"/>
          <w:color w:val="000000"/>
          <w:sz w:val="20"/>
          <w:lang w:eastAsia="sl-SI"/>
        </w:rPr>
        <w:t xml:space="preserve"> porabe </w:t>
      </w:r>
      <w:r w:rsidR="00C40617">
        <w:rPr>
          <w:rFonts w:eastAsia="Times New Roman"/>
          <w:color w:val="000000"/>
          <w:sz w:val="20"/>
          <w:lang w:eastAsia="sl-SI"/>
        </w:rPr>
        <w:t xml:space="preserve">protimikrobnih zdravil za uporabo v veterinarski medicini </w:t>
      </w:r>
      <w:r w:rsidR="00821F2F" w:rsidRPr="00821F2F">
        <w:rPr>
          <w:rFonts w:eastAsia="Times New Roman"/>
          <w:color w:val="000000"/>
          <w:sz w:val="20"/>
          <w:lang w:eastAsia="sl-SI"/>
        </w:rPr>
        <w:t>(</w:t>
      </w:r>
      <w:r w:rsidR="008B5C49">
        <w:rPr>
          <w:rFonts w:eastAsia="Times New Roman"/>
          <w:color w:val="000000"/>
          <w:sz w:val="20"/>
          <w:lang w:eastAsia="sl-SI"/>
        </w:rPr>
        <w:t xml:space="preserve">v </w:t>
      </w:r>
      <w:r w:rsidR="00750B72">
        <w:rPr>
          <w:rFonts w:eastAsia="Arial"/>
          <w:sz w:val="20"/>
        </w:rPr>
        <w:t>nadaljnjem besedilu</w:t>
      </w:r>
      <w:r w:rsidR="008B5C49">
        <w:rPr>
          <w:rFonts w:eastAsia="Times New Roman"/>
          <w:color w:val="000000"/>
          <w:sz w:val="20"/>
          <w:lang w:eastAsia="sl-SI"/>
        </w:rPr>
        <w:t xml:space="preserve">: ESVAC, angl. </w:t>
      </w:r>
      <w:r w:rsidR="00723512" w:rsidRPr="00E03F15">
        <w:rPr>
          <w:rFonts w:eastAsia="Arial"/>
          <w:noProof/>
          <w:sz w:val="20"/>
          <w:lang w:eastAsia="sl-SI"/>
        </w:rPr>
        <w:t>European Surveillance of Veterinary Antimicrobial Consumption</w:t>
      </w:r>
      <w:r w:rsidR="00821F2F" w:rsidRPr="00821F2F">
        <w:rPr>
          <w:rFonts w:eastAsia="Times New Roman"/>
          <w:color w:val="000000"/>
          <w:sz w:val="20"/>
          <w:lang w:eastAsia="sl-SI"/>
        </w:rPr>
        <w:t>)</w:t>
      </w:r>
      <w:r w:rsidRPr="00821F2F">
        <w:rPr>
          <w:rFonts w:eastAsia="Arial"/>
          <w:sz w:val="20"/>
        </w:rPr>
        <w:t>, za živali, ki so pretežno namenje</w:t>
      </w:r>
      <w:r w:rsidR="00867750" w:rsidRPr="00821F2F">
        <w:rPr>
          <w:rFonts w:eastAsia="Arial"/>
          <w:sz w:val="20"/>
        </w:rPr>
        <w:t>ne</w:t>
      </w:r>
      <w:r w:rsidRPr="00821F2F">
        <w:rPr>
          <w:rFonts w:eastAsia="Arial"/>
          <w:sz w:val="20"/>
        </w:rPr>
        <w:t xml:space="preserve"> proizvodnji hrane, </w:t>
      </w:r>
      <w:r w:rsidR="00A15219" w:rsidRPr="00821F2F">
        <w:rPr>
          <w:rFonts w:eastAsia="Arial"/>
          <w:sz w:val="20"/>
        </w:rPr>
        <w:t>ocenjujemo</w:t>
      </w:r>
      <w:r w:rsidRPr="00821F2F">
        <w:rPr>
          <w:rFonts w:eastAsia="Arial"/>
          <w:sz w:val="20"/>
        </w:rPr>
        <w:t>, da je bila Slovenija v letu 2017 v razmeroma do</w:t>
      </w:r>
      <w:r w:rsidRPr="00E03F15">
        <w:rPr>
          <w:rFonts w:eastAsia="Arial"/>
          <w:sz w:val="20"/>
        </w:rPr>
        <w:t xml:space="preserve">brem položaju, saj so bile prodane količine </w:t>
      </w:r>
      <w:r w:rsidR="00A15219">
        <w:rPr>
          <w:rFonts w:eastAsia="Arial"/>
          <w:sz w:val="20"/>
        </w:rPr>
        <w:t xml:space="preserve">AM </w:t>
      </w:r>
      <w:r w:rsidRPr="00E03F15">
        <w:rPr>
          <w:rFonts w:eastAsia="Arial"/>
          <w:sz w:val="20"/>
        </w:rPr>
        <w:t>pod povprečjem evropskih držav (Slika 1</w:t>
      </w:r>
      <w:r w:rsidR="008579FE">
        <w:rPr>
          <w:rFonts w:eastAsia="Arial"/>
          <w:sz w:val="20"/>
        </w:rPr>
        <w:t xml:space="preserve"> in 2</w:t>
      </w:r>
      <w:r w:rsidRPr="00E03F15">
        <w:rPr>
          <w:rFonts w:eastAsia="Arial"/>
          <w:sz w:val="20"/>
        </w:rPr>
        <w:t>), kar nam je cilj tudi ostati.</w:t>
      </w:r>
    </w:p>
    <w:p w14:paraId="37589A6A" w14:textId="77777777" w:rsidR="00285183" w:rsidRDefault="00285183" w:rsidP="007F41C6">
      <w:pPr>
        <w:spacing w:before="120" w:after="0" w:line="240" w:lineRule="auto"/>
        <w:jc w:val="both"/>
        <w:rPr>
          <w:rFonts w:eastAsia="Arial"/>
          <w:sz w:val="20"/>
        </w:rPr>
      </w:pPr>
    </w:p>
    <w:p w14:paraId="2FB6D224" w14:textId="5F2F837E" w:rsidR="00CA2047" w:rsidRDefault="00CA2047" w:rsidP="00CA2047">
      <w:pPr>
        <w:pStyle w:val="Napis"/>
        <w:jc w:val="both"/>
      </w:pPr>
      <w:bookmarkStart w:id="57" w:name="_Toc55484776"/>
      <w:r w:rsidRPr="00837C52">
        <w:rPr>
          <w:sz w:val="20"/>
          <w:szCs w:val="20"/>
        </w:rPr>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1</w:t>
      </w:r>
      <w:r w:rsidR="004270C0" w:rsidRPr="00837C52">
        <w:rPr>
          <w:noProof/>
          <w:sz w:val="20"/>
          <w:szCs w:val="20"/>
        </w:rPr>
        <w:fldChar w:fldCharType="end"/>
      </w:r>
      <w:r w:rsidRPr="00837C52">
        <w:rPr>
          <w:sz w:val="20"/>
          <w:szCs w:val="20"/>
        </w:rPr>
        <w:t>:Skupna prodaja veterinarskih protimikrobnih zdravil za živalske vrste, ki proizvajajo hrano, v mg/PCU, po državah, od 2010 do 2017 (VIR: NINTH ESVAC REPORT)</w:t>
      </w:r>
      <w:r w:rsidRPr="00CA2047">
        <w:rPr>
          <w:vertAlign w:val="superscript"/>
        </w:rPr>
        <w:t>2</w:t>
      </w:r>
      <w:bookmarkEnd w:id="57"/>
    </w:p>
    <w:p w14:paraId="36567E51" w14:textId="7E032916" w:rsidR="008579FE" w:rsidRDefault="008579FE" w:rsidP="007F41C6">
      <w:pPr>
        <w:spacing w:before="120" w:after="0" w:line="240" w:lineRule="auto"/>
        <w:jc w:val="both"/>
        <w:rPr>
          <w:rFonts w:eastAsia="Arial"/>
          <w:sz w:val="20"/>
        </w:rPr>
      </w:pPr>
      <w:r w:rsidRPr="004821DC">
        <w:rPr>
          <w:rFonts w:ascii="Calibri" w:eastAsia="Calibri" w:hAnsi="Calibri" w:cs="Times New Roman"/>
          <w:noProof/>
          <w:lang w:eastAsia="sl-SI"/>
        </w:rPr>
        <w:drawing>
          <wp:inline distT="0" distB="0" distL="0" distR="0" wp14:anchorId="5A4C334B" wp14:editId="453E2E48">
            <wp:extent cx="5760720" cy="5843252"/>
            <wp:effectExtent l="0" t="0" r="0" b="5715"/>
            <wp:docPr id="15" name="Slika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60720" cy="5843252"/>
                    </a:xfrm>
                    <a:prstGeom prst="rect">
                      <a:avLst/>
                    </a:prstGeom>
                  </pic:spPr>
                </pic:pic>
              </a:graphicData>
            </a:graphic>
          </wp:inline>
        </w:drawing>
      </w:r>
    </w:p>
    <w:p w14:paraId="2A8754AF" w14:textId="0462A7A8" w:rsidR="007F41C6" w:rsidRDefault="007F41C6" w:rsidP="007F41C6">
      <w:pPr>
        <w:spacing w:before="120" w:after="0" w:line="240" w:lineRule="auto"/>
        <w:jc w:val="both"/>
        <w:rPr>
          <w:rFonts w:eastAsia="Arial"/>
          <w:sz w:val="20"/>
        </w:rPr>
      </w:pPr>
      <w:r w:rsidRPr="00E03F15">
        <w:rPr>
          <w:rFonts w:eastAsia="Arial"/>
          <w:sz w:val="20"/>
        </w:rPr>
        <w:t>Podatki o prodaji oz. porabi protimikrobnih zdravil se precej razlikujejo med posameznimi državami (Slika</w:t>
      </w:r>
      <w:r w:rsidR="00821F2F">
        <w:rPr>
          <w:rFonts w:eastAsia="Arial"/>
          <w:sz w:val="20"/>
        </w:rPr>
        <w:t xml:space="preserve"> </w:t>
      </w:r>
      <w:r w:rsidRPr="00E03F15">
        <w:rPr>
          <w:rFonts w:eastAsia="Arial"/>
          <w:sz w:val="20"/>
        </w:rPr>
        <w:t>1</w:t>
      </w:r>
      <w:r w:rsidR="008579FE">
        <w:rPr>
          <w:rFonts w:eastAsia="Arial"/>
          <w:sz w:val="20"/>
        </w:rPr>
        <w:t xml:space="preserve"> in 2</w:t>
      </w:r>
      <w:r w:rsidRPr="00E03F15">
        <w:rPr>
          <w:rFonts w:eastAsia="Arial"/>
          <w:sz w:val="20"/>
        </w:rPr>
        <w:t xml:space="preserve">). </w:t>
      </w:r>
    </w:p>
    <w:p w14:paraId="7F01E788" w14:textId="77777777" w:rsidR="00B10CA5" w:rsidRDefault="00B10CA5" w:rsidP="00285183">
      <w:pPr>
        <w:pStyle w:val="SCslika"/>
        <w:rPr>
          <w:rFonts w:eastAsia="Arial"/>
        </w:rPr>
      </w:pPr>
    </w:p>
    <w:p w14:paraId="063E3B6B" w14:textId="12C3F4E6" w:rsidR="00CA2047" w:rsidRPr="00837C52" w:rsidRDefault="00CA2047" w:rsidP="00CA2047">
      <w:pPr>
        <w:pStyle w:val="Napis"/>
        <w:jc w:val="both"/>
        <w:rPr>
          <w:sz w:val="20"/>
          <w:szCs w:val="20"/>
        </w:rPr>
      </w:pPr>
      <w:bookmarkStart w:id="58" w:name="_Toc55484777"/>
      <w:r w:rsidRPr="00837C52">
        <w:rPr>
          <w:sz w:val="20"/>
          <w:szCs w:val="20"/>
        </w:rPr>
        <w:lastRenderedPageBreak/>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2</w:t>
      </w:r>
      <w:r w:rsidR="004270C0" w:rsidRPr="00837C52">
        <w:rPr>
          <w:noProof/>
          <w:sz w:val="20"/>
          <w:szCs w:val="20"/>
        </w:rPr>
        <w:fldChar w:fldCharType="end"/>
      </w:r>
      <w:r w:rsidRPr="00837C52">
        <w:rPr>
          <w:sz w:val="20"/>
          <w:szCs w:val="20"/>
        </w:rPr>
        <w:t>:</w:t>
      </w:r>
      <w:r w:rsidR="00C20BCC">
        <w:rPr>
          <w:sz w:val="20"/>
          <w:szCs w:val="20"/>
        </w:rPr>
        <w:t xml:space="preserve"> </w:t>
      </w:r>
      <w:r w:rsidRPr="00837C52">
        <w:rPr>
          <w:sz w:val="20"/>
          <w:szCs w:val="20"/>
        </w:rPr>
        <w:t>Prodaja  veterinarskih protimikrobnih zdravil za živali za proizvodnjo hrane (v mg/PCU) po evropskih državah (VIR: NINTH ESVAC REPORT)</w:t>
      </w:r>
      <w:r w:rsidRPr="00837C52">
        <w:rPr>
          <w:sz w:val="20"/>
          <w:szCs w:val="20"/>
          <w:vertAlign w:val="superscript"/>
        </w:rPr>
        <w:t>2</w:t>
      </w:r>
      <w:bookmarkEnd w:id="58"/>
    </w:p>
    <w:p w14:paraId="24C87E17" w14:textId="77777777" w:rsidR="007F41C6" w:rsidRPr="007F41C6" w:rsidRDefault="007F41C6" w:rsidP="007F41C6">
      <w:pPr>
        <w:spacing w:before="120" w:after="0" w:line="240" w:lineRule="auto"/>
        <w:jc w:val="both"/>
        <w:rPr>
          <w:rFonts w:eastAsia="Arial"/>
          <w:szCs w:val="24"/>
        </w:rPr>
      </w:pPr>
      <w:r w:rsidRPr="007F41C6">
        <w:rPr>
          <w:rFonts w:eastAsia="Times New Roman"/>
          <w:noProof/>
          <w:szCs w:val="24"/>
          <w:lang w:eastAsia="sl-SI"/>
        </w:rPr>
        <w:drawing>
          <wp:inline distT="0" distB="0" distL="0" distR="0" wp14:anchorId="1E05444F" wp14:editId="7D826CB9">
            <wp:extent cx="4943475" cy="4393332"/>
            <wp:effectExtent l="0" t="0" r="0" b="7620"/>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1961"/>
                    <a:stretch/>
                  </pic:blipFill>
                  <pic:spPr bwMode="auto">
                    <a:xfrm>
                      <a:off x="0" y="0"/>
                      <a:ext cx="4948938" cy="4398187"/>
                    </a:xfrm>
                    <a:prstGeom prst="rect">
                      <a:avLst/>
                    </a:prstGeom>
                    <a:noFill/>
                    <a:ln>
                      <a:noFill/>
                    </a:ln>
                    <a:extLst>
                      <a:ext uri="{53640926-AAD7-44D8-BBD7-CCE9431645EC}">
                        <a14:shadowObscured xmlns:a14="http://schemas.microsoft.com/office/drawing/2010/main"/>
                      </a:ext>
                    </a:extLst>
                  </pic:spPr>
                </pic:pic>
              </a:graphicData>
            </a:graphic>
          </wp:inline>
        </w:drawing>
      </w:r>
    </w:p>
    <w:p w14:paraId="2DFF1C23" w14:textId="057AD38D" w:rsidR="007F41C6" w:rsidRPr="00E03F15" w:rsidRDefault="007F41C6" w:rsidP="007F41C6">
      <w:pPr>
        <w:spacing w:before="80" w:after="80" w:line="240" w:lineRule="auto"/>
        <w:jc w:val="both"/>
        <w:rPr>
          <w:rFonts w:eastAsia="Arial"/>
          <w:b/>
          <w:i/>
          <w:smallCaps/>
          <w:noProof/>
          <w:sz w:val="20"/>
          <w:lang w:eastAsia="sl-SI"/>
        </w:rPr>
      </w:pPr>
      <w:r w:rsidRPr="00E03F15">
        <w:rPr>
          <w:rFonts w:eastAsia="Arial"/>
          <w:noProof/>
          <w:sz w:val="20"/>
          <w:lang w:eastAsia="sl-SI"/>
        </w:rPr>
        <w:t>Po podatkih Evropske agencije za zdravila, ki v okviru projekta ESVAC spremlja prodajo oz. porabo veterinarskih protimikrobnih zdravil je bilo za 25 držav, ki so med letoma 2011 in 2017 zagotavljale podatke o prodaji veterinarskih protimikrobnih zdravil za vsa leta, zabeleženo skupno znižanje prodaje (v mg/PCU</w:t>
      </w:r>
      <w:r w:rsidRPr="00E03F15">
        <w:rPr>
          <w:rFonts w:eastAsia="Arial"/>
          <w:noProof/>
          <w:sz w:val="20"/>
          <w:vertAlign w:val="superscript"/>
          <w:lang w:eastAsia="sl-SI"/>
        </w:rPr>
        <w:footnoteReference w:id="2"/>
      </w:r>
      <w:r w:rsidRPr="00E03F15">
        <w:rPr>
          <w:rFonts w:eastAsia="Arial"/>
          <w:noProof/>
          <w:sz w:val="20"/>
          <w:lang w:eastAsia="sl-SI"/>
        </w:rPr>
        <w:t>) za 3</w:t>
      </w:r>
      <w:r w:rsidR="004372F7">
        <w:rPr>
          <w:rFonts w:eastAsia="Arial"/>
          <w:noProof/>
          <w:sz w:val="20"/>
          <w:lang w:eastAsia="sl-SI"/>
        </w:rPr>
        <w:t xml:space="preserve">3 </w:t>
      </w:r>
      <w:r w:rsidRPr="00E03F15">
        <w:rPr>
          <w:rFonts w:eastAsia="Arial"/>
          <w:noProof/>
          <w:sz w:val="20"/>
          <w:lang w:eastAsia="sl-SI"/>
        </w:rPr>
        <w:t xml:space="preserve">%. Skupna ocenjena prodaja je padla s 162 mg/PCU v letu 2011 na 109  mg/PCU v letu 2017 (Slika </w:t>
      </w:r>
      <w:r w:rsidR="008579FE">
        <w:rPr>
          <w:rFonts w:eastAsia="Arial"/>
          <w:noProof/>
          <w:sz w:val="20"/>
          <w:lang w:eastAsia="sl-SI"/>
        </w:rPr>
        <w:t>3</w:t>
      </w:r>
      <w:r w:rsidRPr="00E03F15">
        <w:rPr>
          <w:rFonts w:eastAsia="Arial"/>
          <w:noProof/>
          <w:sz w:val="20"/>
          <w:lang w:eastAsia="sl-SI"/>
        </w:rPr>
        <w:t>). Med temi 25 državami je bilo opazno zmanjšanje prodaje (v mg/PCU) zlasti za nekatere države, ki so imele prvotno visoko prodajo, kar je pomembno vplivalo na skupno zmanjšanje prodaje za 3</w:t>
      </w:r>
      <w:r w:rsidR="004372F7">
        <w:rPr>
          <w:rFonts w:eastAsia="Arial"/>
          <w:noProof/>
          <w:sz w:val="20"/>
          <w:lang w:eastAsia="sl-SI"/>
        </w:rPr>
        <w:t xml:space="preserve">3 </w:t>
      </w:r>
      <w:r w:rsidRPr="00E03F15">
        <w:rPr>
          <w:rFonts w:eastAsia="Arial"/>
          <w:noProof/>
          <w:sz w:val="20"/>
          <w:lang w:eastAsia="sl-SI"/>
        </w:rPr>
        <w:t>% v tem obdobju. Razlike med državami so med ostalimi tudi zaradi različnih struktur reje, zaradi demografskih razlik v populacijah živali.</w:t>
      </w:r>
    </w:p>
    <w:p w14:paraId="2EE73785" w14:textId="60683D93" w:rsidR="007F41C6" w:rsidRPr="00E03F15" w:rsidRDefault="007F41C6" w:rsidP="007F41C6">
      <w:pPr>
        <w:spacing w:before="120" w:after="0" w:line="240" w:lineRule="auto"/>
        <w:jc w:val="both"/>
        <w:rPr>
          <w:rFonts w:eastAsia="Arial"/>
          <w:sz w:val="20"/>
        </w:rPr>
      </w:pPr>
      <w:r w:rsidRPr="00E03F15">
        <w:rPr>
          <w:rFonts w:eastAsia="Times New Roman"/>
          <w:sz w:val="20"/>
          <w:lang w:eastAsia="en-GB"/>
        </w:rPr>
        <w:t>V Sloveniji</w:t>
      </w:r>
      <w:r w:rsidR="00614BAF">
        <w:rPr>
          <w:rFonts w:eastAsia="Times New Roman"/>
          <w:sz w:val="20"/>
          <w:lang w:eastAsia="en-GB"/>
        </w:rPr>
        <w:t xml:space="preserve"> </w:t>
      </w:r>
      <w:r w:rsidR="00ED1B85">
        <w:rPr>
          <w:rFonts w:eastAsia="Times New Roman"/>
          <w:sz w:val="20"/>
          <w:lang w:eastAsia="en-GB"/>
        </w:rPr>
        <w:t xml:space="preserve">že </w:t>
      </w:r>
      <w:r w:rsidRPr="00E03F15">
        <w:rPr>
          <w:rFonts w:eastAsia="Times New Roman"/>
          <w:sz w:val="20"/>
          <w:lang w:eastAsia="en-GB"/>
        </w:rPr>
        <w:t xml:space="preserve">10 let zbiramo podatke od veletrgovcev o prodaji zdravil, ki so namenjena za zdravljenje živali. </w:t>
      </w:r>
      <w:r w:rsidRPr="00E03F15">
        <w:rPr>
          <w:rFonts w:eastAsia="Arial"/>
          <w:sz w:val="20"/>
        </w:rPr>
        <w:t>Prodaja veterinarskih protimikrobnih zdravil (v mg/PCU) se je v Sloveniji zmanjševala, in sicer od leta 2011 do leta 2017 beležimo padec prodaje (v mg/PCU) za več kot 20 %, od 46 mg/PCU (2011) na 3</w:t>
      </w:r>
      <w:r w:rsidR="004372F7">
        <w:rPr>
          <w:rFonts w:eastAsia="Arial"/>
          <w:sz w:val="20"/>
        </w:rPr>
        <w:t>7</w:t>
      </w:r>
      <w:r w:rsidRPr="00E03F15">
        <w:rPr>
          <w:rFonts w:eastAsia="Arial"/>
          <w:sz w:val="20"/>
        </w:rPr>
        <w:t xml:space="preserve"> mg/PCU (2017). Za vsa ta leta je prodaja v Sloveniji pod povprečjem EU kar je razvidno in Slike 2</w:t>
      </w:r>
      <w:r w:rsidRPr="00E03F15">
        <w:rPr>
          <w:rFonts w:eastAsia="Arial"/>
          <w:sz w:val="20"/>
          <w:vertAlign w:val="superscript"/>
        </w:rPr>
        <w:footnoteReference w:id="3"/>
      </w:r>
      <w:r w:rsidR="008B5C49">
        <w:rPr>
          <w:rFonts w:eastAsia="Arial"/>
          <w:sz w:val="20"/>
        </w:rPr>
        <w:t>.</w:t>
      </w:r>
    </w:p>
    <w:p w14:paraId="33371955" w14:textId="544EEB97" w:rsidR="000A1A7D" w:rsidRDefault="000A1A7D" w:rsidP="000A1A7D">
      <w:pPr>
        <w:pStyle w:val="Napis"/>
        <w:jc w:val="both"/>
      </w:pPr>
      <w:bookmarkStart w:id="59" w:name="_Toc55484778"/>
      <w:r w:rsidRPr="00837C52">
        <w:rPr>
          <w:sz w:val="20"/>
          <w:szCs w:val="20"/>
        </w:rPr>
        <w:lastRenderedPageBreak/>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3</w:t>
      </w:r>
      <w:r w:rsidR="004270C0" w:rsidRPr="00837C52">
        <w:rPr>
          <w:noProof/>
          <w:sz w:val="20"/>
          <w:szCs w:val="20"/>
        </w:rPr>
        <w:fldChar w:fldCharType="end"/>
      </w:r>
      <w:r w:rsidRPr="00837C52">
        <w:rPr>
          <w:sz w:val="20"/>
          <w:szCs w:val="20"/>
        </w:rPr>
        <w:t xml:space="preserve">:Prodaja veterinarskih protimikrobnih zdravil za živali za proizvodnjo hrane (v mg/PCU) v Sloveniji ter v 25 državah EU in EGP v obdobju med leti 2011 in 2017 (Vir: </w:t>
      </w:r>
      <w:proofErr w:type="spellStart"/>
      <w:r w:rsidRPr="00837C52">
        <w:rPr>
          <w:sz w:val="20"/>
          <w:szCs w:val="20"/>
        </w:rPr>
        <w:t>Ninth</w:t>
      </w:r>
      <w:proofErr w:type="spellEnd"/>
      <w:r w:rsidRPr="00837C52">
        <w:rPr>
          <w:sz w:val="20"/>
          <w:szCs w:val="20"/>
        </w:rPr>
        <w:t xml:space="preserve"> ESVAC </w:t>
      </w:r>
      <w:proofErr w:type="spellStart"/>
      <w:r w:rsidRPr="00837C52">
        <w:rPr>
          <w:sz w:val="20"/>
          <w:szCs w:val="20"/>
        </w:rPr>
        <w:t>report</w:t>
      </w:r>
      <w:proofErr w:type="spellEnd"/>
      <w:r w:rsidRPr="00837C52">
        <w:rPr>
          <w:sz w:val="20"/>
          <w:szCs w:val="20"/>
        </w:rPr>
        <w:t>)</w:t>
      </w:r>
      <w:r w:rsidRPr="000A1A7D">
        <w:rPr>
          <w:vertAlign w:val="superscript"/>
        </w:rPr>
        <w:t xml:space="preserve"> 2</w:t>
      </w:r>
      <w:bookmarkEnd w:id="59"/>
    </w:p>
    <w:p w14:paraId="7749A3C2" w14:textId="50838D9F" w:rsidR="007F41C6" w:rsidRPr="007F41C6" w:rsidRDefault="00FA7A05" w:rsidP="007F41C6">
      <w:pPr>
        <w:keepNext/>
        <w:spacing w:before="120" w:after="0" w:line="240" w:lineRule="auto"/>
        <w:jc w:val="both"/>
        <w:rPr>
          <w:rFonts w:eastAsia="Arial"/>
          <w:sz w:val="20"/>
          <w:lang w:eastAsia="en-GB"/>
        </w:rPr>
      </w:pPr>
      <w:r w:rsidRPr="007F41C6">
        <w:rPr>
          <w:rFonts w:eastAsia="Times New Roman"/>
          <w:noProof/>
          <w:sz w:val="20"/>
          <w:lang w:eastAsia="sl-SI"/>
        </w:rPr>
        <w:drawing>
          <wp:inline distT="0" distB="0" distL="0" distR="0" wp14:anchorId="61DCF450" wp14:editId="6EA2E1C0">
            <wp:extent cx="5530850" cy="3069590"/>
            <wp:effectExtent l="0" t="0" r="12700" b="16510"/>
            <wp:docPr id="3" name="Grafikon 3" descr="Vrednost z leti pada v EU/EGP. V Sloveniji 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B58740" w14:textId="2158ABD2" w:rsidR="008579FE" w:rsidRDefault="008579FE" w:rsidP="008579FE">
      <w:pPr>
        <w:spacing w:before="120" w:after="0" w:line="240" w:lineRule="auto"/>
        <w:jc w:val="both"/>
        <w:rPr>
          <w:rFonts w:eastAsia="Arial"/>
          <w:sz w:val="20"/>
        </w:rPr>
      </w:pPr>
      <w:r w:rsidRPr="008579FE">
        <w:rPr>
          <w:rFonts w:eastAsia="Arial"/>
          <w:sz w:val="20"/>
        </w:rPr>
        <w:t xml:space="preserve">V </w:t>
      </w:r>
      <w:r w:rsidR="000A1A7D">
        <w:rPr>
          <w:rFonts w:eastAsia="Arial"/>
          <w:sz w:val="20"/>
        </w:rPr>
        <w:t xml:space="preserve">Tabeli </w:t>
      </w:r>
      <w:r w:rsidR="00B10CA5">
        <w:rPr>
          <w:rFonts w:eastAsia="Arial"/>
          <w:sz w:val="20"/>
        </w:rPr>
        <w:t>2</w:t>
      </w:r>
      <w:r w:rsidRPr="008579FE">
        <w:rPr>
          <w:rFonts w:eastAsia="Arial"/>
          <w:sz w:val="20"/>
        </w:rPr>
        <w:t xml:space="preserve"> je prikazana količinska prodaja veterinarskih protimikrobnih zdravil za živali, ki so pretežno namenjene proizvodnji hrane, v Sloveniji, v tonah, od leta 2011 do leta 2017. Celokupna prodaja namenjena živalim za proizvodnjo hrane se je med leti 2011 in 2017 zmanjšala za 1</w:t>
      </w:r>
      <w:r w:rsidR="00C87C51">
        <w:rPr>
          <w:rFonts w:eastAsia="Arial"/>
          <w:sz w:val="20"/>
        </w:rPr>
        <w:t xml:space="preserve"> </w:t>
      </w:r>
      <w:r w:rsidRPr="008579FE">
        <w:rPr>
          <w:rFonts w:eastAsia="Arial"/>
          <w:sz w:val="20"/>
        </w:rPr>
        <w:t>ton</w:t>
      </w:r>
      <w:r w:rsidR="00C87C51">
        <w:rPr>
          <w:rFonts w:eastAsia="Arial"/>
          <w:sz w:val="20"/>
        </w:rPr>
        <w:t>o</w:t>
      </w:r>
      <w:r w:rsidRPr="008579FE">
        <w:rPr>
          <w:rFonts w:eastAsia="Arial"/>
          <w:sz w:val="20"/>
        </w:rPr>
        <w:t xml:space="preserve"> (iz </w:t>
      </w:r>
      <w:r w:rsidR="00C87C51">
        <w:rPr>
          <w:rFonts w:eastAsia="Arial"/>
          <w:sz w:val="20"/>
        </w:rPr>
        <w:t>8</w:t>
      </w:r>
      <w:r w:rsidRPr="008579FE">
        <w:rPr>
          <w:rFonts w:eastAsia="Arial"/>
          <w:sz w:val="20"/>
        </w:rPr>
        <w:t xml:space="preserve"> na 7 tone).</w:t>
      </w:r>
    </w:p>
    <w:p w14:paraId="669D8C07" w14:textId="39E7620C" w:rsidR="000A1A7D" w:rsidRDefault="000A1A7D" w:rsidP="000A1A7D">
      <w:pPr>
        <w:pStyle w:val="Napis"/>
        <w:jc w:val="both"/>
      </w:pPr>
      <w:bookmarkStart w:id="60" w:name="_Toc55484824"/>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2</w:t>
      </w:r>
      <w:r w:rsidR="004270C0" w:rsidRPr="00837C52">
        <w:rPr>
          <w:noProof/>
          <w:sz w:val="20"/>
          <w:szCs w:val="20"/>
        </w:rPr>
        <w:fldChar w:fldCharType="end"/>
      </w:r>
      <w:r w:rsidRPr="00837C52">
        <w:rPr>
          <w:sz w:val="20"/>
          <w:szCs w:val="20"/>
        </w:rPr>
        <w:t>:</w:t>
      </w:r>
      <w:r w:rsidR="00837C52">
        <w:rPr>
          <w:sz w:val="20"/>
          <w:szCs w:val="20"/>
        </w:rPr>
        <w:t xml:space="preserve"> </w:t>
      </w:r>
      <w:r w:rsidRPr="00837C52">
        <w:rPr>
          <w:sz w:val="20"/>
          <w:szCs w:val="20"/>
        </w:rPr>
        <w:t>Prodaja veterinarskih protimikrobnih zdravil za živali, ki so pretežno namenjene proizvodnji hrane, v Sloveniji, v tonah, od leta 2011 do leta 2017</w:t>
      </w:r>
      <w:bookmarkEnd w:id="60"/>
    </w:p>
    <w:p w14:paraId="0C129CE9" w14:textId="176D635A" w:rsidR="008579FE" w:rsidRPr="008579FE" w:rsidRDefault="008579FE" w:rsidP="008579FE">
      <w:pPr>
        <w:spacing w:before="120" w:after="0" w:line="240" w:lineRule="auto"/>
        <w:jc w:val="both"/>
        <w:rPr>
          <w:rFonts w:eastAsia="Arial"/>
          <w:sz w:val="20"/>
        </w:rPr>
      </w:pPr>
      <w:r w:rsidRPr="00CA108F">
        <w:rPr>
          <w:noProof/>
          <w:lang w:eastAsia="sl-SI"/>
        </w:rPr>
        <w:drawing>
          <wp:inline distT="0" distB="0" distL="0" distR="0" wp14:anchorId="5A8942E5" wp14:editId="2A67B348">
            <wp:extent cx="5760720" cy="3640455"/>
            <wp:effectExtent l="0" t="0" r="0" b="0"/>
            <wp:docPr id="16" name="Slika 16" descr="Prodaja veterinarskih protimikrobnih zdravil za živali, ki so pretežno namenjene proizvodnji hrane, v Sloveniji, v tonah, od leta 2011 do leta 2017.&#10;Nakup Penicilina se med 2011 in 2017 precej zv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Prodaja veterinarskih protimikrobnih zdravil za živali, ki so pretežno namenjene proizvodnji hrane, v Sloveniji, v tonah, od leta 2011 do leta 2017.&#10;Nakup Penicilina se med 2011 in 2017 precej zviš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640455"/>
                    </a:xfrm>
                    <a:prstGeom prst="rect">
                      <a:avLst/>
                    </a:prstGeom>
                    <a:noFill/>
                    <a:ln>
                      <a:noFill/>
                    </a:ln>
                  </pic:spPr>
                </pic:pic>
              </a:graphicData>
            </a:graphic>
          </wp:inline>
        </w:drawing>
      </w:r>
    </w:p>
    <w:p w14:paraId="161EA890" w14:textId="77777777" w:rsidR="008579FE" w:rsidRPr="008579FE" w:rsidRDefault="008579FE" w:rsidP="008579FE">
      <w:pPr>
        <w:spacing w:before="120" w:after="0" w:line="240" w:lineRule="auto"/>
        <w:jc w:val="both"/>
        <w:rPr>
          <w:rFonts w:eastAsia="Arial"/>
          <w:sz w:val="20"/>
        </w:rPr>
      </w:pPr>
      <w:r w:rsidRPr="008579FE">
        <w:rPr>
          <w:rFonts w:eastAsia="Arial"/>
          <w:sz w:val="20"/>
        </w:rPr>
        <w:t xml:space="preserve">Opazna je zlasti razlika, porast v prodaji penicilinov in ob tem manjša prodaja </w:t>
      </w:r>
      <w:proofErr w:type="spellStart"/>
      <w:r w:rsidRPr="008579FE">
        <w:rPr>
          <w:rFonts w:eastAsia="Arial"/>
          <w:sz w:val="20"/>
        </w:rPr>
        <w:t>fluorokinolonov</w:t>
      </w:r>
      <w:proofErr w:type="spellEnd"/>
      <w:r w:rsidRPr="008579FE">
        <w:rPr>
          <w:rFonts w:eastAsia="Arial"/>
          <w:sz w:val="20"/>
        </w:rPr>
        <w:t>, ki pa spadajo v skupino kritično pomembnih protimikrobnih zdravil v humani medicini in moramo njihovo porabo za zdravljenje živali še zmanjševati oz. jo omejevati na le upravičene primere.</w:t>
      </w:r>
      <w:r w:rsidRPr="008579FE">
        <w:rPr>
          <w:rFonts w:eastAsia="Arial"/>
          <w:sz w:val="20"/>
        </w:rPr>
        <w:softHyphen/>
      </w:r>
      <w:r w:rsidRPr="008579FE">
        <w:rPr>
          <w:rFonts w:eastAsia="Arial"/>
          <w:sz w:val="20"/>
        </w:rPr>
        <w:softHyphen/>
      </w:r>
      <w:r w:rsidRPr="008579FE">
        <w:rPr>
          <w:rFonts w:eastAsia="Arial"/>
          <w:sz w:val="20"/>
        </w:rPr>
        <w:softHyphen/>
      </w:r>
    </w:p>
    <w:p w14:paraId="7F17A4A2" w14:textId="77777777" w:rsidR="007F41C6" w:rsidRPr="00E03F15" w:rsidRDefault="007F41C6" w:rsidP="007F41C6">
      <w:pPr>
        <w:spacing w:before="120" w:after="0" w:line="240" w:lineRule="auto"/>
        <w:jc w:val="both"/>
        <w:rPr>
          <w:rFonts w:eastAsia="Arial"/>
          <w:sz w:val="20"/>
        </w:rPr>
      </w:pPr>
    </w:p>
    <w:p w14:paraId="4913CF71" w14:textId="18525B24" w:rsidR="007F41C6" w:rsidRPr="00E03F15" w:rsidRDefault="006A24BC" w:rsidP="007F41C6">
      <w:pPr>
        <w:spacing w:before="120" w:after="0" w:line="240" w:lineRule="auto"/>
        <w:jc w:val="both"/>
        <w:rPr>
          <w:rFonts w:eastAsia="Arial"/>
          <w:sz w:val="20"/>
        </w:rPr>
      </w:pPr>
      <w:r>
        <w:rPr>
          <w:rFonts w:eastAsia="Arial"/>
          <w:sz w:val="20"/>
        </w:rPr>
        <w:t>Od leta</w:t>
      </w:r>
      <w:r w:rsidR="007F41C6" w:rsidRPr="00E03F15">
        <w:rPr>
          <w:rFonts w:eastAsia="Arial"/>
          <w:sz w:val="20"/>
        </w:rPr>
        <w:t xml:space="preserve"> 2008 </w:t>
      </w:r>
      <w:r w:rsidR="004D1D9D">
        <w:rPr>
          <w:rFonts w:eastAsia="Arial"/>
          <w:sz w:val="20"/>
        </w:rPr>
        <w:t>je</w:t>
      </w:r>
      <w:r w:rsidR="006A4E3B">
        <w:rPr>
          <w:rFonts w:eastAsia="Arial"/>
          <w:sz w:val="20"/>
        </w:rPr>
        <w:t xml:space="preserve"> </w:t>
      </w:r>
      <w:r w:rsidR="007F41C6" w:rsidRPr="00E03F15">
        <w:rPr>
          <w:rFonts w:eastAsia="Arial"/>
          <w:sz w:val="20"/>
        </w:rPr>
        <w:t>Nacionaln</w:t>
      </w:r>
      <w:r w:rsidR="006A4E3B">
        <w:rPr>
          <w:rFonts w:eastAsia="Arial"/>
          <w:sz w:val="20"/>
        </w:rPr>
        <w:t>a</w:t>
      </w:r>
      <w:r w:rsidR="007F41C6" w:rsidRPr="00E03F15">
        <w:rPr>
          <w:rFonts w:eastAsia="Arial"/>
          <w:sz w:val="20"/>
        </w:rPr>
        <w:t xml:space="preserve"> komisij</w:t>
      </w:r>
      <w:r w:rsidR="006A4E3B">
        <w:rPr>
          <w:rFonts w:eastAsia="Arial"/>
          <w:sz w:val="20"/>
        </w:rPr>
        <w:t>a</w:t>
      </w:r>
      <w:r w:rsidR="007F41C6" w:rsidRPr="00E03F15">
        <w:rPr>
          <w:rFonts w:eastAsia="Arial"/>
          <w:sz w:val="20"/>
        </w:rPr>
        <w:t xml:space="preserve"> za smotrno rabo protimikrobnih zdravil</w:t>
      </w:r>
      <w:r w:rsidR="004D1D9D">
        <w:rPr>
          <w:rFonts w:eastAsia="Arial"/>
          <w:sz w:val="20"/>
        </w:rPr>
        <w:t xml:space="preserve"> skupaj z </w:t>
      </w:r>
      <w:r w:rsidR="007F41C6" w:rsidRPr="00E03F15">
        <w:rPr>
          <w:rFonts w:eastAsia="Arial"/>
          <w:sz w:val="20"/>
        </w:rPr>
        <w:t>Uprav</w:t>
      </w:r>
      <w:r w:rsidR="004D1D9D">
        <w:rPr>
          <w:rFonts w:eastAsia="Arial"/>
          <w:sz w:val="20"/>
        </w:rPr>
        <w:t>o</w:t>
      </w:r>
      <w:r w:rsidR="007F41C6" w:rsidRPr="00E03F15">
        <w:rPr>
          <w:rFonts w:eastAsia="Arial"/>
          <w:sz w:val="20"/>
        </w:rPr>
        <w:t xml:space="preserve"> Republike Slovenije za varno hrano, veterinarstvo in varstvo rastlin</w:t>
      </w:r>
      <w:r w:rsidR="00FA7A05">
        <w:rPr>
          <w:rFonts w:eastAsia="Arial"/>
          <w:sz w:val="20"/>
        </w:rPr>
        <w:t xml:space="preserve"> (v nadaljevanju</w:t>
      </w:r>
      <w:r w:rsidR="00285183">
        <w:rPr>
          <w:rFonts w:eastAsia="Arial"/>
          <w:sz w:val="20"/>
        </w:rPr>
        <w:t xml:space="preserve"> besedila</w:t>
      </w:r>
      <w:r w:rsidR="00FA7A05">
        <w:rPr>
          <w:rFonts w:eastAsia="Arial"/>
          <w:sz w:val="20"/>
        </w:rPr>
        <w:t xml:space="preserve">: </w:t>
      </w:r>
      <w:r w:rsidR="007F41C6" w:rsidRPr="00E03F15">
        <w:rPr>
          <w:rFonts w:eastAsia="Arial"/>
          <w:sz w:val="20"/>
        </w:rPr>
        <w:t>UVHVVR</w:t>
      </w:r>
      <w:r w:rsidR="00FA7A05">
        <w:rPr>
          <w:rFonts w:eastAsia="Arial"/>
          <w:sz w:val="20"/>
        </w:rPr>
        <w:t>)</w:t>
      </w:r>
      <w:r w:rsidR="007F41C6" w:rsidRPr="00E03F15">
        <w:rPr>
          <w:rFonts w:eastAsia="Arial"/>
          <w:sz w:val="20"/>
        </w:rPr>
        <w:t xml:space="preserve"> in </w:t>
      </w:r>
      <w:r w:rsidR="002C0B78">
        <w:rPr>
          <w:rFonts w:eastAsia="Arial"/>
          <w:sz w:val="20"/>
        </w:rPr>
        <w:t>v sodelovanju z Veterinarsko zbornico</w:t>
      </w:r>
      <w:r w:rsidR="004D1D9D">
        <w:rPr>
          <w:rFonts w:eastAsia="Arial"/>
          <w:sz w:val="20"/>
        </w:rPr>
        <w:t xml:space="preserve"> izvajala ozaveščanje o smotrni rabi protimikrobnih zdravil. </w:t>
      </w:r>
      <w:r w:rsidR="002C0B78">
        <w:rPr>
          <w:rFonts w:eastAsia="Arial"/>
          <w:sz w:val="20"/>
        </w:rPr>
        <w:t xml:space="preserve">Med leti 2011 in 2015 se je </w:t>
      </w:r>
      <w:r w:rsidR="006A4E3B" w:rsidRPr="00E03F15">
        <w:rPr>
          <w:rFonts w:eastAsia="Arial"/>
          <w:sz w:val="20"/>
        </w:rPr>
        <w:t xml:space="preserve"> </w:t>
      </w:r>
      <w:r w:rsidR="004D1D9D">
        <w:rPr>
          <w:rFonts w:eastAsia="Arial"/>
          <w:sz w:val="20"/>
        </w:rPr>
        <w:t>tak</w:t>
      </w:r>
      <w:r>
        <w:rPr>
          <w:rFonts w:eastAsia="Arial"/>
          <w:sz w:val="20"/>
        </w:rPr>
        <w:t>o</w:t>
      </w:r>
      <w:r w:rsidR="002C0B78">
        <w:rPr>
          <w:rFonts w:eastAsia="Arial"/>
          <w:sz w:val="20"/>
        </w:rPr>
        <w:t xml:space="preserve"> s pomočjo ozaveščanj</w:t>
      </w:r>
      <w:r w:rsidR="004D1D9D">
        <w:rPr>
          <w:rFonts w:eastAsia="Arial"/>
          <w:sz w:val="20"/>
        </w:rPr>
        <w:t>,</w:t>
      </w:r>
      <w:r w:rsidR="004D1D9D" w:rsidRPr="004D1D9D">
        <w:rPr>
          <w:rFonts w:eastAsia="Arial"/>
          <w:sz w:val="20"/>
        </w:rPr>
        <w:t xml:space="preserve"> </w:t>
      </w:r>
      <w:r w:rsidR="004D1D9D">
        <w:rPr>
          <w:rFonts w:eastAsia="Arial"/>
          <w:sz w:val="20"/>
        </w:rPr>
        <w:t xml:space="preserve">zlasti veterinarjev in rejcev, </w:t>
      </w:r>
      <w:r>
        <w:rPr>
          <w:rFonts w:eastAsia="Arial"/>
          <w:sz w:val="20"/>
        </w:rPr>
        <w:t xml:space="preserve">v Sloveniji </w:t>
      </w:r>
      <w:r w:rsidR="007F41C6" w:rsidRPr="00E03F15">
        <w:rPr>
          <w:rFonts w:eastAsia="Arial"/>
          <w:sz w:val="20"/>
        </w:rPr>
        <w:t xml:space="preserve">beležili ugoden trend zniževanja skupne prodaje antibiotikov, ki so bili namenjeni za zdravljenje živali. </w:t>
      </w:r>
      <w:r w:rsidR="001320CE">
        <w:rPr>
          <w:rFonts w:eastAsia="Arial"/>
          <w:sz w:val="20"/>
        </w:rPr>
        <w:t>Od leta 2016</w:t>
      </w:r>
      <w:r w:rsidR="00F93A60">
        <w:rPr>
          <w:rFonts w:eastAsia="Arial"/>
          <w:sz w:val="20"/>
        </w:rPr>
        <w:t xml:space="preserve"> dalje ponovno </w:t>
      </w:r>
      <w:r w:rsidR="007F41C6" w:rsidRPr="00E03F15">
        <w:rPr>
          <w:rFonts w:eastAsia="Arial"/>
          <w:sz w:val="20"/>
        </w:rPr>
        <w:t xml:space="preserve">beležimo trend porasta prodaje </w:t>
      </w:r>
      <w:r w:rsidR="00614BAF">
        <w:rPr>
          <w:rFonts w:eastAsia="Arial"/>
          <w:sz w:val="20"/>
        </w:rPr>
        <w:t>antibiotikov</w:t>
      </w:r>
      <w:r w:rsidR="007F41C6" w:rsidRPr="00E03F15">
        <w:rPr>
          <w:rFonts w:eastAsia="Arial"/>
          <w:sz w:val="20"/>
        </w:rPr>
        <w:t xml:space="preserve"> za zdravljenje živali</w:t>
      </w:r>
      <w:r w:rsidR="005702A7">
        <w:rPr>
          <w:rFonts w:eastAsia="Arial"/>
          <w:sz w:val="20"/>
        </w:rPr>
        <w:t xml:space="preserve"> (Slika 2)</w:t>
      </w:r>
      <w:r w:rsidR="006A4E3B">
        <w:rPr>
          <w:rFonts w:eastAsia="Arial"/>
          <w:sz w:val="20"/>
        </w:rPr>
        <w:t>, z</w:t>
      </w:r>
      <w:r w:rsidR="007F41C6" w:rsidRPr="00E03F15">
        <w:rPr>
          <w:rFonts w:eastAsia="Arial"/>
          <w:sz w:val="20"/>
        </w:rPr>
        <w:t xml:space="preserve">lasti zaradi vpliva razmer v intenzivni reji </w:t>
      </w:r>
      <w:r w:rsidR="008579FE">
        <w:rPr>
          <w:rFonts w:eastAsia="Arial"/>
          <w:sz w:val="20"/>
        </w:rPr>
        <w:t xml:space="preserve">perutnine </w:t>
      </w:r>
      <w:r w:rsidR="007F41C6" w:rsidRPr="00E03F15">
        <w:rPr>
          <w:rFonts w:eastAsia="Arial"/>
          <w:sz w:val="20"/>
        </w:rPr>
        <w:t xml:space="preserve">in posledične večje porabe </w:t>
      </w:r>
      <w:r w:rsidR="00614BAF">
        <w:rPr>
          <w:rFonts w:eastAsia="Arial"/>
          <w:sz w:val="20"/>
        </w:rPr>
        <w:t>antibiotikov</w:t>
      </w:r>
      <w:r w:rsidR="007B097E">
        <w:rPr>
          <w:rFonts w:eastAsia="Arial"/>
          <w:sz w:val="20"/>
        </w:rPr>
        <w:t xml:space="preserve"> v obratih </w:t>
      </w:r>
      <w:r w:rsidR="008579FE">
        <w:rPr>
          <w:rFonts w:eastAsia="Arial"/>
          <w:sz w:val="20"/>
        </w:rPr>
        <w:t>velike perutninske družbe</w:t>
      </w:r>
      <w:r w:rsidR="00614BAF">
        <w:rPr>
          <w:rFonts w:eastAsia="Arial"/>
          <w:sz w:val="20"/>
        </w:rPr>
        <w:t>, k</w:t>
      </w:r>
      <w:r w:rsidR="005702A7">
        <w:rPr>
          <w:rFonts w:eastAsia="Arial"/>
          <w:sz w:val="20"/>
        </w:rPr>
        <w:t xml:space="preserve">ar je vplivalo na povečanje obsega </w:t>
      </w:r>
      <w:r w:rsidR="007F41C6" w:rsidRPr="00E03F15">
        <w:rPr>
          <w:rFonts w:eastAsia="Arial"/>
          <w:sz w:val="20"/>
        </w:rPr>
        <w:t xml:space="preserve">skupne prodaje </w:t>
      </w:r>
      <w:r w:rsidR="00614BAF">
        <w:rPr>
          <w:rFonts w:eastAsia="Arial"/>
          <w:sz w:val="20"/>
        </w:rPr>
        <w:t>protimikrobnih zdravil</w:t>
      </w:r>
      <w:r w:rsidR="007F41C6" w:rsidRPr="00E03F15">
        <w:rPr>
          <w:rFonts w:eastAsia="Arial"/>
          <w:sz w:val="20"/>
        </w:rPr>
        <w:t xml:space="preserve"> na ravni države. </w:t>
      </w:r>
    </w:p>
    <w:p w14:paraId="10BB7396" w14:textId="3ADA8E2C" w:rsidR="007B2CC8" w:rsidRDefault="00B876A3" w:rsidP="007F41C6">
      <w:pPr>
        <w:spacing w:before="120" w:after="0" w:line="240" w:lineRule="auto"/>
        <w:jc w:val="both"/>
        <w:rPr>
          <w:rFonts w:eastAsia="Arial"/>
          <w:sz w:val="20"/>
        </w:rPr>
      </w:pPr>
      <w:r>
        <w:rPr>
          <w:rFonts w:eastAsia="Arial"/>
          <w:sz w:val="20"/>
        </w:rPr>
        <w:t>V</w:t>
      </w:r>
      <w:r w:rsidRPr="00E03F15">
        <w:rPr>
          <w:rFonts w:eastAsia="Arial"/>
          <w:sz w:val="20"/>
        </w:rPr>
        <w:t xml:space="preserve"> </w:t>
      </w:r>
      <w:r w:rsidR="007F41C6" w:rsidRPr="00E03F15">
        <w:rPr>
          <w:rFonts w:eastAsia="Arial"/>
          <w:sz w:val="20"/>
        </w:rPr>
        <w:t xml:space="preserve">razred kritično pomembnih </w:t>
      </w:r>
      <w:r>
        <w:rPr>
          <w:rFonts w:eastAsia="Arial"/>
          <w:sz w:val="20"/>
        </w:rPr>
        <w:t>protimikrobnih zdravil spadajo</w:t>
      </w:r>
      <w:r w:rsidR="007F41C6" w:rsidRPr="00E03F15">
        <w:rPr>
          <w:rFonts w:eastAsia="Arial"/>
          <w:sz w:val="20"/>
        </w:rPr>
        <w:t xml:space="preserve"> </w:t>
      </w:r>
      <w:proofErr w:type="spellStart"/>
      <w:r w:rsidR="007F41C6" w:rsidRPr="00E03F15">
        <w:rPr>
          <w:rFonts w:eastAsia="Arial"/>
          <w:sz w:val="20"/>
        </w:rPr>
        <w:t>cefalosporini</w:t>
      </w:r>
      <w:proofErr w:type="spellEnd"/>
      <w:r w:rsidR="007F41C6" w:rsidRPr="00E03F15">
        <w:rPr>
          <w:rFonts w:eastAsia="Arial"/>
          <w:sz w:val="20"/>
        </w:rPr>
        <w:t xml:space="preserve"> tretje in četrte generacije, </w:t>
      </w:r>
      <w:proofErr w:type="spellStart"/>
      <w:r w:rsidR="007F41C6" w:rsidRPr="00E03F15">
        <w:rPr>
          <w:rFonts w:eastAsia="Arial"/>
          <w:sz w:val="20"/>
        </w:rPr>
        <w:t>fluorokinoloni</w:t>
      </w:r>
      <w:proofErr w:type="spellEnd"/>
      <w:r w:rsidR="007F41C6" w:rsidRPr="00E03F15">
        <w:rPr>
          <w:rFonts w:eastAsia="Arial"/>
          <w:sz w:val="20"/>
        </w:rPr>
        <w:t xml:space="preserve">, ostali </w:t>
      </w:r>
      <w:proofErr w:type="spellStart"/>
      <w:r w:rsidR="007F41C6" w:rsidRPr="00E03F15">
        <w:rPr>
          <w:rFonts w:eastAsia="Arial"/>
          <w:sz w:val="20"/>
        </w:rPr>
        <w:t>kinoloni</w:t>
      </w:r>
      <w:proofErr w:type="spellEnd"/>
      <w:r w:rsidR="007F41C6" w:rsidRPr="00E03F15">
        <w:rPr>
          <w:rFonts w:eastAsia="Arial"/>
          <w:sz w:val="20"/>
        </w:rPr>
        <w:t xml:space="preserve"> in </w:t>
      </w:r>
      <w:proofErr w:type="spellStart"/>
      <w:r w:rsidR="007F41C6" w:rsidRPr="00E03F15">
        <w:rPr>
          <w:rFonts w:eastAsia="Arial"/>
          <w:sz w:val="20"/>
        </w:rPr>
        <w:t>pol</w:t>
      </w:r>
      <w:r w:rsidR="006A24BC">
        <w:rPr>
          <w:rFonts w:eastAsia="Arial"/>
          <w:sz w:val="20"/>
        </w:rPr>
        <w:t>i</w:t>
      </w:r>
      <w:r w:rsidR="007F41C6" w:rsidRPr="00E03F15">
        <w:rPr>
          <w:rFonts w:eastAsia="Arial"/>
          <w:sz w:val="20"/>
        </w:rPr>
        <w:t>miksini</w:t>
      </w:r>
      <w:proofErr w:type="spellEnd"/>
      <w:r>
        <w:rPr>
          <w:rFonts w:eastAsia="Arial"/>
          <w:sz w:val="20"/>
        </w:rPr>
        <w:t>. Med temi</w:t>
      </w:r>
      <w:r w:rsidR="006A24BC">
        <w:rPr>
          <w:rFonts w:eastAsia="Arial"/>
          <w:sz w:val="20"/>
        </w:rPr>
        <w:t xml:space="preserve"> protimikrobnimi zdravili </w:t>
      </w:r>
      <w:r>
        <w:rPr>
          <w:rFonts w:eastAsia="Arial"/>
          <w:sz w:val="20"/>
        </w:rPr>
        <w:t xml:space="preserve">je </w:t>
      </w:r>
      <w:r w:rsidR="008579FE">
        <w:rPr>
          <w:rFonts w:eastAsia="Arial"/>
          <w:sz w:val="20"/>
        </w:rPr>
        <w:t xml:space="preserve"> v</w:t>
      </w:r>
      <w:r>
        <w:rPr>
          <w:rFonts w:eastAsia="Arial"/>
          <w:sz w:val="20"/>
        </w:rPr>
        <w:t xml:space="preserve"> </w:t>
      </w:r>
      <w:r w:rsidR="007F41C6" w:rsidRPr="00E03F15">
        <w:rPr>
          <w:rFonts w:eastAsia="Arial"/>
          <w:sz w:val="20"/>
        </w:rPr>
        <w:t xml:space="preserve">Sloveniji največji delež prodaje </w:t>
      </w:r>
      <w:proofErr w:type="spellStart"/>
      <w:r w:rsidR="009338C0">
        <w:rPr>
          <w:rFonts w:eastAsia="Arial"/>
          <w:sz w:val="20"/>
        </w:rPr>
        <w:t>f</w:t>
      </w:r>
      <w:r w:rsidR="007F41C6" w:rsidRPr="00E03F15">
        <w:rPr>
          <w:rFonts w:eastAsia="Arial"/>
          <w:sz w:val="20"/>
        </w:rPr>
        <w:t>luorokinolon</w:t>
      </w:r>
      <w:r w:rsidR="009338C0">
        <w:rPr>
          <w:rFonts w:eastAsia="Arial"/>
          <w:sz w:val="20"/>
        </w:rPr>
        <w:t>ov</w:t>
      </w:r>
      <w:proofErr w:type="spellEnd"/>
      <w:r w:rsidR="009338C0">
        <w:rPr>
          <w:rFonts w:eastAsia="Arial"/>
          <w:sz w:val="20"/>
        </w:rPr>
        <w:t xml:space="preserve"> (Slika 3)</w:t>
      </w:r>
      <w:r w:rsidR="007F41C6" w:rsidRPr="00E03F15">
        <w:rPr>
          <w:rFonts w:eastAsia="Arial"/>
          <w:sz w:val="20"/>
        </w:rPr>
        <w:t xml:space="preserve">, katerih porabo moramo v Sloveniji v </w:t>
      </w:r>
      <w:r w:rsidR="009338C0" w:rsidRPr="00E03F15">
        <w:rPr>
          <w:rFonts w:eastAsia="Arial"/>
          <w:sz w:val="20"/>
        </w:rPr>
        <w:t>prihodn</w:t>
      </w:r>
      <w:r w:rsidR="009338C0">
        <w:rPr>
          <w:rFonts w:eastAsia="Arial"/>
          <w:sz w:val="20"/>
        </w:rPr>
        <w:t>je</w:t>
      </w:r>
      <w:r w:rsidR="009338C0" w:rsidRPr="00E03F15">
        <w:rPr>
          <w:rFonts w:eastAsia="Arial"/>
          <w:sz w:val="20"/>
        </w:rPr>
        <w:t xml:space="preserve"> zniž</w:t>
      </w:r>
      <w:r w:rsidR="009338C0">
        <w:rPr>
          <w:rFonts w:eastAsia="Arial"/>
          <w:sz w:val="20"/>
        </w:rPr>
        <w:t>ati</w:t>
      </w:r>
      <w:r w:rsidR="007F41C6" w:rsidRPr="00E03F15">
        <w:rPr>
          <w:rFonts w:eastAsia="Arial"/>
          <w:sz w:val="20"/>
        </w:rPr>
        <w:t xml:space="preserve">. </w:t>
      </w:r>
      <w:r w:rsidR="009338C0">
        <w:rPr>
          <w:rFonts w:eastAsia="Arial"/>
          <w:sz w:val="20"/>
        </w:rPr>
        <w:t>V</w:t>
      </w:r>
      <w:r w:rsidR="009338C0" w:rsidRPr="00E03F15">
        <w:rPr>
          <w:rFonts w:eastAsia="Arial"/>
          <w:sz w:val="20"/>
        </w:rPr>
        <w:t xml:space="preserve"> primerjavi z ostalimi leti </w:t>
      </w:r>
      <w:r w:rsidR="009338C0">
        <w:rPr>
          <w:rFonts w:eastAsia="Arial"/>
          <w:sz w:val="20"/>
        </w:rPr>
        <w:t xml:space="preserve">je bila leta </w:t>
      </w:r>
      <w:r w:rsidR="007F41C6" w:rsidRPr="00E03F15">
        <w:rPr>
          <w:rFonts w:eastAsia="Arial"/>
          <w:sz w:val="20"/>
        </w:rPr>
        <w:t xml:space="preserve">2013 prodaja </w:t>
      </w:r>
      <w:proofErr w:type="spellStart"/>
      <w:r w:rsidR="007F41C6" w:rsidRPr="00E03F15">
        <w:rPr>
          <w:rFonts w:eastAsia="Arial"/>
          <w:sz w:val="20"/>
        </w:rPr>
        <w:t>fluorokinolonov</w:t>
      </w:r>
      <w:proofErr w:type="spellEnd"/>
      <w:r w:rsidR="007F41C6" w:rsidRPr="00E03F15">
        <w:rPr>
          <w:rFonts w:eastAsia="Arial"/>
          <w:sz w:val="20"/>
        </w:rPr>
        <w:t xml:space="preserve"> </w:t>
      </w:r>
      <w:r w:rsidR="006A24BC">
        <w:rPr>
          <w:rFonts w:eastAsia="Arial"/>
          <w:sz w:val="20"/>
        </w:rPr>
        <w:t>znatno</w:t>
      </w:r>
      <w:r w:rsidR="007F41C6" w:rsidRPr="00E03F15">
        <w:rPr>
          <w:rFonts w:eastAsia="Arial"/>
          <w:sz w:val="20"/>
        </w:rPr>
        <w:t xml:space="preserve"> nižja</w:t>
      </w:r>
      <w:r w:rsidR="007F41C6" w:rsidRPr="00E03F15">
        <w:rPr>
          <w:rFonts w:eastAsia="Arial"/>
          <w:sz w:val="20"/>
          <w:vertAlign w:val="superscript"/>
        </w:rPr>
        <w:t>2</w:t>
      </w:r>
      <w:r w:rsidR="007F41C6" w:rsidRPr="00E03F15">
        <w:rPr>
          <w:rFonts w:eastAsia="Arial"/>
          <w:sz w:val="20"/>
        </w:rPr>
        <w:t>.</w:t>
      </w:r>
      <w:r w:rsidR="009338C0">
        <w:rPr>
          <w:rFonts w:eastAsia="Arial"/>
          <w:sz w:val="20"/>
        </w:rPr>
        <w:t>O</w:t>
      </w:r>
      <w:r w:rsidR="007F41C6" w:rsidRPr="00E03F15">
        <w:rPr>
          <w:rFonts w:eastAsia="Arial"/>
          <w:sz w:val="20"/>
        </w:rPr>
        <w:t xml:space="preserve">menjeno ozaveščanje veterinarjev in rejcev je </w:t>
      </w:r>
      <w:r w:rsidR="00F93A60">
        <w:rPr>
          <w:rFonts w:eastAsia="Arial"/>
          <w:sz w:val="20"/>
        </w:rPr>
        <w:t xml:space="preserve">bilo </w:t>
      </w:r>
      <w:proofErr w:type="spellStart"/>
      <w:r w:rsidR="00F93A60">
        <w:rPr>
          <w:rFonts w:eastAsia="Arial"/>
          <w:sz w:val="20"/>
        </w:rPr>
        <w:t>najuspešnjše</w:t>
      </w:r>
      <w:proofErr w:type="spellEnd"/>
      <w:r w:rsidR="00F93A60">
        <w:rPr>
          <w:rFonts w:eastAsia="Arial"/>
          <w:sz w:val="20"/>
        </w:rPr>
        <w:t xml:space="preserve"> pred le</w:t>
      </w:r>
      <w:r w:rsidR="009338C0">
        <w:rPr>
          <w:rFonts w:eastAsia="Arial"/>
          <w:sz w:val="20"/>
        </w:rPr>
        <w:t>tom</w:t>
      </w:r>
      <w:r w:rsidR="007F41C6" w:rsidRPr="00E03F15">
        <w:rPr>
          <w:rFonts w:eastAsia="Arial"/>
          <w:sz w:val="20"/>
        </w:rPr>
        <w:t xml:space="preserve"> 2013</w:t>
      </w:r>
      <w:r w:rsidR="00F93A60">
        <w:rPr>
          <w:rFonts w:eastAsia="Arial"/>
          <w:sz w:val="20"/>
        </w:rPr>
        <w:t>.</w:t>
      </w:r>
      <w:r w:rsidR="007F41C6" w:rsidRPr="00E03F15">
        <w:rPr>
          <w:rFonts w:eastAsia="Arial"/>
          <w:sz w:val="20"/>
        </w:rPr>
        <w:t xml:space="preserve"> (Slika 2)</w:t>
      </w:r>
      <w:r w:rsidR="006A24BC">
        <w:rPr>
          <w:rFonts w:eastAsia="Arial"/>
          <w:sz w:val="20"/>
        </w:rPr>
        <w:t>.</w:t>
      </w:r>
      <w:r w:rsidR="007F41C6" w:rsidRPr="00E03F15">
        <w:rPr>
          <w:rFonts w:eastAsia="Arial"/>
          <w:sz w:val="20"/>
        </w:rPr>
        <w:t xml:space="preserve"> </w:t>
      </w:r>
      <w:r w:rsidR="006A24BC">
        <w:rPr>
          <w:rFonts w:eastAsia="Arial"/>
          <w:sz w:val="20"/>
        </w:rPr>
        <w:t>T</w:t>
      </w:r>
      <w:r w:rsidR="007F41C6" w:rsidRPr="00E03F15">
        <w:rPr>
          <w:rFonts w:eastAsia="Arial"/>
          <w:sz w:val="20"/>
        </w:rPr>
        <w:t xml:space="preserve">renutne razmere pa kažejo, da je treba </w:t>
      </w:r>
      <w:r w:rsidR="009338C0">
        <w:rPr>
          <w:rFonts w:eastAsia="Arial"/>
          <w:sz w:val="20"/>
        </w:rPr>
        <w:t xml:space="preserve">ozaveščanje </w:t>
      </w:r>
      <w:r w:rsidR="009338C0" w:rsidRPr="00E03F15">
        <w:rPr>
          <w:rFonts w:eastAsia="Arial"/>
          <w:sz w:val="20"/>
        </w:rPr>
        <w:t xml:space="preserve">za boljše poznavanje in obvladovanje odpornosti mikrobov </w:t>
      </w:r>
      <w:r w:rsidR="007F41C6" w:rsidRPr="00E03F15">
        <w:rPr>
          <w:rFonts w:eastAsia="Arial"/>
          <w:sz w:val="20"/>
        </w:rPr>
        <w:t>okrepiti in dopolniti</w:t>
      </w:r>
      <w:r w:rsidR="009338C0">
        <w:rPr>
          <w:rFonts w:eastAsia="Arial"/>
          <w:sz w:val="20"/>
        </w:rPr>
        <w:t xml:space="preserve"> </w:t>
      </w:r>
      <w:r w:rsidR="007F41C6" w:rsidRPr="00E03F15">
        <w:rPr>
          <w:rFonts w:eastAsia="Arial"/>
          <w:sz w:val="20"/>
        </w:rPr>
        <w:t>z izobraževanji in usposabljanji</w:t>
      </w:r>
      <w:r w:rsidR="009338C0">
        <w:rPr>
          <w:rFonts w:eastAsia="Arial"/>
          <w:sz w:val="20"/>
        </w:rPr>
        <w:t xml:space="preserve">. </w:t>
      </w:r>
      <w:r w:rsidR="006A24BC">
        <w:rPr>
          <w:rFonts w:eastAsia="Arial"/>
          <w:sz w:val="20"/>
        </w:rPr>
        <w:t>Z</w:t>
      </w:r>
      <w:r w:rsidR="006A24BC" w:rsidRPr="00E03F15">
        <w:rPr>
          <w:rFonts w:eastAsia="Arial"/>
          <w:sz w:val="20"/>
        </w:rPr>
        <w:t xml:space="preserve">a </w:t>
      </w:r>
      <w:r w:rsidR="006A24BC">
        <w:rPr>
          <w:rFonts w:eastAsia="Arial"/>
          <w:sz w:val="20"/>
        </w:rPr>
        <w:t xml:space="preserve">namen </w:t>
      </w:r>
      <w:r w:rsidR="006A24BC" w:rsidRPr="00E03F15">
        <w:rPr>
          <w:rFonts w:eastAsia="Arial"/>
          <w:sz w:val="20"/>
        </w:rPr>
        <w:t>odkrivanj</w:t>
      </w:r>
      <w:r w:rsidR="006A24BC">
        <w:rPr>
          <w:rFonts w:eastAsia="Arial"/>
          <w:sz w:val="20"/>
        </w:rPr>
        <w:t>a</w:t>
      </w:r>
      <w:r w:rsidR="006A24BC" w:rsidRPr="00E03F15">
        <w:rPr>
          <w:rFonts w:eastAsia="Arial"/>
          <w:sz w:val="20"/>
        </w:rPr>
        <w:t xml:space="preserve"> prekomernih porabnikov in možnost</w:t>
      </w:r>
      <w:r w:rsidR="009D6D0D">
        <w:rPr>
          <w:rFonts w:eastAsia="Arial"/>
          <w:sz w:val="20"/>
        </w:rPr>
        <w:t>jo</w:t>
      </w:r>
      <w:r w:rsidR="006A24BC" w:rsidRPr="00E03F15">
        <w:rPr>
          <w:rFonts w:eastAsia="Arial"/>
          <w:sz w:val="20"/>
        </w:rPr>
        <w:t xml:space="preserve"> ukrepanja za ureditev razmer, da bi bile potrebe po uporabi antibiotikov manjše</w:t>
      </w:r>
      <w:r w:rsidR="006A24BC">
        <w:rPr>
          <w:rFonts w:eastAsia="Arial"/>
          <w:sz w:val="20"/>
        </w:rPr>
        <w:t>, je treba s</w:t>
      </w:r>
      <w:r w:rsidR="007F41C6" w:rsidRPr="00E03F15">
        <w:rPr>
          <w:rFonts w:eastAsia="Arial"/>
          <w:sz w:val="20"/>
        </w:rPr>
        <w:t xml:space="preserve">premljanje prodaje </w:t>
      </w:r>
      <w:r w:rsidR="006A24BC">
        <w:rPr>
          <w:rFonts w:eastAsia="Arial"/>
          <w:sz w:val="20"/>
        </w:rPr>
        <w:t>antibiotikov</w:t>
      </w:r>
      <w:r w:rsidR="009338C0">
        <w:rPr>
          <w:rFonts w:eastAsia="Arial"/>
          <w:sz w:val="20"/>
        </w:rPr>
        <w:t xml:space="preserve"> </w:t>
      </w:r>
      <w:r w:rsidR="007F41C6" w:rsidRPr="00E03F15">
        <w:rPr>
          <w:rFonts w:eastAsia="Arial"/>
          <w:sz w:val="20"/>
        </w:rPr>
        <w:t>čimprej nadgraditi z uvedbo spremljanja porabe protimikrobnih zdravil na gospodarstvih po živalskih vrstah</w:t>
      </w:r>
      <w:r w:rsidR="006A24BC">
        <w:rPr>
          <w:rFonts w:eastAsia="Arial"/>
          <w:sz w:val="20"/>
        </w:rPr>
        <w:t>.</w:t>
      </w:r>
    </w:p>
    <w:p w14:paraId="53A4A2A1" w14:textId="1EE80498" w:rsidR="000A1A7D" w:rsidRPr="00837C52" w:rsidRDefault="000A1A7D" w:rsidP="000A1A7D">
      <w:pPr>
        <w:pStyle w:val="Napis"/>
        <w:jc w:val="both"/>
        <w:rPr>
          <w:sz w:val="20"/>
          <w:szCs w:val="20"/>
          <w:vertAlign w:val="superscript"/>
        </w:rPr>
      </w:pPr>
      <w:bookmarkStart w:id="61" w:name="_Toc55484779"/>
      <w:r w:rsidRPr="00837C52">
        <w:rPr>
          <w:sz w:val="20"/>
          <w:szCs w:val="20"/>
        </w:rPr>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4</w:t>
      </w:r>
      <w:r w:rsidR="004270C0" w:rsidRPr="00837C52">
        <w:rPr>
          <w:noProof/>
          <w:sz w:val="20"/>
          <w:szCs w:val="20"/>
        </w:rPr>
        <w:fldChar w:fldCharType="end"/>
      </w:r>
      <w:r w:rsidRPr="00837C52">
        <w:rPr>
          <w:sz w:val="20"/>
          <w:szCs w:val="20"/>
        </w:rPr>
        <w:t xml:space="preserve">:Prodaja  </w:t>
      </w:r>
      <w:proofErr w:type="spellStart"/>
      <w:r w:rsidRPr="00837C52">
        <w:rPr>
          <w:sz w:val="20"/>
          <w:szCs w:val="20"/>
        </w:rPr>
        <w:t>cefalosporinov</w:t>
      </w:r>
      <w:proofErr w:type="spellEnd"/>
      <w:r w:rsidRPr="00837C52">
        <w:rPr>
          <w:sz w:val="20"/>
          <w:szCs w:val="20"/>
        </w:rPr>
        <w:t xml:space="preserve"> 3. in 4. generacije, </w:t>
      </w:r>
      <w:proofErr w:type="spellStart"/>
      <w:r w:rsidRPr="00837C52">
        <w:rPr>
          <w:sz w:val="20"/>
          <w:szCs w:val="20"/>
        </w:rPr>
        <w:t>fluorokinolonov</w:t>
      </w:r>
      <w:proofErr w:type="spellEnd"/>
      <w:r w:rsidRPr="00837C52">
        <w:rPr>
          <w:sz w:val="20"/>
          <w:szCs w:val="20"/>
        </w:rPr>
        <w:t xml:space="preserve">, drugih </w:t>
      </w:r>
      <w:proofErr w:type="spellStart"/>
      <w:r w:rsidRPr="00837C52">
        <w:rPr>
          <w:sz w:val="20"/>
          <w:szCs w:val="20"/>
        </w:rPr>
        <w:t>kinolonov</w:t>
      </w:r>
      <w:proofErr w:type="spellEnd"/>
      <w:r w:rsidRPr="00837C52">
        <w:rPr>
          <w:sz w:val="20"/>
          <w:szCs w:val="20"/>
        </w:rPr>
        <w:t xml:space="preserve"> in </w:t>
      </w:r>
      <w:proofErr w:type="spellStart"/>
      <w:r w:rsidRPr="00837C52">
        <w:rPr>
          <w:sz w:val="20"/>
          <w:szCs w:val="20"/>
        </w:rPr>
        <w:t>polimiksinov</w:t>
      </w:r>
      <w:proofErr w:type="spellEnd"/>
      <w:r w:rsidRPr="00837C52">
        <w:rPr>
          <w:sz w:val="20"/>
          <w:szCs w:val="20"/>
        </w:rPr>
        <w:t xml:space="preserve"> pri živalih za hrano, v mg/PCU, za 31 Evropskih držav v letu 2017  (Vir: </w:t>
      </w:r>
      <w:proofErr w:type="spellStart"/>
      <w:r w:rsidRPr="00837C52">
        <w:rPr>
          <w:sz w:val="20"/>
          <w:szCs w:val="20"/>
        </w:rPr>
        <w:t>Ninth</w:t>
      </w:r>
      <w:proofErr w:type="spellEnd"/>
      <w:r w:rsidRPr="00837C52">
        <w:rPr>
          <w:sz w:val="20"/>
          <w:szCs w:val="20"/>
        </w:rPr>
        <w:t xml:space="preserve"> ESVAC </w:t>
      </w:r>
      <w:proofErr w:type="spellStart"/>
      <w:r w:rsidRPr="00837C52">
        <w:rPr>
          <w:sz w:val="20"/>
          <w:szCs w:val="20"/>
        </w:rPr>
        <w:t>report</w:t>
      </w:r>
      <w:proofErr w:type="spellEnd"/>
      <w:r w:rsidRPr="00837C52">
        <w:rPr>
          <w:sz w:val="20"/>
          <w:szCs w:val="20"/>
        </w:rPr>
        <w:t>)</w:t>
      </w:r>
      <w:r w:rsidRPr="00837C52">
        <w:rPr>
          <w:sz w:val="20"/>
          <w:szCs w:val="20"/>
          <w:vertAlign w:val="superscript"/>
        </w:rPr>
        <w:t>2</w:t>
      </w:r>
      <w:bookmarkEnd w:id="61"/>
    </w:p>
    <w:p w14:paraId="7C08E371" w14:textId="77777777" w:rsidR="007F41C6" w:rsidRPr="007F41C6" w:rsidRDefault="007F41C6" w:rsidP="007F41C6">
      <w:pPr>
        <w:spacing w:before="120" w:after="0" w:line="240" w:lineRule="auto"/>
        <w:jc w:val="both"/>
        <w:rPr>
          <w:rFonts w:eastAsia="Arial"/>
          <w:szCs w:val="24"/>
        </w:rPr>
      </w:pPr>
      <w:r w:rsidRPr="007F41C6">
        <w:rPr>
          <w:rFonts w:ascii="Calibri" w:eastAsia="Calibri" w:hAnsi="Calibri" w:cs="Times New Roman"/>
          <w:noProof/>
          <w:lang w:eastAsia="sl-SI"/>
        </w:rPr>
        <w:drawing>
          <wp:inline distT="0" distB="0" distL="0" distR="0" wp14:anchorId="002FF6E8" wp14:editId="5AFB5C6A">
            <wp:extent cx="4998720" cy="3250750"/>
            <wp:effectExtent l="0" t="0" r="0" b="6985"/>
            <wp:docPr id="4" name="Slika 4" descr="V Sloveniji prevladujejo fluorokino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V Sloveniji prevladujejo fluorokinoloni."/>
                    <pic:cNvPicPr/>
                  </pic:nvPicPr>
                  <pic:blipFill>
                    <a:blip r:embed="rId15">
                      <a:extLst>
                        <a:ext uri="{28A0092B-C50C-407E-A947-70E740481C1C}">
                          <a14:useLocalDpi xmlns:a14="http://schemas.microsoft.com/office/drawing/2010/main" val="0"/>
                        </a:ext>
                      </a:extLst>
                    </a:blip>
                    <a:stretch>
                      <a:fillRect/>
                    </a:stretch>
                  </pic:blipFill>
                  <pic:spPr>
                    <a:xfrm>
                      <a:off x="0" y="0"/>
                      <a:ext cx="5009781" cy="3257943"/>
                    </a:xfrm>
                    <a:prstGeom prst="rect">
                      <a:avLst/>
                    </a:prstGeom>
                  </pic:spPr>
                </pic:pic>
              </a:graphicData>
            </a:graphic>
          </wp:inline>
        </w:drawing>
      </w:r>
    </w:p>
    <w:p w14:paraId="35358678" w14:textId="126CF938" w:rsidR="007F41C6" w:rsidRDefault="007F41C6" w:rsidP="007F41C6">
      <w:pPr>
        <w:spacing w:before="120" w:after="0" w:line="240" w:lineRule="auto"/>
        <w:jc w:val="both"/>
        <w:rPr>
          <w:rFonts w:eastAsia="Arial"/>
          <w:sz w:val="20"/>
        </w:rPr>
      </w:pPr>
      <w:r w:rsidRPr="00E03F15">
        <w:rPr>
          <w:rFonts w:eastAsia="Arial"/>
          <w:sz w:val="20"/>
        </w:rPr>
        <w:t>Odpornost mikrobov proti protimikrobnim zdravilom, kot so antibiotiki, je resna nevarnost za zdravje ljudi, dobrobit in zdravje živali, kakor tudi za prehransko varnost po vsem svetu. Vlada Republike Slovenije je septembra 2019 sprejela Državno strategijo „Eno zdravje" za obvladovanje odpornosti mikrobov (2019-2024), s triletnim nacionalnim akcijskim načrtom (2019-2021). Strategija vključuje vidik zdravja ljudi in živali z upoštevanjem okolja, povezuje zdravstveni, kmetijski in okoljski resor ter stroko in deležnike na tem področju.</w:t>
      </w:r>
      <w:r w:rsidRPr="00E03F15">
        <w:rPr>
          <w:rFonts w:eastAsia="Arial"/>
          <w:b/>
          <w:smallCaps/>
          <w:sz w:val="20"/>
          <w:vertAlign w:val="superscript"/>
        </w:rPr>
        <w:footnoteReference w:id="4"/>
      </w:r>
      <w:r w:rsidR="000F22E7">
        <w:rPr>
          <w:rFonts w:eastAsia="Arial"/>
          <w:sz w:val="20"/>
        </w:rPr>
        <w:t xml:space="preserve"> </w:t>
      </w:r>
    </w:p>
    <w:p w14:paraId="19EBEF22" w14:textId="77777777" w:rsidR="00AA5278" w:rsidRDefault="00AA5278" w:rsidP="000F22E7">
      <w:pPr>
        <w:spacing w:before="120" w:after="0" w:line="240" w:lineRule="auto"/>
        <w:jc w:val="both"/>
        <w:rPr>
          <w:rFonts w:eastAsia="Arial"/>
          <w:sz w:val="20"/>
        </w:rPr>
      </w:pPr>
    </w:p>
    <w:p w14:paraId="70F82B5B" w14:textId="77777777" w:rsidR="00AA5278" w:rsidRDefault="00AA5278" w:rsidP="000F22E7">
      <w:pPr>
        <w:spacing w:before="120" w:after="0" w:line="240" w:lineRule="auto"/>
        <w:jc w:val="both"/>
        <w:rPr>
          <w:rFonts w:eastAsia="Arial"/>
          <w:sz w:val="20"/>
        </w:rPr>
      </w:pPr>
    </w:p>
    <w:p w14:paraId="754432DB" w14:textId="3AD2739D" w:rsidR="000F22E7" w:rsidRPr="006A5242" w:rsidRDefault="006A5242" w:rsidP="006A5242">
      <w:pPr>
        <w:pStyle w:val="Naslov2"/>
        <w:rPr>
          <w:rFonts w:ascii="Arial" w:hAnsi="Arial" w:cs="Arial"/>
        </w:rPr>
      </w:pPr>
      <w:bookmarkStart w:id="62" w:name="_Toc55547436"/>
      <w:r>
        <w:rPr>
          <w:rFonts w:ascii="Arial" w:hAnsi="Arial" w:cs="Arial"/>
        </w:rPr>
        <w:lastRenderedPageBreak/>
        <w:t>2.1</w:t>
      </w:r>
      <w:r w:rsidR="00AA5278" w:rsidRPr="006A5242">
        <w:rPr>
          <w:rFonts w:ascii="Arial" w:hAnsi="Arial" w:cs="Arial"/>
        </w:rPr>
        <w:t xml:space="preserve"> Zakonodaja</w:t>
      </w:r>
      <w:bookmarkEnd w:id="62"/>
    </w:p>
    <w:p w14:paraId="545FFF48" w14:textId="02D390DB" w:rsidR="000F22E7" w:rsidRPr="000F22E7" w:rsidRDefault="000F22E7" w:rsidP="000F22E7">
      <w:pPr>
        <w:spacing w:before="120" w:after="0" w:line="240" w:lineRule="auto"/>
        <w:jc w:val="both"/>
        <w:rPr>
          <w:rFonts w:eastAsia="Arial"/>
          <w:sz w:val="20"/>
        </w:rPr>
      </w:pPr>
      <w:r w:rsidRPr="000F22E7">
        <w:rPr>
          <w:rFonts w:eastAsia="Arial"/>
          <w:sz w:val="20"/>
        </w:rPr>
        <w:t xml:space="preserve">Slovenska zakonodaja je na področju veterinarskih zdravil usklajena z zakonodajo EU. Direktiva 2001/82, ki ureja zdravila za uporabo v veterinarski medicini v EU je bila </w:t>
      </w:r>
      <w:r w:rsidR="00AA5278">
        <w:rPr>
          <w:rFonts w:eastAsia="Arial"/>
          <w:sz w:val="20"/>
        </w:rPr>
        <w:t xml:space="preserve">v največji meri </w:t>
      </w:r>
      <w:r w:rsidRPr="000F22E7">
        <w:rPr>
          <w:rFonts w:eastAsia="Arial"/>
          <w:sz w:val="20"/>
        </w:rPr>
        <w:t>prenesena</w:t>
      </w:r>
      <w:r w:rsidR="00AA5278">
        <w:rPr>
          <w:rFonts w:eastAsia="Arial"/>
          <w:sz w:val="20"/>
        </w:rPr>
        <w:t xml:space="preserve"> </w:t>
      </w:r>
      <w:r w:rsidRPr="000F22E7">
        <w:rPr>
          <w:rFonts w:eastAsia="Arial"/>
          <w:sz w:val="20"/>
        </w:rPr>
        <w:t xml:space="preserve">v Zakon o zdravilih (ZZdr2) in tudi </w:t>
      </w:r>
      <w:r w:rsidR="00AA5278">
        <w:rPr>
          <w:rFonts w:eastAsia="Arial"/>
          <w:sz w:val="20"/>
        </w:rPr>
        <w:t xml:space="preserve">v </w:t>
      </w:r>
      <w:r w:rsidRPr="000F22E7">
        <w:rPr>
          <w:rFonts w:eastAsia="Arial"/>
          <w:sz w:val="20"/>
        </w:rPr>
        <w:t xml:space="preserve">Zakon o veterinarskih merilih skladnosti. V začetku leta 2022 se bo pričela uporabljati nova EU Uredba o zdravilih za uporabo v veterinarski medicini in razveljavitvi Direktive 2001/82/ES, ki bo uvedla obveznost poročanja o prodaji in porabi protimikrobnih zdravil po živalskih vrstah (na gospodarstvih), kar bo v pomoč obvladovanju </w:t>
      </w:r>
      <w:r w:rsidR="00AA5278">
        <w:rPr>
          <w:rFonts w:eastAsia="Arial"/>
          <w:sz w:val="20"/>
        </w:rPr>
        <w:t>mikrobne odpornosti</w:t>
      </w:r>
      <w:r w:rsidRPr="000F22E7">
        <w:rPr>
          <w:rFonts w:eastAsia="Arial"/>
          <w:sz w:val="20"/>
        </w:rPr>
        <w:t>.</w:t>
      </w:r>
    </w:p>
    <w:p w14:paraId="008D2C05" w14:textId="7D20883C" w:rsidR="000F22E7" w:rsidRPr="009B3AD4" w:rsidRDefault="00AA5278" w:rsidP="007F41C6">
      <w:pPr>
        <w:spacing w:before="120" w:after="0" w:line="240" w:lineRule="auto"/>
        <w:jc w:val="both"/>
        <w:rPr>
          <w:rFonts w:eastAsia="Arial"/>
          <w:sz w:val="20"/>
        </w:rPr>
      </w:pPr>
      <w:r>
        <w:rPr>
          <w:rFonts w:eastAsia="Arial"/>
          <w:sz w:val="20"/>
        </w:rPr>
        <w:t>Ž</w:t>
      </w:r>
      <w:r w:rsidRPr="000F22E7">
        <w:rPr>
          <w:rFonts w:eastAsia="Arial"/>
          <w:sz w:val="20"/>
        </w:rPr>
        <w:t xml:space="preserve">e sedaj </w:t>
      </w:r>
      <w:r>
        <w:rPr>
          <w:rFonts w:eastAsia="Arial"/>
          <w:sz w:val="20"/>
        </w:rPr>
        <w:t xml:space="preserve">so </w:t>
      </w:r>
      <w:r w:rsidRPr="000F22E7">
        <w:rPr>
          <w:rFonts w:eastAsia="Arial"/>
          <w:sz w:val="20"/>
        </w:rPr>
        <w:t xml:space="preserve">na voljo obsežni podatki o uporabi veterinarskih zdravil </w:t>
      </w:r>
      <w:r>
        <w:rPr>
          <w:rFonts w:eastAsia="Arial"/>
          <w:sz w:val="20"/>
        </w:rPr>
        <w:t>n</w:t>
      </w:r>
      <w:r w:rsidR="000F22E7" w:rsidRPr="000F22E7">
        <w:rPr>
          <w:rFonts w:eastAsia="Arial"/>
          <w:sz w:val="20"/>
        </w:rPr>
        <w:t>a kmetijskih gospodarstvih in pri veterinarjih v katere imajo kadar koli vpogled pristojni nadzorni organi. Pristojni organi lahko ugotovljene pogostosti zdravljenja z antibiotiki uporabijo pri načrtovanju kontrol/pregledov na podlagi tveganj pri rejcih živali in pri veterinarjih.</w:t>
      </w:r>
    </w:p>
    <w:p w14:paraId="617474BF" w14:textId="3A88F9DF" w:rsidR="007F41C6" w:rsidRPr="006A5242" w:rsidRDefault="006A5242" w:rsidP="006A5242">
      <w:pPr>
        <w:pStyle w:val="Naslov2"/>
        <w:rPr>
          <w:rFonts w:ascii="Arial" w:hAnsi="Arial" w:cs="Arial"/>
        </w:rPr>
      </w:pPr>
      <w:bookmarkStart w:id="63" w:name="_Toc55547437"/>
      <w:r>
        <w:rPr>
          <w:rFonts w:ascii="Arial" w:hAnsi="Arial" w:cs="Arial"/>
        </w:rPr>
        <w:t>2</w:t>
      </w:r>
      <w:r w:rsidR="009B3AD4" w:rsidRPr="006A5242">
        <w:rPr>
          <w:rFonts w:ascii="Arial" w:hAnsi="Arial" w:cs="Arial"/>
        </w:rPr>
        <w:t xml:space="preserve">.2 </w:t>
      </w:r>
      <w:r w:rsidR="00996CAF" w:rsidRPr="006A5242">
        <w:rPr>
          <w:rFonts w:ascii="Arial" w:hAnsi="Arial" w:cs="Arial"/>
        </w:rPr>
        <w:t>Ključne ugotovitve</w:t>
      </w:r>
      <w:bookmarkEnd w:id="63"/>
    </w:p>
    <w:p w14:paraId="4BAFA458" w14:textId="7AE2D9D5" w:rsidR="007F41C6" w:rsidRPr="00E03F15" w:rsidRDefault="000F22E7" w:rsidP="007F41C6">
      <w:pPr>
        <w:spacing w:before="120" w:after="0" w:line="240" w:lineRule="auto"/>
        <w:jc w:val="both"/>
        <w:rPr>
          <w:rFonts w:eastAsia="Arial"/>
          <w:sz w:val="20"/>
        </w:rPr>
      </w:pPr>
      <w:r>
        <w:rPr>
          <w:rFonts w:eastAsia="Arial"/>
          <w:sz w:val="20"/>
        </w:rPr>
        <w:t xml:space="preserve">Številni tako </w:t>
      </w:r>
      <w:r w:rsidR="009B3AD4">
        <w:rPr>
          <w:rFonts w:eastAsia="Arial"/>
          <w:sz w:val="20"/>
        </w:rPr>
        <w:t>slovenski</w:t>
      </w:r>
      <w:r>
        <w:rPr>
          <w:rFonts w:eastAsia="Arial"/>
          <w:sz w:val="20"/>
        </w:rPr>
        <w:t xml:space="preserve"> kot evropski bolj ozaveščeni potrošniki so občutljivi in gledajo kritično na uporabo zdravil pri živalih, ki so namenjene za proizvodnjo živil. Ne le zaradi ostankov zdravil po zdravljenju, kar je sicer predmet rednega nadzora, ampak tudi zaradi možnega doprinosa k pojavu in širjenju mikrobne odpornosti zaradi uporabe protimikrobnih zdravil/antibiotikov pri zdravljenju živali. </w:t>
      </w:r>
      <w:r w:rsidR="009B3AD4">
        <w:rPr>
          <w:rFonts w:eastAsia="Arial"/>
          <w:sz w:val="20"/>
        </w:rPr>
        <w:t>V bodoče bo zato treba š</w:t>
      </w:r>
      <w:r>
        <w:rPr>
          <w:rFonts w:eastAsia="Arial"/>
          <w:sz w:val="20"/>
        </w:rPr>
        <w:t xml:space="preserve">e več delati na področju zdravstvenega varstva teh živali in njihove dobrobiti. </w:t>
      </w:r>
      <w:r w:rsidR="007F41C6" w:rsidRPr="00E03F15">
        <w:rPr>
          <w:rFonts w:eastAsia="Arial"/>
          <w:sz w:val="20"/>
        </w:rPr>
        <w:t>Na podlagi spremljanja stanja prodaje antibiotikov za živali, ki so namenjene</w:t>
      </w:r>
      <w:r w:rsidR="00B1297E" w:rsidRPr="00E03F15">
        <w:rPr>
          <w:rFonts w:eastAsia="Arial"/>
          <w:sz w:val="20"/>
        </w:rPr>
        <w:t xml:space="preserve"> proizvodnji hrane v okviru proj</w:t>
      </w:r>
      <w:r w:rsidR="007F41C6" w:rsidRPr="00E03F15">
        <w:rPr>
          <w:rFonts w:eastAsia="Arial"/>
          <w:sz w:val="20"/>
        </w:rPr>
        <w:t>ekta ESVAC, lahko zaključimo, da smo</w:t>
      </w:r>
      <w:r>
        <w:rPr>
          <w:rFonts w:eastAsia="Arial"/>
          <w:sz w:val="20"/>
        </w:rPr>
        <w:t xml:space="preserve"> v Sloveniji</w:t>
      </w:r>
      <w:r w:rsidR="007F41C6" w:rsidRPr="00E03F15">
        <w:rPr>
          <w:rFonts w:eastAsia="Arial"/>
          <w:sz w:val="20"/>
        </w:rPr>
        <w:t xml:space="preserve"> pretežno z ozaveščanjem veterinarjev in tudi rejcev beležili razmeroma ugoden trend zniževanja prodaje med leti 2010 do 2015 (s 46 na 26 mg/PCU). Zmanjšanje prodaje je bil rezultat skupnih naporov veterinarjev, rejcev živali, drugih akterjev na področju reje in oskrbe živali. </w:t>
      </w:r>
      <w:r>
        <w:rPr>
          <w:rFonts w:eastAsia="Arial"/>
          <w:sz w:val="20"/>
        </w:rPr>
        <w:t xml:space="preserve">To nam je prineslo dober položaj v primerjavi s številnimi drugimi državami.  </w:t>
      </w:r>
      <w:r w:rsidR="007F41C6" w:rsidRPr="00E03F15">
        <w:rPr>
          <w:rFonts w:eastAsia="Arial"/>
          <w:sz w:val="20"/>
        </w:rPr>
        <w:t xml:space="preserve">Po letu 2016 se </w:t>
      </w:r>
      <w:r w:rsidR="000A2846">
        <w:rPr>
          <w:rFonts w:eastAsia="Arial"/>
          <w:sz w:val="20"/>
        </w:rPr>
        <w:t>je</w:t>
      </w:r>
      <w:r w:rsidR="007F41C6" w:rsidRPr="00E03F15">
        <w:rPr>
          <w:rFonts w:eastAsia="Arial"/>
          <w:sz w:val="20"/>
        </w:rPr>
        <w:t xml:space="preserve"> trend njihove prodaje </w:t>
      </w:r>
      <w:r w:rsidR="000A2846">
        <w:rPr>
          <w:rFonts w:eastAsia="Arial"/>
          <w:sz w:val="20"/>
        </w:rPr>
        <w:t>spet obrnil</w:t>
      </w:r>
      <w:r w:rsidR="000A2846" w:rsidRPr="00E03F15">
        <w:rPr>
          <w:rFonts w:eastAsia="Arial"/>
          <w:sz w:val="20"/>
        </w:rPr>
        <w:t xml:space="preserve"> </w:t>
      </w:r>
      <w:r w:rsidR="007F41C6" w:rsidRPr="00E03F15">
        <w:rPr>
          <w:rFonts w:eastAsia="Arial"/>
          <w:sz w:val="20"/>
        </w:rPr>
        <w:t xml:space="preserve">navzgor (2016 </w:t>
      </w:r>
      <w:r w:rsidR="000A2846" w:rsidRPr="00E03F15">
        <w:rPr>
          <w:rFonts w:eastAsia="Arial"/>
          <w:sz w:val="20"/>
        </w:rPr>
        <w:t>–</w:t>
      </w:r>
      <w:r w:rsidR="007F41C6" w:rsidRPr="00E03F15">
        <w:rPr>
          <w:rFonts w:eastAsia="Arial"/>
          <w:sz w:val="20"/>
        </w:rPr>
        <w:t xml:space="preserve"> 30 mg/PCU</w:t>
      </w:r>
      <w:r w:rsidR="000A2846">
        <w:rPr>
          <w:rFonts w:eastAsia="Arial"/>
          <w:sz w:val="20"/>
        </w:rPr>
        <w:t>,</w:t>
      </w:r>
      <w:r w:rsidR="007F41C6" w:rsidRPr="00E03F15">
        <w:rPr>
          <w:rFonts w:eastAsia="Arial"/>
          <w:sz w:val="20"/>
        </w:rPr>
        <w:t>2017 – 3</w:t>
      </w:r>
      <w:r w:rsidR="00C87C51">
        <w:rPr>
          <w:rFonts w:eastAsia="Arial"/>
          <w:sz w:val="20"/>
        </w:rPr>
        <w:t>7</w:t>
      </w:r>
      <w:r w:rsidR="007F41C6" w:rsidRPr="00E03F15">
        <w:rPr>
          <w:rFonts w:eastAsia="Arial"/>
          <w:sz w:val="20"/>
        </w:rPr>
        <w:t xml:space="preserve"> mg/PCU). Povprečje držav EU/</w:t>
      </w:r>
      <w:r w:rsidR="009B3AD4">
        <w:rPr>
          <w:rFonts w:eastAsia="Arial"/>
          <w:sz w:val="20"/>
        </w:rPr>
        <w:t>E</w:t>
      </w:r>
      <w:r w:rsidR="009B3AD4">
        <w:rPr>
          <w:rFonts w:eastAsia="Arial"/>
          <w:sz w:val="20"/>
          <w:lang w:eastAsia="en-GB"/>
        </w:rPr>
        <w:t>vropskega gospodarskega prostora</w:t>
      </w:r>
      <w:r w:rsidR="007F41C6" w:rsidRPr="00E03F15">
        <w:rPr>
          <w:rFonts w:eastAsia="Arial"/>
          <w:sz w:val="20"/>
        </w:rPr>
        <w:t xml:space="preserve"> </w:t>
      </w:r>
      <w:r w:rsidR="0054058B">
        <w:rPr>
          <w:rFonts w:eastAsia="Arial"/>
          <w:sz w:val="20"/>
        </w:rPr>
        <w:t xml:space="preserve">(v nadaljevanju: EGP) </w:t>
      </w:r>
      <w:r w:rsidR="007F41C6" w:rsidRPr="00E03F15">
        <w:rPr>
          <w:rFonts w:eastAsia="Arial"/>
          <w:sz w:val="20"/>
        </w:rPr>
        <w:t>je za leto 2017 znašalo 109 mg/PCU</w:t>
      </w:r>
      <w:r w:rsidR="009B3AD4">
        <w:rPr>
          <w:rFonts w:eastAsia="Arial"/>
          <w:sz w:val="20"/>
          <w:vertAlign w:val="superscript"/>
        </w:rPr>
        <w:t>2</w:t>
      </w:r>
      <w:r w:rsidR="009B3AD4">
        <w:rPr>
          <w:rFonts w:eastAsia="Arial"/>
          <w:sz w:val="20"/>
        </w:rPr>
        <w:t>.</w:t>
      </w:r>
      <w:r w:rsidR="007F41C6" w:rsidRPr="00E03F15">
        <w:rPr>
          <w:rFonts w:eastAsia="Arial"/>
          <w:sz w:val="20"/>
        </w:rPr>
        <w:t xml:space="preserve"> </w:t>
      </w:r>
      <w:r w:rsidR="000A2846" w:rsidRPr="00E03F15">
        <w:rPr>
          <w:rFonts w:eastAsia="Arial"/>
          <w:sz w:val="20"/>
        </w:rPr>
        <w:t>Celo</w:t>
      </w:r>
      <w:r w:rsidR="000A2846">
        <w:rPr>
          <w:rFonts w:eastAsia="Arial"/>
          <w:sz w:val="20"/>
        </w:rPr>
        <w:t>tna</w:t>
      </w:r>
      <w:r w:rsidR="000A2846" w:rsidRPr="00E03F15">
        <w:rPr>
          <w:rFonts w:eastAsia="Arial"/>
          <w:sz w:val="20"/>
        </w:rPr>
        <w:t xml:space="preserve"> </w:t>
      </w:r>
      <w:r w:rsidR="007F41C6" w:rsidRPr="00E03F15">
        <w:rPr>
          <w:rFonts w:eastAsia="Arial"/>
          <w:sz w:val="20"/>
        </w:rPr>
        <w:t xml:space="preserve">prodaja </w:t>
      </w:r>
      <w:r w:rsidR="000A2846">
        <w:rPr>
          <w:rFonts w:eastAsia="Arial"/>
          <w:sz w:val="20"/>
        </w:rPr>
        <w:t xml:space="preserve">sicer </w:t>
      </w:r>
      <w:r w:rsidR="0054058B">
        <w:rPr>
          <w:rFonts w:eastAsia="Arial"/>
          <w:sz w:val="20"/>
        </w:rPr>
        <w:t>o</w:t>
      </w:r>
      <w:r w:rsidR="007F41C6" w:rsidRPr="00E03F15">
        <w:rPr>
          <w:rFonts w:eastAsia="Arial"/>
          <w:sz w:val="20"/>
        </w:rPr>
        <w:t xml:space="preserve">staja </w:t>
      </w:r>
      <w:r>
        <w:rPr>
          <w:rFonts w:eastAsia="Arial"/>
          <w:sz w:val="20"/>
        </w:rPr>
        <w:t xml:space="preserve">še krepko </w:t>
      </w:r>
      <w:r w:rsidR="007F41C6" w:rsidRPr="00E03F15">
        <w:rPr>
          <w:rFonts w:eastAsia="Arial"/>
          <w:sz w:val="20"/>
        </w:rPr>
        <w:t xml:space="preserve">pod povprečjem EU/EGP, vendar je </w:t>
      </w:r>
      <w:r>
        <w:rPr>
          <w:rFonts w:eastAsia="Arial"/>
          <w:sz w:val="20"/>
        </w:rPr>
        <w:t xml:space="preserve">bil </w:t>
      </w:r>
      <w:r w:rsidR="007F41C6" w:rsidRPr="00E03F15">
        <w:rPr>
          <w:rFonts w:eastAsia="Arial"/>
          <w:sz w:val="20"/>
        </w:rPr>
        <w:t xml:space="preserve">trend </w:t>
      </w:r>
      <w:r>
        <w:rPr>
          <w:rFonts w:eastAsia="Arial"/>
          <w:sz w:val="20"/>
        </w:rPr>
        <w:t xml:space="preserve">zadnja leta </w:t>
      </w:r>
      <w:r w:rsidR="007F41C6" w:rsidRPr="00E03F15">
        <w:rPr>
          <w:rFonts w:eastAsia="Arial"/>
          <w:sz w:val="20"/>
        </w:rPr>
        <w:t xml:space="preserve">neugoden. Slovenija je bila v letu 2017 na 9. mestu med državami z najnižjo prodajo </w:t>
      </w:r>
      <w:r w:rsidR="0054058B">
        <w:rPr>
          <w:rFonts w:eastAsia="Arial"/>
          <w:sz w:val="20"/>
        </w:rPr>
        <w:t>antibiotikov</w:t>
      </w:r>
      <w:r w:rsidR="007F41C6" w:rsidRPr="00E03F15">
        <w:rPr>
          <w:rFonts w:eastAsia="Arial"/>
          <w:sz w:val="20"/>
        </w:rPr>
        <w:t xml:space="preserve">, </w:t>
      </w:r>
      <w:r w:rsidR="000A2846" w:rsidRPr="00E03F15">
        <w:rPr>
          <w:rFonts w:eastAsia="Arial"/>
          <w:sz w:val="20"/>
        </w:rPr>
        <w:t>namenjeni</w:t>
      </w:r>
      <w:r w:rsidR="000A2846">
        <w:rPr>
          <w:rFonts w:eastAsia="Arial"/>
          <w:sz w:val="20"/>
        </w:rPr>
        <w:t>m</w:t>
      </w:r>
      <w:r w:rsidR="000A2846" w:rsidRPr="00E03F15">
        <w:rPr>
          <w:rFonts w:eastAsia="Arial"/>
          <w:sz w:val="20"/>
        </w:rPr>
        <w:t xml:space="preserve"> </w:t>
      </w:r>
      <w:r w:rsidR="007F41C6" w:rsidRPr="00E03F15">
        <w:rPr>
          <w:rFonts w:eastAsia="Arial"/>
          <w:sz w:val="20"/>
        </w:rPr>
        <w:t>pretežno živalim za proizvodnjo hrane. Prodaja nekaterih antibiotikov (</w:t>
      </w:r>
      <w:proofErr w:type="spellStart"/>
      <w:r w:rsidR="007F41C6" w:rsidRPr="00E03F15">
        <w:rPr>
          <w:rFonts w:eastAsia="Arial"/>
          <w:sz w:val="20"/>
        </w:rPr>
        <w:t>fluorokinolonov</w:t>
      </w:r>
      <w:proofErr w:type="spellEnd"/>
      <w:r w:rsidR="007F41C6" w:rsidRPr="00E03F15">
        <w:rPr>
          <w:rFonts w:eastAsia="Arial"/>
          <w:sz w:val="20"/>
        </w:rPr>
        <w:t>) iz skupine</w:t>
      </w:r>
      <w:r w:rsidR="0054058B">
        <w:rPr>
          <w:rFonts w:eastAsia="Arial"/>
          <w:sz w:val="20"/>
        </w:rPr>
        <w:t xml:space="preserve"> Kritično pomembnih protimikrobnih zdravil (v nadalj</w:t>
      </w:r>
      <w:r w:rsidR="00750B72">
        <w:rPr>
          <w:rFonts w:eastAsia="Arial"/>
          <w:sz w:val="20"/>
        </w:rPr>
        <w:t>njem besedilu:</w:t>
      </w:r>
      <w:r w:rsidR="0054058B">
        <w:rPr>
          <w:rFonts w:eastAsia="Arial"/>
          <w:sz w:val="20"/>
        </w:rPr>
        <w:t xml:space="preserve"> CIA, angl. </w:t>
      </w:r>
      <w:proofErr w:type="spellStart"/>
      <w:r w:rsidR="0054058B">
        <w:rPr>
          <w:rFonts w:eastAsia="Arial"/>
          <w:sz w:val="20"/>
        </w:rPr>
        <w:t>Critical</w:t>
      </w:r>
      <w:proofErr w:type="spellEnd"/>
      <w:r w:rsidR="0054058B">
        <w:rPr>
          <w:rFonts w:eastAsia="Arial"/>
          <w:sz w:val="20"/>
        </w:rPr>
        <w:t xml:space="preserve"> </w:t>
      </w:r>
      <w:proofErr w:type="spellStart"/>
      <w:r w:rsidR="0054058B">
        <w:rPr>
          <w:rFonts w:eastAsia="Arial"/>
          <w:sz w:val="20"/>
        </w:rPr>
        <w:t>important</w:t>
      </w:r>
      <w:proofErr w:type="spellEnd"/>
      <w:r w:rsidR="0054058B">
        <w:rPr>
          <w:rFonts w:eastAsia="Arial"/>
          <w:sz w:val="20"/>
        </w:rPr>
        <w:t xml:space="preserve"> </w:t>
      </w:r>
      <w:proofErr w:type="spellStart"/>
      <w:r w:rsidR="0054058B">
        <w:rPr>
          <w:rFonts w:eastAsia="Arial"/>
          <w:sz w:val="20"/>
        </w:rPr>
        <w:t>antimicrobials</w:t>
      </w:r>
      <w:proofErr w:type="spellEnd"/>
      <w:r w:rsidR="0054058B">
        <w:rPr>
          <w:rFonts w:eastAsia="Arial"/>
          <w:sz w:val="20"/>
        </w:rPr>
        <w:t xml:space="preserve">) </w:t>
      </w:r>
      <w:r w:rsidR="007F41C6" w:rsidRPr="00E03F15">
        <w:rPr>
          <w:rFonts w:eastAsia="Arial"/>
          <w:sz w:val="20"/>
        </w:rPr>
        <w:t xml:space="preserve">je bila v letu 2017 2,9 mg/PCU, kar je </w:t>
      </w:r>
      <w:r>
        <w:rPr>
          <w:rFonts w:eastAsia="Arial"/>
          <w:sz w:val="20"/>
        </w:rPr>
        <w:t xml:space="preserve">malo </w:t>
      </w:r>
      <w:r w:rsidR="007F41C6" w:rsidRPr="00E03F15">
        <w:rPr>
          <w:rFonts w:eastAsia="Arial"/>
          <w:sz w:val="20"/>
        </w:rPr>
        <w:t>nad povprečjem EU/EGP (2,28 mg/PCU).</w:t>
      </w:r>
    </w:p>
    <w:p w14:paraId="2C409F75" w14:textId="1995F719" w:rsidR="007F41C6" w:rsidRPr="00E03F15" w:rsidRDefault="007F41C6" w:rsidP="007F41C6">
      <w:pPr>
        <w:spacing w:before="120" w:after="0" w:line="240" w:lineRule="auto"/>
        <w:jc w:val="both"/>
        <w:rPr>
          <w:rFonts w:eastAsia="Arial"/>
          <w:sz w:val="20"/>
        </w:rPr>
      </w:pPr>
      <w:r w:rsidRPr="00E03F15">
        <w:rPr>
          <w:rFonts w:eastAsia="Arial"/>
          <w:sz w:val="20"/>
        </w:rPr>
        <w:t xml:space="preserve">Evropska komisija je </w:t>
      </w:r>
      <w:r w:rsidR="00232358">
        <w:rPr>
          <w:rFonts w:eastAsia="Arial"/>
          <w:sz w:val="20"/>
        </w:rPr>
        <w:t>maja</w:t>
      </w:r>
      <w:r w:rsidRPr="00E03F15">
        <w:rPr>
          <w:rFonts w:eastAsia="Arial"/>
          <w:sz w:val="20"/>
        </w:rPr>
        <w:t xml:space="preserve"> 2020 predstavila Strategijo »od vil do vilic</w:t>
      </w:r>
      <w:r w:rsidR="00F07AA3" w:rsidRPr="00E03F15">
        <w:rPr>
          <w:rFonts w:eastAsia="Arial"/>
          <w:sz w:val="20"/>
        </w:rPr>
        <w:t>«</w:t>
      </w:r>
      <w:r w:rsidRPr="00E03F15">
        <w:rPr>
          <w:rFonts w:eastAsia="Arial"/>
          <w:sz w:val="20"/>
        </w:rPr>
        <w:t xml:space="preserve"> za pravičen prehod, zdrav in okolju prijazen prehranski sistem v kateri je cilj zmanjšanje prodaje protimikrobnih zdravil za uporabo v veterinarski medicini za </w:t>
      </w:r>
      <w:proofErr w:type="spellStart"/>
      <w:r w:rsidRPr="00E03F15">
        <w:rPr>
          <w:rFonts w:eastAsia="Arial"/>
          <w:sz w:val="20"/>
        </w:rPr>
        <w:t>rejne</w:t>
      </w:r>
      <w:proofErr w:type="spellEnd"/>
      <w:r w:rsidRPr="00E03F15">
        <w:rPr>
          <w:rFonts w:eastAsia="Arial"/>
          <w:sz w:val="20"/>
        </w:rPr>
        <w:t xml:space="preserve"> živali za 50 % do leta 2030.</w:t>
      </w:r>
    </w:p>
    <w:p w14:paraId="46321D07" w14:textId="65003ED1" w:rsidR="007F41C6" w:rsidRPr="00E03F15" w:rsidRDefault="007F41C6" w:rsidP="007F41C6">
      <w:pPr>
        <w:spacing w:before="120" w:after="0" w:line="240" w:lineRule="auto"/>
        <w:jc w:val="both"/>
        <w:rPr>
          <w:rFonts w:eastAsia="Arial"/>
          <w:sz w:val="20"/>
        </w:rPr>
      </w:pPr>
      <w:r w:rsidRPr="00E03F15">
        <w:rPr>
          <w:rFonts w:eastAsia="Arial"/>
          <w:sz w:val="20"/>
        </w:rPr>
        <w:t xml:space="preserve">Razmere </w:t>
      </w:r>
      <w:r w:rsidR="000F22E7">
        <w:rPr>
          <w:rFonts w:eastAsia="Arial"/>
          <w:sz w:val="20"/>
        </w:rPr>
        <w:t>nakazujejo</w:t>
      </w:r>
      <w:r w:rsidRPr="00E03F15">
        <w:rPr>
          <w:rFonts w:eastAsia="Arial"/>
          <w:sz w:val="20"/>
        </w:rPr>
        <w:t xml:space="preserve">, da je treba obstoječe aktivnosti </w:t>
      </w:r>
      <w:r w:rsidR="000F22E7">
        <w:rPr>
          <w:rFonts w:eastAsia="Arial"/>
          <w:sz w:val="20"/>
        </w:rPr>
        <w:t xml:space="preserve">še </w:t>
      </w:r>
      <w:r w:rsidRPr="00E03F15">
        <w:rPr>
          <w:rFonts w:eastAsia="Arial"/>
          <w:sz w:val="20"/>
        </w:rPr>
        <w:t>okrepiti in jih dopolnit</w:t>
      </w:r>
      <w:r w:rsidR="00DA5EFA">
        <w:rPr>
          <w:rFonts w:eastAsia="Arial"/>
          <w:sz w:val="20"/>
        </w:rPr>
        <w:t>i</w:t>
      </w:r>
      <w:r w:rsidR="009D6D0D">
        <w:rPr>
          <w:rFonts w:eastAsia="Arial"/>
          <w:sz w:val="20"/>
        </w:rPr>
        <w:t>, med drugim z u</w:t>
      </w:r>
      <w:r w:rsidR="009D6D0D" w:rsidRPr="00E03F15">
        <w:rPr>
          <w:rFonts w:eastAsia="Arial"/>
          <w:sz w:val="20"/>
        </w:rPr>
        <w:t>vedb</w:t>
      </w:r>
      <w:r w:rsidR="009D6D0D">
        <w:rPr>
          <w:rFonts w:eastAsia="Arial"/>
          <w:sz w:val="20"/>
        </w:rPr>
        <w:t>o</w:t>
      </w:r>
      <w:r w:rsidR="009D6D0D" w:rsidRPr="00E03F15">
        <w:rPr>
          <w:rFonts w:eastAsia="Arial"/>
          <w:sz w:val="20"/>
        </w:rPr>
        <w:t xml:space="preserve"> spremljanja porabe antibiotikov na gospodarstvih po živalskih vrstah za</w:t>
      </w:r>
      <w:r w:rsidR="009D6D0D">
        <w:rPr>
          <w:rFonts w:eastAsia="Arial"/>
          <w:sz w:val="20"/>
        </w:rPr>
        <w:t xml:space="preserve"> </w:t>
      </w:r>
      <w:r w:rsidR="009D6D0D" w:rsidRPr="00E03F15">
        <w:rPr>
          <w:rFonts w:eastAsia="Arial"/>
          <w:sz w:val="20"/>
        </w:rPr>
        <w:t>odkrivanj</w:t>
      </w:r>
      <w:r w:rsidR="009D6D0D">
        <w:rPr>
          <w:rFonts w:eastAsia="Arial"/>
          <w:sz w:val="20"/>
        </w:rPr>
        <w:t xml:space="preserve">a </w:t>
      </w:r>
      <w:r w:rsidR="009D6D0D" w:rsidRPr="00E03F15">
        <w:rPr>
          <w:rFonts w:eastAsia="Arial"/>
          <w:sz w:val="20"/>
        </w:rPr>
        <w:t>prekomernih porabnikov</w:t>
      </w:r>
      <w:r w:rsidR="009D6D0D">
        <w:rPr>
          <w:rFonts w:eastAsia="Arial"/>
          <w:sz w:val="20"/>
        </w:rPr>
        <w:t xml:space="preserve"> </w:t>
      </w:r>
      <w:r w:rsidR="00D91B10">
        <w:rPr>
          <w:rFonts w:eastAsia="Arial"/>
          <w:sz w:val="20"/>
        </w:rPr>
        <w:t xml:space="preserve">in </w:t>
      </w:r>
      <w:r w:rsidRPr="00E03F15">
        <w:rPr>
          <w:rFonts w:eastAsia="Arial"/>
          <w:sz w:val="20"/>
        </w:rPr>
        <w:t>možnost</w:t>
      </w:r>
      <w:r w:rsidR="00232358">
        <w:rPr>
          <w:rFonts w:eastAsia="Arial"/>
          <w:sz w:val="20"/>
        </w:rPr>
        <w:t>jo</w:t>
      </w:r>
      <w:r w:rsidRPr="00E03F15">
        <w:rPr>
          <w:rFonts w:eastAsia="Arial"/>
          <w:sz w:val="20"/>
        </w:rPr>
        <w:t xml:space="preserve"> ukrepanja za ureditev razmer (s strokovnimi nadzori idr.)</w:t>
      </w:r>
      <w:r w:rsidR="00D91B10">
        <w:rPr>
          <w:rFonts w:eastAsia="Arial"/>
          <w:sz w:val="20"/>
        </w:rPr>
        <w:t xml:space="preserve">. V </w:t>
      </w:r>
      <w:r w:rsidRPr="00E03F15">
        <w:rPr>
          <w:rFonts w:eastAsia="Arial"/>
          <w:sz w:val="20"/>
        </w:rPr>
        <w:t>Državni strategiji „Eno zdravje" za obvladovanje odpornosti mikrobov (2019-2024), s triletnim nacionalnim akcijskim načrtom (2019-2021)</w:t>
      </w:r>
      <w:r w:rsidR="00D91B10">
        <w:rPr>
          <w:rFonts w:eastAsia="Arial"/>
          <w:sz w:val="20"/>
        </w:rPr>
        <w:t>, so ti ukrepi že predvideni</w:t>
      </w:r>
      <w:r w:rsidRPr="00E03F15">
        <w:rPr>
          <w:rFonts w:eastAsia="Arial"/>
          <w:sz w:val="20"/>
        </w:rPr>
        <w:t>. V intenzivnih panogah, kjer smo močno zastopani</w:t>
      </w:r>
      <w:r w:rsidR="009D6D0D">
        <w:rPr>
          <w:rFonts w:eastAsia="Arial"/>
          <w:sz w:val="20"/>
        </w:rPr>
        <w:t>,</w:t>
      </w:r>
      <w:r w:rsidRPr="00E03F15">
        <w:rPr>
          <w:rFonts w:eastAsia="Arial"/>
          <w:sz w:val="20"/>
        </w:rPr>
        <w:t xml:space="preserve"> rej</w:t>
      </w:r>
      <w:r w:rsidR="009D6D0D">
        <w:rPr>
          <w:rFonts w:eastAsia="Arial"/>
          <w:sz w:val="20"/>
        </w:rPr>
        <w:t>a</w:t>
      </w:r>
      <w:r w:rsidRPr="00E03F15">
        <w:rPr>
          <w:rFonts w:eastAsia="Arial"/>
          <w:sz w:val="20"/>
        </w:rPr>
        <w:t xml:space="preserve"> perutnine, ki je </w:t>
      </w:r>
      <w:r w:rsidR="000F22E7">
        <w:rPr>
          <w:rFonts w:eastAsia="Arial"/>
          <w:sz w:val="20"/>
        </w:rPr>
        <w:t xml:space="preserve">v Sloveniji </w:t>
      </w:r>
      <w:r w:rsidRPr="00E03F15">
        <w:rPr>
          <w:rFonts w:eastAsia="Arial"/>
          <w:sz w:val="20"/>
        </w:rPr>
        <w:t xml:space="preserve">med večjimi porabniki </w:t>
      </w:r>
      <w:r w:rsidR="00DA5EFA">
        <w:rPr>
          <w:rFonts w:eastAsia="Arial"/>
          <w:sz w:val="20"/>
        </w:rPr>
        <w:t>antibiotikov</w:t>
      </w:r>
      <w:r w:rsidRPr="00E03F15">
        <w:rPr>
          <w:rFonts w:eastAsia="Arial"/>
          <w:sz w:val="20"/>
        </w:rPr>
        <w:t>, želimo ostati konkurenčni ostalim državam. Za</w:t>
      </w:r>
      <w:r w:rsidR="00DA5EFA">
        <w:rPr>
          <w:rFonts w:eastAsia="Arial"/>
          <w:sz w:val="20"/>
        </w:rPr>
        <w:t xml:space="preserve"> realizacijo sprejetega nacionalnega akcijskega načrta </w:t>
      </w:r>
      <w:r w:rsidRPr="00E03F15">
        <w:rPr>
          <w:rFonts w:eastAsia="Arial"/>
          <w:sz w:val="20"/>
        </w:rPr>
        <w:t xml:space="preserve">bi morali pravočasno zagotoviti potrebne </w:t>
      </w:r>
      <w:r w:rsidR="00232358" w:rsidRPr="00E03F15">
        <w:rPr>
          <w:rFonts w:eastAsia="Arial"/>
          <w:sz w:val="20"/>
        </w:rPr>
        <w:t xml:space="preserve">finančne in kadrovske </w:t>
      </w:r>
      <w:r w:rsidRPr="00E03F15">
        <w:rPr>
          <w:rFonts w:eastAsia="Arial"/>
          <w:sz w:val="20"/>
        </w:rPr>
        <w:t xml:space="preserve">pogoje. </w:t>
      </w:r>
      <w:r w:rsidR="00232358">
        <w:rPr>
          <w:rFonts w:eastAsia="Arial"/>
          <w:sz w:val="20"/>
        </w:rPr>
        <w:t xml:space="preserve">Po </w:t>
      </w:r>
      <w:r w:rsidRPr="00E03F15">
        <w:rPr>
          <w:rFonts w:eastAsia="Arial"/>
          <w:sz w:val="20"/>
        </w:rPr>
        <w:t xml:space="preserve">drugi strani bi lahko najboljše </w:t>
      </w:r>
      <w:r w:rsidR="00DA5EFA">
        <w:rPr>
          <w:rFonts w:eastAsia="Arial"/>
          <w:sz w:val="20"/>
        </w:rPr>
        <w:t xml:space="preserve">primere </w:t>
      </w:r>
      <w:r w:rsidRPr="00E03F15">
        <w:rPr>
          <w:rFonts w:eastAsia="Arial"/>
          <w:sz w:val="20"/>
        </w:rPr>
        <w:t xml:space="preserve">prakse, </w:t>
      </w:r>
      <w:r w:rsidR="00DA5EFA">
        <w:rPr>
          <w:rFonts w:eastAsia="Arial"/>
          <w:sz w:val="20"/>
        </w:rPr>
        <w:t>najnižja poraba antibiotikov</w:t>
      </w:r>
      <w:r w:rsidRPr="00E03F15">
        <w:rPr>
          <w:rFonts w:eastAsia="Arial"/>
          <w:sz w:val="20"/>
        </w:rPr>
        <w:t xml:space="preserve"> na gospodarstvih, primerno nagradili. </w:t>
      </w:r>
    </w:p>
    <w:p w14:paraId="0B906100" w14:textId="77777777" w:rsidR="007F41C6" w:rsidRPr="007F41C6" w:rsidRDefault="007F41C6" w:rsidP="007F41C6">
      <w:pPr>
        <w:spacing w:before="120" w:after="0" w:line="240" w:lineRule="auto"/>
        <w:jc w:val="both"/>
        <w:rPr>
          <w:rFonts w:eastAsia="Arial"/>
          <w:szCs w:val="24"/>
        </w:rPr>
      </w:pPr>
    </w:p>
    <w:p w14:paraId="40AAF329" w14:textId="77777777" w:rsidR="006A5242" w:rsidRDefault="009B7104" w:rsidP="009B695E">
      <w:pPr>
        <w:pStyle w:val="Naslov1"/>
        <w:numPr>
          <w:ilvl w:val="0"/>
          <w:numId w:val="1"/>
        </w:numPr>
        <w:rPr>
          <w:rFonts w:ascii="Arial" w:eastAsia="Arial" w:hAnsi="Arial" w:cs="Arial"/>
          <w:b/>
          <w:bCs/>
          <w:lang w:eastAsia="en-GB"/>
        </w:rPr>
      </w:pPr>
      <w:bookmarkStart w:id="64" w:name="_Toc55547438"/>
      <w:r w:rsidRPr="006A5242">
        <w:rPr>
          <w:rFonts w:ascii="Arial" w:eastAsia="Arial" w:hAnsi="Arial" w:cs="Arial"/>
          <w:b/>
          <w:bCs/>
          <w:lang w:eastAsia="en-GB"/>
        </w:rPr>
        <w:t>PESTICIDI</w:t>
      </w:r>
      <w:bookmarkEnd w:id="64"/>
    </w:p>
    <w:p w14:paraId="142C90D1" w14:textId="1C8BF7B7" w:rsidR="00C72AE6" w:rsidRPr="006A5242" w:rsidRDefault="00C72AE6" w:rsidP="006A5242">
      <w:pPr>
        <w:pStyle w:val="1"/>
        <w:rPr>
          <w:rFonts w:eastAsia="Arial"/>
          <w:b/>
          <w:bCs/>
          <w:color w:val="365F91" w:themeColor="accent1" w:themeShade="BF"/>
          <w:szCs w:val="32"/>
        </w:rPr>
      </w:pPr>
      <w:r w:rsidRPr="006A5242">
        <w:t xml:space="preserve">Pesticide po definiciji iz </w:t>
      </w:r>
      <w:r w:rsidR="009D53F4" w:rsidRPr="006A5242">
        <w:t xml:space="preserve">Direktive 2009/128/ES Evropskega parlamenta in Sveta z dne 21. oktobra 2009 o določitvi okvira za ukrepe Skupnosti za doseganje trajnostne rabe pesticidov (v nadaljnjem besedilu: Direktiva) </w:t>
      </w:r>
      <w:r w:rsidRPr="006A5242">
        <w:t xml:space="preserve">sestavljata dve skupini: </w:t>
      </w:r>
      <w:r w:rsidR="009D6D0D" w:rsidRPr="006A5242">
        <w:t>FFS</w:t>
      </w:r>
      <w:r w:rsidRPr="006A5242">
        <w:t xml:space="preserve"> in </w:t>
      </w:r>
      <w:proofErr w:type="spellStart"/>
      <w:r w:rsidRPr="006A5242">
        <w:t>biocidi</w:t>
      </w:r>
      <w:proofErr w:type="spellEnd"/>
      <w:r w:rsidRPr="006A5242">
        <w:t>.</w:t>
      </w:r>
      <w:r w:rsidRPr="006A5242">
        <w:rPr>
          <w:szCs w:val="24"/>
          <w:lang w:eastAsia="sl-SI"/>
        </w:rPr>
        <w:t xml:space="preserve"> </w:t>
      </w:r>
      <w:proofErr w:type="spellStart"/>
      <w:r w:rsidR="00E94EE3" w:rsidRPr="006A5242">
        <w:t>Biocidi</w:t>
      </w:r>
      <w:proofErr w:type="spellEnd"/>
      <w:r w:rsidR="00E94EE3" w:rsidRPr="006A5242">
        <w:t xml:space="preserve"> se uporabljajo v javni higieni (zatiranje komarjev, </w:t>
      </w:r>
      <w:proofErr w:type="spellStart"/>
      <w:r w:rsidR="00E94EE3" w:rsidRPr="006A5242">
        <w:t>glodalcev</w:t>
      </w:r>
      <w:proofErr w:type="spellEnd"/>
      <w:r w:rsidR="00E94EE3" w:rsidRPr="006A5242">
        <w:t>, muh, bolh, mravelj…).</w:t>
      </w:r>
      <w:r w:rsidR="00E94EE3" w:rsidRPr="006A5242">
        <w:rPr>
          <w:szCs w:val="24"/>
          <w:lang w:eastAsia="sl-SI"/>
        </w:rPr>
        <w:t xml:space="preserve"> </w:t>
      </w:r>
      <w:r w:rsidRPr="006A5242">
        <w:t>F</w:t>
      </w:r>
      <w:r w:rsidR="009D6D0D" w:rsidRPr="006A5242">
        <w:t xml:space="preserve">FS </w:t>
      </w:r>
      <w:r w:rsidR="00E94EE3" w:rsidRPr="006A5242">
        <w:t xml:space="preserve">pa </w:t>
      </w:r>
      <w:r w:rsidRPr="006A5242">
        <w:t>so pripravki, ki se v kmetijstvu uporabljajo za varstvo rastlin in pridelkov pred škodljivci, povzročitelji bolezni in plevelom. Z nadzorom prometa in uporabe FFS se trudimo čim bolj zmanjšati tveganja za zdravje ljudi in okolje. Slovenija in države članice EU spodbujamo in podpiramo alternativne metode varstva rastlin pred kemičnimi FFS, čeprav so kemična FFS pri današnjem načinu kmetovanja še vedno potrebna.</w:t>
      </w:r>
    </w:p>
    <w:p w14:paraId="5BC5EFCF" w14:textId="77777777" w:rsidR="007F41C6" w:rsidRPr="00867750" w:rsidRDefault="007F41C6" w:rsidP="007F41C6">
      <w:pPr>
        <w:keepNext/>
        <w:tabs>
          <w:tab w:val="left" w:pos="0"/>
          <w:tab w:val="left" w:pos="480"/>
          <w:tab w:val="left" w:pos="1276"/>
          <w:tab w:val="left" w:pos="4537"/>
        </w:tabs>
        <w:spacing w:after="0" w:line="260" w:lineRule="atLeast"/>
        <w:ind w:left="600"/>
        <w:jc w:val="both"/>
        <w:outlineLvl w:val="1"/>
        <w:rPr>
          <w:rFonts w:eastAsia="Arial" w:cs="Times New Roman"/>
          <w:b/>
          <w:caps/>
          <w:color w:val="365F91" w:themeColor="accent1" w:themeShade="BF"/>
          <w:szCs w:val="28"/>
          <w:lang w:eastAsia="en-GB"/>
        </w:rPr>
      </w:pPr>
    </w:p>
    <w:p w14:paraId="04E1465C" w14:textId="070FEA6E" w:rsidR="009D6D0D" w:rsidRDefault="006A5242" w:rsidP="006A5242">
      <w:pPr>
        <w:pStyle w:val="Naslov2"/>
        <w:rPr>
          <w:rFonts w:ascii="Arial" w:hAnsi="Arial" w:cs="Arial"/>
        </w:rPr>
      </w:pPr>
      <w:bookmarkStart w:id="65" w:name="_Toc55547439"/>
      <w:r>
        <w:rPr>
          <w:rFonts w:ascii="Arial" w:hAnsi="Arial" w:cs="Arial"/>
        </w:rPr>
        <w:t>3</w:t>
      </w:r>
      <w:r w:rsidR="00C87C51" w:rsidRPr="006A5242">
        <w:rPr>
          <w:rFonts w:ascii="Arial" w:hAnsi="Arial" w:cs="Arial"/>
        </w:rPr>
        <w:t xml:space="preserve">.1 </w:t>
      </w:r>
      <w:r w:rsidR="007F41C6" w:rsidRPr="006A5242">
        <w:rPr>
          <w:rFonts w:ascii="Arial" w:hAnsi="Arial" w:cs="Arial"/>
        </w:rPr>
        <w:t xml:space="preserve">Podatki </w:t>
      </w:r>
      <w:r w:rsidR="00E94EE3" w:rsidRPr="006A5242">
        <w:rPr>
          <w:rFonts w:ascii="Arial" w:hAnsi="Arial" w:cs="Arial"/>
        </w:rPr>
        <w:t>prodaji</w:t>
      </w:r>
      <w:r w:rsidR="007F41C6" w:rsidRPr="006A5242">
        <w:rPr>
          <w:rFonts w:ascii="Arial" w:hAnsi="Arial" w:cs="Arial"/>
        </w:rPr>
        <w:t xml:space="preserve"> FFS</w:t>
      </w:r>
      <w:bookmarkEnd w:id="65"/>
      <w:r w:rsidR="007F41C6" w:rsidRPr="006A5242">
        <w:rPr>
          <w:rFonts w:ascii="Arial" w:hAnsi="Arial" w:cs="Arial"/>
        </w:rPr>
        <w:t xml:space="preserve"> </w:t>
      </w:r>
    </w:p>
    <w:p w14:paraId="08A126CD" w14:textId="77777777" w:rsidR="0050113A" w:rsidRPr="0050113A" w:rsidRDefault="0050113A" w:rsidP="0050113A"/>
    <w:p w14:paraId="465F87F0" w14:textId="2155522B" w:rsidR="00E94EE3" w:rsidRDefault="00E94EE3"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r w:rsidRPr="007B2CC8">
        <w:rPr>
          <w:rFonts w:eastAsia="Times New Roman"/>
          <w:sz w:val="20"/>
          <w:lang w:eastAsia="en-GB"/>
        </w:rPr>
        <w:t xml:space="preserve">Statistični podatki o prodaji </w:t>
      </w:r>
      <w:r w:rsidR="00A0744A">
        <w:rPr>
          <w:rFonts w:eastAsia="Times New Roman"/>
          <w:sz w:val="20"/>
          <w:lang w:eastAsia="en-GB"/>
        </w:rPr>
        <w:t>FFS</w:t>
      </w:r>
      <w:r w:rsidRPr="007B2CC8">
        <w:rPr>
          <w:rFonts w:eastAsia="Times New Roman"/>
          <w:sz w:val="20"/>
          <w:lang w:eastAsia="en-GB"/>
        </w:rPr>
        <w:t xml:space="preserve"> se uporabljajo kot indikator porabe pesticidov v kmetijstvu. V obdobju 2011–2018 je prodaja </w:t>
      </w:r>
      <w:r w:rsidR="00A0744A">
        <w:rPr>
          <w:rFonts w:eastAsia="Times New Roman"/>
          <w:sz w:val="20"/>
          <w:lang w:eastAsia="en-GB"/>
        </w:rPr>
        <w:t>FFS</w:t>
      </w:r>
      <w:r w:rsidRPr="007B2CC8">
        <w:rPr>
          <w:rFonts w:eastAsia="Times New Roman"/>
          <w:sz w:val="20"/>
          <w:lang w:eastAsia="en-GB"/>
        </w:rPr>
        <w:t xml:space="preserve"> v EU ostala stabilna in znaša približno 360 milijonov kilogramov na leto. Štiri države (Francija, Španija, Italija in Nemčija) so predstavljale več kot dve tretjini prodaje </w:t>
      </w:r>
      <w:r w:rsidR="00A0744A">
        <w:rPr>
          <w:rFonts w:eastAsia="Times New Roman"/>
          <w:sz w:val="20"/>
          <w:lang w:eastAsia="en-GB"/>
        </w:rPr>
        <w:t>FFS</w:t>
      </w:r>
      <w:r w:rsidRPr="007B2CC8">
        <w:rPr>
          <w:rFonts w:eastAsia="Times New Roman"/>
          <w:sz w:val="20"/>
          <w:lang w:eastAsia="en-GB"/>
        </w:rPr>
        <w:t xml:space="preserve"> v EU. Te države so tudi glavne kmetijske proizvajalke v EU, saj skupaj predstavljajo 51% vseh kmetijskih zemljišč v uporabi EU in 49% vseh obdelovalnih površin EU.</w:t>
      </w:r>
      <w:r w:rsidR="00A0744A">
        <w:rPr>
          <w:rFonts w:eastAsia="Times New Roman"/>
          <w:sz w:val="20"/>
          <w:lang w:eastAsia="en-GB"/>
        </w:rPr>
        <w:t xml:space="preserve"> Na sliki </w:t>
      </w:r>
      <w:r w:rsidR="006A5242">
        <w:rPr>
          <w:rFonts w:eastAsia="Times New Roman"/>
          <w:sz w:val="20"/>
          <w:lang w:eastAsia="en-GB"/>
        </w:rPr>
        <w:t>5</w:t>
      </w:r>
      <w:r w:rsidR="00A0744A">
        <w:rPr>
          <w:rFonts w:eastAsia="Times New Roman"/>
          <w:sz w:val="20"/>
          <w:lang w:eastAsia="en-GB"/>
        </w:rPr>
        <w:t xml:space="preserve"> vidimo, da je Slovenija prodala najmanj FFS v letih 2017 oziroma 2018</w:t>
      </w:r>
      <w:r w:rsidR="00961970">
        <w:rPr>
          <w:rFonts w:eastAsia="Times New Roman"/>
          <w:sz w:val="20"/>
          <w:lang w:eastAsia="en-GB"/>
        </w:rPr>
        <w:t>,</w:t>
      </w:r>
      <w:r w:rsidR="00A0744A">
        <w:rPr>
          <w:rFonts w:eastAsia="Times New Roman"/>
          <w:sz w:val="20"/>
          <w:lang w:eastAsia="en-GB"/>
        </w:rPr>
        <w:t xml:space="preserve"> v pri</w:t>
      </w:r>
      <w:r w:rsidR="00961970">
        <w:rPr>
          <w:rFonts w:eastAsia="Times New Roman"/>
          <w:sz w:val="20"/>
          <w:lang w:eastAsia="en-GB"/>
        </w:rPr>
        <w:t>merjavi z državami članicami EU</w:t>
      </w:r>
      <w:r w:rsidR="00A0744A">
        <w:rPr>
          <w:rFonts w:eastAsia="Times New Roman"/>
          <w:sz w:val="20"/>
          <w:lang w:eastAsia="en-GB"/>
        </w:rPr>
        <w:t xml:space="preserve"> za katere so bili na voljo popolni podatki o prodaji FFS.</w:t>
      </w:r>
    </w:p>
    <w:p w14:paraId="1D93D468" w14:textId="4B486CA7" w:rsidR="009D6D0D" w:rsidRDefault="009D6D0D" w:rsidP="007B2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lang w:eastAsia="en-GB"/>
        </w:rPr>
      </w:pPr>
    </w:p>
    <w:p w14:paraId="3E203FE2" w14:textId="025DEB0C" w:rsidR="009D6D0D" w:rsidRPr="00837C52" w:rsidRDefault="000A1A7D" w:rsidP="000A1A7D">
      <w:pPr>
        <w:pStyle w:val="Napis"/>
        <w:jc w:val="both"/>
        <w:rPr>
          <w:sz w:val="20"/>
          <w:szCs w:val="20"/>
        </w:rPr>
      </w:pPr>
      <w:bookmarkStart w:id="66" w:name="_Toc55484780"/>
      <w:r w:rsidRPr="00837C52">
        <w:rPr>
          <w:sz w:val="20"/>
          <w:szCs w:val="20"/>
        </w:rPr>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5</w:t>
      </w:r>
      <w:r w:rsidR="004270C0" w:rsidRPr="00837C52">
        <w:rPr>
          <w:noProof/>
          <w:sz w:val="20"/>
          <w:szCs w:val="20"/>
        </w:rPr>
        <w:fldChar w:fldCharType="end"/>
      </w:r>
      <w:r w:rsidRPr="00837C52">
        <w:rPr>
          <w:sz w:val="20"/>
          <w:szCs w:val="20"/>
        </w:rPr>
        <w:t>:Prodaja fitofarmacevtskih sredstev (v milijonih kilogramov) v letu 2018 v EU</w:t>
      </w:r>
      <w:bookmarkEnd w:id="66"/>
      <w:r w:rsidRPr="00837C52">
        <w:rPr>
          <w:sz w:val="20"/>
          <w:szCs w:val="20"/>
        </w:rPr>
        <w:t xml:space="preserve"> </w:t>
      </w:r>
    </w:p>
    <w:p w14:paraId="527C6570" w14:textId="5E332BE8" w:rsidR="00E94EE3" w:rsidRDefault="00A0744A" w:rsidP="007F41C6">
      <w:pPr>
        <w:spacing w:beforeLines="60" w:before="144" w:afterLines="60" w:after="144" w:line="240" w:lineRule="auto"/>
        <w:jc w:val="both"/>
        <w:rPr>
          <w:rFonts w:eastAsia="Times New Roman"/>
          <w:sz w:val="20"/>
          <w:lang w:eastAsia="en-GB"/>
        </w:rPr>
      </w:pPr>
      <w:r w:rsidRPr="007B2CC8">
        <w:rPr>
          <w:rFonts w:eastAsia="Times New Roman"/>
          <w:noProof/>
          <w:sz w:val="20"/>
          <w:lang w:eastAsia="sl-SI"/>
        </w:rPr>
        <w:drawing>
          <wp:inline distT="0" distB="0" distL="0" distR="0" wp14:anchorId="6C283985" wp14:editId="5EE1EE31">
            <wp:extent cx="5160218" cy="3898035"/>
            <wp:effectExtent l="0" t="0" r="2540" b="7620"/>
            <wp:docPr id="14" name="Slika 14" descr="V Sloveniji prevladujejo fluorokinol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V Sloveniji prevladujejo fluorokinolon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60947" cy="3898586"/>
                    </a:xfrm>
                    <a:prstGeom prst="rect">
                      <a:avLst/>
                    </a:prstGeom>
                  </pic:spPr>
                </pic:pic>
              </a:graphicData>
            </a:graphic>
          </wp:inline>
        </w:drawing>
      </w:r>
    </w:p>
    <w:p w14:paraId="4AFD8C38" w14:textId="371B36C2" w:rsidR="007B2CC8" w:rsidRPr="00837C52" w:rsidRDefault="00837C52" w:rsidP="007B2CC8">
      <w:pPr>
        <w:spacing w:before="80" w:after="80" w:line="240" w:lineRule="auto"/>
        <w:rPr>
          <w:rFonts w:eastAsia="Times New Roman"/>
          <w:sz w:val="16"/>
          <w:szCs w:val="16"/>
          <w:lang w:eastAsia="en-GB"/>
        </w:rPr>
      </w:pPr>
      <w:r w:rsidRPr="00837C52">
        <w:rPr>
          <w:sz w:val="16"/>
          <w:szCs w:val="16"/>
        </w:rPr>
        <w:t>VIR: EUROSTAT</w:t>
      </w:r>
    </w:p>
    <w:p w14:paraId="2A109269" w14:textId="77777777" w:rsidR="00837C52" w:rsidRDefault="00837C52" w:rsidP="007B2CC8">
      <w:pPr>
        <w:rPr>
          <w:rFonts w:eastAsia="Times New Roman"/>
          <w:sz w:val="20"/>
          <w:lang w:eastAsia="en-GB"/>
        </w:rPr>
      </w:pPr>
    </w:p>
    <w:p w14:paraId="5A56EA48" w14:textId="644C7EEA" w:rsidR="00674A22" w:rsidRDefault="00674A22" w:rsidP="007B2CC8">
      <w:pPr>
        <w:rPr>
          <w:rFonts w:eastAsia="Times New Roman"/>
          <w:sz w:val="20"/>
          <w:lang w:eastAsia="en-GB"/>
        </w:rPr>
      </w:pPr>
      <w:r w:rsidRPr="007B2CC8">
        <w:rPr>
          <w:rFonts w:eastAsia="Times New Roman"/>
          <w:sz w:val="20"/>
          <w:lang w:eastAsia="en-GB"/>
        </w:rPr>
        <w:t>Konec leta 201</w:t>
      </w:r>
      <w:r>
        <w:rPr>
          <w:rFonts w:eastAsia="Times New Roman"/>
          <w:sz w:val="20"/>
          <w:lang w:eastAsia="en-GB"/>
        </w:rPr>
        <w:t>9</w:t>
      </w:r>
      <w:r w:rsidRPr="007B2CC8">
        <w:rPr>
          <w:rFonts w:eastAsia="Times New Roman"/>
          <w:sz w:val="20"/>
          <w:lang w:eastAsia="en-GB"/>
        </w:rPr>
        <w:t xml:space="preserve"> je bilo v </w:t>
      </w:r>
      <w:r>
        <w:rPr>
          <w:rFonts w:eastAsia="Times New Roman"/>
          <w:sz w:val="20"/>
          <w:lang w:eastAsia="en-GB"/>
        </w:rPr>
        <w:t>Sloveniji</w:t>
      </w:r>
      <w:r w:rsidRPr="007B2CC8">
        <w:rPr>
          <w:rFonts w:eastAsia="Times New Roman"/>
          <w:sz w:val="20"/>
          <w:lang w:eastAsia="en-GB"/>
        </w:rPr>
        <w:t xml:space="preserve"> odobrenih </w:t>
      </w:r>
      <w:r w:rsidR="002C3369">
        <w:rPr>
          <w:rFonts w:eastAsia="Times New Roman"/>
          <w:sz w:val="20"/>
          <w:lang w:eastAsia="en-GB"/>
        </w:rPr>
        <w:t>216</w:t>
      </w:r>
      <w:r w:rsidRPr="007B2CC8">
        <w:rPr>
          <w:rFonts w:eastAsia="Times New Roman"/>
          <w:sz w:val="20"/>
          <w:lang w:eastAsia="en-GB"/>
        </w:rPr>
        <w:t xml:space="preserve"> aktivnih snovi v </w:t>
      </w:r>
      <w:r w:rsidR="009B7104">
        <w:rPr>
          <w:rFonts w:eastAsia="Times New Roman"/>
          <w:sz w:val="20"/>
          <w:lang w:eastAsia="en-GB"/>
        </w:rPr>
        <w:t>FFS</w:t>
      </w:r>
      <w:r w:rsidRPr="007B2CC8">
        <w:rPr>
          <w:rFonts w:eastAsia="Times New Roman"/>
          <w:sz w:val="20"/>
          <w:lang w:eastAsia="en-GB"/>
        </w:rPr>
        <w:t xml:space="preserve">. Število odobrenih </w:t>
      </w:r>
      <w:r w:rsidR="009B7104">
        <w:rPr>
          <w:rFonts w:eastAsia="Times New Roman"/>
          <w:sz w:val="20"/>
          <w:lang w:eastAsia="en-GB"/>
        </w:rPr>
        <w:t>FFS</w:t>
      </w:r>
      <w:r w:rsidRPr="007B2CC8">
        <w:rPr>
          <w:rFonts w:eastAsia="Times New Roman"/>
          <w:sz w:val="20"/>
          <w:lang w:eastAsia="en-GB"/>
        </w:rPr>
        <w:t xml:space="preserve"> je bilo </w:t>
      </w:r>
      <w:r w:rsidR="002C3369">
        <w:rPr>
          <w:rFonts w:eastAsia="Times New Roman"/>
          <w:sz w:val="20"/>
          <w:lang w:eastAsia="en-GB"/>
        </w:rPr>
        <w:t>540</w:t>
      </w:r>
      <w:r w:rsidRPr="007B2CC8">
        <w:rPr>
          <w:rFonts w:eastAsia="Times New Roman"/>
          <w:sz w:val="20"/>
          <w:lang w:eastAsia="en-GB"/>
        </w:rPr>
        <w:t>.</w:t>
      </w:r>
    </w:p>
    <w:p w14:paraId="64E9152C" w14:textId="4F917CB5" w:rsidR="00F661AA" w:rsidRPr="00A43BBE" w:rsidRDefault="00961970" w:rsidP="00A43BBE">
      <w:pPr>
        <w:spacing w:beforeLines="60" w:before="144" w:afterLines="60" w:after="144" w:line="240" w:lineRule="auto"/>
        <w:jc w:val="both"/>
        <w:rPr>
          <w:rFonts w:eastAsia="Times New Roman"/>
          <w:sz w:val="20"/>
          <w:lang w:eastAsia="en-GB"/>
        </w:rPr>
      </w:pPr>
      <w:r>
        <w:rPr>
          <w:rFonts w:eastAsia="Times New Roman"/>
          <w:sz w:val="20"/>
          <w:lang w:eastAsia="en-GB"/>
        </w:rPr>
        <w:t xml:space="preserve">Na sliki </w:t>
      </w:r>
      <w:r w:rsidR="006A5242">
        <w:rPr>
          <w:rFonts w:eastAsia="Times New Roman"/>
          <w:sz w:val="20"/>
          <w:lang w:eastAsia="en-GB"/>
        </w:rPr>
        <w:t>6</w:t>
      </w:r>
      <w:r>
        <w:rPr>
          <w:rFonts w:eastAsia="Times New Roman"/>
          <w:sz w:val="20"/>
          <w:lang w:eastAsia="en-GB"/>
        </w:rPr>
        <w:t xml:space="preserve"> je prikazana prodaja aktivnih snovi v FFS.</w:t>
      </w:r>
      <w:r w:rsidR="007F41C6" w:rsidRPr="00E03F15">
        <w:rPr>
          <w:rFonts w:eastAsia="Times New Roman"/>
          <w:sz w:val="20"/>
          <w:lang w:eastAsia="en-GB"/>
        </w:rPr>
        <w:t xml:space="preserve"> </w:t>
      </w:r>
      <w:r>
        <w:rPr>
          <w:rFonts w:eastAsia="Times New Roman"/>
          <w:sz w:val="20"/>
          <w:lang w:eastAsia="en-GB"/>
        </w:rPr>
        <w:t>P</w:t>
      </w:r>
      <w:r w:rsidR="007F41C6" w:rsidRPr="00E03F15">
        <w:rPr>
          <w:rFonts w:eastAsia="Times New Roman"/>
          <w:sz w:val="20"/>
          <w:lang w:eastAsia="en-GB"/>
        </w:rPr>
        <w:t xml:space="preserve">odatki </w:t>
      </w:r>
      <w:r>
        <w:rPr>
          <w:rFonts w:eastAsia="Times New Roman"/>
          <w:sz w:val="20"/>
          <w:lang w:eastAsia="en-GB"/>
        </w:rPr>
        <w:t xml:space="preserve">prodaje so </w:t>
      </w:r>
      <w:r w:rsidR="007F41C6" w:rsidRPr="00E03F15">
        <w:rPr>
          <w:rFonts w:eastAsia="Times New Roman"/>
          <w:sz w:val="20"/>
          <w:lang w:eastAsia="en-GB"/>
        </w:rPr>
        <w:t xml:space="preserve">informativne narave, saj zajemajo prodajo </w:t>
      </w:r>
      <w:r>
        <w:rPr>
          <w:rFonts w:eastAsia="Times New Roman"/>
          <w:sz w:val="20"/>
          <w:lang w:eastAsia="en-GB"/>
        </w:rPr>
        <w:t>FFS</w:t>
      </w:r>
      <w:r w:rsidRPr="00E03F15">
        <w:rPr>
          <w:rFonts w:eastAsia="Times New Roman"/>
          <w:sz w:val="20"/>
          <w:lang w:eastAsia="en-GB"/>
        </w:rPr>
        <w:t xml:space="preserve"> </w:t>
      </w:r>
      <w:r w:rsidR="007F41C6" w:rsidRPr="00E03F15">
        <w:rPr>
          <w:rFonts w:eastAsia="Times New Roman"/>
          <w:sz w:val="20"/>
          <w:lang w:eastAsia="en-GB"/>
        </w:rPr>
        <w:t xml:space="preserve">in ne njihove dejanske uporabe. Prav tako zajemajo prodajo vseh </w:t>
      </w:r>
      <w:r>
        <w:rPr>
          <w:rFonts w:eastAsia="Times New Roman"/>
          <w:sz w:val="20"/>
          <w:lang w:eastAsia="en-GB"/>
        </w:rPr>
        <w:t>FFS</w:t>
      </w:r>
      <w:r w:rsidR="007F41C6" w:rsidRPr="00E03F15">
        <w:rPr>
          <w:rFonts w:eastAsia="Times New Roman"/>
          <w:sz w:val="20"/>
          <w:lang w:eastAsia="en-GB"/>
        </w:rPr>
        <w:t xml:space="preserve">, ne samo tistih, ki se uporabljajo v kmetijstvu, pač pa tudi na drugih površinah (dvorišča, parki, ceste, proge, športna igrišča, pokopališča in podobno). V teh podatkih so zajeti podatki tudi o prodaji bakrovih in žveplovih pripravkov ter podobnih pripravkov, ki se zaradi njihovih manj tveganih lastnosti lahko uporabljajo tudi v ekološki pridelavi. </w:t>
      </w:r>
    </w:p>
    <w:p w14:paraId="4257A34A" w14:textId="2531790C" w:rsidR="00F661AA" w:rsidRPr="007B2CC8" w:rsidRDefault="00F661AA" w:rsidP="00F661AA">
      <w:pPr>
        <w:pStyle w:val="Navadensplet"/>
        <w:rPr>
          <w:rFonts w:ascii="Arial" w:hAnsi="Arial"/>
          <w:sz w:val="20"/>
          <w:szCs w:val="20"/>
          <w:lang w:eastAsia="en-GB"/>
        </w:rPr>
      </w:pPr>
      <w:r w:rsidRPr="007B2CC8">
        <w:rPr>
          <w:rFonts w:ascii="Arial" w:hAnsi="Arial"/>
          <w:sz w:val="20"/>
          <w:szCs w:val="20"/>
          <w:lang w:eastAsia="en-GB"/>
        </w:rPr>
        <w:t>F</w:t>
      </w:r>
      <w:r w:rsidR="009B7104">
        <w:rPr>
          <w:rFonts w:ascii="Arial" w:hAnsi="Arial"/>
          <w:sz w:val="20"/>
          <w:szCs w:val="20"/>
          <w:lang w:eastAsia="en-GB"/>
        </w:rPr>
        <w:t>FS</w:t>
      </w:r>
      <w:r w:rsidRPr="007B2CC8">
        <w:rPr>
          <w:rFonts w:ascii="Arial" w:hAnsi="Arial"/>
          <w:sz w:val="20"/>
          <w:szCs w:val="20"/>
          <w:lang w:eastAsia="en-GB"/>
        </w:rPr>
        <w:t xml:space="preserve">, prodana v 2019 na območju Slovenije, so vsebovala približno 1.000 ton aktivnih snovi, kar je za približno 15 % manj kot v letu pred tem in hkrati za približno 5 % manj od desetletnega povprečja </w:t>
      </w:r>
      <w:r w:rsidRPr="007B2CC8">
        <w:rPr>
          <w:rFonts w:ascii="Arial" w:hAnsi="Arial"/>
          <w:sz w:val="20"/>
          <w:szCs w:val="20"/>
          <w:lang w:eastAsia="en-GB"/>
        </w:rPr>
        <w:lastRenderedPageBreak/>
        <w:t>(1.058 ton). V zadnjih desetih letih je bila to, če izvzamemo leto 2013, najmanjša količina aktivnih snovi v proda</w:t>
      </w:r>
      <w:r w:rsidR="00A8570B" w:rsidRPr="00A8570B">
        <w:rPr>
          <w:rFonts w:ascii="Arial" w:hAnsi="Arial"/>
          <w:sz w:val="20"/>
          <w:szCs w:val="20"/>
          <w:lang w:eastAsia="en-GB"/>
        </w:rPr>
        <w:t xml:space="preserve">nih </w:t>
      </w:r>
      <w:r w:rsidR="009B7104">
        <w:rPr>
          <w:rFonts w:ascii="Arial" w:hAnsi="Arial"/>
          <w:sz w:val="20"/>
          <w:szCs w:val="20"/>
          <w:lang w:eastAsia="en-GB"/>
        </w:rPr>
        <w:t>FFS</w:t>
      </w:r>
      <w:r w:rsidR="00A8570B" w:rsidRPr="00A8570B">
        <w:rPr>
          <w:rFonts w:ascii="Arial" w:hAnsi="Arial"/>
          <w:sz w:val="20"/>
          <w:szCs w:val="20"/>
          <w:lang w:eastAsia="en-GB"/>
        </w:rPr>
        <w:t>.</w:t>
      </w:r>
    </w:p>
    <w:p w14:paraId="6DC8DCB1" w14:textId="03F772A4" w:rsidR="007F41C6" w:rsidRPr="009B7104" w:rsidRDefault="00F661AA" w:rsidP="009B7104">
      <w:pPr>
        <w:pStyle w:val="Navadensplet"/>
        <w:rPr>
          <w:rFonts w:ascii="Arial" w:hAnsi="Arial"/>
          <w:sz w:val="20"/>
          <w:szCs w:val="20"/>
          <w:lang w:eastAsia="en-GB"/>
        </w:rPr>
      </w:pPr>
      <w:r w:rsidRPr="007B2CC8">
        <w:rPr>
          <w:rFonts w:ascii="Arial" w:hAnsi="Arial"/>
          <w:sz w:val="20"/>
          <w:szCs w:val="20"/>
          <w:lang w:eastAsia="en-GB"/>
        </w:rPr>
        <w:t xml:space="preserve">Količina aktivnih snovi se je v letu 2019 glede na leto 2018 zmanjšala v treh glavnih skupinah </w:t>
      </w:r>
      <w:r w:rsidR="009B7104">
        <w:rPr>
          <w:rFonts w:ascii="Arial" w:hAnsi="Arial"/>
          <w:sz w:val="20"/>
          <w:szCs w:val="20"/>
          <w:lang w:eastAsia="en-GB"/>
        </w:rPr>
        <w:t>FFS</w:t>
      </w:r>
      <w:r w:rsidRPr="007B2CC8">
        <w:rPr>
          <w:rFonts w:ascii="Arial" w:hAnsi="Arial"/>
          <w:sz w:val="20"/>
          <w:szCs w:val="20"/>
          <w:lang w:eastAsia="en-GB"/>
        </w:rPr>
        <w:t>,</w:t>
      </w:r>
      <w:r w:rsidR="00DC72BE" w:rsidRPr="002F4972">
        <w:rPr>
          <w:rFonts w:ascii="Arial" w:hAnsi="Arial"/>
          <w:sz w:val="20"/>
          <w:szCs w:val="20"/>
          <w:lang w:eastAsia="en-GB"/>
        </w:rPr>
        <w:t xml:space="preserve"> in sicer v skupini fungicidov </w:t>
      </w:r>
      <w:r w:rsidRPr="007B2CC8">
        <w:rPr>
          <w:rFonts w:ascii="Arial" w:hAnsi="Arial"/>
          <w:sz w:val="20"/>
          <w:szCs w:val="20"/>
          <w:lang w:eastAsia="en-GB"/>
        </w:rPr>
        <w:t xml:space="preserve">in baktericidov za okoli 12 %, v skupini herbicidov za okoli 23 % in v skupini insekticidov za okoli 33 %. Za približno 14 % se je zmanjšala še v skupini drugih </w:t>
      </w:r>
      <w:r w:rsidR="009B7104">
        <w:rPr>
          <w:rFonts w:ascii="Arial" w:hAnsi="Arial"/>
          <w:sz w:val="20"/>
          <w:szCs w:val="20"/>
          <w:lang w:eastAsia="en-GB"/>
        </w:rPr>
        <w:t>FFS</w:t>
      </w:r>
      <w:r w:rsidRPr="007B2CC8">
        <w:rPr>
          <w:rFonts w:ascii="Arial" w:hAnsi="Arial"/>
          <w:sz w:val="20"/>
          <w:szCs w:val="20"/>
          <w:lang w:eastAsia="en-GB"/>
        </w:rPr>
        <w:t xml:space="preserve">. S prodajo dveh skupin teh sredstev se je prodaja aktivnih snovi povečala, in sicer s prodajo </w:t>
      </w:r>
      <w:proofErr w:type="spellStart"/>
      <w:r w:rsidRPr="007B2CC8">
        <w:rPr>
          <w:rFonts w:ascii="Arial" w:hAnsi="Arial"/>
          <w:sz w:val="20"/>
          <w:szCs w:val="20"/>
          <w:lang w:eastAsia="en-GB"/>
        </w:rPr>
        <w:t>moluskicidov</w:t>
      </w:r>
      <w:proofErr w:type="spellEnd"/>
      <w:r w:rsidRPr="007B2CC8">
        <w:rPr>
          <w:rFonts w:ascii="Arial" w:hAnsi="Arial"/>
          <w:sz w:val="20"/>
          <w:szCs w:val="20"/>
          <w:lang w:eastAsia="en-GB"/>
        </w:rPr>
        <w:t xml:space="preserve"> in regulatorjev rasti rastlin, prvih za o</w:t>
      </w:r>
      <w:r w:rsidR="00A8570B" w:rsidRPr="00E94EE3">
        <w:rPr>
          <w:rFonts w:ascii="Arial" w:hAnsi="Arial"/>
          <w:sz w:val="20"/>
          <w:szCs w:val="20"/>
          <w:lang w:eastAsia="en-GB"/>
        </w:rPr>
        <w:t>koli 43 %, drugih za okoli 58 % (</w:t>
      </w:r>
      <w:r w:rsidR="000A1A7D">
        <w:rPr>
          <w:rFonts w:ascii="Arial" w:hAnsi="Arial"/>
          <w:sz w:val="20"/>
          <w:szCs w:val="20"/>
          <w:lang w:eastAsia="en-GB"/>
        </w:rPr>
        <w:t>Tabela</w:t>
      </w:r>
      <w:r w:rsidR="00A8570B" w:rsidRPr="00E94EE3">
        <w:rPr>
          <w:rFonts w:ascii="Arial" w:hAnsi="Arial"/>
          <w:sz w:val="20"/>
          <w:szCs w:val="20"/>
          <w:lang w:eastAsia="en-GB"/>
        </w:rPr>
        <w:t xml:space="preserve"> </w:t>
      </w:r>
      <w:r w:rsidR="006A5242">
        <w:rPr>
          <w:rFonts w:ascii="Arial" w:hAnsi="Arial"/>
          <w:sz w:val="20"/>
          <w:szCs w:val="20"/>
          <w:lang w:eastAsia="en-GB"/>
        </w:rPr>
        <w:t>3</w:t>
      </w:r>
      <w:r w:rsidR="00A8570B" w:rsidRPr="00E94EE3">
        <w:rPr>
          <w:rFonts w:ascii="Arial" w:hAnsi="Arial"/>
          <w:sz w:val="20"/>
          <w:szCs w:val="20"/>
          <w:lang w:eastAsia="en-GB"/>
        </w:rPr>
        <w:t>).</w:t>
      </w:r>
    </w:p>
    <w:p w14:paraId="32D3BE91" w14:textId="77777777" w:rsidR="007B2CC8" w:rsidRDefault="001C490C" w:rsidP="007B2CC8">
      <w:pPr>
        <w:spacing w:beforeLines="60" w:before="144" w:afterLines="60" w:after="144" w:line="240" w:lineRule="auto"/>
        <w:jc w:val="both"/>
        <w:rPr>
          <w:rFonts w:eastAsia="Times New Roman"/>
          <w:sz w:val="20"/>
          <w:lang w:eastAsia="en-GB"/>
        </w:rPr>
      </w:pPr>
      <w:r>
        <w:rPr>
          <w:rFonts w:eastAsia="Times New Roman"/>
          <w:sz w:val="20"/>
          <w:lang w:eastAsia="en-GB"/>
        </w:rPr>
        <w:t>Raba</w:t>
      </w:r>
      <w:r w:rsidR="007F41C6" w:rsidRPr="00E03F15">
        <w:rPr>
          <w:rFonts w:eastAsia="Times New Roman"/>
          <w:sz w:val="20"/>
          <w:lang w:eastAsia="en-GB"/>
        </w:rPr>
        <w:t xml:space="preserve"> pesticidov niha zaradi različnih vzrokov, najpomembnejši je vpliv vremena na posevke in nasade, saj je v manj primernih vremenskih pogojih za razvoj škodljivih organizmov potreba po njihovem zatiranju manjša. Manjša raba se z določenim zamikom odraža tudi v manjši prodaji pesticidov. Drugi razlogi so lahko ekonomske narave, na prodajo lahko vpliva cena pripravkov. Na skupno količino prodanih aktivnih snovi pa ima vpliv tudi vrsta formulacije oziroma odstotki aktivnih snovi, ki jih pripravki vsebujejo.</w:t>
      </w:r>
    </w:p>
    <w:p w14:paraId="76BEF701" w14:textId="343F5680" w:rsidR="000A1A7D" w:rsidRDefault="009D6D0D" w:rsidP="006A5242">
      <w:pPr>
        <w:pStyle w:val="SCslika"/>
      </w:pPr>
      <w:r>
        <w:rPr>
          <w:lang w:eastAsia="en-GB"/>
        </w:rPr>
        <w:tab/>
      </w:r>
      <w:r w:rsidRPr="007F41C6">
        <w:t xml:space="preserve"> </w:t>
      </w:r>
    </w:p>
    <w:p w14:paraId="4DC76B29" w14:textId="45840D15" w:rsidR="007F41C6" w:rsidRPr="00837C52" w:rsidRDefault="000A1A7D" w:rsidP="000A1A7D">
      <w:pPr>
        <w:pStyle w:val="Napis"/>
        <w:jc w:val="both"/>
        <w:rPr>
          <w:sz w:val="20"/>
          <w:szCs w:val="20"/>
        </w:rPr>
      </w:pPr>
      <w:bookmarkStart w:id="67" w:name="_Toc55484781"/>
      <w:r w:rsidRPr="00837C52">
        <w:rPr>
          <w:sz w:val="20"/>
          <w:szCs w:val="20"/>
        </w:rPr>
        <w:t xml:space="preserve">Slika </w:t>
      </w:r>
      <w:r w:rsidR="004270C0" w:rsidRPr="00837C52">
        <w:rPr>
          <w:sz w:val="20"/>
          <w:szCs w:val="20"/>
        </w:rPr>
        <w:fldChar w:fldCharType="begin"/>
      </w:r>
      <w:r w:rsidR="004270C0" w:rsidRPr="00837C52">
        <w:rPr>
          <w:sz w:val="20"/>
          <w:szCs w:val="20"/>
        </w:rPr>
        <w:instrText xml:space="preserve"> SEQ Slika \* ARABIC </w:instrText>
      </w:r>
      <w:r w:rsidR="004270C0" w:rsidRPr="00837C52">
        <w:rPr>
          <w:sz w:val="20"/>
          <w:szCs w:val="20"/>
        </w:rPr>
        <w:fldChar w:fldCharType="separate"/>
      </w:r>
      <w:r w:rsidR="00F810F0" w:rsidRPr="00837C52">
        <w:rPr>
          <w:noProof/>
          <w:sz w:val="20"/>
          <w:szCs w:val="20"/>
        </w:rPr>
        <w:t>6</w:t>
      </w:r>
      <w:r w:rsidR="004270C0" w:rsidRPr="00837C52">
        <w:rPr>
          <w:noProof/>
          <w:sz w:val="20"/>
          <w:szCs w:val="20"/>
        </w:rPr>
        <w:fldChar w:fldCharType="end"/>
      </w:r>
      <w:r w:rsidRPr="00837C52">
        <w:rPr>
          <w:sz w:val="20"/>
          <w:szCs w:val="20"/>
        </w:rPr>
        <w:t>: Prodaja fitofarmacevtskih sredstev (v milijonih kilogramov) v letu 2018 v EU</w:t>
      </w:r>
      <w:bookmarkEnd w:id="67"/>
      <w:r w:rsidRPr="00837C52">
        <w:rPr>
          <w:sz w:val="20"/>
          <w:szCs w:val="20"/>
        </w:rPr>
        <w:t xml:space="preserve"> </w:t>
      </w:r>
    </w:p>
    <w:p w14:paraId="7EBB0D62" w14:textId="0E1E08EB" w:rsidR="00F661AA" w:rsidRDefault="00F661AA" w:rsidP="007F41C6">
      <w:pPr>
        <w:spacing w:beforeLines="60" w:before="144" w:afterLines="60" w:after="144" w:line="240" w:lineRule="auto"/>
        <w:jc w:val="both"/>
        <w:rPr>
          <w:rFonts w:eastAsia="Times New Roman"/>
          <w:sz w:val="20"/>
          <w:lang w:eastAsia="en-GB"/>
        </w:rPr>
      </w:pPr>
      <w:r w:rsidRPr="007B2CC8">
        <w:rPr>
          <w:rFonts w:eastAsia="Times New Roman"/>
          <w:noProof/>
          <w:sz w:val="20"/>
          <w:lang w:eastAsia="sl-SI"/>
        </w:rPr>
        <w:drawing>
          <wp:inline distT="0" distB="0" distL="0" distR="0" wp14:anchorId="3148E668" wp14:editId="51A3F02D">
            <wp:extent cx="5649113" cy="2857899"/>
            <wp:effectExtent l="0" t="0" r="0" b="0"/>
            <wp:docPr id="13" name="Slika 13" descr="Največ je bilo prodanih fungicid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jveč je bilo prodanih fungicidov. "/>
                    <pic:cNvPicPr/>
                  </pic:nvPicPr>
                  <pic:blipFill>
                    <a:blip r:embed="rId17">
                      <a:extLst>
                        <a:ext uri="{28A0092B-C50C-407E-A947-70E740481C1C}">
                          <a14:useLocalDpi xmlns:a14="http://schemas.microsoft.com/office/drawing/2010/main" val="0"/>
                        </a:ext>
                      </a:extLst>
                    </a:blip>
                    <a:stretch>
                      <a:fillRect/>
                    </a:stretch>
                  </pic:blipFill>
                  <pic:spPr>
                    <a:xfrm>
                      <a:off x="0" y="0"/>
                      <a:ext cx="5649113" cy="2857899"/>
                    </a:xfrm>
                    <a:prstGeom prst="rect">
                      <a:avLst/>
                    </a:prstGeom>
                  </pic:spPr>
                </pic:pic>
              </a:graphicData>
            </a:graphic>
          </wp:inline>
        </w:drawing>
      </w:r>
    </w:p>
    <w:p w14:paraId="75F6ADAD" w14:textId="341778BF" w:rsidR="00837C52" w:rsidRPr="00837C52" w:rsidRDefault="00837C52" w:rsidP="007F41C6">
      <w:pPr>
        <w:spacing w:beforeLines="60" w:before="144" w:afterLines="60" w:after="144" w:line="240" w:lineRule="auto"/>
        <w:jc w:val="both"/>
        <w:rPr>
          <w:rFonts w:eastAsia="Times New Roman"/>
          <w:sz w:val="16"/>
          <w:szCs w:val="16"/>
          <w:lang w:eastAsia="en-GB"/>
        </w:rPr>
      </w:pPr>
      <w:r w:rsidRPr="00837C52">
        <w:rPr>
          <w:sz w:val="16"/>
          <w:szCs w:val="16"/>
        </w:rPr>
        <w:t>VIR: EUROSTAT</w:t>
      </w:r>
      <w:r w:rsidRPr="00837C52">
        <w:rPr>
          <w:sz w:val="16"/>
          <w:szCs w:val="16"/>
        </w:rPr>
        <w:tab/>
      </w:r>
    </w:p>
    <w:p w14:paraId="3EC931D8" w14:textId="77777777" w:rsidR="00A43BBE" w:rsidRPr="00837C52" w:rsidRDefault="00A43BBE" w:rsidP="00A43BBE">
      <w:pPr>
        <w:spacing w:before="80" w:after="80" w:line="240" w:lineRule="auto"/>
        <w:rPr>
          <w:rFonts w:eastAsia="Times New Roman"/>
          <w:i/>
          <w:noProof/>
          <w:sz w:val="20"/>
          <w:lang w:eastAsia="sl-SI"/>
        </w:rPr>
      </w:pPr>
    </w:p>
    <w:p w14:paraId="6ABBC77F" w14:textId="617875B9" w:rsidR="00F661AA" w:rsidRPr="00837C52" w:rsidRDefault="000A1A7D" w:rsidP="000A1A7D">
      <w:pPr>
        <w:pStyle w:val="Napis"/>
        <w:jc w:val="both"/>
        <w:rPr>
          <w:sz w:val="20"/>
          <w:szCs w:val="20"/>
        </w:rPr>
      </w:pPr>
      <w:bookmarkStart w:id="68" w:name="_Toc55484825"/>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3</w:t>
      </w:r>
      <w:r w:rsidR="004270C0" w:rsidRPr="00837C52">
        <w:rPr>
          <w:noProof/>
          <w:sz w:val="20"/>
          <w:szCs w:val="20"/>
        </w:rPr>
        <w:fldChar w:fldCharType="end"/>
      </w:r>
      <w:r w:rsidRPr="00837C52">
        <w:rPr>
          <w:sz w:val="20"/>
          <w:szCs w:val="20"/>
        </w:rPr>
        <w:t>: Prodaja FFS (kg aktivnih snovi) po glavnih skupinah, Slovenija, letno</w:t>
      </w:r>
      <w:bookmarkEnd w:id="68"/>
      <w:r w:rsidRPr="00837C52">
        <w:rPr>
          <w:sz w:val="20"/>
          <w:szCs w:val="20"/>
        </w:rPr>
        <w:t xml:space="preserve"> </w:t>
      </w:r>
    </w:p>
    <w:tbl>
      <w:tblPr>
        <w:tblW w:w="88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5"/>
        <w:gridCol w:w="1543"/>
        <w:gridCol w:w="1263"/>
        <w:gridCol w:w="1040"/>
      </w:tblGrid>
      <w:tr w:rsidR="00F661AA" w:rsidRPr="00C20BCC" w14:paraId="04A8C215" w14:textId="77777777" w:rsidTr="00CF43DE">
        <w:trPr>
          <w:trHeight w:val="697"/>
        </w:trPr>
        <w:tc>
          <w:tcPr>
            <w:tcW w:w="0" w:type="auto"/>
            <w:vMerge w:val="restart"/>
            <w:tcBorders>
              <w:top w:val="outset" w:sz="6" w:space="0" w:color="auto"/>
              <w:left w:val="outset" w:sz="6" w:space="0" w:color="auto"/>
              <w:bottom w:val="outset" w:sz="6" w:space="0" w:color="auto"/>
              <w:right w:val="outset" w:sz="6" w:space="0" w:color="auto"/>
            </w:tcBorders>
            <w:shd w:val="clear" w:color="auto" w:fill="D9EEF3"/>
            <w:vAlign w:val="center"/>
            <w:hideMark/>
          </w:tcPr>
          <w:p w14:paraId="4ECDC33F" w14:textId="77777777" w:rsidR="00F661AA" w:rsidRPr="00C20BCC" w:rsidRDefault="00F661AA" w:rsidP="00A0744A">
            <w:pPr>
              <w:spacing w:after="160" w:line="259" w:lineRule="auto"/>
              <w:rPr>
                <w:rFonts w:eastAsia="Times New Roman"/>
                <w:b/>
                <w:sz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EEF3"/>
            <w:vAlign w:val="center"/>
            <w:hideMark/>
          </w:tcPr>
          <w:p w14:paraId="46C83894" w14:textId="77777777" w:rsidR="00F661AA" w:rsidRPr="00C20BCC" w:rsidRDefault="00F661AA" w:rsidP="00A0744A">
            <w:pPr>
              <w:spacing w:after="160" w:line="259" w:lineRule="auto"/>
              <w:rPr>
                <w:rFonts w:eastAsia="Times New Roman"/>
                <w:b/>
                <w:sz w:val="20"/>
                <w:lang w:eastAsia="en-GB"/>
              </w:rPr>
            </w:pPr>
            <w:r w:rsidRPr="00C20BCC">
              <w:rPr>
                <w:rFonts w:eastAsia="Times New Roman"/>
                <w:b/>
                <w:sz w:val="20"/>
                <w:lang w:eastAsia="en-GB"/>
              </w:rPr>
              <w:t>2018</w:t>
            </w:r>
          </w:p>
        </w:tc>
        <w:tc>
          <w:tcPr>
            <w:tcW w:w="0" w:type="auto"/>
            <w:tcBorders>
              <w:top w:val="outset" w:sz="6" w:space="0" w:color="auto"/>
              <w:left w:val="outset" w:sz="6" w:space="0" w:color="auto"/>
              <w:bottom w:val="outset" w:sz="6" w:space="0" w:color="auto"/>
              <w:right w:val="outset" w:sz="6" w:space="0" w:color="auto"/>
            </w:tcBorders>
            <w:shd w:val="clear" w:color="auto" w:fill="D9EEF3"/>
            <w:vAlign w:val="center"/>
            <w:hideMark/>
          </w:tcPr>
          <w:p w14:paraId="0A2F66CD" w14:textId="77777777" w:rsidR="00F661AA" w:rsidRPr="00C20BCC" w:rsidRDefault="00F661AA" w:rsidP="00A0744A">
            <w:pPr>
              <w:spacing w:after="160" w:line="259" w:lineRule="auto"/>
              <w:rPr>
                <w:rFonts w:eastAsia="Times New Roman"/>
                <w:b/>
                <w:sz w:val="20"/>
                <w:lang w:eastAsia="en-GB"/>
              </w:rPr>
            </w:pPr>
            <w:r w:rsidRPr="00C20BCC">
              <w:rPr>
                <w:rFonts w:eastAsia="Times New Roman"/>
                <w:b/>
                <w:sz w:val="20"/>
                <w:lang w:eastAsia="en-GB"/>
              </w:rPr>
              <w:t>2019</w:t>
            </w:r>
          </w:p>
        </w:tc>
        <w:tc>
          <w:tcPr>
            <w:tcW w:w="0" w:type="auto"/>
            <w:tcBorders>
              <w:top w:val="outset" w:sz="6" w:space="0" w:color="auto"/>
              <w:left w:val="outset" w:sz="6" w:space="0" w:color="auto"/>
              <w:bottom w:val="outset" w:sz="6" w:space="0" w:color="auto"/>
              <w:right w:val="outset" w:sz="6" w:space="0" w:color="auto"/>
            </w:tcBorders>
            <w:shd w:val="clear" w:color="auto" w:fill="D9EEF3"/>
            <w:vAlign w:val="center"/>
            <w:hideMark/>
          </w:tcPr>
          <w:p w14:paraId="57878290" w14:textId="77777777" w:rsidR="00F661AA" w:rsidRPr="00C20BCC" w:rsidRDefault="00F661AA" w:rsidP="00A0744A">
            <w:pPr>
              <w:spacing w:after="160" w:line="259" w:lineRule="auto"/>
              <w:rPr>
                <w:rFonts w:eastAsia="Times New Roman"/>
                <w:b/>
                <w:sz w:val="20"/>
                <w:lang w:eastAsia="en-GB"/>
              </w:rPr>
            </w:pPr>
            <w:r w:rsidRPr="00C20BCC">
              <w:rPr>
                <w:rFonts w:eastAsia="Times New Roman"/>
                <w:b/>
                <w:sz w:val="20"/>
                <w:lang w:eastAsia="en-GB"/>
              </w:rPr>
              <w:t>I 2019</w:t>
            </w:r>
            <w:r w:rsidRPr="00C20BCC">
              <w:rPr>
                <w:rFonts w:eastAsia="Times New Roman"/>
                <w:b/>
                <w:sz w:val="20"/>
                <w:lang w:eastAsia="en-GB"/>
              </w:rPr>
              <w:br/>
              <w:t>I 2018</w:t>
            </w:r>
          </w:p>
        </w:tc>
      </w:tr>
      <w:tr w:rsidR="00F661AA" w:rsidRPr="00230B5F" w14:paraId="7F705D35" w14:textId="77777777" w:rsidTr="007B2CC8">
        <w:trPr>
          <w:trHeight w:val="45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2A4518" w14:textId="77777777" w:rsidR="00F661AA" w:rsidRPr="00230B5F" w:rsidRDefault="00F661AA" w:rsidP="00A0744A">
            <w:pPr>
              <w:spacing w:after="160" w:line="259" w:lineRule="auto"/>
              <w:rPr>
                <w:rFonts w:eastAsia="Times New Roman"/>
                <w:sz w:val="20"/>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A97CAA"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kg aktivnih snovi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06286" w14:textId="46036250" w:rsidR="00F661AA" w:rsidRPr="00230B5F" w:rsidRDefault="0033061E" w:rsidP="00A0744A">
            <w:pPr>
              <w:spacing w:after="160" w:line="259" w:lineRule="auto"/>
              <w:rPr>
                <w:rFonts w:eastAsia="Times New Roman"/>
                <w:sz w:val="20"/>
                <w:lang w:eastAsia="en-GB"/>
              </w:rPr>
            </w:pPr>
            <w:r w:rsidRPr="00230B5F">
              <w:rPr>
                <w:rFonts w:eastAsia="Times New Roman"/>
                <w:sz w:val="20"/>
                <w:lang w:eastAsia="en-GB"/>
              </w:rPr>
              <w:t>I</w:t>
            </w:r>
            <w:r w:rsidR="00F661AA" w:rsidRPr="00230B5F">
              <w:rPr>
                <w:rFonts w:eastAsia="Times New Roman"/>
                <w:sz w:val="20"/>
                <w:lang w:eastAsia="en-GB"/>
              </w:rPr>
              <w:t>ndeks</w:t>
            </w:r>
          </w:p>
        </w:tc>
      </w:tr>
      <w:tr w:rsidR="00F661AA" w:rsidRPr="00230B5F" w14:paraId="1554B3F4" w14:textId="77777777" w:rsidTr="007B2CC8">
        <w:trPr>
          <w:trHeight w:val="427"/>
        </w:trPr>
        <w:tc>
          <w:tcPr>
            <w:tcW w:w="0" w:type="auto"/>
            <w:tcBorders>
              <w:top w:val="outset" w:sz="6" w:space="0" w:color="auto"/>
              <w:left w:val="outset" w:sz="6" w:space="0" w:color="auto"/>
              <w:bottom w:val="outset" w:sz="6" w:space="0" w:color="auto"/>
              <w:right w:val="outset" w:sz="6" w:space="0" w:color="auto"/>
            </w:tcBorders>
            <w:vAlign w:val="center"/>
            <w:hideMark/>
          </w:tcPr>
          <w:p w14:paraId="14B4B2BE"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Skupaj</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9D97E"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1.171.820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9B901"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999.920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0326"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85,3</w:t>
            </w:r>
          </w:p>
        </w:tc>
      </w:tr>
      <w:tr w:rsidR="00F661AA" w:rsidRPr="00230B5F" w14:paraId="09941326" w14:textId="77777777" w:rsidTr="007B2CC8">
        <w:trPr>
          <w:trHeight w:val="416"/>
        </w:trPr>
        <w:tc>
          <w:tcPr>
            <w:tcW w:w="0" w:type="auto"/>
            <w:tcBorders>
              <w:top w:val="outset" w:sz="6" w:space="0" w:color="auto"/>
              <w:left w:val="outset" w:sz="6" w:space="0" w:color="auto"/>
              <w:bottom w:val="outset" w:sz="6" w:space="0" w:color="auto"/>
              <w:right w:val="outset" w:sz="6" w:space="0" w:color="auto"/>
            </w:tcBorders>
            <w:vAlign w:val="center"/>
            <w:hideMark/>
          </w:tcPr>
          <w:p w14:paraId="6D8867BD"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  Fungicidi in baktericidi</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09E2B"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849.096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AFAA"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751.771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FD0A5"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88,5</w:t>
            </w:r>
          </w:p>
        </w:tc>
      </w:tr>
      <w:tr w:rsidR="00F661AA" w:rsidRPr="00230B5F" w14:paraId="5709EFEE" w14:textId="77777777" w:rsidTr="007B2CC8">
        <w:trPr>
          <w:trHeight w:val="675"/>
        </w:trPr>
        <w:tc>
          <w:tcPr>
            <w:tcW w:w="0" w:type="auto"/>
            <w:tcBorders>
              <w:top w:val="outset" w:sz="6" w:space="0" w:color="auto"/>
              <w:left w:val="outset" w:sz="6" w:space="0" w:color="auto"/>
              <w:bottom w:val="outset" w:sz="6" w:space="0" w:color="auto"/>
              <w:right w:val="outset" w:sz="6" w:space="0" w:color="auto"/>
            </w:tcBorders>
            <w:vAlign w:val="center"/>
            <w:hideMark/>
          </w:tcPr>
          <w:p w14:paraId="10AF5E0B"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 xml:space="preserve">  Herbicidi, snovi za uničevanje </w:t>
            </w:r>
            <w:r w:rsidRPr="00230B5F">
              <w:rPr>
                <w:rFonts w:eastAsia="Times New Roman"/>
                <w:sz w:val="20"/>
                <w:lang w:eastAsia="en-GB"/>
              </w:rPr>
              <w:br/>
              <w:t>  </w:t>
            </w:r>
            <w:proofErr w:type="spellStart"/>
            <w:r w:rsidRPr="00230B5F">
              <w:rPr>
                <w:rFonts w:eastAsia="Times New Roman"/>
                <w:sz w:val="20"/>
                <w:lang w:eastAsia="en-GB"/>
              </w:rPr>
              <w:t>steblovine</w:t>
            </w:r>
            <w:proofErr w:type="spellEnd"/>
            <w:r w:rsidRPr="00230B5F">
              <w:rPr>
                <w:rFonts w:eastAsia="Times New Roman"/>
                <w:sz w:val="20"/>
                <w:lang w:eastAsia="en-GB"/>
              </w:rPr>
              <w:t xml:space="preserve"> in mahu</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7792E"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256.840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0A17E"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197.570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0390F"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76,9</w:t>
            </w:r>
          </w:p>
        </w:tc>
      </w:tr>
      <w:tr w:rsidR="00F661AA" w:rsidRPr="00230B5F" w14:paraId="2095A082" w14:textId="77777777" w:rsidTr="007B2CC8">
        <w:trPr>
          <w:trHeight w:val="416"/>
        </w:trPr>
        <w:tc>
          <w:tcPr>
            <w:tcW w:w="0" w:type="auto"/>
            <w:tcBorders>
              <w:top w:val="outset" w:sz="6" w:space="0" w:color="auto"/>
              <w:left w:val="outset" w:sz="6" w:space="0" w:color="auto"/>
              <w:bottom w:val="outset" w:sz="6" w:space="0" w:color="auto"/>
              <w:right w:val="outset" w:sz="6" w:space="0" w:color="auto"/>
            </w:tcBorders>
            <w:vAlign w:val="center"/>
            <w:hideMark/>
          </w:tcPr>
          <w:p w14:paraId="3346647D"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 xml:space="preserve">  Insekticidi in </w:t>
            </w:r>
            <w:proofErr w:type="spellStart"/>
            <w:r w:rsidRPr="00230B5F">
              <w:rPr>
                <w:rFonts w:eastAsia="Times New Roman"/>
                <w:sz w:val="20"/>
                <w:lang w:eastAsia="en-GB"/>
              </w:rPr>
              <w:t>akaricidi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E89DFE2"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55.019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BE16"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36.856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3BCB"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67,0</w:t>
            </w:r>
          </w:p>
        </w:tc>
      </w:tr>
      <w:tr w:rsidR="00F661AA" w:rsidRPr="00230B5F" w14:paraId="017840F3" w14:textId="77777777" w:rsidTr="007B2CC8">
        <w:trPr>
          <w:trHeight w:val="416"/>
        </w:trPr>
        <w:tc>
          <w:tcPr>
            <w:tcW w:w="0" w:type="auto"/>
            <w:tcBorders>
              <w:top w:val="outset" w:sz="6" w:space="0" w:color="auto"/>
              <w:left w:val="outset" w:sz="6" w:space="0" w:color="auto"/>
              <w:bottom w:val="outset" w:sz="6" w:space="0" w:color="auto"/>
              <w:right w:val="outset" w:sz="6" w:space="0" w:color="auto"/>
            </w:tcBorders>
            <w:vAlign w:val="center"/>
            <w:hideMark/>
          </w:tcPr>
          <w:p w14:paraId="273B52D3"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  </w:t>
            </w:r>
            <w:proofErr w:type="spellStart"/>
            <w:r w:rsidRPr="00230B5F">
              <w:rPr>
                <w:rFonts w:eastAsia="Times New Roman"/>
                <w:sz w:val="20"/>
                <w:lang w:eastAsia="en-GB"/>
              </w:rPr>
              <w:t>Moluskicidi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9E539F4"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1.595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CFC30"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2.278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3A044"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142,8</w:t>
            </w:r>
          </w:p>
        </w:tc>
      </w:tr>
      <w:tr w:rsidR="00F661AA" w:rsidRPr="00230B5F" w14:paraId="2163D27D" w14:textId="77777777" w:rsidTr="007B2CC8">
        <w:trPr>
          <w:trHeight w:val="427"/>
        </w:trPr>
        <w:tc>
          <w:tcPr>
            <w:tcW w:w="0" w:type="auto"/>
            <w:tcBorders>
              <w:top w:val="outset" w:sz="6" w:space="0" w:color="auto"/>
              <w:left w:val="outset" w:sz="6" w:space="0" w:color="auto"/>
              <w:bottom w:val="outset" w:sz="6" w:space="0" w:color="auto"/>
              <w:right w:val="outset" w:sz="6" w:space="0" w:color="auto"/>
            </w:tcBorders>
            <w:vAlign w:val="center"/>
            <w:hideMark/>
          </w:tcPr>
          <w:p w14:paraId="7D6061A5"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lastRenderedPageBreak/>
              <w:t>  Regulatorji rasti rastlin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F000F"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4.826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23444"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7.645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BCF13"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158,4</w:t>
            </w:r>
          </w:p>
        </w:tc>
      </w:tr>
      <w:tr w:rsidR="00F661AA" w:rsidRPr="00230B5F" w14:paraId="5A0A0319" w14:textId="77777777" w:rsidTr="007B2CC8">
        <w:trPr>
          <w:trHeight w:val="416"/>
        </w:trPr>
        <w:tc>
          <w:tcPr>
            <w:tcW w:w="0" w:type="auto"/>
            <w:tcBorders>
              <w:top w:val="outset" w:sz="6" w:space="0" w:color="auto"/>
              <w:left w:val="outset" w:sz="6" w:space="0" w:color="auto"/>
              <w:bottom w:val="outset" w:sz="6" w:space="0" w:color="auto"/>
              <w:right w:val="outset" w:sz="6" w:space="0" w:color="auto"/>
            </w:tcBorders>
            <w:vAlign w:val="center"/>
            <w:hideMark/>
          </w:tcPr>
          <w:p w14:paraId="0D8EBCEF"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  Druga fitofarmacevtska sredstva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E727"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4.446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AA432"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1AFB" w14:textId="77777777" w:rsidR="00F661AA" w:rsidRPr="00230B5F" w:rsidRDefault="00F661AA" w:rsidP="00A0744A">
            <w:pPr>
              <w:spacing w:after="160" w:line="259" w:lineRule="auto"/>
              <w:rPr>
                <w:rFonts w:eastAsia="Times New Roman"/>
                <w:sz w:val="20"/>
                <w:lang w:eastAsia="en-GB"/>
              </w:rPr>
            </w:pPr>
            <w:r w:rsidRPr="00230B5F">
              <w:rPr>
                <w:rFonts w:eastAsia="Times New Roman"/>
                <w:sz w:val="20"/>
                <w:lang w:eastAsia="en-GB"/>
              </w:rPr>
              <w:t>85,5</w:t>
            </w:r>
          </w:p>
        </w:tc>
      </w:tr>
    </w:tbl>
    <w:p w14:paraId="72D22CD7" w14:textId="324CCB2C" w:rsidR="007F41C6" w:rsidRPr="00837C52" w:rsidRDefault="00837C52" w:rsidP="009D6D0D">
      <w:pPr>
        <w:spacing w:before="80" w:after="80" w:line="240" w:lineRule="auto"/>
        <w:rPr>
          <w:rFonts w:eastAsia="Times New Roman"/>
          <w:i/>
          <w:noProof/>
          <w:sz w:val="16"/>
          <w:szCs w:val="16"/>
          <w:lang w:eastAsia="sl-SI"/>
        </w:rPr>
      </w:pPr>
      <w:r w:rsidRPr="00837C52">
        <w:rPr>
          <w:sz w:val="16"/>
          <w:szCs w:val="16"/>
        </w:rPr>
        <w:t>VIR: SURS</w:t>
      </w:r>
    </w:p>
    <w:p w14:paraId="55A45477" w14:textId="390B0FF0" w:rsidR="007F41C6" w:rsidRPr="006A5242" w:rsidRDefault="006A5242" w:rsidP="006A5242">
      <w:pPr>
        <w:pStyle w:val="Naslov2"/>
        <w:rPr>
          <w:rFonts w:ascii="Arial" w:hAnsi="Arial" w:cs="Arial"/>
        </w:rPr>
      </w:pPr>
      <w:bookmarkStart w:id="69" w:name="_Toc55547440"/>
      <w:r w:rsidRPr="006A5242">
        <w:rPr>
          <w:rFonts w:ascii="Arial" w:hAnsi="Arial" w:cs="Arial"/>
        </w:rPr>
        <w:t>3</w:t>
      </w:r>
      <w:r w:rsidR="00C87C51" w:rsidRPr="006A5242">
        <w:rPr>
          <w:rFonts w:ascii="Arial" w:hAnsi="Arial" w:cs="Arial"/>
        </w:rPr>
        <w:t xml:space="preserve">.2 </w:t>
      </w:r>
      <w:r w:rsidR="007F41C6" w:rsidRPr="006A5242">
        <w:rPr>
          <w:rFonts w:ascii="Arial" w:hAnsi="Arial" w:cs="Arial"/>
        </w:rPr>
        <w:t>Podatki o rabi FFS pri uporabnikih</w:t>
      </w:r>
      <w:bookmarkEnd w:id="69"/>
      <w:r w:rsidR="007F41C6" w:rsidRPr="006A5242">
        <w:rPr>
          <w:rFonts w:ascii="Arial" w:hAnsi="Arial" w:cs="Arial"/>
        </w:rPr>
        <w:t xml:space="preserve"> </w:t>
      </w:r>
    </w:p>
    <w:p w14:paraId="1C492C8E" w14:textId="77777777"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Poraba pesticidov v kmetijstvu se izraža s porabo aktivnih snovi v kg/ha. </w:t>
      </w:r>
    </w:p>
    <w:p w14:paraId="3E3EF676" w14:textId="77777777"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Porabe FFS v kmetijstvu ne moremo enačiti s prodajo FFS v Sloveniji iz naslednjih razlogov:</w:t>
      </w:r>
    </w:p>
    <w:p w14:paraId="1081F386" w14:textId="77777777" w:rsidR="007F41C6" w:rsidRPr="00E03F15"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E03F15">
        <w:rPr>
          <w:rFonts w:eastAsia="Times New Roman"/>
          <w:sz w:val="20"/>
          <w:lang w:eastAsia="en-GB"/>
        </w:rPr>
        <w:t>določene aktivne snovi se lahko uporabljajo tudi na drugih površinah, kot na primer za vzdrževanje javnih površin, med njimi cest in železnic in</w:t>
      </w:r>
    </w:p>
    <w:p w14:paraId="6468094F" w14:textId="52346F8E" w:rsidR="007F41C6" w:rsidRDefault="007F41C6" w:rsidP="009B695E">
      <w:pPr>
        <w:numPr>
          <w:ilvl w:val="0"/>
          <w:numId w:val="5"/>
        </w:numPr>
        <w:spacing w:beforeLines="60" w:before="144" w:afterLines="60" w:after="144" w:line="240" w:lineRule="auto"/>
        <w:contextualSpacing/>
        <w:jc w:val="both"/>
        <w:rPr>
          <w:rFonts w:eastAsia="Times New Roman"/>
          <w:sz w:val="20"/>
          <w:lang w:eastAsia="en-GB"/>
        </w:rPr>
      </w:pPr>
      <w:r w:rsidRPr="00E03F15">
        <w:rPr>
          <w:rFonts w:eastAsia="Times New Roman"/>
          <w:sz w:val="20"/>
          <w:lang w:eastAsia="en-GB"/>
        </w:rPr>
        <w:t xml:space="preserve">ker je potreba po uporabi FFS močno odvisna od vremenskih razmer, vse nabavljene količine </w:t>
      </w:r>
      <w:r w:rsidR="009B7104">
        <w:rPr>
          <w:rFonts w:eastAsia="Times New Roman"/>
          <w:sz w:val="20"/>
          <w:lang w:eastAsia="en-GB"/>
        </w:rPr>
        <w:t xml:space="preserve">se </w:t>
      </w:r>
      <w:r w:rsidRPr="00E03F15">
        <w:rPr>
          <w:rFonts w:eastAsia="Times New Roman"/>
          <w:sz w:val="20"/>
          <w:lang w:eastAsia="en-GB"/>
        </w:rPr>
        <w:t xml:space="preserve">lahko ne uporabijo v tekočem letu, ampak ostanejo na zalogi pri pridelovalcu za uporabo v naslednjem letu. </w:t>
      </w:r>
    </w:p>
    <w:p w14:paraId="40A875A0" w14:textId="77777777" w:rsidR="00750B72" w:rsidRPr="00E03F15" w:rsidRDefault="00750B72" w:rsidP="00750B72">
      <w:pPr>
        <w:spacing w:beforeLines="60" w:before="144" w:afterLines="60" w:after="144" w:line="240" w:lineRule="auto"/>
        <w:ind w:left="360"/>
        <w:contextualSpacing/>
        <w:jc w:val="both"/>
        <w:rPr>
          <w:rFonts w:eastAsia="Times New Roman"/>
          <w:sz w:val="20"/>
          <w:lang w:eastAsia="en-GB"/>
        </w:rPr>
      </w:pPr>
    </w:p>
    <w:p w14:paraId="063A0D4B" w14:textId="12EAEC64"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Po </w:t>
      </w:r>
      <w:r w:rsidR="009342D7" w:rsidRPr="007B2CC8">
        <w:rPr>
          <w:rFonts w:eastAsia="Times New Roman"/>
          <w:sz w:val="20"/>
          <w:lang w:eastAsia="en-GB"/>
        </w:rPr>
        <w:t>Zakonu o fitofarmacevtskih sredstvih (Uradni list RS št. 83/12; v nadaljnjem besedilu: ZFfS-1)</w:t>
      </w:r>
      <w:r w:rsidRPr="00E03F15">
        <w:rPr>
          <w:rFonts w:eastAsia="Times New Roman"/>
          <w:sz w:val="20"/>
          <w:lang w:eastAsia="en-GB"/>
        </w:rPr>
        <w:t xml:space="preserve"> morajo uporabniki FFS za poklicno rabo pri sebi za dobo 3 let hraniti evidenco uporabe FFS za primer inšpekcijskega nadzora. Isti člen določa, da morajo na zahtevo evidenco dostaviti </w:t>
      </w:r>
      <w:r w:rsidR="00750B72">
        <w:rPr>
          <w:rFonts w:eastAsia="Times New Roman"/>
          <w:sz w:val="20"/>
          <w:lang w:eastAsia="en-GB"/>
        </w:rPr>
        <w:t>UVHVVR</w:t>
      </w:r>
      <w:r w:rsidRPr="00E03F15">
        <w:rPr>
          <w:rFonts w:eastAsia="Times New Roman"/>
          <w:sz w:val="20"/>
          <w:lang w:eastAsia="en-GB"/>
        </w:rPr>
        <w:t xml:space="preserve"> ter, da jo ta lahko posreduje </w:t>
      </w:r>
      <w:r w:rsidR="009342D7">
        <w:rPr>
          <w:rFonts w:eastAsia="Times New Roman"/>
          <w:sz w:val="20"/>
          <w:lang w:eastAsia="en-GB"/>
        </w:rPr>
        <w:t xml:space="preserve">Statističnemu uradu Republike Slovenije (v nadaljnjem besedilu: </w:t>
      </w:r>
      <w:r w:rsidRPr="00E03F15">
        <w:rPr>
          <w:rFonts w:eastAsia="Times New Roman"/>
          <w:sz w:val="20"/>
          <w:lang w:eastAsia="en-GB"/>
        </w:rPr>
        <w:t>SURS</w:t>
      </w:r>
      <w:r w:rsidR="009342D7">
        <w:rPr>
          <w:rFonts w:eastAsia="Times New Roman"/>
          <w:sz w:val="20"/>
          <w:lang w:eastAsia="en-GB"/>
        </w:rPr>
        <w:t>)</w:t>
      </w:r>
      <w:r w:rsidRPr="00E03F15">
        <w:rPr>
          <w:rFonts w:eastAsia="Times New Roman"/>
          <w:sz w:val="20"/>
          <w:lang w:eastAsia="en-GB"/>
        </w:rPr>
        <w:t xml:space="preserve"> za statistične namene.</w:t>
      </w:r>
    </w:p>
    <w:p w14:paraId="74C45790" w14:textId="24C939AD"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Tako je </w:t>
      </w:r>
      <w:r w:rsidR="00537686">
        <w:rPr>
          <w:rFonts w:eastAsia="Times New Roman"/>
          <w:sz w:val="20"/>
          <w:lang w:eastAsia="en-GB"/>
        </w:rPr>
        <w:t xml:space="preserve">UVHVVR </w:t>
      </w:r>
      <w:r w:rsidRPr="00E03F15">
        <w:rPr>
          <w:rFonts w:eastAsia="Times New Roman"/>
          <w:sz w:val="20"/>
          <w:lang w:eastAsia="en-GB"/>
        </w:rPr>
        <w:t>nazadnje zbrala te podatke na ustreznem vzorcu za leto 2017 in jih posredovala SURS-u za obdelavo v skladu s predpisanimi statističnimi metodami iz EU Uredbe (EC) 1185/2009. SURS je rezultate objavil na svojih spletnih straneh:</w:t>
      </w:r>
      <w:r w:rsidR="007B2CC8">
        <w:rPr>
          <w:rFonts w:eastAsia="Times New Roman"/>
          <w:sz w:val="20"/>
          <w:lang w:eastAsia="en-GB"/>
        </w:rPr>
        <w:t xml:space="preserve"> </w:t>
      </w:r>
      <w:hyperlink r:id="rId18" w:history="1">
        <w:r w:rsidR="007B2CC8" w:rsidRPr="007B2CC8">
          <w:rPr>
            <w:rStyle w:val="Hiperpovezava"/>
            <w:rFonts w:eastAsia="Times New Roman"/>
            <w:sz w:val="20"/>
            <w:lang w:eastAsia="en-GB"/>
          </w:rPr>
          <w:t>https://www.stat.si/StatWeb/News/Index/8014</w:t>
        </w:r>
      </w:hyperlink>
    </w:p>
    <w:p w14:paraId="2B6027B9" w14:textId="77777777"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Po podatkih SURS je bila uporaba pesticidov v kmetijstvu za približno polovico manjša od prodaje FFS. </w:t>
      </w:r>
    </w:p>
    <w:p w14:paraId="22522AC2" w14:textId="1C655ED2" w:rsidR="007F41C6" w:rsidRPr="00D92E6F" w:rsidRDefault="007F41C6" w:rsidP="00D92E6F">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Povprečno največ FFS na hektar celotne osnovne površine s posamezno kmetijsko kulturo je bilo porabljenih v vinogradih (21 kg/ha) in v sadovnjakih (19,3 kg/ha). Na omenjenih kmetijskih zemljiščih so se večinoma uporabljali fungicidi, in sicer v vinogradih 20,5 kg/ha, v sadovnjakih pa 14,4 kg/ha. Na površinah, posejanih s pšenico in piro, je bilo porabljenih povprečno 0,6 kg fitofarmacevtskih sredstev na hektar, od tega fungicidov 0,3 kg/ha in herbicidov 0,3 kg/ha. Na površinah, posejanih s koruzo (za zrnje in za silažo), je bilo porabljenih povprečno 0,8 kg fitofarmacevtskih sredstev na hektar (v glavnem so bili to herbicidi). Kar 80 odstotkov vseh FFS porabljenih v kmetijstvu v letu 2017, je bilo porabljenih v trajnih nasadih. (Vir: SURS).  </w:t>
      </w:r>
    </w:p>
    <w:p w14:paraId="216E074B" w14:textId="32F20527" w:rsidR="007F41C6" w:rsidRPr="006A5242" w:rsidRDefault="006A5242" w:rsidP="006A5242">
      <w:pPr>
        <w:pStyle w:val="Naslov2"/>
        <w:rPr>
          <w:rFonts w:ascii="Arial" w:hAnsi="Arial" w:cs="Arial"/>
        </w:rPr>
      </w:pPr>
      <w:bookmarkStart w:id="70" w:name="_Toc55547441"/>
      <w:r w:rsidRPr="006A5242">
        <w:rPr>
          <w:rFonts w:ascii="Arial" w:hAnsi="Arial" w:cs="Arial"/>
        </w:rPr>
        <w:t>3</w:t>
      </w:r>
      <w:r w:rsidR="00C87C51" w:rsidRPr="006A5242">
        <w:rPr>
          <w:rFonts w:ascii="Arial" w:hAnsi="Arial" w:cs="Arial"/>
        </w:rPr>
        <w:t>.</w:t>
      </w:r>
      <w:r w:rsidR="00DD0AC6" w:rsidRPr="006A5242">
        <w:rPr>
          <w:rFonts w:ascii="Arial" w:hAnsi="Arial" w:cs="Arial"/>
        </w:rPr>
        <w:t>3</w:t>
      </w:r>
      <w:r w:rsidR="007F41C6" w:rsidRPr="006A5242">
        <w:rPr>
          <w:rFonts w:ascii="Arial" w:hAnsi="Arial" w:cs="Arial"/>
        </w:rPr>
        <w:t xml:space="preserve"> Izvajanje </w:t>
      </w:r>
      <w:r w:rsidR="00155E54" w:rsidRPr="006A5242">
        <w:rPr>
          <w:rFonts w:ascii="Arial" w:hAnsi="Arial" w:cs="Arial"/>
        </w:rPr>
        <w:t>Nacionalnega akcijskega programa</w:t>
      </w:r>
      <w:r w:rsidR="007F41C6" w:rsidRPr="006A5242">
        <w:rPr>
          <w:rFonts w:ascii="Arial" w:hAnsi="Arial" w:cs="Arial"/>
        </w:rPr>
        <w:t xml:space="preserve"> za doseganje trajnostne rabe FFS</w:t>
      </w:r>
      <w:bookmarkEnd w:id="70"/>
      <w:r w:rsidR="007F41C6" w:rsidRPr="006A5242">
        <w:rPr>
          <w:rFonts w:ascii="Arial" w:hAnsi="Arial" w:cs="Arial"/>
        </w:rPr>
        <w:t xml:space="preserve"> </w:t>
      </w:r>
    </w:p>
    <w:p w14:paraId="1109BC7D" w14:textId="52EF6BA8" w:rsidR="007F41C6" w:rsidRPr="00E03F15" w:rsidRDefault="000E431C" w:rsidP="007B2CC8">
      <w:pPr>
        <w:spacing w:before="120" w:after="0" w:line="240" w:lineRule="auto"/>
        <w:jc w:val="both"/>
        <w:rPr>
          <w:rFonts w:eastAsia="Times New Roman"/>
          <w:i/>
          <w:sz w:val="20"/>
          <w:u w:val="single"/>
          <w:lang w:eastAsia="en-GB"/>
        </w:rPr>
      </w:pPr>
      <w:r w:rsidRPr="007B2CC8">
        <w:rPr>
          <w:rFonts w:eastAsia="Times New Roman"/>
          <w:sz w:val="20"/>
          <w:lang w:eastAsia="en-GB"/>
        </w:rPr>
        <w:t xml:space="preserve">Akcijski programi za zmanjševanje tveganj zaradi uporabe pesticidov za zdravje ljudi in okolje v državah članicah temeljijo na Tematski strategiji o trajnostni rabi pesticidov, ki jo je leta 2002 sprejel Evropski parlament. Evropska komisija je te usmeritve upoštevala s sprejetjem svežnja zakonodaje, s katero je predpisala stroga merila za registracijo FFS, zbiranje podatkov o prodaji in uporabi FFS ter ukrepe v okviru zakonodaje o trajnostni rabi FFS. Vse ukrepe zajema </w:t>
      </w:r>
      <w:r w:rsidR="00155E54">
        <w:rPr>
          <w:rFonts w:eastAsia="Times New Roman"/>
          <w:sz w:val="20"/>
          <w:lang w:eastAsia="en-GB"/>
        </w:rPr>
        <w:t xml:space="preserve">Nacionalni akcijski program za doseganje trajnostne rabe FFS (v nadaljnjem besedilu: </w:t>
      </w:r>
      <w:r>
        <w:rPr>
          <w:rFonts w:eastAsia="Times New Roman"/>
          <w:sz w:val="20"/>
          <w:lang w:eastAsia="en-GB"/>
        </w:rPr>
        <w:t>NAP</w:t>
      </w:r>
      <w:r w:rsidR="00155E54">
        <w:rPr>
          <w:rFonts w:eastAsia="Times New Roman"/>
          <w:sz w:val="20"/>
          <w:lang w:eastAsia="en-GB"/>
        </w:rPr>
        <w:t>)</w:t>
      </w:r>
      <w:r w:rsidRPr="007B2CC8">
        <w:rPr>
          <w:rFonts w:eastAsia="Times New Roman"/>
          <w:sz w:val="20"/>
          <w:lang w:eastAsia="en-GB"/>
        </w:rPr>
        <w:t xml:space="preserve"> s ciljem zmanjšati tveganja na področju možnega vpliva FFS na zdravje ljudi, živali, pitno vodo, površinske in podzemne vode ter drugo okolje.</w:t>
      </w:r>
      <w:r w:rsidRPr="00E03F15" w:rsidDel="000E431C">
        <w:rPr>
          <w:rFonts w:eastAsia="Times New Roman"/>
          <w:sz w:val="20"/>
          <w:lang w:eastAsia="en-GB"/>
        </w:rPr>
        <w:t xml:space="preserve"> </w:t>
      </w:r>
      <w:r w:rsidR="007F41C6" w:rsidRPr="00E03F15">
        <w:rPr>
          <w:rFonts w:eastAsia="Times New Roman"/>
          <w:sz w:val="20"/>
          <w:lang w:eastAsia="en-GB"/>
        </w:rPr>
        <w:t xml:space="preserve">NAP tako obravnava vse ukrepe za zmanjšanje tveganja zaradi uporabe FFS, od izobraževanja in informiranja, tehničnih pogojev za trgovanje s FFS in njihovo uporabo, spremljanja in uradnega nadzora nad uporabo FFS, pridelano hrano in pitno vodo do zmanjšanja uporabe FFS na javnih površinah. Ukrepi so namenjeni ozaveščanju uporabnikov o pravilni rabi FFS s poudarkom na varovanju podzemnih in površinskih voda ter čebel, varnemu odstranjevanju odpadkov in odpadne embalaže FFS, spodbujanju integrirane in ekološke pridelave ter uporabe </w:t>
      </w:r>
      <w:proofErr w:type="spellStart"/>
      <w:r w:rsidR="007F41C6" w:rsidRPr="00E03F15">
        <w:rPr>
          <w:rFonts w:eastAsia="Times New Roman"/>
          <w:sz w:val="20"/>
          <w:lang w:eastAsia="en-GB"/>
        </w:rPr>
        <w:t>nekemičnih</w:t>
      </w:r>
      <w:proofErr w:type="spellEnd"/>
      <w:r w:rsidR="007F41C6" w:rsidRPr="00E03F15">
        <w:rPr>
          <w:rFonts w:eastAsia="Times New Roman"/>
          <w:sz w:val="20"/>
          <w:lang w:eastAsia="en-GB"/>
        </w:rPr>
        <w:t xml:space="preserve"> metod varstva rastlin in metod varstva rastlin z majhnim tveganjem (Vir: </w:t>
      </w:r>
      <w:hyperlink r:id="rId19" w:history="1">
        <w:r w:rsidR="007F41C6" w:rsidRPr="00E03F15">
          <w:rPr>
            <w:rFonts w:eastAsia="Times New Roman"/>
            <w:color w:val="0000FF" w:themeColor="hyperlink"/>
            <w:sz w:val="20"/>
            <w:u w:val="single"/>
            <w:lang w:eastAsia="en-GB"/>
          </w:rPr>
          <w:t>https://www.gov.si/assets/organi-v-sestavi/UVHVVR/FFS/NAP2VladaCistopis.doc</w:t>
        </w:r>
      </w:hyperlink>
      <w:r w:rsidR="007F41C6" w:rsidRPr="00E03F15">
        <w:rPr>
          <w:rFonts w:eastAsia="Times New Roman"/>
          <w:sz w:val="20"/>
          <w:lang w:eastAsia="en-GB"/>
        </w:rPr>
        <w:t>).</w:t>
      </w:r>
    </w:p>
    <w:p w14:paraId="73E88D70" w14:textId="7AA39F14" w:rsidR="007F41C6" w:rsidRPr="00E03F15" w:rsidRDefault="007F41C6" w:rsidP="007F41C6">
      <w:pPr>
        <w:spacing w:before="120" w:after="100" w:afterAutospacing="1" w:line="240" w:lineRule="auto"/>
        <w:jc w:val="both"/>
        <w:rPr>
          <w:rFonts w:eastAsia="Times New Roman"/>
          <w:sz w:val="20"/>
          <w:lang w:eastAsia="en-GB"/>
        </w:rPr>
      </w:pPr>
      <w:r w:rsidRPr="00E03F15">
        <w:rPr>
          <w:rFonts w:eastAsia="Times New Roman"/>
          <w:sz w:val="20"/>
          <w:lang w:eastAsia="en-GB"/>
        </w:rPr>
        <w:t xml:space="preserve">V Sloveniji je bil sistem usposabljanja uporabnikov, distributerjev FFS in predavateljev predpisan že leta 1994 na podlagi zakona, ki je urejal FFS. Sistem osnovnega in obnovitvenega usposabljanja za svetovalce, prodajalce in uporabnike FFS, ki so namenjena za poklicno rabo, je bil vzpostavljen že </w:t>
      </w:r>
      <w:r w:rsidRPr="00E03F15">
        <w:rPr>
          <w:rFonts w:eastAsia="Times New Roman"/>
          <w:sz w:val="20"/>
          <w:lang w:eastAsia="en-GB"/>
        </w:rPr>
        <w:lastRenderedPageBreak/>
        <w:t xml:space="preserve">pred 14. decembrom 2014. </w:t>
      </w:r>
      <w:r w:rsidR="00D92E6F">
        <w:rPr>
          <w:rFonts w:eastAsia="Times New Roman"/>
          <w:sz w:val="20"/>
          <w:lang w:eastAsia="en-GB"/>
        </w:rPr>
        <w:t>I</w:t>
      </w:r>
      <w:r w:rsidRPr="00E03F15">
        <w:rPr>
          <w:rFonts w:eastAsia="Times New Roman"/>
          <w:sz w:val="20"/>
          <w:lang w:eastAsia="en-GB"/>
        </w:rPr>
        <w:t>zvajalci, ki izdajajo izkaznice</w:t>
      </w:r>
      <w:r w:rsidR="00D92E6F">
        <w:rPr>
          <w:rFonts w:eastAsia="Times New Roman"/>
          <w:sz w:val="20"/>
          <w:lang w:eastAsia="en-GB"/>
        </w:rPr>
        <w:t>, so pooblaščeni</w:t>
      </w:r>
      <w:r w:rsidRPr="00E03F15">
        <w:rPr>
          <w:rFonts w:eastAsia="Times New Roman"/>
          <w:sz w:val="20"/>
          <w:lang w:eastAsia="en-GB"/>
        </w:rPr>
        <w:t xml:space="preserve">. Ocenjujemo, da so se do sedaj v usposabljanje </w:t>
      </w:r>
      <w:r w:rsidR="00D92E6F">
        <w:rPr>
          <w:rFonts w:eastAsia="Times New Roman"/>
          <w:sz w:val="20"/>
          <w:lang w:eastAsia="en-GB"/>
        </w:rPr>
        <w:t xml:space="preserve">vključili </w:t>
      </w:r>
      <w:r w:rsidRPr="00E03F15">
        <w:rPr>
          <w:rFonts w:eastAsia="Times New Roman"/>
          <w:sz w:val="20"/>
          <w:lang w:eastAsia="en-GB"/>
        </w:rPr>
        <w:t>vsi potencialni uporabniki FFS, ki so dovoljena za poklicno rabo</w:t>
      </w:r>
      <w:r w:rsidR="00D92E6F">
        <w:rPr>
          <w:rFonts w:eastAsia="Times New Roman"/>
          <w:sz w:val="20"/>
          <w:lang w:eastAsia="en-GB"/>
        </w:rPr>
        <w:t>,</w:t>
      </w:r>
      <w:r w:rsidRPr="00E03F15">
        <w:rPr>
          <w:rFonts w:eastAsia="Times New Roman"/>
          <w:sz w:val="20"/>
          <w:lang w:eastAsia="en-GB"/>
        </w:rPr>
        <w:t xml:space="preserve"> in prodajalci FFS. </w:t>
      </w:r>
    </w:p>
    <w:p w14:paraId="3B86EA96" w14:textId="5138950E"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V informiranje uporabnikov o varni rabi FFS se vključuje tudi Gospodarsko interesno združenje proizvajalcev, distributerjev in zastopnikov FFS (</w:t>
      </w:r>
      <w:r w:rsidR="00E91D83">
        <w:rPr>
          <w:rFonts w:eastAsia="Times New Roman"/>
          <w:sz w:val="20"/>
          <w:lang w:eastAsia="en-GB"/>
        </w:rPr>
        <w:t xml:space="preserve">v </w:t>
      </w:r>
      <w:r w:rsidR="00E92DA3">
        <w:rPr>
          <w:rFonts w:eastAsia="Times New Roman"/>
          <w:sz w:val="20"/>
          <w:lang w:eastAsia="en-GB"/>
        </w:rPr>
        <w:t>nadaljnjem besedilu</w:t>
      </w:r>
      <w:r w:rsidR="00E91D83">
        <w:rPr>
          <w:rFonts w:eastAsia="Times New Roman"/>
          <w:sz w:val="20"/>
          <w:lang w:eastAsia="en-GB"/>
        </w:rPr>
        <w:t xml:space="preserve">: </w:t>
      </w:r>
      <w:r w:rsidRPr="00E03F15">
        <w:rPr>
          <w:rFonts w:eastAsia="Times New Roman"/>
          <w:sz w:val="20"/>
          <w:lang w:eastAsia="en-GB"/>
        </w:rPr>
        <w:t xml:space="preserve">GIZ </w:t>
      </w:r>
      <w:proofErr w:type="spellStart"/>
      <w:r w:rsidRPr="00E03F15">
        <w:rPr>
          <w:rFonts w:eastAsia="Times New Roman"/>
          <w:sz w:val="20"/>
          <w:lang w:eastAsia="en-GB"/>
        </w:rPr>
        <w:t>fitofarmacije</w:t>
      </w:r>
      <w:proofErr w:type="spellEnd"/>
      <w:r w:rsidRPr="00E03F15">
        <w:rPr>
          <w:rFonts w:eastAsia="Times New Roman"/>
          <w:sz w:val="20"/>
          <w:lang w:eastAsia="en-GB"/>
        </w:rPr>
        <w:t xml:space="preserve">), ki med drugim sofinancira izdajo brošur. V letih 2013, 2014 in 2015 so bile izdane naslednje brošure: Preprečevanje točkovnega onesnaženja s FFS, Preprečevanje zanašanja, Ravnanje z odpadno embalažo FFS in odpadnimi FFS iz kmetijstva, 12 osnovnih korakov varne rabe FFS, Varna uporaba FFS- nasveti za male uporabnike, Opozorila pred ponarejenimi in nelegalnimi FFS s filmom, Priporočila za osebno varovalno opremo s kompleti osebne varovalne opreme za svetovalce in izvajalce usposabljanja ter filmom. Izdana sta bila tudi priročnika: Dobra kmetijska praksa za varovanje voda in </w:t>
      </w:r>
      <w:proofErr w:type="spellStart"/>
      <w:r w:rsidRPr="00E03F15">
        <w:rPr>
          <w:rFonts w:eastAsia="Times New Roman"/>
          <w:sz w:val="20"/>
          <w:lang w:eastAsia="en-GB"/>
        </w:rPr>
        <w:t>Biopurifikacija</w:t>
      </w:r>
      <w:proofErr w:type="spellEnd"/>
      <w:r w:rsidRPr="00E03F15">
        <w:rPr>
          <w:rFonts w:eastAsia="Times New Roman"/>
          <w:sz w:val="20"/>
          <w:lang w:eastAsia="en-GB"/>
        </w:rPr>
        <w:t xml:space="preserve"> in ponatis priročnika: Temeljnih načel dobre prakse varstva rastlin in varne uporabe FFS.</w:t>
      </w:r>
    </w:p>
    <w:p w14:paraId="41E261B8" w14:textId="77777777"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 xml:space="preserve">Vsako leto GIZ </w:t>
      </w:r>
      <w:proofErr w:type="spellStart"/>
      <w:r w:rsidRPr="00E03F15">
        <w:rPr>
          <w:rFonts w:eastAsia="Times New Roman"/>
          <w:sz w:val="20"/>
          <w:lang w:eastAsia="en-GB"/>
        </w:rPr>
        <w:t>fitofarmacije</w:t>
      </w:r>
      <w:proofErr w:type="spellEnd"/>
      <w:r w:rsidRPr="00E03F15">
        <w:rPr>
          <w:rFonts w:eastAsia="Times New Roman"/>
          <w:sz w:val="20"/>
          <w:lang w:eastAsia="en-GB"/>
        </w:rPr>
        <w:t xml:space="preserve"> organizirajo enodnevno delavnico varne rabe FFS za svetovalce za FFS. Na delavnicah so podrobno prikazani glavni postopki rokovanja in uporabe FFS.</w:t>
      </w:r>
    </w:p>
    <w:p w14:paraId="24CBB8E5" w14:textId="10F3E579" w:rsidR="007F41C6" w:rsidRPr="00E03F15" w:rsidRDefault="007F41C6" w:rsidP="007F41C6">
      <w:pPr>
        <w:spacing w:before="80" w:after="100" w:afterAutospacing="1" w:line="240" w:lineRule="auto"/>
        <w:jc w:val="both"/>
        <w:rPr>
          <w:rFonts w:eastAsia="Times New Roman"/>
          <w:sz w:val="20"/>
          <w:lang w:eastAsia="en-GB"/>
        </w:rPr>
      </w:pPr>
      <w:r w:rsidRPr="00E03F15">
        <w:rPr>
          <w:rFonts w:eastAsia="Times New Roman"/>
          <w:sz w:val="20"/>
          <w:lang w:eastAsia="en-GB"/>
        </w:rPr>
        <w:t xml:space="preserve">V Sloveniji je pregled naprav za nanašanje FFS obvezen že od leta 1994. S takratno zakonodajo je bil predpisan tudi 2 letni interval rednega pregledovanja naprav. Po uveljavitvi </w:t>
      </w:r>
      <w:r w:rsidR="003C2BB4">
        <w:rPr>
          <w:rFonts w:eastAsia="Times New Roman"/>
          <w:sz w:val="20"/>
          <w:lang w:eastAsia="en-GB"/>
        </w:rPr>
        <w:t>Direktive</w:t>
      </w:r>
      <w:r w:rsidR="003C2BB4" w:rsidRPr="00E03F15">
        <w:rPr>
          <w:rFonts w:eastAsia="Times New Roman"/>
          <w:sz w:val="20"/>
          <w:lang w:eastAsia="en-GB"/>
        </w:rPr>
        <w:t xml:space="preserve"> </w:t>
      </w:r>
      <w:r w:rsidRPr="00E03F15">
        <w:rPr>
          <w:rFonts w:eastAsia="Times New Roman"/>
          <w:sz w:val="20"/>
          <w:lang w:eastAsia="en-GB"/>
        </w:rPr>
        <w:t xml:space="preserve">in implementacije njenih določb v slovenski pravni red z ZFfS-1 leta 2012, je bil ta interval na zahtevo </w:t>
      </w:r>
      <w:r w:rsidR="003C2BB4">
        <w:rPr>
          <w:rFonts w:eastAsia="Times New Roman"/>
          <w:sz w:val="20"/>
          <w:lang w:eastAsia="en-GB"/>
        </w:rPr>
        <w:t xml:space="preserve">Kmetijsko gospodarske zbornice Slovenije </w:t>
      </w:r>
      <w:r w:rsidRPr="00E03F15">
        <w:rPr>
          <w:rFonts w:eastAsia="Times New Roman"/>
          <w:sz w:val="20"/>
          <w:lang w:eastAsia="en-GB"/>
        </w:rPr>
        <w:t xml:space="preserve"> podaljšan na 3 leta. Ministrstvo </w:t>
      </w:r>
      <w:r w:rsidR="003C2BB4">
        <w:rPr>
          <w:rFonts w:eastAsia="Times New Roman"/>
          <w:sz w:val="20"/>
          <w:lang w:eastAsia="en-GB"/>
        </w:rPr>
        <w:t>za kmetijstvo, gozdarstvo in prehrano (v nadaljnjem besedilu: Ministrstvo)</w:t>
      </w:r>
      <w:r w:rsidRPr="00E03F15">
        <w:rPr>
          <w:rFonts w:eastAsia="Times New Roman"/>
          <w:sz w:val="20"/>
          <w:lang w:eastAsia="en-GB"/>
        </w:rPr>
        <w:t>je v letu 2018/2019 sprejelo spremembe Pravilnika, ki ureja naprave za nanašanje FFS</w:t>
      </w:r>
      <w:r w:rsidR="00384EB4">
        <w:rPr>
          <w:rFonts w:eastAsia="Times New Roman"/>
          <w:sz w:val="20"/>
          <w:lang w:eastAsia="en-GB"/>
        </w:rPr>
        <w:t xml:space="preserve"> (</w:t>
      </w:r>
      <w:r w:rsidR="00384EB4" w:rsidRPr="00DD0AC6">
        <w:rPr>
          <w:rFonts w:eastAsia="Times New Roman"/>
          <w:sz w:val="20"/>
          <w:lang w:eastAsia="en-GB"/>
        </w:rPr>
        <w:t>Uradni list RS, št. 36/2019)</w:t>
      </w:r>
      <w:r w:rsidRPr="00E03F15">
        <w:rPr>
          <w:rFonts w:eastAsia="Times New Roman"/>
          <w:sz w:val="20"/>
          <w:lang w:eastAsia="en-GB"/>
        </w:rPr>
        <w:t xml:space="preserve"> na način, da se je implementiral nov standard SIST ISO EN 16122-1- 4:2015. V okviru </w:t>
      </w:r>
      <w:r w:rsidR="003C2BB4" w:rsidRPr="00DD0AC6">
        <w:rPr>
          <w:rFonts w:eastAsia="Times New Roman"/>
          <w:sz w:val="20"/>
          <w:lang w:eastAsia="en-GB"/>
        </w:rPr>
        <w:t>ukrepov Programa razvoja podeželja 2014-2020</w:t>
      </w:r>
      <w:r w:rsidR="003C2BB4">
        <w:t xml:space="preserve"> </w:t>
      </w:r>
      <w:r w:rsidRPr="00E03F15">
        <w:rPr>
          <w:rFonts w:eastAsia="Times New Roman"/>
          <w:sz w:val="20"/>
          <w:lang w:eastAsia="en-GB"/>
        </w:rPr>
        <w:t xml:space="preserve">Ministrstvo </w:t>
      </w:r>
      <w:r w:rsidR="00505BA5">
        <w:rPr>
          <w:rFonts w:eastAsia="Times New Roman"/>
          <w:sz w:val="20"/>
          <w:lang w:eastAsia="en-GB"/>
        </w:rPr>
        <w:t>s</w:t>
      </w:r>
      <w:r w:rsidRPr="00E03F15">
        <w:rPr>
          <w:rFonts w:eastAsia="Times New Roman"/>
          <w:sz w:val="20"/>
          <w:lang w:eastAsia="en-GB"/>
        </w:rPr>
        <w:t xml:space="preserve">podbuja nakup novih naprav, ki so tehnično bolj ustrezne. </w:t>
      </w:r>
    </w:p>
    <w:p w14:paraId="3680F5FE" w14:textId="03CCD4C4" w:rsidR="007F41C6" w:rsidRPr="00E03F15" w:rsidRDefault="007F41C6" w:rsidP="00DD0AC6">
      <w:pPr>
        <w:autoSpaceDE w:val="0"/>
        <w:autoSpaceDN w:val="0"/>
        <w:adjustRightInd w:val="0"/>
        <w:spacing w:after="0" w:line="240" w:lineRule="auto"/>
        <w:jc w:val="both"/>
        <w:rPr>
          <w:rFonts w:eastAsia="Times New Roman"/>
          <w:sz w:val="20"/>
          <w:lang w:eastAsia="en-GB"/>
        </w:rPr>
      </w:pPr>
      <w:r w:rsidRPr="00E03F15">
        <w:rPr>
          <w:rFonts w:eastAsia="Times New Roman"/>
          <w:sz w:val="20"/>
          <w:lang w:eastAsia="en-GB"/>
        </w:rPr>
        <w:t>Leta 201</w:t>
      </w:r>
      <w:r w:rsidR="005D586F">
        <w:rPr>
          <w:rFonts w:eastAsia="Times New Roman"/>
          <w:sz w:val="20"/>
          <w:lang w:eastAsia="en-GB"/>
        </w:rPr>
        <w:t>8</w:t>
      </w:r>
      <w:r w:rsidRPr="00E03F15">
        <w:rPr>
          <w:rFonts w:eastAsia="Times New Roman"/>
          <w:sz w:val="20"/>
          <w:lang w:eastAsia="en-GB"/>
        </w:rPr>
        <w:t xml:space="preserve"> je Ministrstvo izdalo spremenjen Pravilnik</w:t>
      </w:r>
      <w:r w:rsidR="005D586F">
        <w:rPr>
          <w:rFonts w:eastAsia="Times New Roman"/>
          <w:sz w:val="20"/>
          <w:lang w:eastAsia="en-GB"/>
        </w:rPr>
        <w:t xml:space="preserve"> (</w:t>
      </w:r>
      <w:r w:rsidR="005D586F" w:rsidRPr="00DD0AC6">
        <w:rPr>
          <w:rFonts w:eastAsia="Times New Roman"/>
          <w:sz w:val="20"/>
          <w:lang w:eastAsia="en-GB"/>
        </w:rPr>
        <w:t>Uradni list RS, št. 71/14 in 28/18</w:t>
      </w:r>
      <w:r w:rsidR="005D586F">
        <w:rPr>
          <w:rFonts w:ascii="Times New Roman" w:hAnsi="Times New Roman" w:cs="Times New Roman"/>
        </w:rPr>
        <w:t>)</w:t>
      </w:r>
      <w:r w:rsidR="00D92E6F">
        <w:rPr>
          <w:rStyle w:val="Sprotnaopomba-sklic"/>
          <w:rFonts w:ascii="Times New Roman" w:hAnsi="Times New Roman" w:cs="Times New Roman"/>
        </w:rPr>
        <w:footnoteReference w:id="5"/>
      </w:r>
      <w:r w:rsidRPr="00E03F15">
        <w:rPr>
          <w:rFonts w:eastAsia="Times New Roman"/>
          <w:sz w:val="20"/>
          <w:lang w:eastAsia="en-GB"/>
        </w:rPr>
        <w:t xml:space="preserve"> glede uporabe FFS v katerem je omejilo oziroma prepovedalo uporabo herbicidov na javnih površinah. Obenem je Ministrstvo pripravilo nove kriterije glede rabe FFS, ki so dovoljena za nepoklicno rabo</w:t>
      </w:r>
      <w:r w:rsidR="004516B6">
        <w:rPr>
          <w:rFonts w:eastAsia="Times New Roman"/>
          <w:sz w:val="20"/>
          <w:lang w:eastAsia="en-GB"/>
        </w:rPr>
        <w:t xml:space="preserve"> (</w:t>
      </w:r>
      <w:r w:rsidR="004516B6" w:rsidRPr="00DD0AC6">
        <w:rPr>
          <w:rFonts w:eastAsia="Times New Roman"/>
          <w:sz w:val="20"/>
          <w:lang w:eastAsia="en-GB"/>
        </w:rPr>
        <w:t>Uradni list RS, št. 107/13 in 30/18</w:t>
      </w:r>
      <w:r w:rsidR="004516B6">
        <w:rPr>
          <w:rFonts w:ascii="Times New Roman" w:hAnsi="Times New Roman" w:cs="Times New Roman"/>
        </w:rPr>
        <w:t>)</w:t>
      </w:r>
      <w:r w:rsidRPr="00E03F15">
        <w:rPr>
          <w:rFonts w:eastAsia="Times New Roman"/>
          <w:sz w:val="20"/>
          <w:lang w:eastAsia="en-GB"/>
        </w:rPr>
        <w:t xml:space="preserve">. Zaradi teh zakonodajnih sprememb se </w:t>
      </w:r>
      <w:r w:rsidR="00D92E6F">
        <w:rPr>
          <w:rFonts w:eastAsia="Times New Roman"/>
          <w:sz w:val="20"/>
          <w:lang w:eastAsia="en-GB"/>
        </w:rPr>
        <w:t xml:space="preserve">do leta 2022 </w:t>
      </w:r>
      <w:r w:rsidRPr="00E03F15">
        <w:rPr>
          <w:rFonts w:eastAsia="Times New Roman"/>
          <w:sz w:val="20"/>
          <w:lang w:eastAsia="en-GB"/>
        </w:rPr>
        <w:t>predvideva 10</w:t>
      </w:r>
      <w:r w:rsidR="00D92E6F">
        <w:rPr>
          <w:rFonts w:eastAsia="Times New Roman"/>
          <w:sz w:val="20"/>
          <w:lang w:eastAsia="en-GB"/>
        </w:rPr>
        <w:t xml:space="preserve"> </w:t>
      </w:r>
      <w:r w:rsidRPr="00E03F15">
        <w:rPr>
          <w:rFonts w:eastAsia="Times New Roman"/>
          <w:sz w:val="20"/>
          <w:lang w:eastAsia="en-GB"/>
        </w:rPr>
        <w:t>% delež zmanjšanja prodaje FFS, ki so namenjena za poklicno rabo. V</w:t>
      </w:r>
      <w:r w:rsidR="00D92E6F">
        <w:rPr>
          <w:rFonts w:eastAsia="Times New Roman"/>
          <w:sz w:val="20"/>
          <w:lang w:eastAsia="en-GB"/>
        </w:rPr>
        <w:t xml:space="preserve"> letu 2018 se je v</w:t>
      </w:r>
      <w:r w:rsidRPr="00E03F15">
        <w:rPr>
          <w:rFonts w:eastAsia="Times New Roman"/>
          <w:sz w:val="20"/>
          <w:lang w:eastAsia="en-GB"/>
        </w:rPr>
        <w:t xml:space="preserve"> podporo prepovedi uporabe </w:t>
      </w:r>
      <w:proofErr w:type="spellStart"/>
      <w:r w:rsidRPr="00E03F15">
        <w:rPr>
          <w:rFonts w:eastAsia="Times New Roman"/>
          <w:sz w:val="20"/>
          <w:lang w:eastAsia="en-GB"/>
        </w:rPr>
        <w:t>glifosata</w:t>
      </w:r>
      <w:proofErr w:type="spellEnd"/>
      <w:r w:rsidRPr="00E03F15">
        <w:rPr>
          <w:rFonts w:eastAsia="Times New Roman"/>
          <w:sz w:val="20"/>
          <w:lang w:eastAsia="en-GB"/>
        </w:rPr>
        <w:t xml:space="preserve"> in širjenju uporabe </w:t>
      </w:r>
      <w:proofErr w:type="spellStart"/>
      <w:r w:rsidRPr="00E03F15">
        <w:rPr>
          <w:rFonts w:eastAsia="Times New Roman"/>
          <w:sz w:val="20"/>
          <w:lang w:eastAsia="en-GB"/>
        </w:rPr>
        <w:t>nekemičnih</w:t>
      </w:r>
      <w:proofErr w:type="spellEnd"/>
      <w:r w:rsidRPr="00E03F15">
        <w:rPr>
          <w:rFonts w:eastAsia="Times New Roman"/>
          <w:sz w:val="20"/>
          <w:lang w:eastAsia="en-GB"/>
        </w:rPr>
        <w:t xml:space="preserve"> metod zatiranja plevelov začel izvajati triletni </w:t>
      </w:r>
      <w:r w:rsidR="00D10DCC">
        <w:rPr>
          <w:rFonts w:eastAsia="Times New Roman"/>
          <w:sz w:val="20"/>
          <w:lang w:eastAsia="en-GB"/>
        </w:rPr>
        <w:t xml:space="preserve">Ciljni raziskovalni projekt </w:t>
      </w:r>
      <w:r w:rsidR="002E1E23">
        <w:rPr>
          <w:rFonts w:eastAsia="Times New Roman"/>
          <w:sz w:val="20"/>
          <w:lang w:eastAsia="en-GB"/>
        </w:rPr>
        <w:t xml:space="preserve">(Leskovšek in sod. (2018): </w:t>
      </w:r>
      <w:r w:rsidR="002E1E23" w:rsidRPr="00DD0AC6">
        <w:rPr>
          <w:rFonts w:eastAsia="Times New Roman"/>
          <w:sz w:val="20"/>
          <w:lang w:eastAsia="en-GB"/>
        </w:rPr>
        <w:t xml:space="preserve">Preučitev in predlog izbora najprimernejših </w:t>
      </w:r>
      <w:proofErr w:type="spellStart"/>
      <w:r w:rsidR="002E1E23" w:rsidRPr="00DD0AC6">
        <w:rPr>
          <w:rFonts w:eastAsia="Times New Roman"/>
          <w:sz w:val="20"/>
          <w:lang w:eastAsia="en-GB"/>
        </w:rPr>
        <w:t>nekemičnih</w:t>
      </w:r>
      <w:proofErr w:type="spellEnd"/>
      <w:r w:rsidR="002E1E23" w:rsidRPr="00DD0AC6">
        <w:rPr>
          <w:rFonts w:eastAsia="Times New Roman"/>
          <w:sz w:val="20"/>
          <w:lang w:eastAsia="en-GB"/>
        </w:rPr>
        <w:t xml:space="preserve"> metod zatiranja plevela kot nadomestilo za uporabo </w:t>
      </w:r>
      <w:proofErr w:type="spellStart"/>
      <w:r w:rsidR="002E1E23" w:rsidRPr="00DD0AC6">
        <w:rPr>
          <w:rFonts w:eastAsia="Times New Roman"/>
          <w:sz w:val="20"/>
          <w:lang w:eastAsia="en-GB"/>
        </w:rPr>
        <w:t>glifosata</w:t>
      </w:r>
      <w:proofErr w:type="spellEnd"/>
      <w:r w:rsidR="002E1E23" w:rsidRPr="00DD0AC6">
        <w:rPr>
          <w:rFonts w:eastAsia="Times New Roman"/>
          <w:sz w:val="20"/>
          <w:lang w:eastAsia="en-GB"/>
        </w:rPr>
        <w:t xml:space="preserve"> in drugih herbicidov za slovenske razmere. CRP V4-1801).</w:t>
      </w:r>
      <w:r w:rsidR="002E1E23">
        <w:rPr>
          <w:rFonts w:ascii="Verdana" w:hAnsi="Verdana" w:cs="Verdana"/>
          <w:sz w:val="18"/>
          <w:szCs w:val="18"/>
        </w:rPr>
        <w:t xml:space="preserve"> </w:t>
      </w:r>
    </w:p>
    <w:p w14:paraId="0C69F216" w14:textId="77777777" w:rsidR="007F41C6" w:rsidRPr="00E03F15" w:rsidRDefault="007F41C6" w:rsidP="007F41C6">
      <w:pPr>
        <w:spacing w:before="60" w:after="100" w:afterAutospacing="1" w:line="240" w:lineRule="auto"/>
        <w:jc w:val="both"/>
        <w:rPr>
          <w:rFonts w:eastAsia="Times New Roman"/>
          <w:sz w:val="20"/>
          <w:lang w:eastAsia="en-GB"/>
        </w:rPr>
      </w:pPr>
      <w:r w:rsidRPr="00E03F15">
        <w:rPr>
          <w:rFonts w:eastAsia="Times New Roman"/>
          <w:sz w:val="20"/>
          <w:lang w:eastAsia="en-GB"/>
        </w:rPr>
        <w:t xml:space="preserve">Za spodbujanje registracije FFS z manjšim tveganjem je bil v letu 2015 sprejet predpis, s katerim so se znižale pristojbine pri vzajemnem priznavanju conskih registracij FFS, ki vsebujejo aktivne snovi z manjšim tveganjem. V l. 2019 pa smo na Upravi spremenili predpis, ki določa stroške in tako se za vloge za FFS z majhnim tveganjem, kot so določena s 47. členom Uredbe 1107/2009/ES in FFS, ki so dovoljena v ekološki pridelavi, pristojbina ne plača. S tem spodbujamo podjetja k dajanju v promet tovrstnih FFS v večjem obsegu, da imajo uporabniki na izbiro čim večje število FFS z majhnim tveganjem. Poleg tega smo v tem predpisu prepovedali promet s FFS, ki jim je potekel rok uporabnosti, ter promet in uporabo FFS, ki vsebujejo aktivne snovi, varovala, </w:t>
      </w:r>
      <w:proofErr w:type="spellStart"/>
      <w:r w:rsidRPr="00E03F15">
        <w:rPr>
          <w:rFonts w:eastAsia="Times New Roman"/>
          <w:sz w:val="20"/>
          <w:lang w:eastAsia="en-GB"/>
        </w:rPr>
        <w:t>sinergiste</w:t>
      </w:r>
      <w:proofErr w:type="spellEnd"/>
      <w:r w:rsidRPr="00E03F15">
        <w:rPr>
          <w:rFonts w:eastAsia="Times New Roman"/>
          <w:sz w:val="20"/>
          <w:lang w:eastAsia="en-GB"/>
        </w:rPr>
        <w:t xml:space="preserve"> ali dodatke, ki niso odobreni oziroma so prepovedani v skladu z Uredbo 1107/2009/ES.</w:t>
      </w:r>
    </w:p>
    <w:p w14:paraId="5778DD2E" w14:textId="65CEC214" w:rsidR="007F41C6" w:rsidRPr="00E03F15" w:rsidRDefault="007234E8" w:rsidP="007F41C6">
      <w:pPr>
        <w:spacing w:beforeLines="60" w:before="144" w:afterLines="60" w:after="144" w:line="240" w:lineRule="auto"/>
        <w:jc w:val="both"/>
        <w:rPr>
          <w:rFonts w:eastAsia="Times New Roman"/>
          <w:bCs/>
          <w:sz w:val="20"/>
          <w:lang w:eastAsia="sl-SI"/>
        </w:rPr>
      </w:pPr>
      <w:r>
        <w:rPr>
          <w:rFonts w:eastAsia="Times New Roman"/>
          <w:bCs/>
          <w:sz w:val="20"/>
          <w:lang w:eastAsia="sl-SI"/>
        </w:rPr>
        <w:t xml:space="preserve">UVHVVR </w:t>
      </w:r>
      <w:r w:rsidR="007F41C6" w:rsidRPr="00E03F15">
        <w:rPr>
          <w:rFonts w:eastAsia="Times New Roman"/>
          <w:bCs/>
          <w:sz w:val="20"/>
          <w:lang w:eastAsia="sl-SI"/>
        </w:rPr>
        <w:t>redno izvaja letni nadzorni program nad ostanki pesticidov v hrani in krmi. Podatki se redno pošiljajo na Evropsko Agencijo za varno hrano, ki zbira podatke iz vseh držav članic in na podlagi njihovih poročil izdela letno poročilo o nadzoru nad ostankih pesticidov v EU. Uprava pa izdela letno poročilo o stanju v Republiki Sloveniji in ga objavi na svojih spletnih straneh:</w:t>
      </w:r>
    </w:p>
    <w:p w14:paraId="52CA0779" w14:textId="77777777" w:rsidR="007F41C6" w:rsidRPr="00E03F15" w:rsidRDefault="00CF4D37" w:rsidP="007F41C6">
      <w:pPr>
        <w:spacing w:before="120" w:after="100" w:afterAutospacing="1" w:line="240" w:lineRule="auto"/>
        <w:jc w:val="both"/>
        <w:rPr>
          <w:rFonts w:eastAsia="Times New Roman"/>
          <w:color w:val="0000FF" w:themeColor="hyperlink"/>
          <w:sz w:val="20"/>
          <w:u w:val="single"/>
          <w:lang w:eastAsia="en-GB"/>
        </w:rPr>
      </w:pPr>
      <w:hyperlink r:id="rId20" w:history="1">
        <w:r w:rsidR="007F41C6" w:rsidRPr="00E03F15">
          <w:rPr>
            <w:rFonts w:eastAsia="Times New Roman"/>
            <w:color w:val="0000FF" w:themeColor="hyperlink"/>
            <w:sz w:val="20"/>
            <w:u w:val="single"/>
            <w:lang w:eastAsia="en-GB"/>
          </w:rPr>
          <w:t>https://www.gov.si/teme/ostanki-fitofarmacevtskih-sredstev/</w:t>
        </w:r>
      </w:hyperlink>
    </w:p>
    <w:p w14:paraId="2B8D9E07" w14:textId="0727BB79" w:rsidR="007F41C6" w:rsidRPr="00E03F15" w:rsidRDefault="007F41C6" w:rsidP="007F41C6">
      <w:pPr>
        <w:autoSpaceDE w:val="0"/>
        <w:autoSpaceDN w:val="0"/>
        <w:adjustRightInd w:val="0"/>
        <w:spacing w:before="120" w:after="0" w:line="240" w:lineRule="auto"/>
        <w:jc w:val="both"/>
        <w:rPr>
          <w:rFonts w:eastAsia="Times New Roman"/>
          <w:sz w:val="20"/>
          <w:lang w:eastAsia="en-GB"/>
        </w:rPr>
      </w:pPr>
      <w:r w:rsidRPr="00E03F15">
        <w:rPr>
          <w:rFonts w:eastAsia="Times New Roman"/>
          <w:sz w:val="20"/>
          <w:lang w:eastAsia="en-GB"/>
        </w:rPr>
        <w:t xml:space="preserve">Na </w:t>
      </w:r>
      <w:r w:rsidR="00E00373">
        <w:rPr>
          <w:rFonts w:eastAsia="Times New Roman"/>
          <w:sz w:val="20"/>
          <w:lang w:eastAsia="en-GB"/>
        </w:rPr>
        <w:t>Agenciji Republike Slovenije za okolje (v</w:t>
      </w:r>
      <w:r w:rsidR="00D96A4E">
        <w:rPr>
          <w:rFonts w:eastAsia="Times New Roman"/>
          <w:sz w:val="20"/>
          <w:lang w:eastAsia="en-GB"/>
        </w:rPr>
        <w:t xml:space="preserve"> n</w:t>
      </w:r>
      <w:r w:rsidR="00E00373">
        <w:rPr>
          <w:rFonts w:eastAsia="Times New Roman"/>
          <w:sz w:val="20"/>
          <w:lang w:eastAsia="en-GB"/>
        </w:rPr>
        <w:t xml:space="preserve">adaljnjem besedilu: </w:t>
      </w:r>
      <w:r w:rsidRPr="00E03F15">
        <w:rPr>
          <w:rFonts w:eastAsia="Times New Roman"/>
          <w:sz w:val="20"/>
          <w:lang w:eastAsia="en-GB"/>
        </w:rPr>
        <w:t>ARSO</w:t>
      </w:r>
      <w:r w:rsidR="00E00373">
        <w:rPr>
          <w:rFonts w:eastAsia="Times New Roman"/>
          <w:sz w:val="20"/>
          <w:lang w:eastAsia="en-GB"/>
        </w:rPr>
        <w:t>)</w:t>
      </w:r>
      <w:r w:rsidRPr="00E03F15">
        <w:rPr>
          <w:rFonts w:eastAsia="Times New Roman"/>
          <w:sz w:val="20"/>
          <w:lang w:eastAsia="en-GB"/>
        </w:rPr>
        <w:t xml:space="preserve"> letno izdelajo poročilo o kemijskem stanju podzemne vode v Sloveniji. Vsebnost pesticidov in njihovih razpadlih produktov so v letu 2018 spremljali na 75 merilnih mestih od skupno 176 merilnih mest, kar pomeni 4</w:t>
      </w:r>
      <w:r w:rsidR="00417EDE">
        <w:rPr>
          <w:rFonts w:eastAsia="Times New Roman"/>
          <w:sz w:val="20"/>
          <w:lang w:eastAsia="en-GB"/>
        </w:rPr>
        <w:t>3</w:t>
      </w:r>
      <w:r w:rsidR="00D92E6F">
        <w:rPr>
          <w:rFonts w:eastAsia="Times New Roman"/>
          <w:sz w:val="20"/>
          <w:lang w:eastAsia="en-GB"/>
        </w:rPr>
        <w:t xml:space="preserve"> </w:t>
      </w:r>
      <w:r w:rsidRPr="00E03F15">
        <w:rPr>
          <w:rFonts w:eastAsia="Times New Roman"/>
          <w:sz w:val="20"/>
          <w:lang w:eastAsia="en-GB"/>
        </w:rPr>
        <w:t xml:space="preserve">% merilnih </w:t>
      </w:r>
      <w:r w:rsidRPr="00E03F15">
        <w:rPr>
          <w:rFonts w:eastAsia="Times New Roman"/>
          <w:sz w:val="20"/>
          <w:lang w:eastAsia="en-GB"/>
        </w:rPr>
        <w:lastRenderedPageBreak/>
        <w:t xml:space="preserve">mestih in sicer v spomladanskem in jesenskem zajemu. Pesticide spremljajo na merilnih mestih, kjer presegajo standard kakovosti in tam kjer so standard kakovosti presegali v preteklih letih. V letu 2018 je na merilnih mestih največkrat mejno vrednost presegla vsebnost </w:t>
      </w:r>
      <w:proofErr w:type="spellStart"/>
      <w:r w:rsidRPr="00E03F15">
        <w:rPr>
          <w:rFonts w:eastAsia="Times New Roman"/>
          <w:sz w:val="20"/>
          <w:lang w:eastAsia="en-GB"/>
        </w:rPr>
        <w:t>metolaklora</w:t>
      </w:r>
      <w:proofErr w:type="spellEnd"/>
      <w:r w:rsidRPr="00E03F15">
        <w:rPr>
          <w:rFonts w:eastAsia="Times New Roman"/>
          <w:sz w:val="20"/>
          <w:lang w:eastAsia="en-GB"/>
        </w:rPr>
        <w:t xml:space="preserve">, nato atrazina, </w:t>
      </w:r>
      <w:proofErr w:type="spellStart"/>
      <w:r w:rsidRPr="00E03F15">
        <w:rPr>
          <w:rFonts w:eastAsia="Times New Roman"/>
          <w:sz w:val="20"/>
          <w:lang w:eastAsia="en-GB"/>
        </w:rPr>
        <w:t>desetil</w:t>
      </w:r>
      <w:proofErr w:type="spellEnd"/>
      <w:r w:rsidRPr="00E03F15">
        <w:rPr>
          <w:rFonts w:eastAsia="Times New Roman"/>
          <w:sz w:val="20"/>
          <w:lang w:eastAsia="en-GB"/>
        </w:rPr>
        <w:t xml:space="preserve"> atrazina in </w:t>
      </w:r>
      <w:proofErr w:type="spellStart"/>
      <w:r w:rsidRPr="00E03F15">
        <w:rPr>
          <w:rFonts w:eastAsia="Times New Roman"/>
          <w:sz w:val="20"/>
          <w:lang w:eastAsia="en-GB"/>
        </w:rPr>
        <w:t>prometrina</w:t>
      </w:r>
      <w:proofErr w:type="spellEnd"/>
      <w:r w:rsidRPr="00E03F15">
        <w:rPr>
          <w:rFonts w:eastAsia="Times New Roman"/>
          <w:sz w:val="20"/>
          <w:lang w:eastAsia="en-GB"/>
        </w:rPr>
        <w:t xml:space="preserve">. Večina merilnih mest je na vodonosnikih z </w:t>
      </w:r>
      <w:proofErr w:type="spellStart"/>
      <w:r w:rsidRPr="00E03F15">
        <w:rPr>
          <w:rFonts w:eastAsia="Times New Roman"/>
          <w:sz w:val="20"/>
          <w:lang w:eastAsia="en-GB"/>
        </w:rPr>
        <w:t>medzrnsko</w:t>
      </w:r>
      <w:proofErr w:type="spellEnd"/>
      <w:r w:rsidRPr="00E03F15">
        <w:rPr>
          <w:rFonts w:eastAsia="Times New Roman"/>
          <w:sz w:val="20"/>
          <w:lang w:eastAsia="en-GB"/>
        </w:rPr>
        <w:t xml:space="preserve"> poroznostjo, občasno pa mejno vrednost pesticidi presegajo tudi na kraških izvirih.</w:t>
      </w:r>
      <w:r w:rsidR="00505BA5">
        <w:rPr>
          <w:rFonts w:eastAsia="Times New Roman"/>
          <w:sz w:val="20"/>
          <w:lang w:eastAsia="en-GB"/>
        </w:rPr>
        <w:t xml:space="preserve"> </w:t>
      </w:r>
      <w:r w:rsidRPr="00E03F15">
        <w:rPr>
          <w:rFonts w:eastAsia="Times New Roman"/>
          <w:sz w:val="20"/>
          <w:lang w:eastAsia="en-GB"/>
        </w:rPr>
        <w:t xml:space="preserve">V preteklosti so bila z atrazinom obremenjena praktično vsa merilna mesta </w:t>
      </w:r>
      <w:r w:rsidR="00053ED6">
        <w:rPr>
          <w:rFonts w:eastAsia="Times New Roman"/>
          <w:sz w:val="20"/>
          <w:lang w:eastAsia="en-GB"/>
        </w:rPr>
        <w:t>v</w:t>
      </w:r>
      <w:r w:rsidRPr="00E03F15">
        <w:rPr>
          <w:rFonts w:eastAsia="Times New Roman"/>
          <w:sz w:val="20"/>
          <w:lang w:eastAsia="en-GB"/>
        </w:rPr>
        <w:t xml:space="preserve"> Dravski kotlini, po prepovedi uporabe v letu 2003 pa je začelo upadati število obremenjenih merilnih mest. Še vedno predstavlja problem prisotnost atrazina na nekaterih črpališčih pitne vode (Skorba in Šikole), čeprav vsebnosti tudi tam upadajo. </w:t>
      </w:r>
    </w:p>
    <w:p w14:paraId="1BF03927" w14:textId="68022848" w:rsidR="007F41C6" w:rsidRPr="00E03F15" w:rsidRDefault="007F41C6" w:rsidP="007F41C6">
      <w:pPr>
        <w:autoSpaceDE w:val="0"/>
        <w:autoSpaceDN w:val="0"/>
        <w:adjustRightInd w:val="0"/>
        <w:spacing w:before="120" w:after="0" w:line="240" w:lineRule="auto"/>
        <w:jc w:val="both"/>
        <w:rPr>
          <w:rFonts w:eastAsia="Times New Roman"/>
          <w:sz w:val="20"/>
          <w:lang w:eastAsia="en-GB"/>
        </w:rPr>
      </w:pPr>
      <w:r w:rsidRPr="00E03F15">
        <w:rPr>
          <w:rFonts w:eastAsia="Times New Roman"/>
          <w:sz w:val="20"/>
          <w:lang w:eastAsia="en-GB"/>
        </w:rPr>
        <w:t xml:space="preserve">Vsako leto na ARSO objavijo tudi poročilo o kemijskem stanju površinskih voda. V letu 2018 so bila posebna onesnaževala (sem sodijo tudi pesticidi) ocenjena na 163 merilnih mestih površinskih voda. Zelo dobro stanje je bilo določeno za 46 merilnih mest (28,2 %), dobro za 96 (58,9%), zmerno pa za 21 merilnih mest (12,9 %) površinskih voda. Specifična onesnaževala, ki so bila razlog za zmerno stanje površinskih voda v Sloveniji v letu 2018, so: kobalt, </w:t>
      </w:r>
      <w:proofErr w:type="spellStart"/>
      <w:r w:rsidRPr="00E03F15">
        <w:rPr>
          <w:rFonts w:eastAsia="Times New Roman"/>
          <w:sz w:val="20"/>
          <w:lang w:eastAsia="en-GB"/>
        </w:rPr>
        <w:t>metolaklor</w:t>
      </w:r>
      <w:proofErr w:type="spellEnd"/>
      <w:r w:rsidRPr="00E03F15">
        <w:rPr>
          <w:rFonts w:eastAsia="Times New Roman"/>
          <w:sz w:val="20"/>
          <w:lang w:eastAsia="en-GB"/>
        </w:rPr>
        <w:t xml:space="preserve">, poliklorirani bifenili - PCB, molibden, sulfat in cink (Vir: </w:t>
      </w:r>
      <w:hyperlink r:id="rId21" w:history="1">
        <w:r w:rsidR="00CC2082">
          <w:rPr>
            <w:rFonts w:eastAsia="Times New Roman"/>
            <w:color w:val="0000FF" w:themeColor="hyperlink"/>
            <w:sz w:val="20"/>
            <w:u w:val="single"/>
            <w:lang w:eastAsia="en-GB"/>
          </w:rPr>
          <w:t>ARSO</w:t>
        </w:r>
      </w:hyperlink>
      <w:r w:rsidRPr="00E03F15">
        <w:rPr>
          <w:rFonts w:eastAsia="Times New Roman"/>
          <w:sz w:val="20"/>
          <w:lang w:eastAsia="en-GB"/>
        </w:rPr>
        <w:t>). Od naštetih se S-</w:t>
      </w:r>
      <w:proofErr w:type="spellStart"/>
      <w:r w:rsidRPr="00E03F15">
        <w:rPr>
          <w:rFonts w:eastAsia="Times New Roman"/>
          <w:sz w:val="20"/>
          <w:lang w:eastAsia="en-GB"/>
        </w:rPr>
        <w:t>metolaklor</w:t>
      </w:r>
      <w:proofErr w:type="spellEnd"/>
      <w:r w:rsidRPr="00E03F15">
        <w:rPr>
          <w:rFonts w:eastAsia="Times New Roman"/>
          <w:sz w:val="20"/>
          <w:lang w:eastAsia="en-GB"/>
        </w:rPr>
        <w:t xml:space="preserve"> uporablja kot aktivna snov v FFS. </w:t>
      </w:r>
    </w:p>
    <w:p w14:paraId="69CD5C84" w14:textId="20E38AED" w:rsidR="007F41C6" w:rsidRPr="006A5242" w:rsidRDefault="006A5242" w:rsidP="006A5242">
      <w:pPr>
        <w:pStyle w:val="Naslov2"/>
        <w:rPr>
          <w:rFonts w:ascii="Arial" w:hAnsi="Arial" w:cs="Arial"/>
        </w:rPr>
      </w:pPr>
      <w:bookmarkStart w:id="71" w:name="_Toc55547442"/>
      <w:r w:rsidRPr="006A5242">
        <w:rPr>
          <w:rFonts w:ascii="Arial" w:hAnsi="Arial" w:cs="Arial"/>
        </w:rPr>
        <w:t>3</w:t>
      </w:r>
      <w:r w:rsidR="00C87C51" w:rsidRPr="006A5242">
        <w:rPr>
          <w:rFonts w:ascii="Arial" w:hAnsi="Arial" w:cs="Arial"/>
        </w:rPr>
        <w:t>.</w:t>
      </w:r>
      <w:r w:rsidR="001E4D25" w:rsidRPr="006A5242">
        <w:rPr>
          <w:rFonts w:ascii="Arial" w:hAnsi="Arial" w:cs="Arial"/>
        </w:rPr>
        <w:t>4 Kazalniki tveganja za spremljanje napredka pri zmanjšanju tveganja in škodljivih vplivov fitofarmacevtskih sredstev</w:t>
      </w:r>
      <w:bookmarkEnd w:id="71"/>
    </w:p>
    <w:p w14:paraId="12A0029A" w14:textId="54556496" w:rsidR="00417EDE"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Za spremljanje napredka pri zmanjševanju tveganja in škodljivih vplivov FFS za zdravje ljudi in okolje je Evropska komisija določila dva usklajena kazalnika tveganja za območje Evropske unije. Kazalnik 1 temelji na količini prodanih aktivnih snovi v FFS v državah članicah, kazalnik 2 pa na številu izdanih dovoljenj za nujne primere uporabe FFS. V prihodnjih letih Evropska komisija načrtuje uvedbo dodatnih kazalnikov tveganja.</w:t>
      </w:r>
    </w:p>
    <w:p w14:paraId="5F55664E" w14:textId="77777777" w:rsidR="00CF43DE" w:rsidRPr="00E03F15" w:rsidRDefault="00CF43DE" w:rsidP="007F41C6">
      <w:pPr>
        <w:spacing w:before="120" w:after="0" w:line="240" w:lineRule="auto"/>
        <w:jc w:val="both"/>
        <w:rPr>
          <w:rFonts w:eastAsia="Times New Roman"/>
          <w:sz w:val="20"/>
          <w:lang w:eastAsia="en-GB"/>
        </w:rPr>
      </w:pPr>
    </w:p>
    <w:p w14:paraId="2322FEC1" w14:textId="341AE8D6" w:rsidR="007F41C6" w:rsidRPr="00CF43DE" w:rsidRDefault="00A41FAF" w:rsidP="00A41FAF">
      <w:pPr>
        <w:pStyle w:val="Naslov3"/>
        <w:numPr>
          <w:ilvl w:val="0"/>
          <w:numId w:val="0"/>
        </w:numPr>
        <w:ind w:left="720"/>
        <w:rPr>
          <w:color w:val="0070C0"/>
        </w:rPr>
      </w:pPr>
      <w:bookmarkStart w:id="72" w:name="_Toc55547443"/>
      <w:r w:rsidRPr="00CF43DE">
        <w:rPr>
          <w:color w:val="0070C0"/>
        </w:rPr>
        <w:t>3</w:t>
      </w:r>
      <w:r w:rsidR="00E96095" w:rsidRPr="00CF43DE">
        <w:rPr>
          <w:color w:val="0070C0"/>
        </w:rPr>
        <w:t xml:space="preserve">.4.1 </w:t>
      </w:r>
      <w:r w:rsidR="007F41C6" w:rsidRPr="00CF43DE">
        <w:rPr>
          <w:color w:val="0070C0"/>
        </w:rPr>
        <w:t>Kazalnik tveganja 1</w:t>
      </w:r>
      <w:bookmarkEnd w:id="72"/>
      <w:r w:rsidR="007F41C6" w:rsidRPr="00CF43DE">
        <w:rPr>
          <w:color w:val="0070C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4"/>
        <w:gridCol w:w="1096"/>
        <w:gridCol w:w="708"/>
        <w:gridCol w:w="707"/>
        <w:gridCol w:w="707"/>
        <w:gridCol w:w="707"/>
        <w:gridCol w:w="707"/>
        <w:gridCol w:w="707"/>
        <w:gridCol w:w="707"/>
        <w:gridCol w:w="722"/>
      </w:tblGrid>
      <w:tr w:rsidR="007F41C6" w:rsidRPr="00A41FAF" w14:paraId="16C16DAD" w14:textId="77777777" w:rsidTr="00996CAF">
        <w:trPr>
          <w:tblHeader/>
          <w:tblCellSpacing w:w="15" w:type="dxa"/>
        </w:trPr>
        <w:tc>
          <w:tcPr>
            <w:tcW w:w="0" w:type="auto"/>
            <w:gridSpan w:val="10"/>
            <w:tcBorders>
              <w:top w:val="nil"/>
              <w:left w:val="nil"/>
              <w:bottom w:val="nil"/>
              <w:right w:val="nil"/>
            </w:tcBorders>
            <w:vAlign w:val="center"/>
            <w:hideMark/>
          </w:tcPr>
          <w:p w14:paraId="58CE1EDC" w14:textId="2627E99C" w:rsidR="000A1A7D" w:rsidRPr="00837C52" w:rsidRDefault="000A1A7D" w:rsidP="000A1A7D">
            <w:pPr>
              <w:pStyle w:val="Napis"/>
              <w:rPr>
                <w:sz w:val="20"/>
                <w:szCs w:val="20"/>
              </w:rPr>
            </w:pPr>
            <w:bookmarkStart w:id="73" w:name="_Toc55484826"/>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4</w:t>
            </w:r>
            <w:r w:rsidR="004270C0" w:rsidRPr="00837C52">
              <w:rPr>
                <w:noProof/>
                <w:sz w:val="20"/>
                <w:szCs w:val="20"/>
              </w:rPr>
              <w:fldChar w:fldCharType="end"/>
            </w:r>
            <w:r w:rsidRPr="00837C52">
              <w:rPr>
                <w:sz w:val="20"/>
                <w:szCs w:val="20"/>
              </w:rPr>
              <w:t>: Gibanje celotnega utežnega indeksa z izhodiščno vrednostjo 100. Izhodiščna vrednost za kazalnik tveganja 1 je enaka povprečnemu rezultatu izračuna za obdobje od leta 2011 do 2013</w:t>
            </w:r>
            <w:bookmarkEnd w:id="73"/>
          </w:p>
          <w:p w14:paraId="1093F241" w14:textId="280963A7" w:rsidR="007F41C6" w:rsidRPr="00A41FAF" w:rsidRDefault="007F41C6" w:rsidP="00A41FAF">
            <w:pPr>
              <w:pStyle w:val="SCPREGLEDNICA0"/>
              <w:jc w:val="left"/>
              <w:rPr>
                <w:b w:val="0"/>
                <w:bCs/>
              </w:rPr>
            </w:pPr>
          </w:p>
        </w:tc>
      </w:tr>
      <w:tr w:rsidR="00F30CF9" w:rsidRPr="007F41C6" w14:paraId="77062F95" w14:textId="77777777" w:rsidTr="00CF43DE">
        <w:trPr>
          <w:tblHeade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159932F5" w14:textId="77777777" w:rsidR="007F41C6" w:rsidRPr="000A1A7D" w:rsidRDefault="007F41C6" w:rsidP="007F41C6">
            <w:pPr>
              <w:spacing w:before="120" w:after="0" w:line="240" w:lineRule="auto"/>
              <w:jc w:val="center"/>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144A1D1"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2011-2013</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100AD56"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2011</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020690FD"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2012</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50F4FE18"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2013</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61C4C3CC"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2014</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54985B39"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2015</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73F08C0B"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2016</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6E39893D"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2017</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052E41E" w14:textId="77777777" w:rsidR="007F41C6" w:rsidRPr="000A1A7D" w:rsidRDefault="007F41C6" w:rsidP="007F41C6">
            <w:pPr>
              <w:spacing w:before="120" w:after="0" w:line="240" w:lineRule="auto"/>
              <w:jc w:val="center"/>
              <w:rPr>
                <w:rFonts w:eastAsia="Times New Roman"/>
                <w:b/>
                <w:bCs/>
                <w:sz w:val="20"/>
                <w:lang w:eastAsia="en-GB"/>
              </w:rPr>
            </w:pPr>
            <w:r w:rsidRPr="000A1A7D">
              <w:rPr>
                <w:rFonts w:eastAsia="Times New Roman"/>
                <w:b/>
                <w:bCs/>
                <w:sz w:val="20"/>
                <w:lang w:eastAsia="en-GB"/>
              </w:rPr>
              <w:t>2018</w:t>
            </w:r>
          </w:p>
        </w:tc>
      </w:tr>
      <w:tr w:rsidR="00F30CF9" w:rsidRPr="007F41C6" w14:paraId="7ECBB420"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35C5B6B"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Usklajeni kazalnik tveganja 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BEE1D"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AAAFF"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5ED805"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21A6C"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C7C92"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3D6FD"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B7BC2"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77EC4"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7155E" w14:textId="77777777" w:rsidR="007F41C6" w:rsidRPr="000A1A7D" w:rsidRDefault="007F41C6" w:rsidP="007F41C6">
            <w:pPr>
              <w:spacing w:before="120" w:after="0" w:line="240" w:lineRule="auto"/>
              <w:jc w:val="both"/>
              <w:rPr>
                <w:rFonts w:eastAsia="Times New Roman"/>
                <w:sz w:val="20"/>
                <w:lang w:eastAsia="en-GB"/>
              </w:rPr>
            </w:pPr>
            <w:r w:rsidRPr="000A1A7D">
              <w:rPr>
                <w:rFonts w:eastAsia="Times New Roman"/>
                <w:sz w:val="20"/>
                <w:lang w:eastAsia="en-GB"/>
              </w:rPr>
              <w:t>109</w:t>
            </w:r>
          </w:p>
        </w:tc>
      </w:tr>
    </w:tbl>
    <w:p w14:paraId="52772B50" w14:textId="1089577A" w:rsidR="007F41C6" w:rsidRPr="00E03F15" w:rsidRDefault="007F41C6" w:rsidP="007F41C6">
      <w:pPr>
        <w:spacing w:before="100" w:beforeAutospacing="1" w:after="100" w:afterAutospacing="1" w:line="240" w:lineRule="auto"/>
        <w:jc w:val="both"/>
        <w:rPr>
          <w:bCs/>
          <w:i/>
          <w:sz w:val="20"/>
        </w:rPr>
      </w:pPr>
      <w:r w:rsidRPr="00E03F15">
        <w:rPr>
          <w:rFonts w:eastAsia="Times New Roman"/>
          <w:sz w:val="20"/>
        </w:rPr>
        <w:t xml:space="preserve">Iz </w:t>
      </w:r>
      <w:r w:rsidR="000A1A7D">
        <w:rPr>
          <w:rFonts w:eastAsia="Times New Roman"/>
          <w:sz w:val="20"/>
        </w:rPr>
        <w:t>Tabele</w:t>
      </w:r>
      <w:r w:rsidRPr="00E03F15">
        <w:rPr>
          <w:rFonts w:eastAsia="Times New Roman"/>
          <w:sz w:val="20"/>
        </w:rPr>
        <w:t xml:space="preserve"> </w:t>
      </w:r>
      <w:r w:rsidR="00A41FAF">
        <w:rPr>
          <w:rFonts w:eastAsia="Times New Roman"/>
          <w:sz w:val="20"/>
        </w:rPr>
        <w:t>4</w:t>
      </w:r>
      <w:r w:rsidR="00F30CF9">
        <w:rPr>
          <w:rFonts w:eastAsia="Times New Roman"/>
          <w:sz w:val="20"/>
        </w:rPr>
        <w:t xml:space="preserve"> </w:t>
      </w:r>
      <w:r w:rsidRPr="00E03F15">
        <w:rPr>
          <w:rFonts w:eastAsia="Times New Roman"/>
          <w:sz w:val="20"/>
        </w:rPr>
        <w:t>izhaja, da se prodaja FFS giblje nekoliko nad ali pod povprečjem obdobja od leta 2011 do 2013. Najverjetnejši razlogi za nihanje prodaje so vremenske razmere in pojav škodljivih organizmov, ki narekuje</w:t>
      </w:r>
      <w:r w:rsidR="00F30CF9">
        <w:rPr>
          <w:rFonts w:eastAsia="Times New Roman"/>
          <w:sz w:val="20"/>
        </w:rPr>
        <w:t>jo</w:t>
      </w:r>
      <w:r w:rsidRPr="00E03F15">
        <w:rPr>
          <w:rFonts w:eastAsia="Times New Roman"/>
          <w:sz w:val="20"/>
        </w:rPr>
        <w:t xml:space="preserve"> obseg uporabe FFS v posameznih letih.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5"/>
        <w:gridCol w:w="792"/>
        <w:gridCol w:w="792"/>
        <w:gridCol w:w="793"/>
        <w:gridCol w:w="793"/>
        <w:gridCol w:w="793"/>
        <w:gridCol w:w="793"/>
        <w:gridCol w:w="793"/>
        <w:gridCol w:w="808"/>
      </w:tblGrid>
      <w:tr w:rsidR="007F41C6" w:rsidRPr="00E03F15" w14:paraId="74EC7232" w14:textId="77777777" w:rsidTr="00996CAF">
        <w:trPr>
          <w:tblCellSpacing w:w="15" w:type="dxa"/>
        </w:trPr>
        <w:tc>
          <w:tcPr>
            <w:tcW w:w="0" w:type="auto"/>
            <w:gridSpan w:val="9"/>
            <w:tcBorders>
              <w:top w:val="nil"/>
              <w:left w:val="nil"/>
              <w:bottom w:val="nil"/>
              <w:right w:val="nil"/>
            </w:tcBorders>
            <w:vAlign w:val="center"/>
            <w:hideMark/>
          </w:tcPr>
          <w:p w14:paraId="40C58783" w14:textId="7BA56C05" w:rsidR="007F41C6" w:rsidRPr="00837C52" w:rsidRDefault="000A1A7D" w:rsidP="000A1A7D">
            <w:pPr>
              <w:pStyle w:val="Napis"/>
              <w:rPr>
                <w:sz w:val="20"/>
                <w:szCs w:val="20"/>
              </w:rPr>
            </w:pPr>
            <w:bookmarkStart w:id="74" w:name="_Toc55484827"/>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5</w:t>
            </w:r>
            <w:r w:rsidR="004270C0" w:rsidRPr="00837C52">
              <w:rPr>
                <w:noProof/>
                <w:sz w:val="20"/>
                <w:szCs w:val="20"/>
              </w:rPr>
              <w:fldChar w:fldCharType="end"/>
            </w:r>
            <w:r w:rsidRPr="00837C52">
              <w:rPr>
                <w:sz w:val="20"/>
                <w:szCs w:val="20"/>
              </w:rPr>
              <w:t>: Gibanje celotnega utežnega indeksa v vsaki izmed sedmih razredov aktivnih snovi (a.s.) z izhodiščno vrednostjo 100. Izhodiščna vrednost za kazalnik tveganja 1 je enaka povprečnemu rezultatu izračuna za obdobje 2011–2013</w:t>
            </w:r>
            <w:bookmarkEnd w:id="74"/>
            <w:r w:rsidRPr="00837C52">
              <w:rPr>
                <w:sz w:val="20"/>
                <w:szCs w:val="20"/>
              </w:rPr>
              <w:t xml:space="preserve"> </w:t>
            </w:r>
          </w:p>
        </w:tc>
      </w:tr>
      <w:tr w:rsidR="007F41C6" w:rsidRPr="00CF43DE" w14:paraId="4CF5CC14" w14:textId="77777777" w:rsidTr="00CF43D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2DE5DE8D"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Skupina/Razred</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6697A0C3"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2011</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61FF3500"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2012</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16A12AE0"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2013</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FF6A01A"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2014</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7368DF48"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2015</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194AC532"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2016</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647BC257"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2017</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7ADB5FC4" w14:textId="77777777" w:rsidR="007F41C6" w:rsidRPr="00CF43DE" w:rsidRDefault="007F41C6" w:rsidP="007F41C6">
            <w:pPr>
              <w:spacing w:before="120" w:after="0" w:line="240" w:lineRule="auto"/>
              <w:jc w:val="both"/>
              <w:rPr>
                <w:rFonts w:eastAsia="Times New Roman"/>
                <w:b/>
                <w:sz w:val="20"/>
                <w:lang w:eastAsia="en-GB"/>
              </w:rPr>
            </w:pPr>
            <w:r w:rsidRPr="00CF43DE">
              <w:rPr>
                <w:rFonts w:eastAsia="Times New Roman"/>
                <w:b/>
                <w:sz w:val="20"/>
                <w:lang w:eastAsia="en-GB"/>
              </w:rPr>
              <w:t>2018</w:t>
            </w:r>
          </w:p>
        </w:tc>
      </w:tr>
      <w:tr w:rsidR="007F41C6" w:rsidRPr="00E03F15" w14:paraId="6AAB2A33"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A2E812"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1/A: mikroorganizmi</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B4FB"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04F51A"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3B99D8"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89E48A"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115048"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41C54F"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3B1196" w14:textId="77777777" w:rsidR="007F41C6" w:rsidRPr="00E03F15" w:rsidRDefault="007F41C6" w:rsidP="007F41C6">
            <w:pPr>
              <w:spacing w:before="120" w:after="0" w:line="240" w:lineRule="auto"/>
              <w:jc w:val="both"/>
              <w:rPr>
                <w:rFonts w:eastAsia="Times New Roman"/>
                <w:sz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1E6F93" w14:textId="77777777" w:rsidR="007F41C6" w:rsidRPr="00E03F15" w:rsidRDefault="007F41C6" w:rsidP="007F41C6">
            <w:pPr>
              <w:spacing w:before="120" w:after="0" w:line="240" w:lineRule="auto"/>
              <w:jc w:val="both"/>
              <w:rPr>
                <w:rFonts w:eastAsia="Times New Roman"/>
                <w:sz w:val="20"/>
                <w:lang w:eastAsia="en-GB"/>
              </w:rPr>
            </w:pPr>
          </w:p>
        </w:tc>
      </w:tr>
      <w:tr w:rsidR="007F41C6" w:rsidRPr="00E03F15" w14:paraId="678B7BE6"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37ED18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1/B: kemične 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38EA34"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DB5A3"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57</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E2C0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B94A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272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3C163"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344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EB534"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292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A553E"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5250E"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160</w:t>
            </w:r>
          </w:p>
        </w:tc>
      </w:tr>
      <w:tr w:rsidR="007F41C6" w:rsidRPr="00E03F15" w14:paraId="0CD2103A"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1D2375"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2/C: mikroorganizmi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637D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9022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4843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0D0A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1044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6F20"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207</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41923"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244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50697"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274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BAB58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543</w:t>
            </w:r>
          </w:p>
        </w:tc>
      </w:tr>
      <w:tr w:rsidR="007F41C6" w:rsidRPr="00E03F15" w14:paraId="2AE3E0A0"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C525E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2/D kemične 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D29C0"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7823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A6AAA"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89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AE5E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3C423"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8430A"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0A5A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0F64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113</w:t>
            </w:r>
          </w:p>
        </w:tc>
      </w:tr>
      <w:tr w:rsidR="007F41C6" w:rsidRPr="00E03F15" w14:paraId="513BB58E"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2D18C5"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3/E: nerazvrščene 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BEB5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8E7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794E5"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811A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9DBE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61B83"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153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A4E54"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BA8E9"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149</w:t>
            </w:r>
          </w:p>
        </w:tc>
      </w:tr>
      <w:tr w:rsidR="007F41C6" w:rsidRPr="00E03F15" w14:paraId="5E2C1524"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AB0EA4A"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3/F: razvrščene 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913B0"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53C0E"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D94F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77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8A43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75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FCB3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87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2C3AE"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9E2D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0633E"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416</w:t>
            </w:r>
          </w:p>
        </w:tc>
      </w:tr>
      <w:tr w:rsidR="007F41C6" w:rsidRPr="00E03F15" w14:paraId="65E9A6B6"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C33FB31"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4/G: neodobrene 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85CF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36B95"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97</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33CF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88</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7E4DF"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3F79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DEE49"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97</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B5A96"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76</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EEDE8" w14:textId="77777777" w:rsidR="007F41C6" w:rsidRPr="00E03F15" w:rsidRDefault="007F41C6" w:rsidP="007F41C6">
            <w:pPr>
              <w:spacing w:before="120" w:after="0" w:line="240" w:lineRule="auto"/>
              <w:jc w:val="both"/>
              <w:rPr>
                <w:rFonts w:eastAsia="Times New Roman"/>
                <w:sz w:val="20"/>
                <w:lang w:eastAsia="en-GB"/>
              </w:rPr>
            </w:pPr>
            <w:r w:rsidRPr="00E03F15">
              <w:rPr>
                <w:rFonts w:eastAsia="Times New Roman"/>
                <w:sz w:val="20"/>
                <w:lang w:eastAsia="en-GB"/>
              </w:rPr>
              <w:t>60</w:t>
            </w:r>
          </w:p>
        </w:tc>
      </w:tr>
    </w:tbl>
    <w:p w14:paraId="4FAD6E41" w14:textId="7062FF0B" w:rsidR="007F41C6" w:rsidRPr="00E03F15" w:rsidRDefault="007F41C6" w:rsidP="00143037">
      <w:pPr>
        <w:spacing w:before="100" w:beforeAutospacing="1" w:after="100" w:afterAutospacing="1" w:line="240" w:lineRule="auto"/>
        <w:rPr>
          <w:bCs/>
          <w:sz w:val="20"/>
          <w:lang w:eastAsia="sl-SI"/>
        </w:rPr>
      </w:pPr>
      <w:r w:rsidRPr="00E03F15">
        <w:rPr>
          <w:i/>
          <w:sz w:val="20"/>
        </w:rPr>
        <w:lastRenderedPageBreak/>
        <w:t xml:space="preserve">A. V razredu A so vse aktivne snovi, ki so narejene na podlagi mikroorganizmov in s kemijskega stališča pomenijo majhno tveganje za zdravje ljudi in okolje. </w:t>
      </w:r>
      <w:r w:rsidRPr="00E03F15">
        <w:rPr>
          <w:i/>
          <w:sz w:val="20"/>
        </w:rPr>
        <w:br/>
        <w:t xml:space="preserve">B. V razredu B so vse kemične aktivne snovi, ki pomenijo majhno tveganje za zdravje ljudi in okolje. </w:t>
      </w:r>
      <w:r w:rsidRPr="00E03F15">
        <w:rPr>
          <w:i/>
          <w:sz w:val="20"/>
        </w:rPr>
        <w:br/>
        <w:t>C. V razredu C so aktivne snovi, ki so narejene na podlagi mikroorganizmov in niso opredeljene kot snovi z majhnim tveganjem ali kot snovi, ki so na seznamu za zamenjavo.</w:t>
      </w:r>
      <w:r w:rsidRPr="00E03F15">
        <w:rPr>
          <w:i/>
          <w:sz w:val="20"/>
        </w:rPr>
        <w:br/>
        <w:t xml:space="preserve">D. V razredu D so vse kemične aktivne snovi, ki so odobrene v EU in niso opredeljene kot snovi z majhnim tveganjem ali kot snovi, ki so na seznamu za zamenjavo. </w:t>
      </w:r>
      <w:r w:rsidRPr="00E03F15">
        <w:rPr>
          <w:i/>
          <w:sz w:val="20"/>
        </w:rPr>
        <w:br/>
        <w:t xml:space="preserve">E. V razredu E so aktivne snovi, ki so odobrene v EU in so s kemijskega stališča problematične ter hkrati niso opredeljene kot rakotvorne snovi razreda 1A ali 1B in/ali strupene za razmnoževanje razreda 1A ali 1B; in/ali kot endokrini motilci. </w:t>
      </w:r>
      <w:r w:rsidRPr="00E03F15">
        <w:rPr>
          <w:i/>
          <w:sz w:val="20"/>
        </w:rPr>
        <w:br/>
        <w:t>F. V razredu F so aktivne snovi, ki so odobrene v EU in so s kemijskega stališča problematične ter so hkrati opredeljene kot rakotvorne snovi razreda 1A ali 1B in/ali strupene za razmnoževanje razreda 1A ali 1B; in/ali kot endokrini motilci, pri katerih je izpostavljenost ljudi zanemarljiva.</w:t>
      </w:r>
      <w:r w:rsidRPr="00E03F15">
        <w:rPr>
          <w:i/>
          <w:sz w:val="20"/>
        </w:rPr>
        <w:br/>
        <w:t>G. V kategoriji G so vse aktivne snovi, ki se v EU ne smejo več uporabljati v FFS. To so snovi, ki niso odobrene v EU, vendar se v prehodnem času do izteka roka za odprodajo zalog FFS še smejo prodajati v državah članicah.</w:t>
      </w:r>
      <w:r w:rsidRPr="00E03F15">
        <w:rPr>
          <w:rFonts w:eastAsia="Times New Roman"/>
          <w:sz w:val="20"/>
          <w:lang w:eastAsia="sl-SI"/>
        </w:rPr>
        <w:t xml:space="preserve"> </w:t>
      </w:r>
      <w:r w:rsidRPr="00E03F15">
        <w:rPr>
          <w:rFonts w:eastAsia="Times New Roman"/>
          <w:sz w:val="20"/>
          <w:lang w:eastAsia="sl-SI"/>
        </w:rPr>
        <w:br/>
      </w:r>
      <w:r w:rsidRPr="00E03F15">
        <w:rPr>
          <w:rFonts w:eastAsia="Times New Roman"/>
          <w:sz w:val="20"/>
          <w:lang w:eastAsia="sl-SI"/>
        </w:rPr>
        <w:br/>
      </w:r>
      <w:r w:rsidRPr="00E03F15">
        <w:rPr>
          <w:bCs/>
          <w:sz w:val="20"/>
          <w:lang w:eastAsia="sl-SI"/>
        </w:rPr>
        <w:t xml:space="preserve">Iz </w:t>
      </w:r>
      <w:r w:rsidR="000A1A7D">
        <w:rPr>
          <w:bCs/>
          <w:sz w:val="20"/>
          <w:lang w:eastAsia="sl-SI"/>
        </w:rPr>
        <w:t>Tabele</w:t>
      </w:r>
      <w:r w:rsidRPr="00E03F15">
        <w:rPr>
          <w:bCs/>
          <w:sz w:val="20"/>
          <w:lang w:eastAsia="sl-SI"/>
        </w:rPr>
        <w:t xml:space="preserve"> </w:t>
      </w:r>
      <w:r w:rsidR="00A41FAF">
        <w:rPr>
          <w:bCs/>
          <w:sz w:val="20"/>
          <w:lang w:eastAsia="sl-SI"/>
        </w:rPr>
        <w:t>5</w:t>
      </w:r>
      <w:r w:rsidRPr="00E03F15">
        <w:rPr>
          <w:bCs/>
          <w:sz w:val="20"/>
          <w:lang w:eastAsia="sl-SI"/>
        </w:rPr>
        <w:t xml:space="preserve"> izhaja, da se je prodaja kemičnih aktivnih snovi, izdelanih na podlagi mikroorganizmov, izrazito povečala leta 2014, leta 2015 pa je bila večja tudi prodaja kemičnih aktivnih snovi, ki pomenijo majhno tveganje za zdravje ljudi in okolje, prodaja drugih aktivnih snovi pa je v obdobju 2011-2017 ostala približno enaka. V letu 2018 je ponovno narasla prodaja kemičnih aktivnih snovi, izdelanih na podlagi mikroorganizmov, narasla pa je tudi prodaja razvrščenih aktivnih snovi. Razlog za slednje je v povečanem številu vlog za registracijo FFS, ki vsebujejo razvrščene aktivne snovi, pred iztekom njihove odobritve na nivoju Skupnosti.</w:t>
      </w:r>
    </w:p>
    <w:p w14:paraId="4B6BA128" w14:textId="5ADA95BD" w:rsidR="007F41C6" w:rsidRPr="00CF43DE" w:rsidRDefault="00A41FAF" w:rsidP="00A41FAF">
      <w:pPr>
        <w:pStyle w:val="Naslov3"/>
        <w:numPr>
          <w:ilvl w:val="0"/>
          <w:numId w:val="0"/>
        </w:numPr>
        <w:ind w:left="720"/>
        <w:rPr>
          <w:color w:val="0070C0"/>
        </w:rPr>
      </w:pPr>
      <w:bookmarkStart w:id="75" w:name="_Toc55547444"/>
      <w:r w:rsidRPr="00CF43DE">
        <w:rPr>
          <w:color w:val="0070C0"/>
        </w:rPr>
        <w:t>3</w:t>
      </w:r>
      <w:r w:rsidR="00E96095" w:rsidRPr="00CF43DE">
        <w:rPr>
          <w:color w:val="0070C0"/>
        </w:rPr>
        <w:t xml:space="preserve">.4.2. </w:t>
      </w:r>
      <w:r w:rsidR="007F41C6" w:rsidRPr="00CF43DE">
        <w:rPr>
          <w:color w:val="0070C0"/>
        </w:rPr>
        <w:t>Kazalnik tveganja 2</w:t>
      </w:r>
      <w:bookmarkEnd w:id="7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3"/>
        <w:gridCol w:w="1086"/>
        <w:gridCol w:w="714"/>
        <w:gridCol w:w="714"/>
        <w:gridCol w:w="715"/>
        <w:gridCol w:w="715"/>
        <w:gridCol w:w="715"/>
        <w:gridCol w:w="715"/>
        <w:gridCol w:w="715"/>
        <w:gridCol w:w="730"/>
      </w:tblGrid>
      <w:tr w:rsidR="007F41C6" w:rsidRPr="00E03F15" w14:paraId="0C980A33" w14:textId="77777777" w:rsidTr="00996CAF">
        <w:trPr>
          <w:tblHeader/>
          <w:tblCellSpacing w:w="15" w:type="dxa"/>
        </w:trPr>
        <w:tc>
          <w:tcPr>
            <w:tcW w:w="0" w:type="auto"/>
            <w:gridSpan w:val="10"/>
            <w:tcBorders>
              <w:top w:val="nil"/>
              <w:left w:val="nil"/>
              <w:bottom w:val="nil"/>
              <w:right w:val="nil"/>
            </w:tcBorders>
            <w:vAlign w:val="center"/>
            <w:hideMark/>
          </w:tcPr>
          <w:p w14:paraId="7B126ACC" w14:textId="0C45A291" w:rsidR="007F41C6" w:rsidRPr="00837C52" w:rsidRDefault="000A1A7D" w:rsidP="000A1A7D">
            <w:pPr>
              <w:pStyle w:val="Napis"/>
              <w:jc w:val="both"/>
              <w:rPr>
                <w:sz w:val="20"/>
                <w:szCs w:val="20"/>
              </w:rPr>
            </w:pPr>
            <w:bookmarkStart w:id="76" w:name="_Toc55484828"/>
            <w:r w:rsidRPr="00837C52">
              <w:rPr>
                <w:sz w:val="20"/>
                <w:szCs w:val="20"/>
              </w:rPr>
              <w:t xml:space="preserve">Tabela </w:t>
            </w:r>
            <w:r w:rsidR="004270C0" w:rsidRPr="00837C52">
              <w:rPr>
                <w:sz w:val="20"/>
                <w:szCs w:val="20"/>
              </w:rPr>
              <w:fldChar w:fldCharType="begin"/>
            </w:r>
            <w:r w:rsidR="004270C0" w:rsidRPr="00837C52">
              <w:rPr>
                <w:sz w:val="20"/>
                <w:szCs w:val="20"/>
              </w:rPr>
              <w:instrText xml:space="preserve"> SEQ Tabela \* ARABIC </w:instrText>
            </w:r>
            <w:r w:rsidR="004270C0" w:rsidRPr="00837C52">
              <w:rPr>
                <w:sz w:val="20"/>
                <w:szCs w:val="20"/>
              </w:rPr>
              <w:fldChar w:fldCharType="separate"/>
            </w:r>
            <w:r w:rsidR="00CF0FC8" w:rsidRPr="00837C52">
              <w:rPr>
                <w:noProof/>
                <w:sz w:val="20"/>
                <w:szCs w:val="20"/>
              </w:rPr>
              <w:t>6</w:t>
            </w:r>
            <w:r w:rsidR="004270C0" w:rsidRPr="00837C52">
              <w:rPr>
                <w:noProof/>
                <w:sz w:val="20"/>
                <w:szCs w:val="20"/>
              </w:rPr>
              <w:fldChar w:fldCharType="end"/>
            </w:r>
            <w:r w:rsidRPr="00837C52">
              <w:rPr>
                <w:sz w:val="20"/>
                <w:szCs w:val="20"/>
              </w:rPr>
              <w:t>: Gibanje celotnega utežnega indeksa z izhodiščno vrednostjo 100. Izhodiščna vrednost za usklajeni kazalnik tveganja 2 je enaka povprečnemu rezultatu izračuna iz števila izdanih dovoljenj za obdobje 2011–2013</w:t>
            </w:r>
            <w:bookmarkEnd w:id="76"/>
          </w:p>
        </w:tc>
      </w:tr>
      <w:tr w:rsidR="007F41C6" w:rsidRPr="007F41C6" w14:paraId="207B1116" w14:textId="77777777" w:rsidTr="00CF43DE">
        <w:trPr>
          <w:tblHeade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FCC0432" w14:textId="77777777" w:rsidR="007F41C6" w:rsidRPr="00E03F15" w:rsidRDefault="007F41C6" w:rsidP="007F41C6">
            <w:pPr>
              <w:spacing w:before="120" w:after="0" w:line="240" w:lineRule="auto"/>
              <w:jc w:val="center"/>
              <w:rPr>
                <w:rFonts w:eastAsia="Times New Roman"/>
                <w:sz w:val="20"/>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10C9B873"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2011-2013</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25B5D5CB"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2011</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4BD78132"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2012</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25843AB3"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2013</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5CCCAF34"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2014</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336A575A"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2015</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11A5DC08"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2016</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22F6EB8F"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2017</w:t>
            </w:r>
          </w:p>
        </w:tc>
        <w:tc>
          <w:tcPr>
            <w:tcW w:w="0" w:type="auto"/>
            <w:tcBorders>
              <w:top w:val="single" w:sz="4" w:space="0" w:color="auto"/>
              <w:left w:val="single" w:sz="4" w:space="0" w:color="auto"/>
              <w:bottom w:val="single" w:sz="4" w:space="0" w:color="auto"/>
              <w:right w:val="single" w:sz="4" w:space="0" w:color="auto"/>
            </w:tcBorders>
            <w:shd w:val="clear" w:color="auto" w:fill="D9EEF3"/>
            <w:vAlign w:val="center"/>
            <w:hideMark/>
          </w:tcPr>
          <w:p w14:paraId="75B79FD1" w14:textId="77777777" w:rsidR="007F41C6" w:rsidRPr="00E03F15" w:rsidRDefault="007F41C6" w:rsidP="007F41C6">
            <w:pPr>
              <w:spacing w:before="120" w:after="0" w:line="240" w:lineRule="auto"/>
              <w:jc w:val="center"/>
              <w:rPr>
                <w:rFonts w:eastAsia="Times New Roman"/>
                <w:b/>
                <w:bCs/>
                <w:sz w:val="20"/>
                <w:lang w:eastAsia="sl-SI"/>
              </w:rPr>
            </w:pPr>
            <w:r w:rsidRPr="00E03F15">
              <w:rPr>
                <w:rFonts w:eastAsia="Times New Roman"/>
                <w:b/>
                <w:bCs/>
                <w:sz w:val="20"/>
                <w:lang w:eastAsia="sl-SI"/>
              </w:rPr>
              <w:t>2018</w:t>
            </w:r>
          </w:p>
        </w:tc>
      </w:tr>
      <w:tr w:rsidR="007F41C6" w:rsidRPr="007F41C6" w14:paraId="7B7FB016" w14:textId="77777777" w:rsidTr="00996CA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4B2BB8"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Usklajeni kazalnik tveganja 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90A8F"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6EC2F"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FB7EB"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F7AFA"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DA308"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160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45E6B"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71A18"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220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0E1DC"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220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59846" w14:textId="77777777" w:rsidR="007F41C6" w:rsidRPr="00E03F15" w:rsidRDefault="007F41C6" w:rsidP="007F41C6">
            <w:pPr>
              <w:spacing w:before="120" w:after="0" w:line="240" w:lineRule="auto"/>
              <w:jc w:val="both"/>
              <w:rPr>
                <w:rFonts w:eastAsia="Times New Roman"/>
                <w:sz w:val="20"/>
                <w:lang w:eastAsia="sl-SI"/>
              </w:rPr>
            </w:pPr>
            <w:r w:rsidRPr="00E03F15">
              <w:rPr>
                <w:rFonts w:eastAsia="Times New Roman"/>
                <w:sz w:val="20"/>
                <w:lang w:eastAsia="sl-SI"/>
              </w:rPr>
              <w:t>140</w:t>
            </w:r>
          </w:p>
        </w:tc>
      </w:tr>
    </w:tbl>
    <w:p w14:paraId="6C93232B" w14:textId="357C72E7" w:rsidR="007F41C6" w:rsidRPr="00E03F15" w:rsidRDefault="007F41C6" w:rsidP="007F41C6">
      <w:pPr>
        <w:spacing w:before="100" w:beforeAutospacing="1" w:after="100" w:afterAutospacing="1" w:line="240" w:lineRule="auto"/>
        <w:jc w:val="both"/>
        <w:rPr>
          <w:rFonts w:eastAsia="Times New Roman"/>
          <w:sz w:val="20"/>
        </w:rPr>
      </w:pPr>
      <w:r w:rsidRPr="00E03F15">
        <w:rPr>
          <w:rFonts w:eastAsia="Times New Roman"/>
          <w:sz w:val="20"/>
        </w:rPr>
        <w:t xml:space="preserve">Iz </w:t>
      </w:r>
      <w:r w:rsidR="000A1A7D">
        <w:rPr>
          <w:rFonts w:eastAsia="Times New Roman"/>
          <w:sz w:val="20"/>
        </w:rPr>
        <w:t>Tabel</w:t>
      </w:r>
      <w:r w:rsidRPr="00E03F15">
        <w:rPr>
          <w:rFonts w:eastAsia="Times New Roman"/>
          <w:sz w:val="20"/>
        </w:rPr>
        <w:t xml:space="preserve">e </w:t>
      </w:r>
      <w:r w:rsidR="00A41FAF">
        <w:rPr>
          <w:rFonts w:eastAsia="Times New Roman"/>
          <w:sz w:val="20"/>
        </w:rPr>
        <w:t>6</w:t>
      </w:r>
      <w:r w:rsidRPr="00E03F15">
        <w:rPr>
          <w:rFonts w:eastAsia="Times New Roman"/>
          <w:sz w:val="20"/>
        </w:rPr>
        <w:t xml:space="preserve"> izhaja, da se je skupno število nujnih dovoljenj za FFS v letih 2016–2017 povečalo v primerjavi s predhodnimi leti. Razlog sta lahko večji pojav škodljivih organizmov in pojav novih vrst škodljivih organizmov, pred katerimi ni mogoče uspešno zaščititi pridelkov z redno dovoljenimi FFS, zato pridelovalci iščejo druge rešitve. V letu 2018 je število izdanih nujnih dovoljenj ponovno upadlo.</w:t>
      </w:r>
    </w:p>
    <w:p w14:paraId="4C527298" w14:textId="3158058B" w:rsidR="00867750" w:rsidRDefault="00A41FAF" w:rsidP="00A41FAF">
      <w:pPr>
        <w:pStyle w:val="Naslov2"/>
        <w:rPr>
          <w:rFonts w:ascii="Arial" w:hAnsi="Arial" w:cs="Arial"/>
        </w:rPr>
      </w:pPr>
      <w:bookmarkStart w:id="77" w:name="_Toc55547445"/>
      <w:r>
        <w:rPr>
          <w:rFonts w:ascii="Arial" w:hAnsi="Arial" w:cs="Arial"/>
        </w:rPr>
        <w:t>3</w:t>
      </w:r>
      <w:r w:rsidR="000136C1" w:rsidRPr="00A41FAF">
        <w:rPr>
          <w:rFonts w:ascii="Arial" w:hAnsi="Arial" w:cs="Arial"/>
        </w:rPr>
        <w:t xml:space="preserve">.5 </w:t>
      </w:r>
      <w:r w:rsidR="0035746E" w:rsidRPr="007234E8">
        <w:rPr>
          <w:rFonts w:ascii="Arial" w:hAnsi="Arial" w:cs="Arial"/>
        </w:rPr>
        <w:t>Ukrepi za zmanjšanje rabe FFS</w:t>
      </w:r>
      <w:bookmarkEnd w:id="77"/>
    </w:p>
    <w:p w14:paraId="4627CCE9" w14:textId="77777777" w:rsidR="00FA4BE0" w:rsidRPr="006F1357" w:rsidRDefault="00FA4BE0" w:rsidP="00FA4BE0">
      <w:pPr>
        <w:spacing w:before="80" w:after="80" w:line="220" w:lineRule="atLeast"/>
        <w:jc w:val="both"/>
        <w:rPr>
          <w:rFonts w:eastAsia="Times New Roman"/>
          <w:sz w:val="20"/>
          <w:lang w:eastAsia="en-GB"/>
        </w:rPr>
      </w:pPr>
      <w:r w:rsidRPr="0035746E">
        <w:rPr>
          <w:rFonts w:eastAsia="Times New Roman"/>
          <w:sz w:val="20"/>
          <w:lang w:eastAsia="en-GB"/>
        </w:rPr>
        <w:t>Integrirana pridelava</w:t>
      </w:r>
      <w:r w:rsidRPr="00E03F15">
        <w:rPr>
          <w:rFonts w:eastAsia="Times New Roman"/>
          <w:sz w:val="20"/>
          <w:lang w:eastAsia="en-GB"/>
        </w:rPr>
        <w:t xml:space="preserve"> se v RS izvaja že od leta 2003. Do konca leta 2014 se je izvajala v okviru kmetijsko okoljskih ukrepov Programa razvoja podeželja 2007</w:t>
      </w:r>
      <w:r>
        <w:rPr>
          <w:rFonts w:eastAsia="Times New Roman"/>
          <w:sz w:val="20"/>
          <w:lang w:eastAsia="en-GB"/>
        </w:rPr>
        <w:t>–</w:t>
      </w:r>
      <w:r w:rsidRPr="00E03F15">
        <w:rPr>
          <w:rFonts w:eastAsia="Times New Roman"/>
          <w:sz w:val="20"/>
          <w:lang w:eastAsia="en-GB"/>
        </w:rPr>
        <w:t xml:space="preserve">2013. Od leta 2015 integrirana pridelava sicer ni več del kmetijsko okoljskih ukrepov, ostaja pa </w:t>
      </w:r>
      <w:r w:rsidRPr="00503E8C">
        <w:rPr>
          <w:rFonts w:eastAsia="Times New Roman"/>
          <w:b/>
          <w:bCs/>
          <w:sz w:val="20"/>
          <w:lang w:eastAsia="en-GB"/>
        </w:rPr>
        <w:t>prostovoljna nacionalna, slovenska shema kakovosti</w:t>
      </w:r>
      <w:r w:rsidRPr="00E03F15">
        <w:rPr>
          <w:rFonts w:eastAsia="Times New Roman"/>
          <w:sz w:val="20"/>
          <w:lang w:eastAsia="en-GB"/>
        </w:rPr>
        <w:t xml:space="preserve">. </w:t>
      </w:r>
      <w:r w:rsidRPr="006F1357">
        <w:rPr>
          <w:rFonts w:eastAsia="Times New Roman"/>
          <w:sz w:val="20"/>
          <w:lang w:eastAsia="en-GB"/>
        </w:rPr>
        <w:t xml:space="preserve">Izvaja se integrirana pridelava poljščin, sadja, grozdja in zelenjave, ki spada med nacionalne sheme kakovosti. Tehnologija pridelave, postopki kontrole in način označevanja so določeni v pravilnikih o integrirani pridelavi in tehnoloških navodilih za integrirano pridelavo, ki jih vsako leto izda Ministrstvo. </w:t>
      </w:r>
    </w:p>
    <w:p w14:paraId="7FECE02E" w14:textId="77777777" w:rsidR="00FA4BE0" w:rsidRDefault="00FA4BE0" w:rsidP="00FA4BE0">
      <w:pPr>
        <w:spacing w:before="80" w:after="80" w:line="220" w:lineRule="atLeast"/>
        <w:jc w:val="both"/>
        <w:rPr>
          <w:rFonts w:eastAsia="Times New Roman"/>
          <w:sz w:val="20"/>
          <w:lang w:eastAsia="en-GB"/>
        </w:rPr>
      </w:pPr>
      <w:r w:rsidRPr="00E03F15">
        <w:rPr>
          <w:rFonts w:eastAsia="Times New Roman"/>
          <w:sz w:val="20"/>
          <w:u w:val="single"/>
          <w:lang w:eastAsia="en-GB"/>
        </w:rPr>
        <w:t xml:space="preserve">Ukrepi za </w:t>
      </w:r>
      <w:r>
        <w:rPr>
          <w:rFonts w:eastAsia="Times New Roman"/>
          <w:sz w:val="20"/>
          <w:u w:val="single"/>
          <w:lang w:eastAsia="en-GB"/>
        </w:rPr>
        <w:t>s</w:t>
      </w:r>
      <w:r w:rsidRPr="00E03F15">
        <w:rPr>
          <w:rFonts w:eastAsia="Times New Roman"/>
          <w:sz w:val="20"/>
          <w:u w:val="single"/>
          <w:lang w:eastAsia="en-GB"/>
        </w:rPr>
        <w:t>podbujanje praks z manjšo uporabo FFS</w:t>
      </w:r>
      <w:r w:rsidRPr="00E03F15">
        <w:rPr>
          <w:rFonts w:eastAsia="Times New Roman"/>
          <w:sz w:val="20"/>
          <w:lang w:eastAsia="en-GB"/>
        </w:rPr>
        <w:t xml:space="preserve">: Ministrstvo v okviru Programa razvoja podeželja RS za obdobje 2014–2020 </w:t>
      </w:r>
      <w:r>
        <w:rPr>
          <w:rFonts w:eastAsia="Times New Roman"/>
          <w:sz w:val="20"/>
          <w:lang w:eastAsia="en-GB"/>
        </w:rPr>
        <w:t xml:space="preserve">(PRP </w:t>
      </w:r>
      <w:r w:rsidRPr="00E03F15">
        <w:rPr>
          <w:rFonts w:eastAsia="Times New Roman"/>
          <w:sz w:val="20"/>
          <w:lang w:eastAsia="en-GB"/>
        </w:rPr>
        <w:t>2014–2020</w:t>
      </w:r>
      <w:r>
        <w:rPr>
          <w:rFonts w:eastAsia="Times New Roman"/>
          <w:sz w:val="20"/>
          <w:lang w:eastAsia="en-GB"/>
        </w:rPr>
        <w:t>) z ukrepom</w:t>
      </w:r>
      <w:r w:rsidRPr="00233082">
        <w:rPr>
          <w:rFonts w:eastAsia="Times New Roman"/>
          <w:sz w:val="20"/>
          <w:lang w:eastAsia="en-GB"/>
        </w:rPr>
        <w:t xml:space="preserve"> </w:t>
      </w:r>
      <w:r w:rsidRPr="00E03F15">
        <w:rPr>
          <w:rFonts w:eastAsia="Times New Roman"/>
          <w:sz w:val="20"/>
          <w:lang w:eastAsia="en-GB"/>
        </w:rPr>
        <w:t xml:space="preserve">M10 </w:t>
      </w:r>
      <w:r>
        <w:rPr>
          <w:rFonts w:eastAsia="Times New Roman"/>
          <w:sz w:val="20"/>
          <w:lang w:eastAsia="en-GB"/>
        </w:rPr>
        <w:t>–</w:t>
      </w:r>
      <w:r w:rsidRPr="00E03F15">
        <w:rPr>
          <w:rFonts w:eastAsia="Times New Roman"/>
          <w:sz w:val="20"/>
          <w:lang w:eastAsia="en-GB"/>
        </w:rPr>
        <w:t xml:space="preserve"> Kmetijsko-okoljska-podnebna plačila (ukrep KOPOP) (20</w:t>
      </w:r>
      <w:r>
        <w:rPr>
          <w:rFonts w:eastAsia="Times New Roman"/>
          <w:sz w:val="20"/>
          <w:lang w:eastAsia="en-GB"/>
        </w:rPr>
        <w:t>6</w:t>
      </w:r>
      <w:r w:rsidRPr="00E03F15">
        <w:rPr>
          <w:rFonts w:eastAsia="Times New Roman"/>
          <w:sz w:val="20"/>
          <w:lang w:eastAsia="en-GB"/>
        </w:rPr>
        <w:t>.</w:t>
      </w:r>
      <w:r>
        <w:rPr>
          <w:rFonts w:eastAsia="Times New Roman"/>
          <w:sz w:val="20"/>
          <w:lang w:eastAsia="en-GB"/>
        </w:rPr>
        <w:t>48</w:t>
      </w:r>
      <w:r w:rsidRPr="00E03F15">
        <w:rPr>
          <w:rFonts w:eastAsia="Times New Roman"/>
          <w:sz w:val="20"/>
          <w:lang w:eastAsia="en-GB"/>
        </w:rPr>
        <w:t>7.387 EUR)</w:t>
      </w:r>
      <w:r>
        <w:rPr>
          <w:rFonts w:eastAsia="Times New Roman"/>
          <w:sz w:val="20"/>
          <w:lang w:eastAsia="en-GB"/>
        </w:rPr>
        <w:t xml:space="preserve"> s</w:t>
      </w:r>
      <w:r w:rsidRPr="00E03F15">
        <w:rPr>
          <w:rFonts w:eastAsia="Times New Roman"/>
          <w:sz w:val="20"/>
          <w:lang w:eastAsia="en-GB"/>
        </w:rPr>
        <w:t xml:space="preserve">podbuja </w:t>
      </w:r>
      <w:r>
        <w:rPr>
          <w:rFonts w:eastAsia="Times New Roman"/>
          <w:sz w:val="20"/>
          <w:lang w:eastAsia="en-GB"/>
        </w:rPr>
        <w:t xml:space="preserve">izvajanje nadstandardnih sonaravnih kmetijskih praks, </w:t>
      </w:r>
      <w:r w:rsidRPr="00E03F15">
        <w:rPr>
          <w:rFonts w:eastAsia="Times New Roman"/>
          <w:sz w:val="20"/>
          <w:lang w:eastAsia="en-GB"/>
        </w:rPr>
        <w:t>ki predstavljajo višje zahteve od običajne kmetijske prakse</w:t>
      </w:r>
      <w:r>
        <w:rPr>
          <w:rFonts w:eastAsia="Times New Roman"/>
          <w:sz w:val="20"/>
          <w:lang w:eastAsia="en-GB"/>
        </w:rPr>
        <w:t xml:space="preserve">, in so usmerjene v </w:t>
      </w:r>
      <w:r w:rsidRPr="00B8522C">
        <w:rPr>
          <w:rFonts w:eastAsia="Times New Roman"/>
          <w:sz w:val="20"/>
          <w:lang w:eastAsia="en-GB"/>
        </w:rPr>
        <w:t>ohranjanje biotske raznovrstnosti in krajine</w:t>
      </w:r>
      <w:r>
        <w:rPr>
          <w:rFonts w:eastAsia="Times New Roman"/>
          <w:sz w:val="20"/>
          <w:lang w:eastAsia="en-GB"/>
        </w:rPr>
        <w:t xml:space="preserve">, </w:t>
      </w:r>
      <w:r w:rsidRPr="00B8522C">
        <w:rPr>
          <w:rFonts w:eastAsia="Times New Roman"/>
          <w:sz w:val="20"/>
          <w:lang w:eastAsia="en-GB"/>
        </w:rPr>
        <w:t>ustrezno gospodarjenje z vodami in upravljanje s tlemi</w:t>
      </w:r>
      <w:r>
        <w:rPr>
          <w:rFonts w:eastAsia="Times New Roman"/>
          <w:sz w:val="20"/>
          <w:lang w:eastAsia="en-GB"/>
        </w:rPr>
        <w:t xml:space="preserve"> ter </w:t>
      </w:r>
      <w:r w:rsidRPr="00B8522C">
        <w:rPr>
          <w:rFonts w:eastAsia="Times New Roman"/>
          <w:sz w:val="20"/>
          <w:lang w:eastAsia="en-GB"/>
        </w:rPr>
        <w:t>blaženje in prilagajanje kmetovanja podnebnim spremembam</w:t>
      </w:r>
      <w:r>
        <w:rPr>
          <w:rFonts w:eastAsia="Times New Roman"/>
          <w:sz w:val="20"/>
          <w:lang w:eastAsia="en-GB"/>
        </w:rPr>
        <w:t xml:space="preserve">. Ukrep KOPOP vključuje 19 operacij z obveznimi in izbirnimi zahtevami. Vstop v ukrep KOPOP je prostovoljen, obveznost izvajanja ukrepa pa traja pet let. </w:t>
      </w:r>
      <w:r w:rsidRPr="00E03F15">
        <w:rPr>
          <w:rFonts w:eastAsia="Times New Roman"/>
          <w:sz w:val="20"/>
          <w:lang w:eastAsia="en-GB"/>
        </w:rPr>
        <w:t xml:space="preserve">Upravičenec lahko na isti površini istočasno izvaja več operacij oz. zahtev, med katerimi so tudi </w:t>
      </w:r>
      <w:r w:rsidRPr="00E03F15">
        <w:rPr>
          <w:rFonts w:eastAsia="Times New Roman"/>
          <w:sz w:val="20"/>
          <w:lang w:eastAsia="en-GB"/>
        </w:rPr>
        <w:lastRenderedPageBreak/>
        <w:t xml:space="preserve">operacije </w:t>
      </w:r>
      <w:r>
        <w:rPr>
          <w:rFonts w:eastAsia="Times New Roman"/>
          <w:sz w:val="20"/>
          <w:lang w:eastAsia="en-GB"/>
        </w:rPr>
        <w:t>o</w:t>
      </w:r>
      <w:r w:rsidRPr="00E03F15">
        <w:rPr>
          <w:rFonts w:eastAsia="Times New Roman"/>
          <w:sz w:val="20"/>
          <w:lang w:eastAsia="en-GB"/>
        </w:rPr>
        <w:t>z</w:t>
      </w:r>
      <w:r>
        <w:rPr>
          <w:rFonts w:eastAsia="Times New Roman"/>
          <w:sz w:val="20"/>
          <w:lang w:eastAsia="en-GB"/>
        </w:rPr>
        <w:t>. zahteve, ki prispevajo k manjši in nadzorovani uporabi FFS oz. uporabo FFS prepovedujejo. Te operacije oz. zahteve so naslednje (tabela 7):</w:t>
      </w:r>
    </w:p>
    <w:p w14:paraId="231BFD8E" w14:textId="77777777" w:rsidR="00CF0FC8" w:rsidRDefault="00CF0FC8" w:rsidP="00FA4BE0">
      <w:pPr>
        <w:spacing w:before="80" w:after="80" w:line="220" w:lineRule="atLeast"/>
        <w:jc w:val="both"/>
        <w:rPr>
          <w:rFonts w:eastAsia="Times New Roman"/>
          <w:sz w:val="20"/>
          <w:lang w:eastAsia="en-GB"/>
        </w:rPr>
      </w:pPr>
    </w:p>
    <w:p w14:paraId="57F6B2AB" w14:textId="4E24F9E8" w:rsidR="00FA4BE0" w:rsidRPr="00406A9A" w:rsidRDefault="00CF0FC8" w:rsidP="000E58FE">
      <w:pPr>
        <w:pStyle w:val="Napis"/>
        <w:rPr>
          <w:sz w:val="20"/>
        </w:rPr>
      </w:pPr>
      <w:bookmarkStart w:id="78" w:name="_Toc55484829"/>
      <w:r w:rsidRPr="00837C52">
        <w:rPr>
          <w:sz w:val="20"/>
          <w:szCs w:val="20"/>
        </w:rPr>
        <w:t xml:space="preserve">Tabela </w:t>
      </w:r>
      <w:r w:rsidRPr="00837C52">
        <w:rPr>
          <w:sz w:val="20"/>
          <w:szCs w:val="20"/>
        </w:rPr>
        <w:fldChar w:fldCharType="begin"/>
      </w:r>
      <w:r w:rsidRPr="00837C52">
        <w:rPr>
          <w:sz w:val="20"/>
          <w:szCs w:val="20"/>
        </w:rPr>
        <w:instrText xml:space="preserve"> SEQ Tabela \* ARABIC </w:instrText>
      </w:r>
      <w:r w:rsidRPr="00837C52">
        <w:rPr>
          <w:sz w:val="20"/>
          <w:szCs w:val="20"/>
        </w:rPr>
        <w:fldChar w:fldCharType="separate"/>
      </w:r>
      <w:r w:rsidRPr="00837C52">
        <w:rPr>
          <w:noProof/>
          <w:sz w:val="20"/>
          <w:szCs w:val="20"/>
        </w:rPr>
        <w:t>7</w:t>
      </w:r>
      <w:r w:rsidRPr="00837C52">
        <w:rPr>
          <w:sz w:val="20"/>
          <w:szCs w:val="20"/>
        </w:rPr>
        <w:fldChar w:fldCharType="end"/>
      </w:r>
      <w:r w:rsidRPr="00837C52">
        <w:rPr>
          <w:noProof/>
          <w:sz w:val="20"/>
          <w:szCs w:val="20"/>
        </w:rPr>
        <w:t>: Operacije ukrepa KOPOP, ki zmanjšujejo uporabo FFS</w:t>
      </w:r>
      <w:bookmarkEnd w:id="78"/>
    </w:p>
    <w:tbl>
      <w:tblPr>
        <w:tblStyle w:val="Tabelamrea"/>
        <w:tblW w:w="9288" w:type="dxa"/>
        <w:tblLook w:val="04A0" w:firstRow="1" w:lastRow="0" w:firstColumn="1" w:lastColumn="0" w:noHBand="0" w:noVBand="1"/>
      </w:tblPr>
      <w:tblGrid>
        <w:gridCol w:w="2604"/>
        <w:gridCol w:w="739"/>
        <w:gridCol w:w="750"/>
        <w:gridCol w:w="661"/>
        <w:gridCol w:w="761"/>
        <w:gridCol w:w="1228"/>
        <w:gridCol w:w="772"/>
        <w:gridCol w:w="1773"/>
      </w:tblGrid>
      <w:tr w:rsidR="00FA4BE0" w:rsidRPr="00DB3436" w14:paraId="4E1A7401" w14:textId="77777777" w:rsidTr="00CF43DE">
        <w:trPr>
          <w:tblHeader/>
        </w:trPr>
        <w:tc>
          <w:tcPr>
            <w:tcW w:w="2604" w:type="dxa"/>
            <w:shd w:val="clear" w:color="auto" w:fill="D9EEF3"/>
            <w:vAlign w:val="center"/>
          </w:tcPr>
          <w:p w14:paraId="2E313D36" w14:textId="77777777" w:rsidR="00FA4BE0" w:rsidRPr="00DB3436" w:rsidRDefault="00FA4BE0" w:rsidP="004270C0">
            <w:pPr>
              <w:spacing w:before="80" w:after="80" w:line="220" w:lineRule="atLeast"/>
              <w:rPr>
                <w:rFonts w:eastAsia="Times New Roman"/>
                <w:b/>
                <w:sz w:val="20"/>
                <w:lang w:eastAsia="en-GB"/>
              </w:rPr>
            </w:pPr>
            <w:r w:rsidRPr="00DB3436">
              <w:rPr>
                <w:rFonts w:eastAsia="Times New Roman"/>
                <w:b/>
                <w:sz w:val="20"/>
                <w:lang w:eastAsia="en-GB"/>
              </w:rPr>
              <w:t>Zahteva</w:t>
            </w:r>
          </w:p>
        </w:tc>
        <w:tc>
          <w:tcPr>
            <w:tcW w:w="739" w:type="dxa"/>
            <w:shd w:val="clear" w:color="auto" w:fill="D9EEF3"/>
            <w:vAlign w:val="center"/>
          </w:tcPr>
          <w:p w14:paraId="32061A75"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POZ</w:t>
            </w:r>
          </w:p>
        </w:tc>
        <w:tc>
          <w:tcPr>
            <w:tcW w:w="750" w:type="dxa"/>
            <w:shd w:val="clear" w:color="auto" w:fill="D9EEF3"/>
            <w:vAlign w:val="center"/>
          </w:tcPr>
          <w:p w14:paraId="2F31CC2D"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SAD</w:t>
            </w:r>
          </w:p>
        </w:tc>
        <w:tc>
          <w:tcPr>
            <w:tcW w:w="661" w:type="dxa"/>
            <w:shd w:val="clear" w:color="auto" w:fill="D9EEF3"/>
            <w:vAlign w:val="center"/>
          </w:tcPr>
          <w:p w14:paraId="2472B3BD"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VIN</w:t>
            </w:r>
          </w:p>
        </w:tc>
        <w:tc>
          <w:tcPr>
            <w:tcW w:w="761" w:type="dxa"/>
            <w:shd w:val="clear" w:color="auto" w:fill="D9EEF3"/>
            <w:vAlign w:val="center"/>
          </w:tcPr>
          <w:p w14:paraId="5F6627E2"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VOD</w:t>
            </w:r>
          </w:p>
        </w:tc>
        <w:tc>
          <w:tcPr>
            <w:tcW w:w="1228" w:type="dxa"/>
            <w:shd w:val="clear" w:color="auto" w:fill="D9EEF3"/>
            <w:vAlign w:val="center"/>
          </w:tcPr>
          <w:p w14:paraId="6D14FB37"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KRA_S50</w:t>
            </w:r>
          </w:p>
        </w:tc>
        <w:tc>
          <w:tcPr>
            <w:tcW w:w="772" w:type="dxa"/>
            <w:shd w:val="clear" w:color="auto" w:fill="D9EEF3"/>
            <w:vAlign w:val="center"/>
          </w:tcPr>
          <w:p w14:paraId="58F65F52"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GRB</w:t>
            </w:r>
          </w:p>
        </w:tc>
        <w:tc>
          <w:tcPr>
            <w:tcW w:w="1773" w:type="dxa"/>
            <w:shd w:val="clear" w:color="auto" w:fill="D9EEF3"/>
            <w:vAlign w:val="center"/>
          </w:tcPr>
          <w:p w14:paraId="7EB3ADAB" w14:textId="77777777" w:rsidR="00FA4BE0" w:rsidRPr="00DB3436" w:rsidRDefault="00FA4BE0" w:rsidP="004270C0">
            <w:pPr>
              <w:spacing w:before="80" w:after="80" w:line="220" w:lineRule="atLeast"/>
              <w:jc w:val="center"/>
              <w:rPr>
                <w:rFonts w:eastAsia="Times New Roman"/>
                <w:b/>
                <w:sz w:val="20"/>
                <w:lang w:eastAsia="en-GB"/>
              </w:rPr>
            </w:pPr>
            <w:r w:rsidRPr="00DB3436">
              <w:rPr>
                <w:rFonts w:eastAsia="Times New Roman"/>
                <w:b/>
                <w:sz w:val="20"/>
                <w:lang w:eastAsia="en-GB"/>
              </w:rPr>
              <w:t>Planinska paša</w:t>
            </w:r>
          </w:p>
        </w:tc>
      </w:tr>
      <w:tr w:rsidR="00FA4BE0" w14:paraId="46F02473" w14:textId="77777777" w:rsidTr="00CF43DE">
        <w:tc>
          <w:tcPr>
            <w:tcW w:w="2604" w:type="dxa"/>
            <w:vAlign w:val="center"/>
          </w:tcPr>
          <w:p w14:paraId="67E12001" w14:textId="77777777" w:rsidR="00FA4BE0" w:rsidRDefault="00FA4BE0" w:rsidP="004270C0">
            <w:pPr>
              <w:spacing w:before="80" w:after="80" w:line="220" w:lineRule="atLeast"/>
              <w:rPr>
                <w:rFonts w:eastAsia="Times New Roman"/>
                <w:sz w:val="20"/>
                <w:lang w:eastAsia="en-GB"/>
              </w:rPr>
            </w:pPr>
            <w:r w:rsidRPr="00B43208">
              <w:rPr>
                <w:rFonts w:eastAsia="Times New Roman"/>
                <w:sz w:val="20"/>
                <w:lang w:eastAsia="en-GB"/>
              </w:rPr>
              <w:t>Uporab</w:t>
            </w:r>
            <w:r>
              <w:rPr>
                <w:rFonts w:eastAsia="Times New Roman"/>
                <w:sz w:val="20"/>
                <w:lang w:eastAsia="en-GB"/>
              </w:rPr>
              <w:t xml:space="preserve">a </w:t>
            </w:r>
            <w:proofErr w:type="spellStart"/>
            <w:r w:rsidRPr="00B43208">
              <w:rPr>
                <w:rFonts w:eastAsia="Times New Roman"/>
                <w:sz w:val="20"/>
                <w:lang w:eastAsia="en-GB"/>
              </w:rPr>
              <w:t>protiinsektnih</w:t>
            </w:r>
            <w:proofErr w:type="spellEnd"/>
            <w:r w:rsidRPr="00B43208">
              <w:rPr>
                <w:rFonts w:eastAsia="Times New Roman"/>
                <w:sz w:val="20"/>
                <w:lang w:eastAsia="en-GB"/>
              </w:rPr>
              <w:t xml:space="preserve"> mrež</w:t>
            </w:r>
          </w:p>
        </w:tc>
        <w:tc>
          <w:tcPr>
            <w:tcW w:w="739" w:type="dxa"/>
            <w:vAlign w:val="center"/>
          </w:tcPr>
          <w:p w14:paraId="4295B7CE"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50" w:type="dxa"/>
            <w:vAlign w:val="center"/>
          </w:tcPr>
          <w:p w14:paraId="04B933D4"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50060543"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1204AC7E"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585A0662"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10B3C8AD"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5C265DFA" w14:textId="77777777" w:rsidR="00FA4BE0" w:rsidRDefault="00FA4BE0" w:rsidP="004270C0">
            <w:pPr>
              <w:spacing w:before="80" w:after="80" w:line="220" w:lineRule="atLeast"/>
              <w:jc w:val="center"/>
              <w:rPr>
                <w:rFonts w:eastAsia="Times New Roman"/>
                <w:sz w:val="20"/>
                <w:lang w:eastAsia="en-GB"/>
              </w:rPr>
            </w:pPr>
          </w:p>
        </w:tc>
      </w:tr>
      <w:tr w:rsidR="00FA4BE0" w14:paraId="7483A28B" w14:textId="77777777" w:rsidTr="00CF43DE">
        <w:tc>
          <w:tcPr>
            <w:tcW w:w="2604" w:type="dxa"/>
            <w:vAlign w:val="center"/>
          </w:tcPr>
          <w:p w14:paraId="05B32773"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Uporaba</w:t>
            </w:r>
            <w:r w:rsidRPr="00B43208">
              <w:rPr>
                <w:rFonts w:eastAsia="Times New Roman"/>
                <w:sz w:val="20"/>
                <w:lang w:eastAsia="en-GB"/>
              </w:rPr>
              <w:t xml:space="preserve"> FFS z manjšim tveganjem</w:t>
            </w:r>
          </w:p>
        </w:tc>
        <w:tc>
          <w:tcPr>
            <w:tcW w:w="739" w:type="dxa"/>
            <w:vAlign w:val="center"/>
          </w:tcPr>
          <w:p w14:paraId="44FD07D2"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r>
              <w:rPr>
                <w:rFonts w:eastAsia="Times New Roman"/>
                <w:sz w:val="20"/>
                <w:lang w:eastAsia="en-GB"/>
              </w:rPr>
              <w:t>*</w:t>
            </w:r>
          </w:p>
        </w:tc>
        <w:tc>
          <w:tcPr>
            <w:tcW w:w="750" w:type="dxa"/>
            <w:vAlign w:val="center"/>
          </w:tcPr>
          <w:p w14:paraId="3A21E11A"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40C565CE"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6FDF74FD"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r>
              <w:rPr>
                <w:rFonts w:eastAsia="Times New Roman"/>
                <w:sz w:val="20"/>
                <w:lang w:eastAsia="en-GB"/>
              </w:rPr>
              <w:t>*</w:t>
            </w:r>
          </w:p>
        </w:tc>
        <w:tc>
          <w:tcPr>
            <w:tcW w:w="1228" w:type="dxa"/>
            <w:vAlign w:val="center"/>
          </w:tcPr>
          <w:p w14:paraId="6A97EFFD"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61DEB445"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37B6A278"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r>
              <w:rPr>
                <w:rFonts w:eastAsia="Times New Roman"/>
                <w:sz w:val="20"/>
                <w:lang w:eastAsia="en-GB"/>
              </w:rPr>
              <w:t>**</w:t>
            </w:r>
          </w:p>
        </w:tc>
      </w:tr>
      <w:tr w:rsidR="00FA4BE0" w14:paraId="351B6F5F" w14:textId="77777777" w:rsidTr="00CF43DE">
        <w:tc>
          <w:tcPr>
            <w:tcW w:w="2604" w:type="dxa"/>
            <w:vAlign w:val="center"/>
          </w:tcPr>
          <w:p w14:paraId="78FF9D3D"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Uporaba zastirk</w:t>
            </w:r>
          </w:p>
        </w:tc>
        <w:tc>
          <w:tcPr>
            <w:tcW w:w="739" w:type="dxa"/>
            <w:vAlign w:val="center"/>
          </w:tcPr>
          <w:p w14:paraId="014018D6"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50" w:type="dxa"/>
            <w:vAlign w:val="center"/>
          </w:tcPr>
          <w:p w14:paraId="13057DF8"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54BE5DB9"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261E6441"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76F8CBE8"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41B36942"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1AD9EB0F" w14:textId="77777777" w:rsidR="00FA4BE0" w:rsidRDefault="00FA4BE0" w:rsidP="004270C0">
            <w:pPr>
              <w:spacing w:before="80" w:after="80" w:line="220" w:lineRule="atLeast"/>
              <w:jc w:val="center"/>
              <w:rPr>
                <w:rFonts w:eastAsia="Times New Roman"/>
                <w:sz w:val="20"/>
                <w:lang w:eastAsia="en-GB"/>
              </w:rPr>
            </w:pPr>
          </w:p>
        </w:tc>
      </w:tr>
      <w:tr w:rsidR="00FA4BE0" w14:paraId="1D78D41C" w14:textId="77777777" w:rsidTr="00CF43DE">
        <w:tc>
          <w:tcPr>
            <w:tcW w:w="2604" w:type="dxa"/>
            <w:vAlign w:val="center"/>
          </w:tcPr>
          <w:p w14:paraId="788C6FF1"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Mehansko zatiranje plevelov</w:t>
            </w:r>
          </w:p>
        </w:tc>
        <w:tc>
          <w:tcPr>
            <w:tcW w:w="739" w:type="dxa"/>
            <w:vAlign w:val="center"/>
          </w:tcPr>
          <w:p w14:paraId="3EAF67FD"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50" w:type="dxa"/>
            <w:vAlign w:val="center"/>
          </w:tcPr>
          <w:p w14:paraId="6A351CEA"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661" w:type="dxa"/>
            <w:vAlign w:val="center"/>
          </w:tcPr>
          <w:p w14:paraId="12A32C34"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61" w:type="dxa"/>
            <w:vAlign w:val="center"/>
          </w:tcPr>
          <w:p w14:paraId="18E38FA6"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6D0A9517"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4A067FA0"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765B0918" w14:textId="77777777" w:rsidR="00FA4BE0" w:rsidRDefault="00FA4BE0" w:rsidP="004270C0">
            <w:pPr>
              <w:spacing w:before="80" w:after="80" w:line="220" w:lineRule="atLeast"/>
              <w:jc w:val="center"/>
              <w:rPr>
                <w:rFonts w:eastAsia="Times New Roman"/>
                <w:sz w:val="20"/>
                <w:lang w:eastAsia="en-GB"/>
              </w:rPr>
            </w:pPr>
          </w:p>
        </w:tc>
      </w:tr>
      <w:tr w:rsidR="00FA4BE0" w14:paraId="4AF7719D" w14:textId="77777777" w:rsidTr="00CF43DE">
        <w:tc>
          <w:tcPr>
            <w:tcW w:w="2604" w:type="dxa"/>
            <w:vAlign w:val="center"/>
          </w:tcPr>
          <w:p w14:paraId="3F6DE959"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P</w:t>
            </w:r>
            <w:r w:rsidRPr="00B43208">
              <w:rPr>
                <w:rFonts w:eastAsia="Times New Roman"/>
                <w:sz w:val="20"/>
                <w:lang w:eastAsia="en-GB"/>
              </w:rPr>
              <w:t>repoved uporabe herbicidov</w:t>
            </w:r>
            <w:r>
              <w:rPr>
                <w:rFonts w:eastAsia="Times New Roman"/>
                <w:sz w:val="20"/>
                <w:lang w:eastAsia="en-GB"/>
              </w:rPr>
              <w:t xml:space="preserve"> za </w:t>
            </w:r>
            <w:r w:rsidRPr="00B43208">
              <w:rPr>
                <w:rFonts w:eastAsia="Times New Roman"/>
                <w:sz w:val="20"/>
                <w:lang w:eastAsia="en-GB"/>
              </w:rPr>
              <w:t>uničenje prezimne zelene odeje</w:t>
            </w:r>
          </w:p>
        </w:tc>
        <w:tc>
          <w:tcPr>
            <w:tcW w:w="739" w:type="dxa"/>
            <w:vAlign w:val="center"/>
          </w:tcPr>
          <w:p w14:paraId="769DD77E"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50" w:type="dxa"/>
            <w:vAlign w:val="center"/>
          </w:tcPr>
          <w:p w14:paraId="2060E6A6"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407D3B1B"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1F515B9E"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1228" w:type="dxa"/>
            <w:vAlign w:val="center"/>
          </w:tcPr>
          <w:p w14:paraId="0F3489F4"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6D9D090A"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3C70B5B3" w14:textId="77777777" w:rsidR="00FA4BE0" w:rsidRDefault="00FA4BE0" w:rsidP="004270C0">
            <w:pPr>
              <w:spacing w:before="80" w:after="80" w:line="220" w:lineRule="atLeast"/>
              <w:jc w:val="center"/>
              <w:rPr>
                <w:rFonts w:eastAsia="Times New Roman"/>
                <w:sz w:val="20"/>
                <w:lang w:eastAsia="en-GB"/>
              </w:rPr>
            </w:pPr>
          </w:p>
        </w:tc>
      </w:tr>
      <w:tr w:rsidR="00FA4BE0" w14:paraId="4022B9D9" w14:textId="77777777" w:rsidTr="00CF43DE">
        <w:tc>
          <w:tcPr>
            <w:tcW w:w="2604" w:type="dxa"/>
            <w:vAlign w:val="center"/>
          </w:tcPr>
          <w:p w14:paraId="11CE68DB"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P</w:t>
            </w:r>
            <w:r w:rsidRPr="00B43208">
              <w:rPr>
                <w:rFonts w:eastAsia="Times New Roman"/>
                <w:sz w:val="20"/>
                <w:lang w:eastAsia="en-GB"/>
              </w:rPr>
              <w:t>repoved uporabe herbicidov</w:t>
            </w:r>
            <w:r>
              <w:rPr>
                <w:rFonts w:eastAsia="Times New Roman"/>
                <w:sz w:val="20"/>
                <w:lang w:eastAsia="en-GB"/>
              </w:rPr>
              <w:t xml:space="preserve"> v</w:t>
            </w:r>
            <w:r w:rsidRPr="00B43208">
              <w:rPr>
                <w:rFonts w:eastAsia="Times New Roman"/>
                <w:sz w:val="20"/>
                <w:lang w:eastAsia="en-GB"/>
              </w:rPr>
              <w:t xml:space="preserve"> </w:t>
            </w:r>
            <w:proofErr w:type="spellStart"/>
            <w:r>
              <w:rPr>
                <w:rFonts w:eastAsia="Times New Roman"/>
                <w:sz w:val="20"/>
                <w:lang w:eastAsia="en-GB"/>
              </w:rPr>
              <w:t>neprezimnih</w:t>
            </w:r>
            <w:proofErr w:type="spellEnd"/>
            <w:r>
              <w:rPr>
                <w:rFonts w:eastAsia="Times New Roman"/>
                <w:sz w:val="20"/>
                <w:lang w:eastAsia="en-GB"/>
              </w:rPr>
              <w:t xml:space="preserve"> posevkih</w:t>
            </w:r>
          </w:p>
        </w:tc>
        <w:tc>
          <w:tcPr>
            <w:tcW w:w="739" w:type="dxa"/>
            <w:vAlign w:val="center"/>
          </w:tcPr>
          <w:p w14:paraId="369964B6"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50" w:type="dxa"/>
            <w:vAlign w:val="center"/>
          </w:tcPr>
          <w:p w14:paraId="35B97B13"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27B36364"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27F8C4DA"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1228" w:type="dxa"/>
            <w:vAlign w:val="center"/>
          </w:tcPr>
          <w:p w14:paraId="0DA4AAA7"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013378C7"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2EAD0EEF" w14:textId="77777777" w:rsidR="00FA4BE0" w:rsidRDefault="00FA4BE0" w:rsidP="004270C0">
            <w:pPr>
              <w:spacing w:before="80" w:after="80" w:line="220" w:lineRule="atLeast"/>
              <w:jc w:val="center"/>
              <w:rPr>
                <w:rFonts w:eastAsia="Times New Roman"/>
                <w:sz w:val="20"/>
                <w:lang w:eastAsia="en-GB"/>
              </w:rPr>
            </w:pPr>
          </w:p>
        </w:tc>
      </w:tr>
      <w:tr w:rsidR="00FA4BE0" w14:paraId="046348DA" w14:textId="77777777" w:rsidTr="00CF43DE">
        <w:tc>
          <w:tcPr>
            <w:tcW w:w="2604" w:type="dxa"/>
            <w:vAlign w:val="center"/>
          </w:tcPr>
          <w:p w14:paraId="0F4082B4"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U</w:t>
            </w:r>
            <w:r w:rsidRPr="00B57022">
              <w:rPr>
                <w:rFonts w:eastAsia="Times New Roman"/>
                <w:sz w:val="20"/>
                <w:lang w:eastAsia="en-GB"/>
              </w:rPr>
              <w:t>porab</w:t>
            </w:r>
            <w:r>
              <w:rPr>
                <w:rFonts w:eastAsia="Times New Roman"/>
                <w:sz w:val="20"/>
                <w:lang w:eastAsia="en-GB"/>
              </w:rPr>
              <w:t>a</w:t>
            </w:r>
            <w:r w:rsidRPr="00B57022">
              <w:rPr>
                <w:rFonts w:eastAsia="Times New Roman"/>
                <w:sz w:val="20"/>
                <w:lang w:eastAsia="en-GB"/>
              </w:rPr>
              <w:t xml:space="preserve"> feromonskih in lepljivih vab</w:t>
            </w:r>
          </w:p>
        </w:tc>
        <w:tc>
          <w:tcPr>
            <w:tcW w:w="739" w:type="dxa"/>
            <w:vAlign w:val="center"/>
          </w:tcPr>
          <w:p w14:paraId="38E2EC7D" w14:textId="77777777" w:rsidR="00FA4BE0" w:rsidRDefault="00FA4BE0" w:rsidP="004270C0">
            <w:pPr>
              <w:spacing w:before="80" w:after="80" w:line="220" w:lineRule="atLeast"/>
              <w:jc w:val="center"/>
              <w:rPr>
                <w:rFonts w:eastAsia="Times New Roman"/>
                <w:sz w:val="20"/>
                <w:lang w:eastAsia="en-GB"/>
              </w:rPr>
            </w:pPr>
          </w:p>
        </w:tc>
        <w:tc>
          <w:tcPr>
            <w:tcW w:w="750" w:type="dxa"/>
            <w:vAlign w:val="center"/>
          </w:tcPr>
          <w:p w14:paraId="74973A9E"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661" w:type="dxa"/>
            <w:vAlign w:val="center"/>
          </w:tcPr>
          <w:p w14:paraId="68B0BCFA"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61" w:type="dxa"/>
            <w:vAlign w:val="center"/>
          </w:tcPr>
          <w:p w14:paraId="5F4EAD24"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6855349D"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27D05283"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7DFA3F82" w14:textId="77777777" w:rsidR="00FA4BE0" w:rsidRDefault="00FA4BE0" w:rsidP="004270C0">
            <w:pPr>
              <w:spacing w:before="80" w:after="80" w:line="220" w:lineRule="atLeast"/>
              <w:jc w:val="center"/>
              <w:rPr>
                <w:rFonts w:eastAsia="Times New Roman"/>
                <w:sz w:val="20"/>
                <w:lang w:eastAsia="en-GB"/>
              </w:rPr>
            </w:pPr>
          </w:p>
        </w:tc>
      </w:tr>
      <w:tr w:rsidR="00FA4BE0" w14:paraId="73059D43" w14:textId="77777777" w:rsidTr="00CF43DE">
        <w:tc>
          <w:tcPr>
            <w:tcW w:w="2604" w:type="dxa"/>
            <w:vAlign w:val="center"/>
          </w:tcPr>
          <w:p w14:paraId="6FEE98F3"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Uporaba metode konfuzije in dezorientacije</w:t>
            </w:r>
          </w:p>
        </w:tc>
        <w:tc>
          <w:tcPr>
            <w:tcW w:w="739" w:type="dxa"/>
            <w:vAlign w:val="center"/>
          </w:tcPr>
          <w:p w14:paraId="2F6EA69A" w14:textId="77777777" w:rsidR="00FA4BE0" w:rsidRDefault="00FA4BE0" w:rsidP="004270C0">
            <w:pPr>
              <w:spacing w:before="80" w:after="80" w:line="220" w:lineRule="atLeast"/>
              <w:jc w:val="center"/>
              <w:rPr>
                <w:rFonts w:eastAsia="Times New Roman"/>
                <w:sz w:val="20"/>
                <w:lang w:eastAsia="en-GB"/>
              </w:rPr>
            </w:pPr>
          </w:p>
        </w:tc>
        <w:tc>
          <w:tcPr>
            <w:tcW w:w="750" w:type="dxa"/>
            <w:vAlign w:val="center"/>
          </w:tcPr>
          <w:p w14:paraId="42FA333E"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661" w:type="dxa"/>
            <w:vAlign w:val="center"/>
          </w:tcPr>
          <w:p w14:paraId="138CAE70"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170CBB28"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5E74B769"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3EAD14BB"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11011EC1" w14:textId="77777777" w:rsidR="00FA4BE0" w:rsidRDefault="00FA4BE0" w:rsidP="004270C0">
            <w:pPr>
              <w:spacing w:before="80" w:after="80" w:line="220" w:lineRule="atLeast"/>
              <w:jc w:val="center"/>
              <w:rPr>
                <w:rFonts w:eastAsia="Times New Roman"/>
                <w:sz w:val="20"/>
                <w:lang w:eastAsia="en-GB"/>
              </w:rPr>
            </w:pPr>
          </w:p>
        </w:tc>
      </w:tr>
      <w:tr w:rsidR="00FA4BE0" w14:paraId="702F9DA2" w14:textId="77777777" w:rsidTr="00CF43DE">
        <w:tc>
          <w:tcPr>
            <w:tcW w:w="2604" w:type="dxa"/>
            <w:vAlign w:val="center"/>
          </w:tcPr>
          <w:p w14:paraId="396F1AA9"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Opustitev uporabe insekticidov</w:t>
            </w:r>
          </w:p>
        </w:tc>
        <w:tc>
          <w:tcPr>
            <w:tcW w:w="739" w:type="dxa"/>
            <w:vAlign w:val="center"/>
          </w:tcPr>
          <w:p w14:paraId="765EA0E1" w14:textId="77777777" w:rsidR="00FA4BE0" w:rsidRDefault="00FA4BE0" w:rsidP="004270C0">
            <w:pPr>
              <w:spacing w:before="80" w:after="80" w:line="220" w:lineRule="atLeast"/>
              <w:jc w:val="center"/>
              <w:rPr>
                <w:rFonts w:eastAsia="Times New Roman"/>
                <w:sz w:val="20"/>
                <w:lang w:eastAsia="en-GB"/>
              </w:rPr>
            </w:pPr>
          </w:p>
        </w:tc>
        <w:tc>
          <w:tcPr>
            <w:tcW w:w="750" w:type="dxa"/>
            <w:vAlign w:val="center"/>
          </w:tcPr>
          <w:p w14:paraId="274ECFA0"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157FF895"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61" w:type="dxa"/>
            <w:vAlign w:val="center"/>
          </w:tcPr>
          <w:p w14:paraId="69701C3B"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0CF7F4CE" w14:textId="77777777" w:rsidR="00FA4BE0" w:rsidRDefault="00FA4BE0" w:rsidP="004270C0">
            <w:pPr>
              <w:spacing w:before="80" w:after="80" w:line="220" w:lineRule="atLeast"/>
              <w:jc w:val="center"/>
              <w:rPr>
                <w:rFonts w:eastAsia="Times New Roman"/>
                <w:sz w:val="20"/>
                <w:lang w:eastAsia="en-GB"/>
              </w:rPr>
            </w:pPr>
          </w:p>
        </w:tc>
        <w:tc>
          <w:tcPr>
            <w:tcW w:w="772" w:type="dxa"/>
            <w:vAlign w:val="center"/>
          </w:tcPr>
          <w:p w14:paraId="1F772F7F" w14:textId="77777777" w:rsidR="00FA4BE0" w:rsidRDefault="00FA4BE0" w:rsidP="004270C0">
            <w:pPr>
              <w:spacing w:before="80" w:after="80" w:line="220" w:lineRule="atLeast"/>
              <w:jc w:val="center"/>
              <w:rPr>
                <w:rFonts w:eastAsia="Times New Roman"/>
                <w:sz w:val="20"/>
                <w:lang w:eastAsia="en-GB"/>
              </w:rPr>
            </w:pPr>
          </w:p>
        </w:tc>
        <w:tc>
          <w:tcPr>
            <w:tcW w:w="1773" w:type="dxa"/>
            <w:vAlign w:val="center"/>
          </w:tcPr>
          <w:p w14:paraId="3A65D881" w14:textId="77777777" w:rsidR="00FA4BE0" w:rsidRDefault="00FA4BE0" w:rsidP="004270C0">
            <w:pPr>
              <w:spacing w:before="80" w:after="80" w:line="220" w:lineRule="atLeast"/>
              <w:jc w:val="center"/>
              <w:rPr>
                <w:rFonts w:eastAsia="Times New Roman"/>
                <w:sz w:val="20"/>
                <w:lang w:eastAsia="en-GB"/>
              </w:rPr>
            </w:pPr>
          </w:p>
        </w:tc>
      </w:tr>
      <w:tr w:rsidR="00FA4BE0" w14:paraId="585A621E" w14:textId="77777777" w:rsidTr="00CF43DE">
        <w:tc>
          <w:tcPr>
            <w:tcW w:w="2604" w:type="dxa"/>
            <w:vAlign w:val="center"/>
          </w:tcPr>
          <w:p w14:paraId="6DBF48B5" w14:textId="77777777" w:rsidR="00FA4BE0" w:rsidRDefault="00FA4BE0" w:rsidP="004270C0">
            <w:pPr>
              <w:spacing w:before="80" w:after="80" w:line="220" w:lineRule="atLeast"/>
              <w:rPr>
                <w:rFonts w:eastAsia="Times New Roman"/>
                <w:sz w:val="20"/>
                <w:lang w:eastAsia="en-GB"/>
              </w:rPr>
            </w:pPr>
            <w:r>
              <w:rPr>
                <w:rFonts w:eastAsia="Times New Roman"/>
                <w:sz w:val="20"/>
                <w:lang w:eastAsia="en-GB"/>
              </w:rPr>
              <w:t>Prepoved uporabe FFS</w:t>
            </w:r>
          </w:p>
        </w:tc>
        <w:tc>
          <w:tcPr>
            <w:tcW w:w="739" w:type="dxa"/>
            <w:vAlign w:val="center"/>
          </w:tcPr>
          <w:p w14:paraId="5E554781" w14:textId="77777777" w:rsidR="00FA4BE0" w:rsidRDefault="00FA4BE0" w:rsidP="004270C0">
            <w:pPr>
              <w:spacing w:before="80" w:after="80" w:line="220" w:lineRule="atLeast"/>
              <w:jc w:val="center"/>
              <w:rPr>
                <w:rFonts w:eastAsia="Times New Roman"/>
                <w:sz w:val="20"/>
                <w:lang w:eastAsia="en-GB"/>
              </w:rPr>
            </w:pPr>
          </w:p>
        </w:tc>
        <w:tc>
          <w:tcPr>
            <w:tcW w:w="750" w:type="dxa"/>
            <w:vAlign w:val="center"/>
          </w:tcPr>
          <w:p w14:paraId="08A51488" w14:textId="77777777" w:rsidR="00FA4BE0" w:rsidRDefault="00FA4BE0" w:rsidP="004270C0">
            <w:pPr>
              <w:spacing w:before="80" w:after="80" w:line="220" w:lineRule="atLeast"/>
              <w:jc w:val="center"/>
              <w:rPr>
                <w:rFonts w:eastAsia="Times New Roman"/>
                <w:sz w:val="20"/>
                <w:lang w:eastAsia="en-GB"/>
              </w:rPr>
            </w:pPr>
          </w:p>
        </w:tc>
        <w:tc>
          <w:tcPr>
            <w:tcW w:w="661" w:type="dxa"/>
            <w:vAlign w:val="center"/>
          </w:tcPr>
          <w:p w14:paraId="401151C4" w14:textId="77777777" w:rsidR="00FA4BE0" w:rsidRDefault="00FA4BE0" w:rsidP="004270C0">
            <w:pPr>
              <w:spacing w:before="80" w:after="80" w:line="220" w:lineRule="atLeast"/>
              <w:jc w:val="center"/>
              <w:rPr>
                <w:rFonts w:eastAsia="Times New Roman"/>
                <w:sz w:val="20"/>
                <w:lang w:eastAsia="en-GB"/>
              </w:rPr>
            </w:pPr>
          </w:p>
        </w:tc>
        <w:tc>
          <w:tcPr>
            <w:tcW w:w="761" w:type="dxa"/>
            <w:vAlign w:val="center"/>
          </w:tcPr>
          <w:p w14:paraId="737A940E" w14:textId="77777777" w:rsidR="00FA4BE0" w:rsidRDefault="00FA4BE0" w:rsidP="004270C0">
            <w:pPr>
              <w:spacing w:before="80" w:after="80" w:line="220" w:lineRule="atLeast"/>
              <w:jc w:val="center"/>
              <w:rPr>
                <w:rFonts w:eastAsia="Times New Roman"/>
                <w:sz w:val="20"/>
                <w:lang w:eastAsia="en-GB"/>
              </w:rPr>
            </w:pPr>
          </w:p>
        </w:tc>
        <w:tc>
          <w:tcPr>
            <w:tcW w:w="1228" w:type="dxa"/>
            <w:vAlign w:val="center"/>
          </w:tcPr>
          <w:p w14:paraId="408EE4B5"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772" w:type="dxa"/>
            <w:vAlign w:val="center"/>
          </w:tcPr>
          <w:p w14:paraId="44E8C4C0" w14:textId="77777777" w:rsidR="00FA4BE0" w:rsidRDefault="00FA4BE0" w:rsidP="004270C0">
            <w:pPr>
              <w:spacing w:before="80" w:after="80" w:line="220" w:lineRule="atLeast"/>
              <w:jc w:val="center"/>
              <w:rPr>
                <w:rFonts w:eastAsia="Times New Roman"/>
                <w:sz w:val="20"/>
                <w:lang w:eastAsia="en-GB"/>
              </w:rPr>
            </w:pPr>
            <w:r>
              <w:rPr>
                <w:rFonts w:eastAsia="Times New Roman"/>
                <w:sz w:val="20"/>
                <w:lang w:eastAsia="en-GB"/>
              </w:rPr>
              <w:sym w:font="Wingdings" w:char="F0FC"/>
            </w:r>
          </w:p>
        </w:tc>
        <w:tc>
          <w:tcPr>
            <w:tcW w:w="1773" w:type="dxa"/>
            <w:vAlign w:val="center"/>
          </w:tcPr>
          <w:p w14:paraId="30D0E127" w14:textId="77777777" w:rsidR="00FA4BE0" w:rsidRDefault="00FA4BE0" w:rsidP="004270C0">
            <w:pPr>
              <w:spacing w:before="80" w:after="80" w:line="220" w:lineRule="atLeast"/>
              <w:jc w:val="center"/>
              <w:rPr>
                <w:rFonts w:eastAsia="Times New Roman"/>
                <w:sz w:val="20"/>
                <w:lang w:eastAsia="en-GB"/>
              </w:rPr>
            </w:pPr>
          </w:p>
        </w:tc>
      </w:tr>
    </w:tbl>
    <w:p w14:paraId="1E7307A5" w14:textId="77777777" w:rsidR="00FA4BE0" w:rsidRPr="00837C52" w:rsidRDefault="00FA4BE0" w:rsidP="00FA4BE0">
      <w:pPr>
        <w:spacing w:before="80" w:after="80" w:line="220" w:lineRule="atLeast"/>
        <w:jc w:val="both"/>
        <w:rPr>
          <w:rFonts w:eastAsia="Times New Roman"/>
          <w:sz w:val="16"/>
          <w:szCs w:val="16"/>
          <w:lang w:eastAsia="en-GB"/>
        </w:rPr>
      </w:pPr>
      <w:r w:rsidRPr="00837C52">
        <w:rPr>
          <w:rFonts w:eastAsia="Times New Roman"/>
          <w:sz w:val="16"/>
          <w:szCs w:val="16"/>
          <w:lang w:eastAsia="en-GB"/>
        </w:rPr>
        <w:t>* Uporaba samo tistih FFS, ki so dovoljena na najožjih vodovarstvenih območjih</w:t>
      </w:r>
    </w:p>
    <w:p w14:paraId="3DF90A40" w14:textId="77777777" w:rsidR="00FA4BE0" w:rsidRPr="00837C52" w:rsidRDefault="00FA4BE0" w:rsidP="00FA4BE0">
      <w:pPr>
        <w:spacing w:before="80" w:after="80" w:line="220" w:lineRule="atLeast"/>
        <w:jc w:val="both"/>
        <w:rPr>
          <w:rFonts w:eastAsia="Times New Roman"/>
          <w:sz w:val="16"/>
          <w:szCs w:val="16"/>
          <w:lang w:eastAsia="en-GB"/>
        </w:rPr>
      </w:pPr>
      <w:r w:rsidRPr="00837C52">
        <w:rPr>
          <w:rFonts w:eastAsia="Times New Roman"/>
          <w:sz w:val="16"/>
          <w:szCs w:val="16"/>
          <w:lang w:eastAsia="en-GB"/>
        </w:rPr>
        <w:t>** Uporaba FFS in drugih pripravkov za varstvo rastlin, ki so dovoljena v ekološki pridelavi</w:t>
      </w:r>
    </w:p>
    <w:p w14:paraId="160B13C4" w14:textId="77777777" w:rsidR="00FA4BE0" w:rsidRDefault="00FA4BE0" w:rsidP="00FA4BE0">
      <w:pPr>
        <w:spacing w:before="80" w:after="80" w:line="220" w:lineRule="atLeast"/>
        <w:jc w:val="both"/>
        <w:rPr>
          <w:rFonts w:eastAsia="Times New Roman"/>
          <w:sz w:val="20"/>
          <w:lang w:eastAsia="en-GB"/>
        </w:rPr>
      </w:pPr>
    </w:p>
    <w:p w14:paraId="420209DD" w14:textId="77777777" w:rsidR="00FA4BE0" w:rsidRDefault="00FA4BE0" w:rsidP="00FA4BE0">
      <w:pPr>
        <w:spacing w:before="80" w:after="80" w:line="220" w:lineRule="atLeast"/>
        <w:jc w:val="both"/>
        <w:rPr>
          <w:rFonts w:eastAsia="Times New Roman"/>
          <w:sz w:val="20"/>
          <w:lang w:eastAsia="en-GB"/>
        </w:rPr>
      </w:pPr>
      <w:r>
        <w:rPr>
          <w:rFonts w:eastAsia="Times New Roman"/>
          <w:sz w:val="20"/>
          <w:lang w:eastAsia="en-GB"/>
        </w:rPr>
        <w:t xml:space="preserve">Upravičenci, ki izvajajo ukrep </w:t>
      </w:r>
      <w:r w:rsidRPr="00F15A97">
        <w:rPr>
          <w:rFonts w:eastAsia="Times New Roman"/>
          <w:sz w:val="20"/>
          <w:lang w:eastAsia="en-GB"/>
        </w:rPr>
        <w:t>KOPOP</w:t>
      </w:r>
      <w:r>
        <w:rPr>
          <w:rFonts w:eastAsia="Times New Roman"/>
          <w:sz w:val="20"/>
          <w:lang w:eastAsia="en-GB"/>
        </w:rPr>
        <w:t>,</w:t>
      </w:r>
      <w:r w:rsidRPr="00F15A97">
        <w:rPr>
          <w:rFonts w:eastAsia="Times New Roman"/>
          <w:sz w:val="20"/>
          <w:lang w:eastAsia="en-GB"/>
        </w:rPr>
        <w:t xml:space="preserve"> morajo izpolnjevati tudi minimalne zahteve za uporabo </w:t>
      </w:r>
      <w:r>
        <w:rPr>
          <w:rFonts w:eastAsia="Times New Roman"/>
          <w:sz w:val="20"/>
          <w:lang w:eastAsia="en-GB"/>
        </w:rPr>
        <w:t xml:space="preserve">FFS, ki </w:t>
      </w:r>
      <w:r w:rsidRPr="00F15A97">
        <w:rPr>
          <w:rFonts w:eastAsia="Times New Roman"/>
          <w:sz w:val="20"/>
          <w:lang w:eastAsia="en-GB"/>
        </w:rPr>
        <w:t>so vključene v sklop zahtev navzkrižne skladnosti</w:t>
      </w:r>
      <w:r>
        <w:rPr>
          <w:rFonts w:eastAsia="Times New Roman"/>
          <w:sz w:val="20"/>
          <w:lang w:eastAsia="en-GB"/>
        </w:rPr>
        <w:t>.</w:t>
      </w:r>
    </w:p>
    <w:p w14:paraId="63413DF2" w14:textId="77777777" w:rsidR="00FA4BE0" w:rsidRDefault="00FA4BE0" w:rsidP="00FA4BE0">
      <w:pPr>
        <w:spacing w:before="80" w:after="80" w:line="220" w:lineRule="atLeast"/>
        <w:jc w:val="both"/>
        <w:rPr>
          <w:rFonts w:eastAsia="Times New Roman"/>
          <w:sz w:val="20"/>
          <w:lang w:eastAsia="en-GB"/>
        </w:rPr>
      </w:pPr>
    </w:p>
    <w:p w14:paraId="69A6FC3E" w14:textId="41023665" w:rsidR="00FA4BE0" w:rsidRPr="00837C52" w:rsidRDefault="00FA4BE0" w:rsidP="00837C52">
      <w:pPr>
        <w:spacing w:before="80" w:after="80" w:line="220" w:lineRule="atLeast"/>
        <w:jc w:val="both"/>
        <w:rPr>
          <w:rFonts w:eastAsia="Times New Roman"/>
          <w:sz w:val="20"/>
          <w:lang w:eastAsia="en-GB"/>
        </w:rPr>
      </w:pPr>
      <w:r>
        <w:rPr>
          <w:rFonts w:eastAsia="Times New Roman"/>
          <w:sz w:val="20"/>
          <w:lang w:eastAsia="en-GB"/>
        </w:rPr>
        <w:t xml:space="preserve">S prepovedjo </w:t>
      </w:r>
      <w:r w:rsidRPr="0007440B">
        <w:rPr>
          <w:rFonts w:eastAsia="Times New Roman"/>
          <w:sz w:val="20"/>
          <w:lang w:eastAsia="en-GB"/>
        </w:rPr>
        <w:t xml:space="preserve">uporabe kemično sintetiziranih </w:t>
      </w:r>
      <w:r>
        <w:rPr>
          <w:rFonts w:eastAsia="Times New Roman"/>
          <w:sz w:val="20"/>
          <w:lang w:eastAsia="en-GB"/>
        </w:rPr>
        <w:t xml:space="preserve">FFS k uporabi FFS z manjšim tveganjem prispeva tudi ukrep ekološko </w:t>
      </w:r>
      <w:r w:rsidR="00837C52">
        <w:rPr>
          <w:rFonts w:eastAsia="Times New Roman"/>
          <w:sz w:val="20"/>
          <w:lang w:eastAsia="en-GB"/>
        </w:rPr>
        <w:t>kmetovanje iz PRP 2014–2020.</w:t>
      </w:r>
    </w:p>
    <w:p w14:paraId="0362CD05" w14:textId="674E5B68" w:rsidR="00391136" w:rsidRDefault="00391136" w:rsidP="00391136">
      <w:pPr>
        <w:spacing w:before="80" w:after="80" w:line="220" w:lineRule="atLeast"/>
        <w:jc w:val="both"/>
        <w:rPr>
          <w:sz w:val="20"/>
          <w:lang w:eastAsia="en-GB"/>
        </w:rPr>
      </w:pPr>
      <w:r w:rsidRPr="00391136">
        <w:rPr>
          <w:sz w:val="20"/>
          <w:u w:val="single"/>
          <w:lang w:eastAsia="en-GB"/>
        </w:rPr>
        <w:t>Javna služba zdravstvenega varstva rastlin</w:t>
      </w:r>
      <w:r w:rsidRPr="00391136">
        <w:rPr>
          <w:sz w:val="20"/>
          <w:lang w:eastAsia="en-GB"/>
        </w:rPr>
        <w:t>:</w:t>
      </w:r>
      <w:r w:rsidRPr="00E03F15">
        <w:rPr>
          <w:sz w:val="20"/>
          <w:lang w:eastAsia="en-GB"/>
        </w:rPr>
        <w:t xml:space="preserve"> Na podlagi koncesije U</w:t>
      </w:r>
      <w:r>
        <w:rPr>
          <w:sz w:val="20"/>
          <w:lang w:eastAsia="en-GB"/>
        </w:rPr>
        <w:t>VHVVR</w:t>
      </w:r>
      <w:r w:rsidRPr="00E03F15">
        <w:rPr>
          <w:sz w:val="20"/>
          <w:lang w:eastAsia="en-GB"/>
        </w:rPr>
        <w:t xml:space="preserve"> deluje javna služba zdravstvenega varstva rastlin, ki spremlja razvoj in pojav pomembnejših </w:t>
      </w:r>
      <w:r>
        <w:rPr>
          <w:rFonts w:eastAsia="Times New Roman"/>
          <w:sz w:val="20"/>
          <w:lang w:eastAsia="en-GB"/>
        </w:rPr>
        <w:t>škodljivih organizmov</w:t>
      </w:r>
      <w:r w:rsidRPr="00E03F15">
        <w:rPr>
          <w:sz w:val="20"/>
          <w:lang w:eastAsia="en-GB"/>
        </w:rPr>
        <w:t xml:space="preserve"> v kmetijstvu ter v povezavi z vremenskimi razmerami in </w:t>
      </w:r>
      <w:r>
        <w:rPr>
          <w:sz w:val="20"/>
          <w:lang w:eastAsia="en-GB"/>
        </w:rPr>
        <w:t xml:space="preserve">fazo </w:t>
      </w:r>
      <w:r w:rsidRPr="00E03F15">
        <w:rPr>
          <w:sz w:val="20"/>
          <w:lang w:eastAsia="en-GB"/>
        </w:rPr>
        <w:t>razvoj</w:t>
      </w:r>
      <w:r>
        <w:rPr>
          <w:sz w:val="20"/>
          <w:lang w:eastAsia="en-GB"/>
        </w:rPr>
        <w:t>a</w:t>
      </w:r>
      <w:r w:rsidRPr="00E03F15">
        <w:rPr>
          <w:sz w:val="20"/>
          <w:lang w:eastAsia="en-GB"/>
        </w:rPr>
        <w:t xml:space="preserve"> kmetijskih rastlin ugotavlja stopnjo ogroženosti nasadov in posevkov</w:t>
      </w:r>
      <w:r>
        <w:rPr>
          <w:sz w:val="20"/>
          <w:lang w:eastAsia="en-GB"/>
        </w:rPr>
        <w:t xml:space="preserve"> pred boleznimi in škodljivci rastlin</w:t>
      </w:r>
      <w:r w:rsidRPr="00E03F15">
        <w:rPr>
          <w:sz w:val="20"/>
          <w:lang w:eastAsia="en-GB"/>
        </w:rPr>
        <w:t xml:space="preserve"> ter o tem o</w:t>
      </w:r>
      <w:r>
        <w:rPr>
          <w:sz w:val="20"/>
          <w:lang w:eastAsia="en-GB"/>
        </w:rPr>
        <w:t>bvešča</w:t>
      </w:r>
      <w:r w:rsidRPr="00E03F15">
        <w:rPr>
          <w:sz w:val="20"/>
          <w:lang w:eastAsia="en-GB"/>
        </w:rPr>
        <w:t xml:space="preserve"> pridelovalce in jim svetuje glede ustreznih ukrepov varstva rastlin. Javna služba pripravlja napovedi za varstvo rastlin pred glavnimi gospodarsko pomembnimi </w:t>
      </w:r>
      <w:r>
        <w:rPr>
          <w:sz w:val="20"/>
          <w:lang w:eastAsia="en-GB"/>
        </w:rPr>
        <w:t>boleznimi in škodljivci rastlin</w:t>
      </w:r>
      <w:r w:rsidRPr="00E03F15">
        <w:rPr>
          <w:sz w:val="20"/>
          <w:lang w:eastAsia="en-GB"/>
        </w:rPr>
        <w:t xml:space="preserve"> v vinogradništvu, sadjarstvu, hmeljarstvu, </w:t>
      </w:r>
      <w:proofErr w:type="spellStart"/>
      <w:r w:rsidRPr="00E03F15">
        <w:rPr>
          <w:sz w:val="20"/>
          <w:lang w:eastAsia="en-GB"/>
        </w:rPr>
        <w:t>oljkarstvu</w:t>
      </w:r>
      <w:proofErr w:type="spellEnd"/>
      <w:r w:rsidRPr="00E03F15">
        <w:rPr>
          <w:sz w:val="20"/>
          <w:lang w:eastAsia="en-GB"/>
        </w:rPr>
        <w:t xml:space="preserve">, poljedelstvu in od leta 2015 tudi v vrtnarstvu. Obveščanje pridelovalcev poteka preko prognostičnih obvestil, ki so od leta 2014 v posodobljeni obliki dosegljiva na spletnem portalu </w:t>
      </w:r>
      <w:proofErr w:type="spellStart"/>
      <w:r w:rsidRPr="00E03F15">
        <w:rPr>
          <w:sz w:val="20"/>
          <w:lang w:eastAsia="en-GB"/>
        </w:rPr>
        <w:t>Agromet</w:t>
      </w:r>
      <w:proofErr w:type="spellEnd"/>
      <w:r w:rsidRPr="00E03F15">
        <w:rPr>
          <w:sz w:val="20"/>
          <w:lang w:eastAsia="en-GB"/>
        </w:rPr>
        <w:t xml:space="preserve"> (</w:t>
      </w:r>
      <w:hyperlink r:id="rId22" w:history="1">
        <w:r w:rsidRPr="00E03F15">
          <w:rPr>
            <w:color w:val="0000FF"/>
            <w:sz w:val="20"/>
            <w:u w:val="single"/>
            <w:lang w:eastAsia="en-GB"/>
          </w:rPr>
          <w:t>http://agromet.mkgp.gov.si/pp/</w:t>
        </w:r>
      </w:hyperlink>
      <w:r w:rsidRPr="00E03F15">
        <w:rPr>
          <w:color w:val="0000FF"/>
          <w:sz w:val="20"/>
          <w:u w:val="single"/>
          <w:lang w:eastAsia="en-GB"/>
        </w:rPr>
        <w:t>)</w:t>
      </w:r>
      <w:r w:rsidRPr="00E03F15">
        <w:rPr>
          <w:sz w:val="20"/>
          <w:lang w:eastAsia="en-GB"/>
        </w:rPr>
        <w:t>. Sicer že od leta 2002 deluje tudi elektronski portal FITO-INFO (</w:t>
      </w:r>
      <w:hyperlink r:id="rId23" w:history="1">
        <w:r w:rsidRPr="00E03F15">
          <w:rPr>
            <w:color w:val="0000FF"/>
            <w:sz w:val="20"/>
            <w:u w:val="single"/>
            <w:lang w:eastAsia="en-GB"/>
          </w:rPr>
          <w:t>www.fito-info.si</w:t>
        </w:r>
      </w:hyperlink>
      <w:r w:rsidRPr="00E03F15">
        <w:rPr>
          <w:color w:val="0000FF"/>
          <w:sz w:val="20"/>
          <w:u w:val="single"/>
          <w:lang w:eastAsia="en-GB"/>
        </w:rPr>
        <w:t>)</w:t>
      </w:r>
      <w:r w:rsidRPr="00E03F15">
        <w:rPr>
          <w:sz w:val="20"/>
          <w:lang w:eastAsia="en-GB"/>
        </w:rPr>
        <w:t xml:space="preserve"> za objavo prognostičnih informacij in elektronsko obveščanje uporabnikov sistema po elektronski pošti in s pomočjo SMS-sporočil o pojavu nevarnih ŠO ter o potrebnih ukrepih varstva rastlin, vključno z opozorili ob morebitnih ujmah. Oba sistema sta medsebojno povezana.</w:t>
      </w:r>
    </w:p>
    <w:p w14:paraId="08BB5F06" w14:textId="77777777" w:rsidR="009B231C" w:rsidRPr="00E03F15" w:rsidRDefault="009B231C" w:rsidP="009B231C">
      <w:pPr>
        <w:spacing w:before="80" w:after="80" w:line="220" w:lineRule="atLeast"/>
        <w:jc w:val="both"/>
        <w:rPr>
          <w:sz w:val="20"/>
          <w:lang w:eastAsia="en-GB"/>
        </w:rPr>
      </w:pPr>
      <w:r w:rsidRPr="009B231C">
        <w:rPr>
          <w:sz w:val="20"/>
          <w:u w:val="single"/>
          <w:lang w:eastAsia="en-GB"/>
        </w:rPr>
        <w:t>Javna služba zdravstvenega varstva rastlin</w:t>
      </w:r>
      <w:r w:rsidRPr="00C57DDD">
        <w:rPr>
          <w:sz w:val="20"/>
          <w:lang w:eastAsia="en-GB"/>
        </w:rPr>
        <w:t xml:space="preserve"> za izvajanje prognoze za bolezni in škodljivce uporablja različne pripomočke za spremljanje</w:t>
      </w:r>
      <w:r w:rsidRPr="005309E5">
        <w:rPr>
          <w:sz w:val="20"/>
          <w:lang w:eastAsia="en-GB"/>
        </w:rPr>
        <w:t>, od lovilcev spor, svetlobnih vab, feromonskih vab, lepljivih plošč do novejših tehnik daljinskega spremljanja, kot je npr. '</w:t>
      </w:r>
      <w:proofErr w:type="spellStart"/>
      <w:r w:rsidRPr="005309E5">
        <w:rPr>
          <w:sz w:val="20"/>
          <w:lang w:eastAsia="en-GB"/>
        </w:rPr>
        <w:t>Trapview</w:t>
      </w:r>
      <w:proofErr w:type="spellEnd"/>
      <w:r w:rsidRPr="005309E5">
        <w:rPr>
          <w:sz w:val="20"/>
          <w:lang w:eastAsia="en-GB"/>
        </w:rPr>
        <w:t>'</w:t>
      </w:r>
      <w:r w:rsidRPr="00C57DDD">
        <w:rPr>
          <w:sz w:val="20"/>
          <w:lang w:eastAsia="en-GB"/>
        </w:rPr>
        <w:t>.</w:t>
      </w:r>
      <w:r w:rsidRPr="00E03F15">
        <w:rPr>
          <w:sz w:val="20"/>
          <w:lang w:eastAsia="en-GB"/>
        </w:rPr>
        <w:t xml:space="preserve"> Uporablja tudi prognostične modele, različno strojno, programsko in drugo opremo, ki omogoča meritve različnih parametrov, zbiranje in </w:t>
      </w:r>
      <w:r w:rsidRPr="00E03F15">
        <w:rPr>
          <w:sz w:val="20"/>
          <w:lang w:eastAsia="en-GB"/>
        </w:rPr>
        <w:lastRenderedPageBreak/>
        <w:t xml:space="preserve">analiziranje ter dostopnost podatkov in meritev. Te se zagotavljajo </w:t>
      </w:r>
      <w:r>
        <w:rPr>
          <w:sz w:val="20"/>
          <w:lang w:eastAsia="en-GB"/>
        </w:rPr>
        <w:t>s pomočjo</w:t>
      </w:r>
      <w:r w:rsidRPr="00E03F15">
        <w:rPr>
          <w:sz w:val="20"/>
          <w:lang w:eastAsia="en-GB"/>
        </w:rPr>
        <w:t xml:space="preserve"> številnih </w:t>
      </w:r>
      <w:proofErr w:type="spellStart"/>
      <w:r w:rsidRPr="00E03F15">
        <w:rPr>
          <w:sz w:val="20"/>
          <w:lang w:eastAsia="en-GB"/>
        </w:rPr>
        <w:t>agrometeoroloških</w:t>
      </w:r>
      <w:proofErr w:type="spellEnd"/>
      <w:r w:rsidRPr="00E03F15">
        <w:rPr>
          <w:sz w:val="20"/>
          <w:lang w:eastAsia="en-GB"/>
        </w:rPr>
        <w:t xml:space="preserve"> postaj, smiselno razporejenih po območjih RS z najbolj intenzivno kmetijsko pridelavo</w:t>
      </w:r>
      <w:r>
        <w:rPr>
          <w:sz w:val="20"/>
          <w:lang w:eastAsia="en-GB"/>
        </w:rPr>
        <w:t xml:space="preserve"> ter po različnih kmetijskih kulturah</w:t>
      </w:r>
      <w:r w:rsidRPr="00E03F15">
        <w:rPr>
          <w:sz w:val="20"/>
          <w:lang w:eastAsia="en-GB"/>
        </w:rPr>
        <w:t xml:space="preserve">. Izpis njihovih lokacij s podatki meritev in opazovanj na posameznem območju je javno dostopen na </w:t>
      </w:r>
      <w:proofErr w:type="spellStart"/>
      <w:r w:rsidRPr="00E03F15">
        <w:rPr>
          <w:sz w:val="20"/>
          <w:lang w:eastAsia="en-GB"/>
        </w:rPr>
        <w:t>Agrometeorološkem</w:t>
      </w:r>
      <w:proofErr w:type="spellEnd"/>
      <w:r w:rsidRPr="00E03F15">
        <w:rPr>
          <w:sz w:val="20"/>
          <w:lang w:eastAsia="en-GB"/>
        </w:rPr>
        <w:t xml:space="preserve"> portalu Slovenije (</w:t>
      </w:r>
      <w:hyperlink r:id="rId24" w:history="1">
        <w:r w:rsidRPr="00E03F15">
          <w:rPr>
            <w:color w:val="0000FF"/>
            <w:sz w:val="20"/>
            <w:u w:val="single"/>
            <w:lang w:eastAsia="en-GB"/>
          </w:rPr>
          <w:t>http://agromet.mko.gov.si/APP/Home/METEO/-1</w:t>
        </w:r>
      </w:hyperlink>
      <w:r w:rsidRPr="00E03F15">
        <w:rPr>
          <w:color w:val="0000FF"/>
          <w:sz w:val="20"/>
          <w:u w:val="single"/>
          <w:lang w:eastAsia="en-GB"/>
        </w:rPr>
        <w:t>)</w:t>
      </w:r>
      <w:r w:rsidRPr="00E03F15">
        <w:rPr>
          <w:sz w:val="20"/>
          <w:lang w:eastAsia="en-GB"/>
        </w:rPr>
        <w:t>.</w:t>
      </w:r>
    </w:p>
    <w:p w14:paraId="69C06C78" w14:textId="0199F25E" w:rsidR="007F41C6" w:rsidRDefault="007F41C6" w:rsidP="007F41C6">
      <w:pPr>
        <w:spacing w:before="80" w:after="80" w:line="220" w:lineRule="atLeast"/>
        <w:jc w:val="both"/>
        <w:rPr>
          <w:rFonts w:eastAsia="Times New Roman"/>
          <w:sz w:val="20"/>
          <w:lang w:eastAsia="en-GB"/>
        </w:rPr>
      </w:pPr>
      <w:r w:rsidRPr="00E03F15">
        <w:rPr>
          <w:rFonts w:eastAsia="Times New Roman"/>
          <w:sz w:val="20"/>
          <w:lang w:eastAsia="en-GB"/>
        </w:rPr>
        <w:t xml:space="preserve">Za širšo uporabo sta bila razvita prognostična modula za spremljanje pojava jabolčnega zavijača in jablanovega škrlupa, ki sta javno dostopna na </w:t>
      </w:r>
      <w:proofErr w:type="spellStart"/>
      <w:r w:rsidRPr="00E03F15">
        <w:rPr>
          <w:rFonts w:eastAsia="Times New Roman"/>
          <w:sz w:val="20"/>
          <w:lang w:eastAsia="en-GB"/>
        </w:rPr>
        <w:t>Agrometeorološkem</w:t>
      </w:r>
      <w:proofErr w:type="spellEnd"/>
      <w:r w:rsidRPr="00E03F15">
        <w:rPr>
          <w:rFonts w:eastAsia="Times New Roman"/>
          <w:sz w:val="20"/>
          <w:lang w:eastAsia="en-GB"/>
        </w:rPr>
        <w:t xml:space="preserve"> portalu in ju lahko uporabljajo tudi pridelovalci. </w:t>
      </w:r>
    </w:p>
    <w:p w14:paraId="65D44C12" w14:textId="77777777" w:rsidR="009B231C" w:rsidRPr="00E03F15" w:rsidRDefault="009B231C" w:rsidP="009B231C">
      <w:pPr>
        <w:spacing w:before="80" w:after="80" w:line="220" w:lineRule="atLeast"/>
        <w:jc w:val="both"/>
        <w:rPr>
          <w:sz w:val="20"/>
          <w:lang w:eastAsia="en-GB"/>
        </w:rPr>
      </w:pPr>
      <w:r w:rsidRPr="00E03F15">
        <w:rPr>
          <w:sz w:val="20"/>
          <w:lang w:eastAsia="en-GB"/>
        </w:rPr>
        <w:t xml:space="preserve">Strokovnjaki javne službe zdravstvenega varstva rastlin nudijo pridelovalcem tudi odgovore na različna vprašanja v zvezi </w:t>
      </w:r>
      <w:r>
        <w:rPr>
          <w:sz w:val="20"/>
          <w:lang w:eastAsia="en-GB"/>
        </w:rPr>
        <w:t>z boleznimi in škodljivci</w:t>
      </w:r>
      <w:r w:rsidRPr="00E03F15">
        <w:rPr>
          <w:sz w:val="20"/>
          <w:lang w:eastAsia="en-GB"/>
        </w:rPr>
        <w:t xml:space="preserve">,  svetujejo </w:t>
      </w:r>
      <w:r>
        <w:rPr>
          <w:sz w:val="20"/>
          <w:lang w:eastAsia="en-GB"/>
        </w:rPr>
        <w:t xml:space="preserve">jim </w:t>
      </w:r>
      <w:r w:rsidRPr="00E03F15">
        <w:rPr>
          <w:sz w:val="20"/>
          <w:lang w:eastAsia="en-GB"/>
        </w:rPr>
        <w:t>glede primernih ukrepov varstva rastlin ter glede varne in pravilne uporabe FFS. To izvajajo preko različnih  izobraževanj, osebnih in terenskih svetovanj, telefonskih in pisnih navodil.</w:t>
      </w:r>
    </w:p>
    <w:p w14:paraId="3A150391" w14:textId="6753D40A" w:rsidR="007F41C6" w:rsidRPr="00E03F15" w:rsidRDefault="007F41C6" w:rsidP="007F41C6">
      <w:pPr>
        <w:spacing w:before="80" w:after="80" w:line="220" w:lineRule="atLeast"/>
        <w:jc w:val="both"/>
        <w:rPr>
          <w:rFonts w:eastAsia="Times New Roman"/>
          <w:sz w:val="20"/>
          <w:lang w:eastAsia="en-GB"/>
        </w:rPr>
      </w:pPr>
      <w:r w:rsidRPr="00E03F15">
        <w:rPr>
          <w:rFonts w:eastAsia="Times New Roman"/>
          <w:sz w:val="20"/>
          <w:u w:val="single"/>
          <w:lang w:eastAsia="en-GB"/>
        </w:rPr>
        <w:t>Javna služba kmetijskega svetovanja</w:t>
      </w:r>
      <w:r w:rsidRPr="00E03F15">
        <w:rPr>
          <w:rFonts w:eastAsia="Times New Roman"/>
          <w:sz w:val="20"/>
          <w:lang w:eastAsia="en-GB"/>
        </w:rPr>
        <w:t xml:space="preserve">: Skladno s programom dela na podlagi Uredbe o načinu in obveznostih izvajanja javne službe kmetijskega svetovanja (Uradni list RS, št. 60), kmetijski svetovalci nudijo strokovno podporo pri opazovalni dejavnosti v zvezi s </w:t>
      </w:r>
      <w:r w:rsidR="001968A5">
        <w:rPr>
          <w:rFonts w:eastAsia="Times New Roman"/>
          <w:sz w:val="20"/>
          <w:lang w:eastAsia="en-GB"/>
        </w:rPr>
        <w:t>škodljivimi organizmi</w:t>
      </w:r>
      <w:r w:rsidRPr="00E03F15">
        <w:rPr>
          <w:rFonts w:eastAsia="Times New Roman"/>
          <w:sz w:val="20"/>
          <w:lang w:eastAsia="en-GB"/>
        </w:rPr>
        <w:t xml:space="preserve"> rastlin in svetujejo o pravilni uporabi FFS, ki izhaja iz načel dobre prakse varstva rastlin in je skladna s splošnimi načeli integriranega varstva rastlin pred </w:t>
      </w:r>
      <w:r w:rsidR="001968A5">
        <w:rPr>
          <w:rFonts w:eastAsia="Times New Roman"/>
          <w:sz w:val="20"/>
          <w:lang w:eastAsia="en-GB"/>
        </w:rPr>
        <w:t>škodljivimi organizmi</w:t>
      </w:r>
      <w:r w:rsidRPr="00E03F15">
        <w:rPr>
          <w:rFonts w:eastAsia="Times New Roman"/>
          <w:sz w:val="20"/>
          <w:lang w:eastAsia="en-GB"/>
        </w:rPr>
        <w:t>.</w:t>
      </w:r>
    </w:p>
    <w:p w14:paraId="18CF77FD" w14:textId="47B54517" w:rsidR="003F690F" w:rsidRDefault="009B231C" w:rsidP="007F70EA">
      <w:pPr>
        <w:spacing w:before="80" w:after="80" w:line="220" w:lineRule="atLeast"/>
        <w:jc w:val="both"/>
        <w:rPr>
          <w:rFonts w:eastAsia="Times New Roman"/>
          <w:sz w:val="20"/>
          <w:lang w:eastAsia="en-GB"/>
        </w:rPr>
      </w:pPr>
      <w:r w:rsidRPr="009B231C">
        <w:rPr>
          <w:sz w:val="20"/>
          <w:u w:val="single"/>
          <w:lang w:eastAsia="en-GB"/>
        </w:rPr>
        <w:t>Splošna načela  za integrirano varstvo rastlin</w:t>
      </w:r>
      <w:r w:rsidRPr="009B231C">
        <w:rPr>
          <w:sz w:val="20"/>
          <w:lang w:eastAsia="en-GB"/>
        </w:rPr>
        <w:t xml:space="preserve"> </w:t>
      </w:r>
      <w:r w:rsidRPr="009B231C">
        <w:rPr>
          <w:rFonts w:eastAsia="Times New Roman"/>
          <w:sz w:val="20"/>
          <w:lang w:eastAsia="en-GB"/>
        </w:rPr>
        <w:t xml:space="preserve">(v nadaljnjem besedilu: IVR) </w:t>
      </w:r>
      <w:r w:rsidRPr="009B231C">
        <w:rPr>
          <w:sz w:val="20"/>
          <w:lang w:eastAsia="en-GB"/>
        </w:rPr>
        <w:t>so prenesena</w:t>
      </w:r>
      <w:r w:rsidRPr="00E03F15">
        <w:rPr>
          <w:sz w:val="20"/>
          <w:lang w:eastAsia="en-GB"/>
        </w:rPr>
        <w:t xml:space="preserve"> iz Priloge III Direktive 2009/128/ES s 35. členom ZFfS-1 in Pravilnikom o integriranem varstvu rastlin (</w:t>
      </w:r>
      <w:hyperlink r:id="rId25" w:history="1">
        <w:r w:rsidRPr="00E03F15">
          <w:rPr>
            <w:color w:val="0000FF"/>
            <w:sz w:val="20"/>
            <w:u w:val="single"/>
            <w:lang w:eastAsia="en-GB"/>
          </w:rPr>
          <w:t>http://www.pisrs.si/Pis.web/pregledPredpisa?id=PRAV11530</w:t>
        </w:r>
      </w:hyperlink>
      <w:r w:rsidRPr="00E03F15">
        <w:rPr>
          <w:color w:val="0000FF"/>
          <w:sz w:val="20"/>
          <w:u w:val="single"/>
          <w:lang w:eastAsia="en-GB"/>
        </w:rPr>
        <w:t>)</w:t>
      </w:r>
      <w:r w:rsidRPr="00E03F15">
        <w:rPr>
          <w:sz w:val="20"/>
          <w:lang w:eastAsia="en-GB"/>
        </w:rPr>
        <w:t xml:space="preserve">, kjer so določene obveznosti profesionalnih pridelovalcev hrane, med drugim tudi vodenje evidence uporabe FFS in drugih metod varstva rastlin ter poročanje o njihovi uspešnosti. </w:t>
      </w:r>
    </w:p>
    <w:p w14:paraId="73281B14" w14:textId="6F44175B" w:rsidR="007F41C6" w:rsidRPr="00E03F15" w:rsidRDefault="003F690F" w:rsidP="007F41C6">
      <w:pPr>
        <w:spacing w:before="120" w:after="100" w:afterAutospacing="1" w:line="240" w:lineRule="auto"/>
        <w:jc w:val="both"/>
        <w:rPr>
          <w:rFonts w:eastAsia="Times New Roman"/>
          <w:sz w:val="20"/>
          <w:lang w:eastAsia="en-GB"/>
        </w:rPr>
      </w:pPr>
      <w:r>
        <w:rPr>
          <w:rFonts w:eastAsia="Times New Roman"/>
          <w:sz w:val="20"/>
          <w:lang w:eastAsia="en-GB"/>
        </w:rPr>
        <w:t>UVHVVR</w:t>
      </w:r>
      <w:r w:rsidR="007F41C6" w:rsidRPr="00E03F15">
        <w:rPr>
          <w:rFonts w:eastAsia="Times New Roman"/>
          <w:sz w:val="20"/>
          <w:lang w:eastAsia="en-GB"/>
        </w:rPr>
        <w:t xml:space="preserve"> izvaja letni nadzor nad kmeti v skladu z letnim programom dela, v katerega je vključen tudi nadzor nad evidencami, rabo FFS in ukrepi </w:t>
      </w:r>
      <w:r w:rsidR="001D41C6">
        <w:rPr>
          <w:rFonts w:eastAsia="Times New Roman"/>
          <w:sz w:val="20"/>
          <w:lang w:eastAsia="en-GB"/>
        </w:rPr>
        <w:t>Integriranega varstva rastlin</w:t>
      </w:r>
      <w:r w:rsidR="007F41C6" w:rsidRPr="00E03F15">
        <w:rPr>
          <w:rFonts w:eastAsia="Times New Roman"/>
          <w:sz w:val="20"/>
          <w:lang w:eastAsia="en-GB"/>
        </w:rPr>
        <w:t xml:space="preserve">. Za izvajanje nadzora so potrebne jasne zakonske zahteve, ki jih </w:t>
      </w:r>
      <w:r w:rsidR="001D41C6">
        <w:rPr>
          <w:rFonts w:eastAsia="Times New Roman"/>
          <w:sz w:val="20"/>
          <w:lang w:eastAsia="en-GB"/>
        </w:rPr>
        <w:t>Direktiva</w:t>
      </w:r>
      <w:r w:rsidR="001D41C6" w:rsidRPr="00E03F15">
        <w:rPr>
          <w:rFonts w:eastAsia="Times New Roman"/>
          <w:sz w:val="20"/>
          <w:lang w:eastAsia="en-GB"/>
        </w:rPr>
        <w:t xml:space="preserve"> </w:t>
      </w:r>
      <w:r w:rsidR="007F41C6" w:rsidRPr="00E03F15">
        <w:rPr>
          <w:rFonts w:eastAsia="Times New Roman"/>
          <w:sz w:val="20"/>
          <w:lang w:eastAsia="en-GB"/>
        </w:rPr>
        <w:t xml:space="preserve">ne predvideva. Izbor ukrepov za IVR je zelo širok in možne so številne kombinacije, ki niso zakonsko predpisane, zato jih ni možno sankcionirati, v okviru IVR pa je dovoljena raba tudi registriranih FFS. </w:t>
      </w:r>
    </w:p>
    <w:p w14:paraId="64A3CF97" w14:textId="3E17DE8A" w:rsidR="007F41C6" w:rsidRPr="00E03F15" w:rsidRDefault="00505BA5" w:rsidP="007F41C6">
      <w:pPr>
        <w:spacing w:before="80" w:after="80" w:line="220" w:lineRule="atLeast"/>
        <w:jc w:val="both"/>
        <w:rPr>
          <w:rFonts w:eastAsia="Times New Roman"/>
          <w:sz w:val="20"/>
          <w:lang w:eastAsia="en-GB"/>
        </w:rPr>
      </w:pPr>
      <w:r>
        <w:rPr>
          <w:rFonts w:eastAsia="Times New Roman"/>
          <w:sz w:val="20"/>
          <w:u w:val="single"/>
          <w:lang w:eastAsia="en-GB"/>
        </w:rPr>
        <w:t>S</w:t>
      </w:r>
      <w:r w:rsidR="007F41C6" w:rsidRPr="00E03F15">
        <w:rPr>
          <w:rFonts w:eastAsia="Times New Roman"/>
          <w:sz w:val="20"/>
          <w:u w:val="single"/>
          <w:lang w:eastAsia="en-GB"/>
        </w:rPr>
        <w:t>podbude za razvoj specifičnih smernic IVR</w:t>
      </w:r>
      <w:r w:rsidR="007F41C6" w:rsidRPr="00E03F15">
        <w:rPr>
          <w:rFonts w:eastAsia="Times New Roman"/>
          <w:sz w:val="20"/>
          <w:lang w:eastAsia="en-GB"/>
        </w:rPr>
        <w:t xml:space="preserve">: Primarna naloga slovenskega kmetijstva je pridelava varne in čim bolj kakovostne hrane. V pridelavi je zato potrebno nadgrajevati visoke tehnološke, fitosanitarne in veterinarske standarde ter standarde varstva okolja in dobrobiti živali. </w:t>
      </w:r>
    </w:p>
    <w:p w14:paraId="7B5FC179" w14:textId="09605E28" w:rsidR="007F41C6" w:rsidRDefault="007F41C6" w:rsidP="007F41C6">
      <w:pPr>
        <w:spacing w:before="80" w:after="80" w:line="220" w:lineRule="atLeast"/>
        <w:jc w:val="both"/>
        <w:rPr>
          <w:rFonts w:eastAsia="Times New Roman"/>
          <w:sz w:val="20"/>
          <w:lang w:eastAsia="en-GB"/>
        </w:rPr>
      </w:pPr>
      <w:r w:rsidRPr="00E03F15">
        <w:rPr>
          <w:rFonts w:eastAsia="Times New Roman"/>
          <w:sz w:val="20"/>
          <w:lang w:eastAsia="en-GB"/>
        </w:rPr>
        <w:t xml:space="preserve">Splošni standardi integriranega varstva rastlin pred škodljivimi organizmi se v RS uveljavljajo z ZFfS-1 kot način trajnostnega razvoja kmetijstva in obvezna praksa. </w:t>
      </w:r>
    </w:p>
    <w:p w14:paraId="5108D529" w14:textId="0CED92AB" w:rsidR="009B231C" w:rsidRPr="00837C52" w:rsidRDefault="009B231C" w:rsidP="007F41C6">
      <w:pPr>
        <w:spacing w:before="80" w:after="80" w:line="220" w:lineRule="atLeast"/>
        <w:jc w:val="both"/>
        <w:rPr>
          <w:sz w:val="20"/>
          <w:lang w:eastAsia="en-GB"/>
        </w:rPr>
      </w:pPr>
      <w:r w:rsidRPr="00EC32F7">
        <w:rPr>
          <w:sz w:val="20"/>
          <w:lang w:eastAsia="en-GB"/>
        </w:rPr>
        <w:t>Za uspešno implementacijo splošnih pravil IVR v praksi je sistem treba nadgraditi s podrobnejšimi navodili in smernicami za IVR</w:t>
      </w:r>
      <w:r w:rsidR="00EC32F7">
        <w:rPr>
          <w:sz w:val="20"/>
          <w:lang w:eastAsia="en-GB"/>
        </w:rPr>
        <w:t xml:space="preserve"> </w:t>
      </w:r>
      <w:r w:rsidRPr="00EC32F7">
        <w:rPr>
          <w:sz w:val="20"/>
          <w:lang w:eastAsia="en-GB"/>
        </w:rPr>
        <w:t xml:space="preserve">za vse panoge kmetijske pridelave. Pri tem je potrebno poudariti, da splošna pravila integriranega varstva rastlin vključujejo vse stopnje tehnologije, od izbire zdravega (certificiranega/standardnega) semena/sadilnega materiala odpornih/tolerantnih sort posamezne kulture, tehnologijo pridelave, razpoložljive </w:t>
      </w:r>
      <w:proofErr w:type="spellStart"/>
      <w:r w:rsidRPr="00EC32F7">
        <w:rPr>
          <w:sz w:val="20"/>
          <w:lang w:eastAsia="en-GB"/>
        </w:rPr>
        <w:t>nekemične</w:t>
      </w:r>
      <w:proofErr w:type="spellEnd"/>
      <w:r w:rsidRPr="00EC32F7">
        <w:rPr>
          <w:sz w:val="20"/>
          <w:lang w:eastAsia="en-GB"/>
        </w:rPr>
        <w:t xml:space="preserve"> in kemične načine varstva rastlin do skladiščenja pridelkov, kar pomeni, da gre dejansko za okolju prijazno celotno tehnologijo pridelave posamezne kulture.</w:t>
      </w:r>
    </w:p>
    <w:p w14:paraId="280D59DB" w14:textId="77777777" w:rsidR="00EC32F7" w:rsidRDefault="00EC32F7" w:rsidP="007F41C6">
      <w:pPr>
        <w:spacing w:before="80" w:after="80" w:line="220" w:lineRule="atLeast"/>
        <w:jc w:val="both"/>
        <w:rPr>
          <w:rFonts w:eastAsia="Times New Roman"/>
          <w:sz w:val="20"/>
          <w:lang w:eastAsia="en-GB"/>
        </w:rPr>
      </w:pPr>
    </w:p>
    <w:p w14:paraId="17F269EA" w14:textId="0FFA747B" w:rsidR="00EC32F7" w:rsidRPr="00EC32F7" w:rsidRDefault="00EC32F7" w:rsidP="00EC32F7">
      <w:pPr>
        <w:pStyle w:val="Odstavekseznama"/>
        <w:spacing w:after="60"/>
        <w:ind w:left="0"/>
        <w:jc w:val="both"/>
        <w:rPr>
          <w:sz w:val="20"/>
        </w:rPr>
      </w:pPr>
      <w:r w:rsidRPr="00EC32F7">
        <w:rPr>
          <w:sz w:val="20"/>
          <w:lang w:eastAsia="en-GB"/>
        </w:rPr>
        <w:t xml:space="preserve">Nadgraditi je treba dostopnost informacij pridelovalcem glede prepoznavanja </w:t>
      </w:r>
      <w:r>
        <w:rPr>
          <w:sz w:val="20"/>
          <w:lang w:eastAsia="en-GB"/>
        </w:rPr>
        <w:t>škodljivih organizmov</w:t>
      </w:r>
      <w:r w:rsidRPr="00EC32F7">
        <w:rPr>
          <w:sz w:val="20"/>
          <w:lang w:eastAsia="en-GB"/>
        </w:rPr>
        <w:t xml:space="preserve"> in izvajanja primernih ukrepov ter prenos znanja v prakso v obliki informacij na spletnih straneh, v tiskanih brošurah, smernicah in navodilih ter osebnih nasvetov javne službe zdravstvenega varstva rastlin in kmetijske svetovalne službe. V ta namen je bila razvita posebna spletna stran </w:t>
      </w:r>
      <w:hyperlink r:id="rId26" w:history="1">
        <w:r w:rsidRPr="00EC32F7">
          <w:rPr>
            <w:rStyle w:val="Hiperpovezava"/>
            <w:sz w:val="20"/>
            <w:lang w:eastAsia="en-GB"/>
          </w:rPr>
          <w:t>https://www.ivr.si/</w:t>
        </w:r>
      </w:hyperlink>
      <w:r w:rsidRPr="00EC32F7">
        <w:rPr>
          <w:sz w:val="20"/>
          <w:lang w:eastAsia="en-GB"/>
        </w:rPr>
        <w:t xml:space="preserve"> , ki deluje od novembra 2017.</w:t>
      </w:r>
      <w:r w:rsidRPr="00EC32F7">
        <w:rPr>
          <w:sz w:val="20"/>
        </w:rPr>
        <w:t xml:space="preserve"> </w:t>
      </w:r>
      <w:r w:rsidRPr="00EC32F7">
        <w:rPr>
          <w:rFonts w:eastAsia="Times New Roman"/>
          <w:color w:val="323232"/>
          <w:sz w:val="20"/>
          <w:lang w:eastAsia="sl-SI"/>
        </w:rPr>
        <w:t>Na IVR portalu so dostopni aktualni opisi in informacije o škodljivih organizmih posameznih kultur ter predstavljeni ukrepi s katerimi lahko zmanjšamo porabo fitofarmacevtskih sredstev (FFS). IVR pomeni sistematično in načrtno obvladovanje bolezni in škodljivcev in združuje različne pristope zdravstvenega varstva rastlin v celovit, trajnostno naravnan program, ki temelji na kombinaciji biotičnih, obdelovalno gojitvenih, fizikalnih, biotehničnih in kemijskih načinov varstva rastlin, z namenom zmanjševanja tveganja za gospodarnost kmetijske pridelave ter zdravja ljudi in okolja.</w:t>
      </w:r>
      <w:r w:rsidRPr="00EC32F7">
        <w:rPr>
          <w:sz w:val="20"/>
        </w:rPr>
        <w:t xml:space="preserve"> Spletna stran se sproti razvija in dopolnjuje z novimi informacijami, pomemben del vsebin pa se nanaša na oblikovanje specifičnih smernic IVR, ki zajemajo sodobne pristope zdravstvenega varstva rastlin in so kot vir informacij in usmeritev neprestano na voljo svetovalcem in pridelovalcem kmetijskih rastlin. </w:t>
      </w:r>
    </w:p>
    <w:p w14:paraId="49D5EF2E" w14:textId="77777777" w:rsidR="00EC32F7" w:rsidRPr="00EC32F7" w:rsidRDefault="00EC32F7" w:rsidP="00EC32F7">
      <w:pPr>
        <w:pStyle w:val="Odstavekseznama"/>
        <w:spacing w:after="60"/>
        <w:ind w:left="0"/>
        <w:jc w:val="both"/>
        <w:rPr>
          <w:sz w:val="20"/>
        </w:rPr>
      </w:pPr>
    </w:p>
    <w:p w14:paraId="2F4581E4" w14:textId="77777777" w:rsidR="00EC32F7" w:rsidRPr="00EC32F7" w:rsidRDefault="00EC32F7" w:rsidP="00EC32F7">
      <w:pPr>
        <w:pStyle w:val="Odstavekseznama"/>
        <w:spacing w:after="60"/>
        <w:ind w:left="0"/>
        <w:jc w:val="both"/>
        <w:rPr>
          <w:sz w:val="20"/>
        </w:rPr>
      </w:pPr>
      <w:r w:rsidRPr="00EC32F7">
        <w:rPr>
          <w:sz w:val="20"/>
        </w:rPr>
        <w:t>Na IVR portalu so na voljo za uporabo naslednje smernice:</w:t>
      </w:r>
    </w:p>
    <w:p w14:paraId="1894DAED" w14:textId="77777777" w:rsidR="00EC32F7" w:rsidRPr="00EC32F7" w:rsidRDefault="00EC32F7" w:rsidP="00EC32F7">
      <w:pPr>
        <w:pStyle w:val="Odstavekseznama"/>
        <w:numPr>
          <w:ilvl w:val="0"/>
          <w:numId w:val="5"/>
        </w:numPr>
        <w:spacing w:after="60"/>
        <w:jc w:val="both"/>
        <w:rPr>
          <w:sz w:val="20"/>
        </w:rPr>
      </w:pPr>
      <w:r w:rsidRPr="00EC32F7">
        <w:rPr>
          <w:sz w:val="20"/>
        </w:rPr>
        <w:t>Poljedelstvo: krompir, soja, žita in koruza</w:t>
      </w:r>
    </w:p>
    <w:p w14:paraId="219F7A6F" w14:textId="77777777" w:rsidR="00EC32F7" w:rsidRPr="00EC32F7" w:rsidRDefault="00EC32F7" w:rsidP="00EC32F7">
      <w:pPr>
        <w:pStyle w:val="Odstavekseznama"/>
        <w:numPr>
          <w:ilvl w:val="0"/>
          <w:numId w:val="5"/>
        </w:numPr>
        <w:spacing w:after="60"/>
        <w:jc w:val="both"/>
        <w:rPr>
          <w:sz w:val="20"/>
        </w:rPr>
      </w:pPr>
      <w:r w:rsidRPr="00EC32F7">
        <w:rPr>
          <w:sz w:val="20"/>
        </w:rPr>
        <w:t>Hmeljarstvo: hmelj</w:t>
      </w:r>
    </w:p>
    <w:p w14:paraId="7E28C0F9" w14:textId="77777777" w:rsidR="00EC32F7" w:rsidRPr="00EC32F7" w:rsidRDefault="00EC32F7" w:rsidP="00EC32F7">
      <w:pPr>
        <w:pStyle w:val="Odstavekseznama"/>
        <w:numPr>
          <w:ilvl w:val="0"/>
          <w:numId w:val="5"/>
        </w:numPr>
        <w:spacing w:after="60"/>
        <w:jc w:val="both"/>
        <w:rPr>
          <w:sz w:val="20"/>
        </w:rPr>
      </w:pPr>
      <w:r w:rsidRPr="00EC32F7">
        <w:rPr>
          <w:sz w:val="20"/>
        </w:rPr>
        <w:t>Sadjarstvo: jablana, malina, ameriške borovnice, jagode, (orehi in lešniki do konca 2020)</w:t>
      </w:r>
    </w:p>
    <w:p w14:paraId="7C8009B0" w14:textId="77777777" w:rsidR="00EC32F7" w:rsidRPr="00EC32F7" w:rsidRDefault="00EC32F7" w:rsidP="00EC32F7">
      <w:pPr>
        <w:pStyle w:val="Odstavekseznama"/>
        <w:numPr>
          <w:ilvl w:val="0"/>
          <w:numId w:val="5"/>
        </w:numPr>
        <w:spacing w:after="60"/>
        <w:jc w:val="both"/>
        <w:rPr>
          <w:sz w:val="20"/>
        </w:rPr>
      </w:pPr>
      <w:proofErr w:type="spellStart"/>
      <w:r w:rsidRPr="00EC32F7">
        <w:rPr>
          <w:sz w:val="20"/>
        </w:rPr>
        <w:t>Oljkarstvo</w:t>
      </w:r>
      <w:proofErr w:type="spellEnd"/>
      <w:r w:rsidRPr="00EC32F7">
        <w:rPr>
          <w:sz w:val="20"/>
        </w:rPr>
        <w:t>: oljka</w:t>
      </w:r>
    </w:p>
    <w:p w14:paraId="5700A13E" w14:textId="77777777" w:rsidR="00EC32F7" w:rsidRPr="00EC32F7" w:rsidRDefault="00EC32F7" w:rsidP="00EC32F7">
      <w:pPr>
        <w:pStyle w:val="Odstavekseznama"/>
        <w:numPr>
          <w:ilvl w:val="0"/>
          <w:numId w:val="5"/>
        </w:numPr>
        <w:spacing w:after="60"/>
        <w:jc w:val="both"/>
        <w:rPr>
          <w:sz w:val="20"/>
        </w:rPr>
      </w:pPr>
      <w:r w:rsidRPr="00EC32F7">
        <w:rPr>
          <w:sz w:val="20"/>
        </w:rPr>
        <w:t>Vrtnarstvo: solatnice, čebulnice, kapusnice, (stročnice do konca 2020)</w:t>
      </w:r>
    </w:p>
    <w:p w14:paraId="710996FD" w14:textId="233AD088" w:rsidR="00EC32F7" w:rsidRPr="00EC32F7" w:rsidRDefault="00EC32F7" w:rsidP="00EC32F7">
      <w:pPr>
        <w:pStyle w:val="Odstavekseznama"/>
        <w:numPr>
          <w:ilvl w:val="0"/>
          <w:numId w:val="5"/>
        </w:numPr>
        <w:spacing w:after="60"/>
        <w:jc w:val="both"/>
        <w:rPr>
          <w:sz w:val="20"/>
        </w:rPr>
      </w:pPr>
      <w:r w:rsidRPr="00EC32F7">
        <w:rPr>
          <w:sz w:val="20"/>
        </w:rPr>
        <w:t>Vinogradništvo: trta</w:t>
      </w:r>
    </w:p>
    <w:p w14:paraId="5EDF7D31" w14:textId="77777777" w:rsidR="00EC32F7" w:rsidRPr="00EC32F7" w:rsidRDefault="00EC32F7" w:rsidP="00EC32F7">
      <w:pPr>
        <w:spacing w:before="80" w:after="80" w:line="220" w:lineRule="atLeast"/>
        <w:jc w:val="both"/>
        <w:rPr>
          <w:sz w:val="20"/>
          <w:lang w:eastAsia="en-GB"/>
        </w:rPr>
      </w:pPr>
      <w:r w:rsidRPr="00EC32F7">
        <w:rPr>
          <w:sz w:val="20"/>
          <w:lang w:eastAsia="en-GB"/>
        </w:rPr>
        <w:t>Ti cilji se uresničujejo preko programov strokovnih nalog in raziskovalnih projektov Kmetijskega inštituta Slovenije ter javne službe zdravstvenega varstva rastlin. Programi dela v okviru IVR vključujejo posamezne sklope (metode varstva rastlin z nizkim tveganjem, vpeljava različnih orodij/metod za upravljanje z odpornostjo škodljivih organizmov na FFS, različni načini obvladovanja plevelov v kmetijski proizvodnji, svetovanje za pridelovalce o ukrepih IVR, itd.), v okviru katerih se vsako leto v praksi preuči novo metodo ali pristop.</w:t>
      </w:r>
    </w:p>
    <w:p w14:paraId="0B7DFCF5" w14:textId="104CD2F5" w:rsidR="00EC32F7" w:rsidRPr="00EC32F7" w:rsidRDefault="00EC32F7" w:rsidP="007F41C6">
      <w:pPr>
        <w:spacing w:before="80" w:after="80" w:line="220" w:lineRule="atLeast"/>
        <w:jc w:val="both"/>
        <w:rPr>
          <w:sz w:val="20"/>
          <w:lang w:eastAsia="en-GB"/>
        </w:rPr>
      </w:pPr>
      <w:r w:rsidRPr="003F690F">
        <w:rPr>
          <w:sz w:val="20"/>
          <w:lang w:eastAsia="en-GB"/>
        </w:rPr>
        <w:t>Cilji in naloge integriranega varstva rastlin, ki med drugim temeljijo na spodbujanju kmetijske pridelave z uporabo načel integriranega varstva na način, da se kemična FFS uporabijo le takrat, ko je to nujno potrebno oz. je ekonomsko upravičeno, bodo prenešeni v program dela Javne službe kmetijskega svetovanja. Pri svetovanju končnemu uporabniku se bodo uporabljale specifične smernice IVR, kot tudi rezultati strokovnih nalog javnih služb v proizvodnji kmetijskih rastlin ter javne službe zdravstvenega varstva rastlin.</w:t>
      </w:r>
    </w:p>
    <w:p w14:paraId="02F306D1" w14:textId="414E4D2B" w:rsidR="00EC32F7" w:rsidRPr="00E03F15" w:rsidRDefault="007F41C6" w:rsidP="007F41C6">
      <w:pPr>
        <w:spacing w:before="80" w:after="80" w:line="220" w:lineRule="atLeast"/>
        <w:jc w:val="both"/>
        <w:rPr>
          <w:rFonts w:eastAsia="Times New Roman"/>
          <w:sz w:val="20"/>
          <w:lang w:eastAsia="en-GB"/>
        </w:rPr>
      </w:pPr>
      <w:r w:rsidRPr="00E03F15">
        <w:rPr>
          <w:rFonts w:eastAsia="Times New Roman"/>
          <w:sz w:val="20"/>
          <w:lang w:eastAsia="en-GB"/>
        </w:rPr>
        <w:t xml:space="preserve">Na podlagi Zakona o kmetijstvu so bili v letu 2017 z Uredbo o javnih službah strokovnih nalog v proizvodnji kmetijskih rastlin (Uradni list RS, št. 60) določeni Programi javnih služb, s katerimi se jasneje določa oblike in način izvajanja javnih služb na področju poljedelstva, vrtnarstva, sadjarstva, vinogradništva in </w:t>
      </w:r>
      <w:proofErr w:type="spellStart"/>
      <w:r w:rsidRPr="00E03F15">
        <w:rPr>
          <w:rFonts w:eastAsia="Times New Roman"/>
          <w:sz w:val="20"/>
          <w:lang w:eastAsia="en-GB"/>
        </w:rPr>
        <w:t>oljkarstva</w:t>
      </w:r>
      <w:proofErr w:type="spellEnd"/>
      <w:r w:rsidRPr="00E03F15">
        <w:rPr>
          <w:rFonts w:eastAsia="Times New Roman"/>
          <w:sz w:val="20"/>
          <w:lang w:eastAsia="en-GB"/>
        </w:rPr>
        <w:t xml:space="preserve">. Cilj izvajanja teh programov je med drugim tudi žlahtnjenje, selekcija in introdukcija odpornih sort ter preizkušanje tehnologij pridelave, ki zagotavljajo trajnostno rabo naravnih virov in sledijo okoljskim ciljem v kmetijstvu. </w:t>
      </w:r>
    </w:p>
    <w:p w14:paraId="056D7626" w14:textId="330DDA96" w:rsidR="007F41C6" w:rsidRPr="00E03F15" w:rsidRDefault="007F41C6" w:rsidP="007F41C6">
      <w:pPr>
        <w:spacing w:before="80" w:after="80" w:line="220" w:lineRule="atLeast"/>
        <w:jc w:val="both"/>
        <w:rPr>
          <w:rFonts w:eastAsia="Times New Roman"/>
          <w:sz w:val="20"/>
          <w:lang w:eastAsia="en-GB"/>
        </w:rPr>
      </w:pPr>
      <w:r w:rsidRPr="00E03F15">
        <w:rPr>
          <w:rFonts w:eastAsia="Times New Roman"/>
          <w:sz w:val="20"/>
          <w:lang w:eastAsia="en-GB"/>
        </w:rPr>
        <w:t xml:space="preserve"> Rezultati strokovnih nalog, izvedenih v skladu s Programi javnih služb v pridelavi kmetijskih rastlin, se bodo objavljali na spletnih straneh izvajalcev javnih služb in Ministrstva. Rezultati bodo uporabljeni pri razvoju </w:t>
      </w:r>
      <w:proofErr w:type="spellStart"/>
      <w:r w:rsidRPr="00E03F15">
        <w:rPr>
          <w:rFonts w:eastAsia="Times New Roman"/>
          <w:sz w:val="20"/>
          <w:lang w:eastAsia="en-GB"/>
        </w:rPr>
        <w:t>nekemičnih</w:t>
      </w:r>
      <w:proofErr w:type="spellEnd"/>
      <w:r w:rsidRPr="00E03F15">
        <w:rPr>
          <w:rFonts w:eastAsia="Times New Roman"/>
          <w:sz w:val="20"/>
          <w:lang w:eastAsia="en-GB"/>
        </w:rPr>
        <w:t xml:space="preserve"> metod in praks varstva rastlin, smiselno pa se bodo vključevali v smernice </w:t>
      </w:r>
      <w:r w:rsidRPr="003E0ED1">
        <w:rPr>
          <w:rFonts w:eastAsia="Times New Roman"/>
          <w:sz w:val="20"/>
          <w:lang w:eastAsia="en-GB"/>
        </w:rPr>
        <w:t>IVR</w:t>
      </w:r>
      <w:r w:rsidR="003E0ED1" w:rsidRPr="003E0ED1">
        <w:rPr>
          <w:sz w:val="20"/>
          <w:lang w:eastAsia="en-GB"/>
        </w:rPr>
        <w:t>, ki jih pripravlja Kmetijski inštitut Slovenije v sodelovanju z javno službo zdravstvenega varstva rastlin in objavlja na IVR portalu.</w:t>
      </w:r>
      <w:r w:rsidRPr="00E03F15">
        <w:rPr>
          <w:rFonts w:eastAsia="Times New Roman"/>
          <w:sz w:val="20"/>
          <w:lang w:eastAsia="en-GB"/>
        </w:rPr>
        <w:t xml:space="preserve"> </w:t>
      </w:r>
    </w:p>
    <w:p w14:paraId="535A3485" w14:textId="547E8E68" w:rsidR="007F41C6" w:rsidRPr="00E03F15" w:rsidRDefault="007F41C6"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sidRPr="00E03F15">
        <w:rPr>
          <w:rFonts w:eastAsia="Times New Roman"/>
          <w:sz w:val="20"/>
          <w:lang w:eastAsia="en-GB"/>
        </w:rPr>
        <w:t>Ministrstvo in U</w:t>
      </w:r>
      <w:r w:rsidR="003E0ED1">
        <w:rPr>
          <w:rFonts w:eastAsia="Times New Roman"/>
          <w:sz w:val="20"/>
          <w:lang w:eastAsia="en-GB"/>
        </w:rPr>
        <w:t>VHVVR</w:t>
      </w:r>
      <w:r w:rsidRPr="00E03F15">
        <w:rPr>
          <w:rFonts w:eastAsia="Times New Roman"/>
          <w:sz w:val="20"/>
          <w:lang w:eastAsia="en-GB"/>
        </w:rPr>
        <w:t xml:space="preserve"> sta s svojimi aktivnostmi na področju zakonodaje glede IVR prispevala k uspešnemu razvoju tega področja</w:t>
      </w:r>
      <w:r w:rsidR="003E0ED1">
        <w:rPr>
          <w:rStyle w:val="Sprotnaopomba-sklic"/>
          <w:rFonts w:eastAsia="Times New Roman"/>
          <w:lang w:eastAsia="en-GB"/>
        </w:rPr>
        <w:footnoteReference w:id="6"/>
      </w:r>
      <w:r w:rsidRPr="00E03F15">
        <w:rPr>
          <w:rFonts w:eastAsia="Times New Roman"/>
          <w:sz w:val="20"/>
          <w:lang w:eastAsia="en-GB"/>
        </w:rPr>
        <w:t>, ki ga bosta še izpopolnjevala, predvsem v smeri izboljšave prenosa znanja o IVR na uporabnika.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7C028455" w14:textId="336665CD" w:rsidR="003E0ED1" w:rsidRPr="003E0ED1" w:rsidRDefault="003E0ED1" w:rsidP="003E0ED1">
      <w:pPr>
        <w:pStyle w:val="Naslov2"/>
        <w:rPr>
          <w:rFonts w:ascii="Arial" w:hAnsi="Arial" w:cs="Arial"/>
          <w:lang w:eastAsia="en-GB"/>
        </w:rPr>
      </w:pPr>
      <w:r w:rsidRPr="003E0ED1">
        <w:rPr>
          <w:rFonts w:ascii="Arial" w:hAnsi="Arial" w:cs="Arial"/>
          <w:lang w:eastAsia="en-GB"/>
        </w:rPr>
        <w:t xml:space="preserve"> </w:t>
      </w:r>
      <w:bookmarkStart w:id="79" w:name="_Toc55547446"/>
      <w:r w:rsidRPr="003E0ED1">
        <w:rPr>
          <w:rFonts w:ascii="Arial" w:hAnsi="Arial" w:cs="Arial"/>
          <w:lang w:eastAsia="en-GB"/>
        </w:rPr>
        <w:t>3.6 Zdravstveno varstvo rastlin</w:t>
      </w:r>
      <w:bookmarkEnd w:id="79"/>
    </w:p>
    <w:p w14:paraId="079B9B22" w14:textId="77777777" w:rsidR="003E0ED1" w:rsidRPr="003E0ED1" w:rsidRDefault="003E0ED1" w:rsidP="003E0ED1">
      <w:pPr>
        <w:spacing w:beforeLines="60" w:before="144" w:afterLines="60" w:after="144"/>
        <w:jc w:val="both"/>
        <w:rPr>
          <w:bCs/>
          <w:i/>
          <w:sz w:val="20"/>
        </w:rPr>
      </w:pPr>
      <w:r w:rsidRPr="003E0ED1">
        <w:rPr>
          <w:bCs/>
          <w:sz w:val="20"/>
        </w:rPr>
        <w:t>Poseben izziv pri zmanjšani porabi FFS predstavljajo ukrepi za izkoreninjenje tujerodnih škodljivih organizmov rastlin (</w:t>
      </w:r>
      <w:r w:rsidRPr="003E0ED1">
        <w:rPr>
          <w:bCs/>
          <w:sz w:val="20"/>
          <w:bdr w:val="none" w:sz="0" w:space="0" w:color="auto" w:frame="1"/>
        </w:rPr>
        <w:t>karantenske bolezni in škodljivci), ki v Evropski uniji niso navzoči ali pa so omejeno navzoči</w:t>
      </w:r>
      <w:r w:rsidRPr="003E0ED1">
        <w:rPr>
          <w:sz w:val="20"/>
        </w:rPr>
        <w:t>. Če so vneseni v novo okolje, so praviloma zelo invazivni in lahko povzročijo poleg velikih negativnih gospodarskih učinkov na kmetijsko pridelavo in gozdarstvo tudi resne negativne vplive na naravo in biotsko raznovrstnost, za družbo pa imajo lahko hude socialne posledice.</w:t>
      </w:r>
    </w:p>
    <w:p w14:paraId="779B0A57" w14:textId="6CAB07F1" w:rsidR="003E0ED1" w:rsidRPr="003E0ED1" w:rsidRDefault="003E0ED1" w:rsidP="003E0ED1">
      <w:pPr>
        <w:spacing w:beforeLines="60" w:before="144" w:afterLines="60" w:after="144"/>
        <w:jc w:val="both"/>
        <w:rPr>
          <w:bCs/>
          <w:sz w:val="20"/>
        </w:rPr>
      </w:pPr>
      <w:r w:rsidRPr="003E0ED1">
        <w:rPr>
          <w:sz w:val="20"/>
        </w:rPr>
        <w:t>Mednarodna trgovina, potovanja in podnebne spremembe predstavljajo povečana tveganja za vnos in širjenje novih karantenskih škodljivih organizmov rastlin, ki lahko v kmetijstvu in gozdarstvu povzročijo veliko gospodarsko, okoljsk</w:t>
      </w:r>
      <w:r>
        <w:rPr>
          <w:sz w:val="20"/>
        </w:rPr>
        <w:t>o</w:t>
      </w:r>
      <w:r w:rsidRPr="003E0ED1">
        <w:rPr>
          <w:sz w:val="20"/>
        </w:rPr>
        <w:t xml:space="preserve"> in družbeno škodo. </w:t>
      </w:r>
      <w:r w:rsidRPr="003E0ED1">
        <w:rPr>
          <w:bCs/>
          <w:sz w:val="20"/>
        </w:rPr>
        <w:t xml:space="preserve">V primeru njihovega pojava so predpisane zahteve za njihovo takojšnje uničenje in preprečevanje nadaljnjega širjenja. Zlasti izkoreninjenje karantenskih škodljivih organizmov, ki povzročajo škodo rastlinam ali prenašajo različne nevarne bolezni, ter s tem zmanjšujejo ekonomičnost pridelave, je večinoma mogoče le z uporabo kemičnih FFS. </w:t>
      </w:r>
    </w:p>
    <w:p w14:paraId="11E8A524" w14:textId="77777777" w:rsidR="003E0ED1" w:rsidRPr="003E0ED1" w:rsidRDefault="003E0ED1" w:rsidP="003E0ED1">
      <w:pPr>
        <w:spacing w:beforeLines="60" w:before="144" w:afterLines="60" w:after="144"/>
        <w:jc w:val="both"/>
        <w:rPr>
          <w:sz w:val="20"/>
        </w:rPr>
      </w:pPr>
      <w:r w:rsidRPr="003E0ED1">
        <w:rPr>
          <w:sz w:val="20"/>
        </w:rPr>
        <w:lastRenderedPageBreak/>
        <w:t xml:space="preserve">Za zmanjševanje potreb po uporabi FFS pri izkoreninjenju karantenskih škodljivih organizmov, se je treba osredotočiti zlasti na izvajanje preventivnih ukrepov za njihovo preprečevanje vnosa in širjenja. Le zgodnje odkrivanje karantenskih in novih potencialno nevarnih bolezni in škodljivcev ter hitro in učinkovito ukrepanje omogoča njihovo uspešno izkoreninjenje. S preprečevanjem njihovega širjenja in s tem škode v kmetijstvu in na drugih površinah, se zmanjša tudi potreba po uporabi FFS. </w:t>
      </w:r>
    </w:p>
    <w:p w14:paraId="25142188" w14:textId="77777777" w:rsidR="003E0ED1" w:rsidRPr="003E0ED1" w:rsidRDefault="003E0ED1" w:rsidP="003E0ED1">
      <w:pPr>
        <w:spacing w:beforeLines="60" w:before="144" w:afterLines="60" w:after="144"/>
        <w:jc w:val="both"/>
        <w:rPr>
          <w:sz w:val="20"/>
        </w:rPr>
      </w:pPr>
      <w:r w:rsidRPr="003E0ED1">
        <w:rPr>
          <w:sz w:val="20"/>
        </w:rPr>
        <w:t>V okviru preventivnih ukrepov UVHVVR v kmetijski pridelavi, gozdovih in na drugih površinah izvaja načrtovane programe preiskav (monitoringe) za ugotavljanje navzočnosti karantenskih škodljivih organizmov (programi preiskav). Njihov cilj je ugotavljanje odsotnosti na ozemlju Slovenije oziroma navzočnosti čim prej po vnosu, ko je njihova populacija še majhna. Z večanjem populacije in širjenjem okuženega območja (žarišča) se zmanjšuje možnost njihovega izkoreninjenja in povečujejo stroški za ukrepe izkoreninjenja ali zadrževanja ter ozaveščanja. Obenem pa se povečuje škoda pri pridelavi kmetijskih rastlin in na okolje. Tovrstni programi preiskav so zelo pomembni, pa tudi kadrovsko in finančno zahtevni, zato jih v delu sofinancira tudi Evropska Komisija. V zadnjih letih je UVHVVR skupaj s pooblaščenimi strokovnimi inštitucijami v kmetijstvu in gozdarstvu vsako leto izpeljala okoli 44 programov preiskav za posamezne karantenske škodljive organizme. V prihodnjih letih bo treba programe preiskav prilagoditi novim zahtevam in principom v skladu z zahtevami nove evropske Uredbe o zdravju rastlin (statistični pristop, kartiranje, digitalizacija podatkov, itd.).</w:t>
      </w:r>
    </w:p>
    <w:p w14:paraId="105734E0" w14:textId="3E110272" w:rsidR="003E0ED1" w:rsidRPr="003E0ED1" w:rsidRDefault="003E0ED1" w:rsidP="003E0ED1">
      <w:pPr>
        <w:spacing w:beforeLines="60" w:before="144" w:afterLines="60" w:after="144"/>
        <w:jc w:val="both"/>
        <w:rPr>
          <w:sz w:val="20"/>
        </w:rPr>
      </w:pPr>
      <w:r w:rsidRPr="003E0ED1">
        <w:rPr>
          <w:sz w:val="20"/>
        </w:rPr>
        <w:t>Pomemben element pri zgodnjem odkrivanju karantenskih škodljivih organizmov je tudi ozaveščanje in kampanje obveščanja pridelovalcev in drugih državljanov ter politikov o teh organizmih. UVHVVR na svojih spletnih straneh obvešča o novostih s tega področja, pripravlja posterje in brošure ter druge oblike promocijskega materiala. UVHVVR skrbi, da so  pridelovalci in poslovni izvajalci dejavnosti seznanjeni z zakonodajo na področju zdravja rastlin saj zanje pripravljajo primerno in uporabno gradivo iz obsežne zakonodaje na tem področju</w:t>
      </w:r>
      <w:r>
        <w:rPr>
          <w:sz w:val="20"/>
        </w:rPr>
        <w:t xml:space="preserve">. </w:t>
      </w:r>
      <w:r w:rsidRPr="003E0ED1">
        <w:rPr>
          <w:sz w:val="20"/>
        </w:rPr>
        <w:t>V skladu z novimi EU predpisi je v prihodnje predvidena  še povečana dejavnost na tem področju.</w:t>
      </w:r>
    </w:p>
    <w:p w14:paraId="7C944060" w14:textId="01A92351" w:rsidR="003E0ED1" w:rsidRPr="003E0ED1" w:rsidRDefault="003E0ED1" w:rsidP="003E0ED1">
      <w:pPr>
        <w:spacing w:beforeLines="60" w:before="144" w:afterLines="60" w:after="144"/>
        <w:jc w:val="both"/>
        <w:rPr>
          <w:bCs/>
          <w:sz w:val="20"/>
        </w:rPr>
      </w:pPr>
      <w:r w:rsidRPr="003E0ED1">
        <w:rPr>
          <w:sz w:val="20"/>
        </w:rPr>
        <w:t>Zagotavljanje zanesljive in hitre diagnostike škodljivih organizmov rastlin je ključno pri odkrivanju nevarnih škodljivih organizmov rastlin. To zahteva visoko usposobljene strokovnjake in akreditirane diagnostične laboratorije za opravljanje laboratorijskih analiz. Izmed uradnih laboratorijev je UVHVVR določila   pet nacional</w:t>
      </w:r>
      <w:r>
        <w:rPr>
          <w:sz w:val="20"/>
        </w:rPr>
        <w:t>n</w:t>
      </w:r>
      <w:r w:rsidRPr="003E0ED1">
        <w:rPr>
          <w:sz w:val="20"/>
        </w:rPr>
        <w:t xml:space="preserve">ih referenčnih laboratorijev za izvajanje diagnostike karantenskih škodljivih organizmov (glive in </w:t>
      </w:r>
      <w:proofErr w:type="spellStart"/>
      <w:r w:rsidRPr="003E0ED1">
        <w:rPr>
          <w:sz w:val="20"/>
        </w:rPr>
        <w:t>oomicete</w:t>
      </w:r>
      <w:proofErr w:type="spellEnd"/>
      <w:r w:rsidRPr="003E0ED1">
        <w:rPr>
          <w:sz w:val="20"/>
        </w:rPr>
        <w:t xml:space="preserve">, bakterije, viruse, </w:t>
      </w:r>
      <w:proofErr w:type="spellStart"/>
      <w:r w:rsidRPr="003E0ED1">
        <w:rPr>
          <w:sz w:val="20"/>
        </w:rPr>
        <w:t>viroide</w:t>
      </w:r>
      <w:proofErr w:type="spellEnd"/>
      <w:r w:rsidRPr="003E0ED1">
        <w:rPr>
          <w:sz w:val="20"/>
        </w:rPr>
        <w:t xml:space="preserve"> in </w:t>
      </w:r>
      <w:proofErr w:type="spellStart"/>
      <w:r w:rsidRPr="003E0ED1">
        <w:rPr>
          <w:sz w:val="20"/>
        </w:rPr>
        <w:t>fitoplazme</w:t>
      </w:r>
      <w:proofErr w:type="spellEnd"/>
      <w:r w:rsidRPr="003E0ED1">
        <w:rPr>
          <w:sz w:val="20"/>
        </w:rPr>
        <w:t xml:space="preserve">, ogorčice (nematode), žuželke in pršice). To so v treh primerih konzorciji Kmetijski inštitut Slovenije, Nacionalni inštitut za biologijo, Gozdarski inštitut Slovenije in Inštitut za hmeljarstvo in pivovarstvo Slovenije, dva pa delujeta samostojno. Potreba po obvezni akreditaciji je bila uvedena z novo EU zakonodajo o uradnem nadzoru. Za pridobitev ter razširitev in ohranjanje akreditacije bodo potrebna dodatna vlaganja, tako v tehnične kot strokovne izboljšave delovanja laboratorijev. </w:t>
      </w:r>
    </w:p>
    <w:p w14:paraId="5E769C42" w14:textId="77777777" w:rsidR="003E0ED1" w:rsidRPr="003E0ED1" w:rsidRDefault="003E0ED1" w:rsidP="003E0ED1">
      <w:pPr>
        <w:spacing w:beforeLines="60" w:before="144" w:afterLines="60" w:after="144"/>
        <w:jc w:val="both"/>
        <w:rPr>
          <w:sz w:val="20"/>
        </w:rPr>
      </w:pPr>
      <w:r w:rsidRPr="003E0ED1">
        <w:rPr>
          <w:bCs/>
          <w:sz w:val="20"/>
        </w:rPr>
        <w:t xml:space="preserve">Za zmanjšanje porabe FFS na področju zdravstvenega varstva rastlin je treba intenzivno vlagati v raziskave in razvoj za vpeljavo učinkovitih alternativnih metod, ki bodo omogočile zmanjšanje odvisnosti od rabe kemičnih FFS. Ena od alternativnih metod je biotično varstvo rastlin, ko se </w:t>
      </w:r>
      <w:r w:rsidRPr="003E0ED1">
        <w:rPr>
          <w:sz w:val="20"/>
        </w:rPr>
        <w:t xml:space="preserve">za zatiranje škodljivih organizmov uporablja druge, koristne organizme, ki so naravni sovražniki, antagonisti ali </w:t>
      </w:r>
      <w:proofErr w:type="spellStart"/>
      <w:r w:rsidRPr="003E0ED1">
        <w:rPr>
          <w:sz w:val="20"/>
        </w:rPr>
        <w:t>kompetitorji</w:t>
      </w:r>
      <w:proofErr w:type="spellEnd"/>
      <w:r w:rsidRPr="003E0ED1">
        <w:rPr>
          <w:sz w:val="20"/>
        </w:rPr>
        <w:t xml:space="preserve"> škodljivih organizmov rastlin in se lahko sami razmnožujejo (npr. </w:t>
      </w:r>
      <w:proofErr w:type="spellStart"/>
      <w:r w:rsidRPr="003E0ED1">
        <w:rPr>
          <w:sz w:val="20"/>
        </w:rPr>
        <w:t>parazitoidi</w:t>
      </w:r>
      <w:proofErr w:type="spellEnd"/>
      <w:r w:rsidRPr="003E0ED1">
        <w:rPr>
          <w:sz w:val="20"/>
        </w:rPr>
        <w:t xml:space="preserve">). Sem ne spadajo mikroorganizmi, ki jih ureja Zakon o fitofarmacevtskih sredstvih. Vnos in uporabo koristnih organizmov za zatiranje bolezni in škodljivcev ureja Zakon o zdravstvenem varstvu rastlin. UVHVVR vodi seznam domorodnih vrst koristnih organizmov  in seznam tujerodnih vrst koristnih organizmov, ki sta dostopna na </w:t>
      </w:r>
      <w:hyperlink r:id="rId27" w:history="1">
        <w:r w:rsidRPr="003E0ED1">
          <w:rPr>
            <w:rStyle w:val="Hiperpovezava"/>
            <w:color w:val="auto"/>
            <w:sz w:val="20"/>
          </w:rPr>
          <w:t>https://www.gov.si/teme/bioticno-varstvo-rastlin/</w:t>
        </w:r>
      </w:hyperlink>
      <w:r w:rsidRPr="003E0ED1">
        <w:rPr>
          <w:sz w:val="20"/>
        </w:rPr>
        <w:t>.</w:t>
      </w:r>
    </w:p>
    <w:p w14:paraId="075573B6" w14:textId="778FA93E" w:rsidR="003E0ED1" w:rsidRPr="003E0ED1" w:rsidRDefault="003E0ED1" w:rsidP="003E0ED1">
      <w:pPr>
        <w:spacing w:beforeLines="60" w:before="144" w:afterLines="60" w:after="144"/>
        <w:jc w:val="both"/>
        <w:rPr>
          <w:sz w:val="20"/>
        </w:rPr>
      </w:pPr>
      <w:r w:rsidRPr="003E0ED1">
        <w:rPr>
          <w:sz w:val="20"/>
        </w:rPr>
        <w:t>UVHVVR v soglasju z M</w:t>
      </w:r>
      <w:r>
        <w:rPr>
          <w:sz w:val="20"/>
        </w:rPr>
        <w:t>inistrstvom za okolje in prostor</w:t>
      </w:r>
      <w:r w:rsidRPr="003E0ED1">
        <w:rPr>
          <w:sz w:val="20"/>
        </w:rPr>
        <w:t xml:space="preserve"> vodi upravne postopke za izdajo dovoljenja za vnos, gojenje, trženje in uporabo koristnih organizmov. Za povečanje obsega uporabe biotičnega varstva rastlin je potrebna sprememba veljavne zakonodaje s področja zdravstvenega varstva rastlin in ohranjanja narave.</w:t>
      </w:r>
    </w:p>
    <w:p w14:paraId="469DAC4E" w14:textId="77777777" w:rsidR="00867750" w:rsidRDefault="00867750" w:rsidP="0099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Cs w:val="24"/>
          <w:lang w:eastAsia="en-GB"/>
        </w:rPr>
      </w:pPr>
    </w:p>
    <w:p w14:paraId="29E80BF2" w14:textId="16061039" w:rsidR="00867750" w:rsidRPr="00A41FAF" w:rsidRDefault="00A41FAF" w:rsidP="00A41FAF">
      <w:pPr>
        <w:pStyle w:val="Naslov2"/>
        <w:rPr>
          <w:rFonts w:ascii="Arial" w:eastAsia="Times New Roman" w:hAnsi="Arial" w:cs="Arial"/>
          <w:lang w:eastAsia="en-GB"/>
        </w:rPr>
      </w:pPr>
      <w:bookmarkStart w:id="80" w:name="_Toc55547447"/>
      <w:r>
        <w:rPr>
          <w:rFonts w:ascii="Arial" w:eastAsia="Times New Roman" w:hAnsi="Arial" w:cs="Arial"/>
          <w:lang w:eastAsia="en-GB"/>
        </w:rPr>
        <w:lastRenderedPageBreak/>
        <w:t>3</w:t>
      </w:r>
      <w:r w:rsidR="003B1E93" w:rsidRPr="00A41FAF">
        <w:rPr>
          <w:rFonts w:ascii="Arial" w:eastAsia="Times New Roman" w:hAnsi="Arial" w:cs="Arial"/>
          <w:lang w:eastAsia="en-GB"/>
        </w:rPr>
        <w:t>.</w:t>
      </w:r>
      <w:r w:rsidR="003E0ED1">
        <w:rPr>
          <w:rFonts w:ascii="Arial" w:eastAsia="Times New Roman" w:hAnsi="Arial" w:cs="Arial"/>
          <w:lang w:eastAsia="en-GB"/>
        </w:rPr>
        <w:t>7</w:t>
      </w:r>
      <w:r w:rsidR="003B1E93" w:rsidRPr="00A41FAF">
        <w:rPr>
          <w:rFonts w:ascii="Arial" w:eastAsia="Times New Roman" w:hAnsi="Arial" w:cs="Arial"/>
          <w:lang w:eastAsia="en-GB"/>
        </w:rPr>
        <w:t xml:space="preserve"> </w:t>
      </w:r>
      <w:r w:rsidR="00867750" w:rsidRPr="00A41FAF">
        <w:rPr>
          <w:rFonts w:ascii="Arial" w:eastAsia="Times New Roman" w:hAnsi="Arial" w:cs="Arial"/>
          <w:lang w:eastAsia="en-GB"/>
        </w:rPr>
        <w:t>Ključne ugotovitve</w:t>
      </w:r>
      <w:bookmarkEnd w:id="80"/>
    </w:p>
    <w:p w14:paraId="461F1410" w14:textId="77777777" w:rsidR="007F41C6" w:rsidRPr="00E03F15" w:rsidRDefault="007F41C6" w:rsidP="007F41C6">
      <w:pPr>
        <w:autoSpaceDE w:val="0"/>
        <w:autoSpaceDN w:val="0"/>
        <w:adjustRightInd w:val="0"/>
        <w:spacing w:before="120" w:after="120" w:line="240" w:lineRule="auto"/>
        <w:jc w:val="both"/>
        <w:rPr>
          <w:sz w:val="20"/>
        </w:rPr>
      </w:pPr>
      <w:r w:rsidRPr="00E03F15">
        <w:rPr>
          <w:sz w:val="20"/>
        </w:rPr>
        <w:t>Prodaja FFS v Sloveniji niha in je odvisna od vremenskih vplivov, vrste aktivnih snovi v pripravkih ter ekonomskih razlogov, kot je cena pripravkov.</w:t>
      </w:r>
    </w:p>
    <w:p w14:paraId="315178CA" w14:textId="1D861C88"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Porab</w:t>
      </w:r>
      <w:r w:rsidR="004A3131">
        <w:rPr>
          <w:rFonts w:eastAsia="Times New Roman"/>
          <w:sz w:val="20"/>
          <w:lang w:eastAsia="en-GB"/>
        </w:rPr>
        <w:t>a</w:t>
      </w:r>
      <w:r w:rsidRPr="00E03F15">
        <w:rPr>
          <w:rFonts w:eastAsia="Times New Roman"/>
          <w:sz w:val="20"/>
          <w:lang w:eastAsia="en-GB"/>
        </w:rPr>
        <w:t xml:space="preserve"> FFS v kmetijstvu </w:t>
      </w:r>
      <w:r w:rsidR="00BF7180">
        <w:rPr>
          <w:rFonts w:eastAsia="Times New Roman"/>
          <w:sz w:val="20"/>
          <w:lang w:eastAsia="en-GB"/>
        </w:rPr>
        <w:t>je manjša od prodaje FFS</w:t>
      </w:r>
      <w:r w:rsidRPr="00E03F15">
        <w:rPr>
          <w:rFonts w:eastAsia="Times New Roman"/>
          <w:sz w:val="20"/>
          <w:lang w:eastAsia="en-GB"/>
        </w:rPr>
        <w:t xml:space="preserve">, ker se določene aktivne snovi uporabljajo </w:t>
      </w:r>
      <w:r w:rsidR="00BF7180">
        <w:rPr>
          <w:rFonts w:eastAsia="Times New Roman"/>
          <w:sz w:val="20"/>
          <w:lang w:eastAsia="en-GB"/>
        </w:rPr>
        <w:t>na nekmetijskih površinah</w:t>
      </w:r>
      <w:r w:rsidRPr="00E03F15">
        <w:rPr>
          <w:rFonts w:eastAsia="Times New Roman"/>
          <w:sz w:val="20"/>
          <w:lang w:eastAsia="en-GB"/>
        </w:rPr>
        <w:t>, kot na primer za vzdrževanje javnih površin</w:t>
      </w:r>
      <w:r w:rsidR="004A3131">
        <w:rPr>
          <w:rFonts w:eastAsia="Times New Roman"/>
          <w:sz w:val="20"/>
          <w:lang w:eastAsia="en-GB"/>
        </w:rPr>
        <w:t>.</w:t>
      </w:r>
      <w:r w:rsidR="00BF7180">
        <w:rPr>
          <w:rFonts w:eastAsia="Times New Roman"/>
          <w:sz w:val="20"/>
          <w:lang w:eastAsia="en-GB"/>
        </w:rPr>
        <w:t xml:space="preserve"> Poleg tega je </w:t>
      </w:r>
      <w:r w:rsidR="00503E8C">
        <w:rPr>
          <w:rFonts w:eastAsia="Times New Roman"/>
          <w:sz w:val="20"/>
          <w:lang w:eastAsia="en-GB"/>
        </w:rPr>
        <w:t>r</w:t>
      </w:r>
      <w:r w:rsidRPr="00E03F15">
        <w:rPr>
          <w:rFonts w:eastAsia="Times New Roman"/>
          <w:sz w:val="20"/>
          <w:lang w:eastAsia="en-GB"/>
        </w:rPr>
        <w:t>ab</w:t>
      </w:r>
      <w:r w:rsidR="00BF7180">
        <w:rPr>
          <w:rFonts w:eastAsia="Times New Roman"/>
          <w:sz w:val="20"/>
          <w:lang w:eastAsia="en-GB"/>
        </w:rPr>
        <w:t>a</w:t>
      </w:r>
      <w:r w:rsidRPr="00E03F15">
        <w:rPr>
          <w:rFonts w:eastAsia="Times New Roman"/>
          <w:sz w:val="20"/>
          <w:lang w:eastAsia="en-GB"/>
        </w:rPr>
        <w:t xml:space="preserve"> FFS močno odvisna od vremenskih razmer. </w:t>
      </w:r>
    </w:p>
    <w:p w14:paraId="1D93A218" w14:textId="7F17A954" w:rsidR="007F41C6" w:rsidRPr="00E03F15" w:rsidRDefault="007F41C6" w:rsidP="007F41C6">
      <w:pPr>
        <w:spacing w:beforeLines="60" w:before="144" w:afterLines="60" w:after="144" w:line="240" w:lineRule="auto"/>
        <w:jc w:val="both"/>
        <w:rPr>
          <w:rFonts w:eastAsia="Times New Roman"/>
          <w:sz w:val="20"/>
          <w:lang w:eastAsia="en-GB"/>
        </w:rPr>
      </w:pPr>
      <w:r w:rsidRPr="00E03F15">
        <w:rPr>
          <w:rFonts w:eastAsia="Times New Roman"/>
          <w:sz w:val="20"/>
          <w:lang w:eastAsia="en-GB"/>
        </w:rPr>
        <w:t>Pri sprejemanju ukrepov za zmanjševanje rabe FFS se je potrebno osredotočiti na kmetijske panoge, kjer se uporablja največ FFS (</w:t>
      </w:r>
      <w:r w:rsidR="000D3D3F">
        <w:rPr>
          <w:rFonts w:eastAsia="Times New Roman"/>
          <w:sz w:val="20"/>
          <w:lang w:eastAsia="en-GB"/>
        </w:rPr>
        <w:t>vinogradništvo in sadjarstvo</w:t>
      </w:r>
      <w:r w:rsidR="004A3131">
        <w:rPr>
          <w:rFonts w:eastAsia="Times New Roman"/>
          <w:sz w:val="20"/>
          <w:lang w:eastAsia="en-GB"/>
        </w:rPr>
        <w:t>)</w:t>
      </w:r>
      <w:r w:rsidRPr="00E03F15">
        <w:rPr>
          <w:rFonts w:eastAsia="Times New Roman"/>
          <w:sz w:val="20"/>
          <w:lang w:eastAsia="en-GB"/>
        </w:rPr>
        <w:t>.</w:t>
      </w:r>
    </w:p>
    <w:p w14:paraId="740AD875" w14:textId="3D014262" w:rsidR="007F41C6" w:rsidRDefault="0068322A" w:rsidP="007F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eastAsia="Times New Roman"/>
          <w:sz w:val="20"/>
          <w:lang w:eastAsia="en-GB"/>
        </w:rPr>
      </w:pPr>
      <w:r>
        <w:rPr>
          <w:rFonts w:eastAsia="Times New Roman"/>
          <w:sz w:val="20"/>
          <w:lang w:eastAsia="en-GB"/>
        </w:rPr>
        <w:t xml:space="preserve">Področje IVR </w:t>
      </w:r>
      <w:r w:rsidR="00AF7A14">
        <w:rPr>
          <w:rFonts w:eastAsia="Times New Roman"/>
          <w:sz w:val="20"/>
          <w:lang w:eastAsia="en-GB"/>
        </w:rPr>
        <w:t>se v</w:t>
      </w:r>
      <w:r>
        <w:rPr>
          <w:rFonts w:eastAsia="Times New Roman"/>
          <w:sz w:val="20"/>
          <w:lang w:eastAsia="en-GB"/>
        </w:rPr>
        <w:t xml:space="preserve"> Sloveniji </w:t>
      </w:r>
      <w:r w:rsidR="00AF7A14">
        <w:rPr>
          <w:rFonts w:eastAsia="Times New Roman"/>
          <w:sz w:val="20"/>
          <w:lang w:eastAsia="en-GB"/>
        </w:rPr>
        <w:t>intenzivno razvija.</w:t>
      </w:r>
      <w:r w:rsidR="007F41C6" w:rsidRPr="00E03F15">
        <w:rPr>
          <w:rFonts w:eastAsia="Times New Roman"/>
          <w:sz w:val="20"/>
          <w:lang w:eastAsia="en-GB"/>
        </w:rPr>
        <w:t xml:space="preserve"> Zaenkrat obstoječa zakonodaja uporabniku neposredno ne nalaga obveznosti, zato se načrtuje vpeljava neposredne zakonske zahteve, in sicer, da bi bil uporabnik FFS dolžan izvajati obveznosti v okviru IVR. Zakonodaja bi tako vključevala obvezno spoštovanje smernic za vsako področje pridelave.</w:t>
      </w:r>
    </w:p>
    <w:p w14:paraId="620B9F4D" w14:textId="724933C8" w:rsidR="003E0ED1" w:rsidRPr="00E03F15" w:rsidRDefault="003E0ED1" w:rsidP="003E0ED1">
      <w:pPr>
        <w:spacing w:beforeLines="60" w:before="144" w:afterLines="60" w:after="144" w:line="240" w:lineRule="auto"/>
        <w:jc w:val="both"/>
        <w:rPr>
          <w:sz w:val="20"/>
          <w:lang w:eastAsia="en-GB"/>
        </w:rPr>
      </w:pPr>
      <w:r w:rsidRPr="00230BEE">
        <w:rPr>
          <w:bCs/>
          <w:sz w:val="20"/>
          <w:lang w:eastAsia="en-GB"/>
        </w:rPr>
        <w:t xml:space="preserve">Za zmanjšanje porabe FFS je potrebno ukrepati tudi na področju zdravstvenega varstva rastlin. </w:t>
      </w:r>
      <w:r w:rsidR="004A3131">
        <w:rPr>
          <w:bCs/>
          <w:sz w:val="20"/>
          <w:lang w:eastAsia="en-GB"/>
        </w:rPr>
        <w:t>S</w:t>
      </w:r>
      <w:r w:rsidRPr="00230BEE">
        <w:rPr>
          <w:bCs/>
          <w:sz w:val="20"/>
          <w:lang w:eastAsia="en-GB"/>
        </w:rPr>
        <w:t>podbujati je treba izvajanje preventivnih ukrepov za preprečevanje vnosa in širjenja karantenskih škodljivih organizmov. Preprečevanje širjenja karantenskih škodljivcev predstavlja enega večjih izzivov za vse države članice, ki sedaj v veliki meri temelji na uporabi pesticidov. Zato je treba intenzivno vlagati v raziskave in razvoj za vpeljavo alternativnih metod vključno s potrebnimi stroji in opremo in omogočiti zmanjšanje odvisnosti od rabe FFS.</w:t>
      </w:r>
    </w:p>
    <w:p w14:paraId="43179554" w14:textId="30A68307" w:rsidR="00867750" w:rsidRDefault="00867750" w:rsidP="00230BEE">
      <w:pPr>
        <w:keepNext/>
        <w:tabs>
          <w:tab w:val="left" w:pos="0"/>
          <w:tab w:val="left" w:pos="480"/>
          <w:tab w:val="left" w:pos="850"/>
          <w:tab w:val="left" w:pos="1276"/>
        </w:tabs>
        <w:spacing w:before="120" w:after="120" w:line="240" w:lineRule="auto"/>
        <w:jc w:val="both"/>
        <w:outlineLvl w:val="1"/>
        <w:rPr>
          <w:rFonts w:eastAsia="Times New Roman"/>
          <w:b/>
          <w:szCs w:val="28"/>
          <w:lang w:eastAsia="en-GB"/>
        </w:rPr>
      </w:pPr>
    </w:p>
    <w:p w14:paraId="54E7D758" w14:textId="29E566BE" w:rsidR="00CA6808" w:rsidRPr="00342C52" w:rsidRDefault="00CA6808" w:rsidP="009B695E">
      <w:pPr>
        <w:pStyle w:val="Naslov1"/>
        <w:numPr>
          <w:ilvl w:val="0"/>
          <w:numId w:val="1"/>
        </w:numPr>
        <w:rPr>
          <w:rFonts w:ascii="Arial" w:eastAsia="Calibri" w:hAnsi="Arial" w:cs="Arial"/>
          <w:b/>
          <w:bCs/>
          <w:lang w:eastAsia="en-GB"/>
        </w:rPr>
      </w:pPr>
      <w:bookmarkStart w:id="81" w:name="_Toc55547448"/>
      <w:bookmarkStart w:id="82" w:name="_Toc30495277"/>
      <w:bookmarkStart w:id="83" w:name="_Toc50376682"/>
      <w:r w:rsidRPr="00342C52">
        <w:rPr>
          <w:rFonts w:ascii="Arial" w:eastAsia="Calibri" w:hAnsi="Arial" w:cs="Arial"/>
          <w:b/>
          <w:bCs/>
          <w:lang w:eastAsia="en-GB"/>
        </w:rPr>
        <w:t>DOBROBIT ŽIVALI</w:t>
      </w:r>
      <w:bookmarkEnd w:id="81"/>
    </w:p>
    <w:p w14:paraId="0E8321D2" w14:textId="147B4908" w:rsidR="00CA6808" w:rsidRDefault="00CA6808" w:rsidP="001968A5">
      <w:pPr>
        <w:tabs>
          <w:tab w:val="left" w:pos="0"/>
        </w:tabs>
        <w:spacing w:before="120" w:after="0" w:line="240" w:lineRule="auto"/>
        <w:jc w:val="both"/>
        <w:textAlignment w:val="baseline"/>
        <w:rPr>
          <w:rFonts w:eastAsia="Times New Roman"/>
          <w:sz w:val="20"/>
          <w:lang w:eastAsia="en-GB"/>
        </w:rPr>
      </w:pPr>
      <w:r w:rsidRPr="00E03F15">
        <w:rPr>
          <w:rFonts w:eastAsia="Times New Roman"/>
          <w:sz w:val="20"/>
          <w:lang w:eastAsia="en-GB"/>
        </w:rPr>
        <w:t>Dobrobit živali je zapleten in večplasten pojem z znanstvenimi, etičnimi, ekonomskimi, kulturnimi, socialnimi, verskimi in političnimi razsežnostmi in zbuja vedno večje zanimanje civilne družbe. Pojem dobrobit živali opredeljuje kvaliteto življenja živali, kot jo zaznava žival. Kvaliteta življenja živali vključuje različne elemente: zdravje, zadovoljstvo in dolgoživost. Znanost je privzela dobrobit kot predmet znanstvenih raziskav in predvsem odgovarja na vprašanje, kaj je za žival kvalitetno življenje. Dobrobit živali zajema fizično in mentalno zdravje živali ter vključuje različne vidike kot so fizično udobje, odsotnost lakote in žeje, odsotnost bolečin, strahu in bolezni ter možnost izražanja motiviranega (naravnega) obnašanja. Dobro življenje žival živi, če je zdrava in uspeva brez izkrivljanj, ki povečujejo en vidik biološkega delovanja na račun drugih, če lahko uporablja svoje naravne prilagoditve na način, ki ga izbere sama in če lahko uživa življenje ter negativna stanja niso tako huda ali dolgotrajna, da bi zanjo predstavljala trpljenje.</w:t>
      </w:r>
    </w:p>
    <w:p w14:paraId="0D01F568" w14:textId="77777777" w:rsidR="00CA6808" w:rsidRDefault="00CA6808" w:rsidP="00CA6808">
      <w:pPr>
        <w:spacing w:after="160" w:line="259" w:lineRule="auto"/>
        <w:jc w:val="both"/>
        <w:rPr>
          <w:rFonts w:eastAsia="Arial" w:cs="Times New Roman"/>
          <w:b/>
          <w:color w:val="365F91" w:themeColor="accent1" w:themeShade="BF"/>
          <w:szCs w:val="24"/>
          <w:lang w:eastAsia="en-GB"/>
        </w:rPr>
      </w:pPr>
      <w:r w:rsidRPr="00E03F15">
        <w:rPr>
          <w:rFonts w:eastAsia="Times New Roman"/>
          <w:sz w:val="20"/>
          <w:lang w:eastAsia="en-GB"/>
        </w:rPr>
        <w:t xml:space="preserve">Dobrobit je tesno povezana z načini reje in pogoji </w:t>
      </w:r>
      <w:proofErr w:type="spellStart"/>
      <w:r w:rsidRPr="00E03F15">
        <w:rPr>
          <w:rFonts w:eastAsia="Times New Roman"/>
          <w:sz w:val="20"/>
          <w:lang w:eastAsia="en-GB"/>
        </w:rPr>
        <w:t>vhlevitve</w:t>
      </w:r>
      <w:proofErr w:type="spellEnd"/>
      <w:r w:rsidRPr="00E03F15">
        <w:rPr>
          <w:rFonts w:eastAsia="Times New Roman"/>
          <w:sz w:val="20"/>
          <w:lang w:eastAsia="en-GB"/>
        </w:rPr>
        <w:t xml:space="preserve"> </w:t>
      </w:r>
      <w:proofErr w:type="spellStart"/>
      <w:r w:rsidRPr="00E03F15">
        <w:rPr>
          <w:rFonts w:eastAsia="Times New Roman"/>
          <w:sz w:val="20"/>
          <w:lang w:eastAsia="en-GB"/>
        </w:rPr>
        <w:t>rejnih</w:t>
      </w:r>
      <w:proofErr w:type="spellEnd"/>
      <w:r w:rsidRPr="00E03F15">
        <w:rPr>
          <w:rFonts w:eastAsia="Times New Roman"/>
          <w:sz w:val="20"/>
          <w:lang w:eastAsia="en-GB"/>
        </w:rPr>
        <w:t xml:space="preserve"> živali. Višja dobrobit živali zagotavlja koristi rejcu z zmanjšano smrtnostjo pri reji živali, izboljšanim zdravjem živali ter z višjo prirejo, kakovostjo in ceno končnega proizvoda. Za celotno družbo je posebej pomembna posledica višje dobrobiti živali, da so živali bolj odporne na patogene, kar zmanjšuje potrebo po zdravilih. To pa prispeva k boju proti protimikrobni odpornosti in podpira ukrepe za biološko varnost pri obvladovanju bolezni živali.</w:t>
      </w:r>
    </w:p>
    <w:p w14:paraId="33EC471D" w14:textId="42468C01" w:rsidR="00CA6808" w:rsidRPr="001968A5" w:rsidRDefault="00A41FAF" w:rsidP="00333DE0">
      <w:pPr>
        <w:pStyle w:val="Naslov2"/>
        <w:ind w:firstLine="708"/>
        <w:rPr>
          <w:rFonts w:ascii="Arial" w:eastAsia="Arial" w:hAnsi="Arial" w:cs="Arial"/>
          <w:caps/>
          <w:sz w:val="24"/>
          <w:szCs w:val="24"/>
          <w:lang w:eastAsia="en-GB"/>
        </w:rPr>
      </w:pPr>
      <w:bookmarkStart w:id="84" w:name="_Toc55547449"/>
      <w:r w:rsidRPr="00342C52">
        <w:rPr>
          <w:rFonts w:ascii="Arial" w:eastAsia="Arial" w:hAnsi="Arial" w:cs="Arial"/>
          <w:lang w:eastAsia="en-GB"/>
        </w:rPr>
        <w:t>4</w:t>
      </w:r>
      <w:r w:rsidR="001968A5" w:rsidRPr="00342C52">
        <w:rPr>
          <w:rFonts w:ascii="Arial" w:eastAsia="Arial" w:hAnsi="Arial" w:cs="Arial"/>
          <w:lang w:eastAsia="en-GB"/>
        </w:rPr>
        <w:t>.</w:t>
      </w:r>
      <w:r w:rsidR="00CA6808" w:rsidRPr="00342C52">
        <w:rPr>
          <w:rFonts w:ascii="Arial" w:eastAsia="Arial" w:hAnsi="Arial" w:cs="Arial"/>
          <w:lang w:eastAsia="en-GB"/>
        </w:rPr>
        <w:t xml:space="preserve">1 </w:t>
      </w:r>
      <w:r w:rsidR="00333DE0" w:rsidRPr="00333DE0">
        <w:rPr>
          <w:rFonts w:ascii="Arial" w:eastAsia="Arial" w:hAnsi="Arial" w:cs="Arial"/>
          <w:lang w:eastAsia="en-GB"/>
        </w:rPr>
        <w:t>Pričakovanja potrošnikov</w:t>
      </w:r>
      <w:bookmarkEnd w:id="84"/>
      <w:r w:rsidR="00333DE0" w:rsidRPr="00333DE0" w:rsidDel="00333DE0">
        <w:rPr>
          <w:rFonts w:ascii="Arial" w:eastAsia="Arial" w:hAnsi="Arial" w:cs="Arial"/>
          <w:lang w:eastAsia="en-GB"/>
        </w:rPr>
        <w:t xml:space="preserve"> </w:t>
      </w:r>
      <w:r w:rsidR="001968A5" w:rsidRPr="001968A5">
        <w:rPr>
          <w:rFonts w:ascii="Arial" w:eastAsia="Arial" w:hAnsi="Arial" w:cs="Arial"/>
          <w:sz w:val="24"/>
          <w:szCs w:val="24"/>
          <w:lang w:eastAsia="en-GB"/>
        </w:rPr>
        <w:t xml:space="preserve"> </w:t>
      </w:r>
    </w:p>
    <w:p w14:paraId="7AB8F675" w14:textId="15C97E23" w:rsidR="001968A5" w:rsidRDefault="00CA6808" w:rsidP="00CA6808">
      <w:pPr>
        <w:spacing w:before="120" w:after="0" w:line="240" w:lineRule="auto"/>
        <w:jc w:val="both"/>
        <w:rPr>
          <w:rFonts w:eastAsia="Times New Roman"/>
          <w:sz w:val="20"/>
          <w:lang w:eastAsia="sl-SI"/>
        </w:rPr>
      </w:pPr>
      <w:r w:rsidRPr="00E03F15">
        <w:rPr>
          <w:rFonts w:eastAsia="Times New Roman"/>
          <w:sz w:val="20"/>
          <w:lang w:eastAsia="sl-SI"/>
        </w:rPr>
        <w:t xml:space="preserve">Potrošniki se vse bolj zavedajo, da sodobni načini reje živalim mnogokrat ne zagotavljajo zadovoljevanja vseh njihovih potreb, zato se nagibajo h kupovanju živalskih proizvodov iz rej, ki izpolnjujejo visoke standarde dobrobiti živali, kar potrjujejo tudi raziskave, izvedene v EU. V Slovenji je po raziskavi </w:t>
      </w:r>
      <w:proofErr w:type="spellStart"/>
      <w:r w:rsidRPr="00E03F15">
        <w:rPr>
          <w:rFonts w:eastAsia="Times New Roman"/>
          <w:sz w:val="20"/>
          <w:lang w:eastAsia="sl-SI"/>
        </w:rPr>
        <w:t>Evrobarometra</w:t>
      </w:r>
      <w:proofErr w:type="spellEnd"/>
      <w:r w:rsidRPr="00E03F15">
        <w:rPr>
          <w:rFonts w:eastAsia="Times New Roman"/>
          <w:sz w:val="20"/>
          <w:lang w:eastAsia="sl-SI"/>
        </w:rPr>
        <w:t xml:space="preserve"> v letu 2015</w:t>
      </w:r>
      <w:r w:rsidRPr="00E03F15">
        <w:rPr>
          <w:rFonts w:eastAsia="Times New Roman"/>
          <w:sz w:val="20"/>
          <w:vertAlign w:val="superscript"/>
          <w:lang w:eastAsia="sl-SI"/>
        </w:rPr>
        <w:footnoteReference w:id="7"/>
      </w:r>
      <w:r w:rsidRPr="00E03F15">
        <w:rPr>
          <w:rFonts w:eastAsia="Times New Roman"/>
          <w:sz w:val="20"/>
          <w:lang w:eastAsia="sl-SI"/>
        </w:rPr>
        <w:t xml:space="preserve"> </w:t>
      </w:r>
      <w:r>
        <w:rPr>
          <w:rFonts w:eastAsia="Times New Roman"/>
          <w:sz w:val="20"/>
          <w:lang w:eastAsia="sl-SI"/>
        </w:rPr>
        <w:t xml:space="preserve">(v nadaljevanju: Posebni </w:t>
      </w:r>
      <w:proofErr w:type="spellStart"/>
      <w:r>
        <w:rPr>
          <w:rFonts w:eastAsia="Times New Roman"/>
          <w:sz w:val="20"/>
          <w:lang w:eastAsia="sl-SI"/>
        </w:rPr>
        <w:t>Evrobarometer</w:t>
      </w:r>
      <w:proofErr w:type="spellEnd"/>
      <w:r>
        <w:rPr>
          <w:rFonts w:eastAsia="Times New Roman"/>
          <w:sz w:val="20"/>
          <w:lang w:eastAsia="sl-SI"/>
        </w:rPr>
        <w:t xml:space="preserve"> 442) </w:t>
      </w:r>
      <w:r w:rsidRPr="00E03F15">
        <w:rPr>
          <w:rFonts w:eastAsia="Times New Roman"/>
          <w:sz w:val="20"/>
          <w:lang w:eastAsia="sl-SI"/>
        </w:rPr>
        <w:t xml:space="preserve">kar 96 % anketirancev, na vprašanje kako zelo je pomembna zaščita dobrobiti </w:t>
      </w:r>
      <w:proofErr w:type="spellStart"/>
      <w:r w:rsidRPr="00E03F15">
        <w:rPr>
          <w:rFonts w:eastAsia="Times New Roman"/>
          <w:sz w:val="20"/>
          <w:lang w:eastAsia="sl-SI"/>
        </w:rPr>
        <w:t>rejnih</w:t>
      </w:r>
      <w:proofErr w:type="spellEnd"/>
      <w:r w:rsidRPr="00E03F15">
        <w:rPr>
          <w:rFonts w:eastAsia="Times New Roman"/>
          <w:sz w:val="20"/>
          <w:lang w:eastAsia="sl-SI"/>
        </w:rPr>
        <w:t xml:space="preserve"> živali, odgovorilo z zelo oziroma precej pomembna</w:t>
      </w:r>
      <w:r>
        <w:rPr>
          <w:rFonts w:eastAsia="Times New Roman"/>
          <w:sz w:val="20"/>
          <w:lang w:eastAsia="sl-SI"/>
        </w:rPr>
        <w:t xml:space="preserve"> (Slika </w:t>
      </w:r>
      <w:r w:rsidR="00A41FAF">
        <w:rPr>
          <w:rFonts w:eastAsia="Times New Roman"/>
          <w:sz w:val="20"/>
          <w:lang w:eastAsia="sl-SI"/>
        </w:rPr>
        <w:t>7</w:t>
      </w:r>
      <w:r>
        <w:rPr>
          <w:rFonts w:eastAsia="Times New Roman"/>
          <w:sz w:val="20"/>
          <w:lang w:eastAsia="sl-SI"/>
        </w:rPr>
        <w:t>)</w:t>
      </w:r>
      <w:r w:rsidRPr="00E03F15">
        <w:rPr>
          <w:rFonts w:eastAsia="Times New Roman"/>
          <w:sz w:val="20"/>
          <w:lang w:eastAsia="sl-SI"/>
        </w:rPr>
        <w:t xml:space="preserve">. 30 % anketirancev bi bilo za izdelke, ki izvirajo iz živalim prijaznih sistemov reje, plačati 5 % </w:t>
      </w:r>
      <w:r>
        <w:rPr>
          <w:rFonts w:eastAsia="Times New Roman"/>
          <w:sz w:val="20"/>
          <w:lang w:eastAsia="sl-SI"/>
        </w:rPr>
        <w:t xml:space="preserve"> </w:t>
      </w:r>
      <w:r w:rsidRPr="00E03F15">
        <w:rPr>
          <w:rFonts w:eastAsia="Times New Roman"/>
          <w:sz w:val="20"/>
          <w:lang w:eastAsia="sl-SI"/>
        </w:rPr>
        <w:t>več, 16 % anketirancev pa do 10 % več kot za konvencionalne izdelke</w:t>
      </w:r>
      <w:r>
        <w:rPr>
          <w:rFonts w:eastAsia="Times New Roman"/>
          <w:sz w:val="20"/>
          <w:lang w:eastAsia="sl-SI"/>
        </w:rPr>
        <w:t xml:space="preserve"> (Slika </w:t>
      </w:r>
      <w:r w:rsidR="00A41FAF">
        <w:rPr>
          <w:rFonts w:eastAsia="Times New Roman"/>
          <w:sz w:val="20"/>
          <w:lang w:eastAsia="sl-SI"/>
        </w:rPr>
        <w:t>8</w:t>
      </w:r>
      <w:r>
        <w:rPr>
          <w:rFonts w:eastAsia="Times New Roman"/>
          <w:sz w:val="20"/>
          <w:lang w:eastAsia="sl-SI"/>
        </w:rPr>
        <w:t>)</w:t>
      </w:r>
      <w:r w:rsidRPr="00E03F15">
        <w:rPr>
          <w:rFonts w:eastAsia="Times New Roman"/>
          <w:sz w:val="20"/>
          <w:lang w:eastAsia="sl-SI"/>
        </w:rPr>
        <w:t>. Veliko potrošnikov meni, da bi morali biti podatki o načinu reje in dobrobiti živali jasno označeni na izdelku. V Sloveniji 41 % potrošnikov pri nakupu izdelkov išče te podatke oziroma oznake</w:t>
      </w:r>
      <w:r>
        <w:rPr>
          <w:rFonts w:eastAsia="Times New Roman"/>
          <w:sz w:val="20"/>
          <w:lang w:eastAsia="sl-SI"/>
        </w:rPr>
        <w:t xml:space="preserve"> (Slika </w:t>
      </w:r>
      <w:r w:rsidR="00A41FAF">
        <w:rPr>
          <w:rFonts w:eastAsia="Times New Roman"/>
          <w:sz w:val="20"/>
          <w:lang w:eastAsia="sl-SI"/>
        </w:rPr>
        <w:t>9</w:t>
      </w:r>
      <w:r>
        <w:rPr>
          <w:rFonts w:eastAsia="Times New Roman"/>
          <w:sz w:val="20"/>
          <w:lang w:eastAsia="sl-SI"/>
        </w:rPr>
        <w:t>)</w:t>
      </w:r>
      <w:r w:rsidRPr="00E03F15">
        <w:rPr>
          <w:rFonts w:eastAsia="Times New Roman"/>
          <w:sz w:val="20"/>
          <w:lang w:eastAsia="sl-SI"/>
        </w:rPr>
        <w:t xml:space="preserve">. </w:t>
      </w:r>
    </w:p>
    <w:p w14:paraId="2B256404" w14:textId="0F424DD6" w:rsidR="00CA6808" w:rsidRPr="006A09AF" w:rsidRDefault="000A1A7D" w:rsidP="000A1A7D">
      <w:pPr>
        <w:pStyle w:val="Napis"/>
        <w:jc w:val="both"/>
        <w:rPr>
          <w:sz w:val="20"/>
          <w:szCs w:val="20"/>
        </w:rPr>
      </w:pPr>
      <w:bookmarkStart w:id="85" w:name="_Toc55484782"/>
      <w:r w:rsidRPr="006A09AF">
        <w:rPr>
          <w:sz w:val="20"/>
          <w:szCs w:val="20"/>
        </w:rPr>
        <w:lastRenderedPageBreak/>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7</w:t>
      </w:r>
      <w:r w:rsidR="004270C0" w:rsidRPr="006A09AF">
        <w:rPr>
          <w:noProof/>
          <w:sz w:val="20"/>
          <w:szCs w:val="20"/>
        </w:rPr>
        <w:fldChar w:fldCharType="end"/>
      </w:r>
      <w:r w:rsidRPr="006A09AF">
        <w:rPr>
          <w:sz w:val="20"/>
          <w:szCs w:val="20"/>
        </w:rPr>
        <w:t xml:space="preserve">: Pomembnost zaščite dobrobiti </w:t>
      </w:r>
      <w:proofErr w:type="spellStart"/>
      <w:r w:rsidRPr="006A09AF">
        <w:rPr>
          <w:sz w:val="20"/>
          <w:szCs w:val="20"/>
        </w:rPr>
        <w:t>rejnih</w:t>
      </w:r>
      <w:proofErr w:type="spellEnd"/>
      <w:r w:rsidRPr="006A09AF">
        <w:rPr>
          <w:sz w:val="20"/>
          <w:szCs w:val="20"/>
        </w:rPr>
        <w:t xml:space="preserve"> živali za potrošnike v EU in Sloveniji</w:t>
      </w:r>
      <w:bookmarkEnd w:id="85"/>
    </w:p>
    <w:p w14:paraId="547AAEB7" w14:textId="77777777" w:rsidR="00CA6808" w:rsidRPr="007F41C6" w:rsidRDefault="00CA6808" w:rsidP="00CA6808">
      <w:pPr>
        <w:spacing w:before="100" w:beforeAutospacing="1" w:after="100" w:afterAutospacing="1" w:line="240" w:lineRule="auto"/>
        <w:jc w:val="center"/>
        <w:rPr>
          <w:rFonts w:eastAsia="Times New Roman"/>
          <w:lang w:eastAsia="sl-SI"/>
        </w:rPr>
      </w:pPr>
      <w:r w:rsidRPr="007F41C6">
        <w:rPr>
          <w:rFonts w:eastAsia="Times New Roman"/>
          <w:noProof/>
          <w:lang w:eastAsia="sl-SI"/>
        </w:rPr>
        <w:drawing>
          <wp:inline distT="0" distB="0" distL="0" distR="0" wp14:anchorId="1B5E81D6" wp14:editId="6F03807A">
            <wp:extent cx="3718800" cy="3628800"/>
            <wp:effectExtent l="0" t="0" r="0" b="0"/>
            <wp:docPr id="18" name="Slika 18" descr="Za večino slovencev in prebivalcev v EU je dobrobit živali zelo pomemben. nekaj odstotkov meni, da je nepomemb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Za večino slovencev in prebivalcev v EU je dobrobit živali zelo pomemben. nekaj odstotkov meni, da je nepomembno."/>
                    <pic:cNvPicPr/>
                  </pic:nvPicPr>
                  <pic:blipFill>
                    <a:blip r:embed="rId28">
                      <a:extLst>
                        <a:ext uri="{28A0092B-C50C-407E-A947-70E740481C1C}">
                          <a14:useLocalDpi xmlns:a14="http://schemas.microsoft.com/office/drawing/2010/main" val="0"/>
                        </a:ext>
                      </a:extLst>
                    </a:blip>
                    <a:stretch>
                      <a:fillRect/>
                    </a:stretch>
                  </pic:blipFill>
                  <pic:spPr>
                    <a:xfrm>
                      <a:off x="0" y="0"/>
                      <a:ext cx="3718800" cy="3628800"/>
                    </a:xfrm>
                    <a:prstGeom prst="rect">
                      <a:avLst/>
                    </a:prstGeom>
                  </pic:spPr>
                </pic:pic>
              </a:graphicData>
            </a:graphic>
          </wp:inline>
        </w:drawing>
      </w:r>
    </w:p>
    <w:p w14:paraId="018D8457" w14:textId="77777777" w:rsidR="00CA6808" w:rsidRPr="000A1A7D" w:rsidRDefault="00CA6808" w:rsidP="00CA6808">
      <w:pPr>
        <w:spacing w:before="120" w:after="0" w:line="240" w:lineRule="auto"/>
        <w:jc w:val="both"/>
        <w:rPr>
          <w:rFonts w:eastAsia="Times New Roman"/>
          <w:i/>
          <w:sz w:val="16"/>
          <w:szCs w:val="16"/>
          <w:lang w:eastAsia="en-GB"/>
        </w:rPr>
      </w:pPr>
      <w:r w:rsidRPr="000A1A7D">
        <w:rPr>
          <w:rFonts w:eastAsia="Times New Roman"/>
          <w:i/>
          <w:sz w:val="16"/>
          <w:szCs w:val="16"/>
          <w:lang w:eastAsia="en-GB"/>
        </w:rPr>
        <w:t xml:space="preserve"> </w:t>
      </w:r>
      <w:r w:rsidRPr="000A1A7D">
        <w:rPr>
          <w:rFonts w:eastAsia="Times New Roman"/>
          <w:i/>
          <w:sz w:val="16"/>
          <w:szCs w:val="16"/>
          <w:lang w:eastAsia="sl-SI" w:bidi="sl-SI"/>
        </w:rPr>
        <w:t>V</w:t>
      </w:r>
      <w:r w:rsidRPr="000A1A7D">
        <w:rPr>
          <w:rFonts w:eastAsia="Times New Roman"/>
          <w:i/>
          <w:sz w:val="16"/>
          <w:szCs w:val="16"/>
          <w:lang w:eastAsia="en-GB"/>
        </w:rPr>
        <w:t xml:space="preserve">ir: Posebni </w:t>
      </w:r>
      <w:proofErr w:type="spellStart"/>
      <w:r w:rsidRPr="000A1A7D">
        <w:rPr>
          <w:rFonts w:eastAsia="Times New Roman"/>
          <w:i/>
          <w:sz w:val="16"/>
          <w:szCs w:val="16"/>
          <w:lang w:eastAsia="en-GB"/>
        </w:rPr>
        <w:t>Evrobarometer</w:t>
      </w:r>
      <w:proofErr w:type="spellEnd"/>
      <w:r w:rsidRPr="000A1A7D">
        <w:rPr>
          <w:rFonts w:eastAsia="Times New Roman"/>
          <w:i/>
          <w:sz w:val="16"/>
          <w:szCs w:val="16"/>
          <w:lang w:eastAsia="en-GB"/>
        </w:rPr>
        <w:t xml:space="preserve"> 442</w:t>
      </w:r>
    </w:p>
    <w:p w14:paraId="2D1AB9A0" w14:textId="477F00B1" w:rsidR="00CA6808" w:rsidRDefault="00CA6808" w:rsidP="00CA6808">
      <w:pPr>
        <w:spacing w:before="120" w:after="0" w:line="240" w:lineRule="auto"/>
        <w:jc w:val="both"/>
        <w:rPr>
          <w:rFonts w:eastAsia="Times New Roman"/>
          <w:i/>
          <w:sz w:val="20"/>
          <w:lang w:eastAsia="sl-SI" w:bidi="sl-SI"/>
        </w:rPr>
      </w:pPr>
    </w:p>
    <w:p w14:paraId="6E4A71EF" w14:textId="3901C813" w:rsidR="007E1E59" w:rsidRDefault="007E1E59" w:rsidP="00CA6808">
      <w:pPr>
        <w:spacing w:before="120" w:after="0" w:line="240" w:lineRule="auto"/>
        <w:jc w:val="both"/>
        <w:rPr>
          <w:rFonts w:eastAsia="Times New Roman"/>
          <w:i/>
          <w:sz w:val="20"/>
          <w:lang w:eastAsia="sl-SI" w:bidi="sl-SI"/>
        </w:rPr>
      </w:pPr>
    </w:p>
    <w:p w14:paraId="14654A43" w14:textId="77777777" w:rsidR="007E1E59" w:rsidRPr="007F41C6" w:rsidRDefault="007E1E59" w:rsidP="00CA6808">
      <w:pPr>
        <w:spacing w:before="120" w:after="0" w:line="240" w:lineRule="auto"/>
        <w:jc w:val="both"/>
        <w:rPr>
          <w:rFonts w:eastAsia="Times New Roman"/>
          <w:i/>
          <w:sz w:val="20"/>
          <w:lang w:eastAsia="sl-SI" w:bidi="sl-SI"/>
        </w:rPr>
      </w:pPr>
    </w:p>
    <w:p w14:paraId="0C37E9C3" w14:textId="3A3931A0" w:rsidR="000A1A7D" w:rsidRPr="006A09AF" w:rsidRDefault="000A1A7D" w:rsidP="000A1A7D">
      <w:pPr>
        <w:pStyle w:val="Napis"/>
        <w:jc w:val="both"/>
        <w:rPr>
          <w:sz w:val="20"/>
          <w:szCs w:val="20"/>
        </w:rPr>
      </w:pPr>
      <w:bookmarkStart w:id="86" w:name="_Toc55484783"/>
      <w:r w:rsidRPr="006A09AF">
        <w:rPr>
          <w:sz w:val="20"/>
          <w:szCs w:val="20"/>
        </w:rPr>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8</w:t>
      </w:r>
      <w:r w:rsidR="004270C0" w:rsidRPr="006A09AF">
        <w:rPr>
          <w:noProof/>
          <w:sz w:val="20"/>
          <w:szCs w:val="20"/>
        </w:rPr>
        <w:fldChar w:fldCharType="end"/>
      </w:r>
      <w:r w:rsidRPr="006A09AF">
        <w:rPr>
          <w:sz w:val="20"/>
          <w:szCs w:val="20"/>
        </w:rPr>
        <w:t>: Koliko so pripravljeni EU in slovenski potrošniki plačati več za izdelke, ki izvirajo iz živalim prijaznih sistemov reje</w:t>
      </w:r>
      <w:bookmarkEnd w:id="86"/>
    </w:p>
    <w:p w14:paraId="178C4A67" w14:textId="77777777" w:rsidR="00CA6808" w:rsidRPr="007F41C6" w:rsidRDefault="00CA6808" w:rsidP="00CA6808">
      <w:pPr>
        <w:spacing w:before="120" w:after="0" w:line="240" w:lineRule="auto"/>
        <w:jc w:val="center"/>
        <w:rPr>
          <w:rFonts w:eastAsia="Times New Roman"/>
          <w:szCs w:val="24"/>
          <w:lang w:eastAsia="en-GB"/>
        </w:rPr>
      </w:pPr>
      <w:r w:rsidRPr="007F41C6">
        <w:rPr>
          <w:rFonts w:eastAsia="Times New Roman"/>
          <w:noProof/>
          <w:lang w:eastAsia="sl-SI"/>
        </w:rPr>
        <w:drawing>
          <wp:inline distT="0" distB="0" distL="0" distR="0" wp14:anchorId="243D2B08" wp14:editId="555CFD3E">
            <wp:extent cx="4618490" cy="2259074"/>
            <wp:effectExtent l="0" t="0" r="0" b="8255"/>
            <wp:docPr id="19" name="Slika 19" descr="Večina jih ne želi plačati več ali pa so pripravljeni plačati do 5 % ve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Večina jih ne želi plačati več ali pa so pripravljeni plačati do 5 % več."/>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21304" cy="2260450"/>
                    </a:xfrm>
                    <a:prstGeom prst="rect">
                      <a:avLst/>
                    </a:prstGeom>
                  </pic:spPr>
                </pic:pic>
              </a:graphicData>
            </a:graphic>
          </wp:inline>
        </w:drawing>
      </w:r>
    </w:p>
    <w:p w14:paraId="7C0F0C62" w14:textId="6182868C" w:rsidR="00CA6808" w:rsidRPr="000A1A7D" w:rsidRDefault="00CA6808" w:rsidP="00CA6808">
      <w:pPr>
        <w:spacing w:before="120" w:after="0" w:line="240" w:lineRule="auto"/>
        <w:jc w:val="both"/>
        <w:rPr>
          <w:rFonts w:eastAsia="Times New Roman"/>
          <w:i/>
          <w:sz w:val="16"/>
          <w:szCs w:val="16"/>
          <w:lang w:eastAsia="en-GB"/>
        </w:rPr>
      </w:pPr>
      <w:r w:rsidRPr="000A1A7D">
        <w:rPr>
          <w:rFonts w:eastAsia="Times New Roman"/>
          <w:i/>
          <w:sz w:val="16"/>
          <w:szCs w:val="16"/>
          <w:lang w:eastAsia="sl-SI" w:bidi="sl-SI"/>
        </w:rPr>
        <w:t>V</w:t>
      </w:r>
      <w:r w:rsidRPr="000A1A7D">
        <w:rPr>
          <w:rFonts w:eastAsia="Times New Roman"/>
          <w:i/>
          <w:sz w:val="16"/>
          <w:szCs w:val="16"/>
          <w:lang w:eastAsia="en-GB"/>
        </w:rPr>
        <w:t xml:space="preserve">ir: Posebni </w:t>
      </w:r>
      <w:proofErr w:type="spellStart"/>
      <w:r w:rsidRPr="000A1A7D">
        <w:rPr>
          <w:rFonts w:eastAsia="Times New Roman"/>
          <w:i/>
          <w:sz w:val="16"/>
          <w:szCs w:val="16"/>
          <w:lang w:eastAsia="en-GB"/>
        </w:rPr>
        <w:t>Evrobarometer</w:t>
      </w:r>
      <w:proofErr w:type="spellEnd"/>
      <w:r w:rsidRPr="000A1A7D">
        <w:rPr>
          <w:rFonts w:eastAsia="Times New Roman"/>
          <w:i/>
          <w:sz w:val="16"/>
          <w:szCs w:val="16"/>
          <w:lang w:eastAsia="en-GB"/>
        </w:rPr>
        <w:t xml:space="preserve"> 442</w:t>
      </w:r>
    </w:p>
    <w:p w14:paraId="677092E1" w14:textId="77777777" w:rsidR="00A41FAF" w:rsidRPr="007F41C6" w:rsidRDefault="00A41FAF" w:rsidP="00CA6808">
      <w:pPr>
        <w:spacing w:before="120" w:after="0" w:line="240" w:lineRule="auto"/>
        <w:jc w:val="both"/>
        <w:rPr>
          <w:rFonts w:eastAsia="Times New Roman"/>
          <w:i/>
          <w:sz w:val="20"/>
          <w:szCs w:val="24"/>
          <w:lang w:eastAsia="en-GB"/>
        </w:rPr>
      </w:pPr>
    </w:p>
    <w:p w14:paraId="7B781FF1" w14:textId="254CD125" w:rsidR="000A1A7D" w:rsidRPr="006A09AF" w:rsidRDefault="000A1A7D" w:rsidP="000A1A7D">
      <w:pPr>
        <w:pStyle w:val="Napis"/>
        <w:jc w:val="both"/>
        <w:rPr>
          <w:sz w:val="20"/>
          <w:szCs w:val="20"/>
        </w:rPr>
      </w:pPr>
      <w:bookmarkStart w:id="87" w:name="_Toc55484784"/>
      <w:r w:rsidRPr="006A09AF">
        <w:rPr>
          <w:sz w:val="20"/>
          <w:szCs w:val="20"/>
        </w:rPr>
        <w:lastRenderedPageBreak/>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9</w:t>
      </w:r>
      <w:r w:rsidR="004270C0" w:rsidRPr="006A09AF">
        <w:rPr>
          <w:noProof/>
          <w:sz w:val="20"/>
          <w:szCs w:val="20"/>
        </w:rPr>
        <w:fldChar w:fldCharType="end"/>
      </w:r>
      <w:r w:rsidRPr="006A09AF">
        <w:rPr>
          <w:sz w:val="20"/>
          <w:szCs w:val="20"/>
        </w:rPr>
        <w:t>: Delež EU in slovenskih potrošnikov, ki pri nakupu na izdelkih iščejo oznake, da le ti izvirajo iz živalim prijaznih sistemov reje</w:t>
      </w:r>
      <w:bookmarkEnd w:id="87"/>
    </w:p>
    <w:p w14:paraId="0798D2E5" w14:textId="77777777" w:rsidR="00CA6808" w:rsidRPr="007F41C6" w:rsidRDefault="00CA6808" w:rsidP="00CA6808">
      <w:pPr>
        <w:spacing w:before="120" w:after="0" w:line="240" w:lineRule="auto"/>
        <w:jc w:val="center"/>
        <w:rPr>
          <w:rFonts w:eastAsia="Times New Roman"/>
          <w:szCs w:val="24"/>
          <w:lang w:eastAsia="en-GB"/>
        </w:rPr>
      </w:pPr>
      <w:r w:rsidRPr="007F41C6">
        <w:rPr>
          <w:rFonts w:eastAsia="Times New Roman"/>
          <w:noProof/>
          <w:lang w:eastAsia="sl-SI"/>
        </w:rPr>
        <w:drawing>
          <wp:inline distT="0" distB="0" distL="0" distR="0" wp14:anchorId="3298C0B0" wp14:editId="4B56C917">
            <wp:extent cx="3718800" cy="3625200"/>
            <wp:effectExtent l="0" t="0" r="0" b="0"/>
            <wp:docPr id="20" name="Slika 20" descr="Le šestina vprašanih večinoma išče takšne oznake. Tretjina nikoli in okrog polovica občasno oziroma zelo red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Le šestina vprašanih večinoma išče takšne oznake. Tretjina nikoli in okrog polovica občasno oziroma zelo redko"/>
                    <pic:cNvPicPr/>
                  </pic:nvPicPr>
                  <pic:blipFill>
                    <a:blip r:embed="rId30">
                      <a:extLst>
                        <a:ext uri="{28A0092B-C50C-407E-A947-70E740481C1C}">
                          <a14:useLocalDpi xmlns:a14="http://schemas.microsoft.com/office/drawing/2010/main" val="0"/>
                        </a:ext>
                      </a:extLst>
                    </a:blip>
                    <a:stretch>
                      <a:fillRect/>
                    </a:stretch>
                  </pic:blipFill>
                  <pic:spPr>
                    <a:xfrm>
                      <a:off x="0" y="0"/>
                      <a:ext cx="3718800" cy="3625200"/>
                    </a:xfrm>
                    <a:prstGeom prst="rect">
                      <a:avLst/>
                    </a:prstGeom>
                  </pic:spPr>
                </pic:pic>
              </a:graphicData>
            </a:graphic>
          </wp:inline>
        </w:drawing>
      </w:r>
    </w:p>
    <w:p w14:paraId="0CDF5018" w14:textId="77777777" w:rsidR="00CA6808" w:rsidRPr="000A1A7D" w:rsidRDefault="00CA6808" w:rsidP="00CA6808">
      <w:pPr>
        <w:spacing w:before="120" w:after="0" w:line="240" w:lineRule="auto"/>
        <w:jc w:val="both"/>
        <w:rPr>
          <w:rFonts w:eastAsia="Times New Roman"/>
          <w:i/>
          <w:sz w:val="16"/>
          <w:szCs w:val="16"/>
          <w:lang w:eastAsia="en-GB"/>
        </w:rPr>
      </w:pPr>
      <w:r w:rsidRPr="000A1A7D">
        <w:rPr>
          <w:rFonts w:eastAsia="Times New Roman"/>
          <w:i/>
          <w:sz w:val="16"/>
          <w:szCs w:val="16"/>
          <w:lang w:eastAsia="sl-SI" w:bidi="sl-SI"/>
        </w:rPr>
        <w:t>V</w:t>
      </w:r>
      <w:r w:rsidRPr="000A1A7D">
        <w:rPr>
          <w:rFonts w:eastAsia="Times New Roman"/>
          <w:i/>
          <w:sz w:val="16"/>
          <w:szCs w:val="16"/>
          <w:lang w:eastAsia="en-GB"/>
        </w:rPr>
        <w:t xml:space="preserve">ir: Posebni </w:t>
      </w:r>
      <w:proofErr w:type="spellStart"/>
      <w:r w:rsidRPr="000A1A7D">
        <w:rPr>
          <w:rFonts w:eastAsia="Times New Roman"/>
          <w:i/>
          <w:sz w:val="16"/>
          <w:szCs w:val="16"/>
          <w:lang w:eastAsia="en-GB"/>
        </w:rPr>
        <w:t>Evrobarometer</w:t>
      </w:r>
      <w:proofErr w:type="spellEnd"/>
      <w:r w:rsidRPr="000A1A7D">
        <w:rPr>
          <w:rFonts w:eastAsia="Times New Roman"/>
          <w:i/>
          <w:sz w:val="16"/>
          <w:szCs w:val="16"/>
          <w:lang w:eastAsia="en-GB"/>
        </w:rPr>
        <w:t xml:space="preserve"> 442</w:t>
      </w:r>
    </w:p>
    <w:p w14:paraId="6E106555" w14:textId="452713F0" w:rsidR="00CA6808" w:rsidRPr="00A41FAF" w:rsidRDefault="00A41FAF" w:rsidP="00A41FAF">
      <w:pPr>
        <w:pStyle w:val="Naslov2"/>
        <w:ind w:firstLine="708"/>
        <w:rPr>
          <w:rFonts w:ascii="Arial" w:hAnsi="Arial" w:cs="Arial"/>
        </w:rPr>
      </w:pPr>
      <w:bookmarkStart w:id="88" w:name="_Toc55547450"/>
      <w:r w:rsidRPr="00A41FAF">
        <w:rPr>
          <w:rFonts w:ascii="Arial" w:hAnsi="Arial" w:cs="Arial"/>
        </w:rPr>
        <w:t>4</w:t>
      </w:r>
      <w:r w:rsidR="00C07901">
        <w:rPr>
          <w:rFonts w:ascii="Arial" w:hAnsi="Arial" w:cs="Arial"/>
        </w:rPr>
        <w:t>.2</w:t>
      </w:r>
      <w:r w:rsidR="00AC5261" w:rsidRPr="00A41FAF">
        <w:rPr>
          <w:rFonts w:ascii="Arial" w:hAnsi="Arial" w:cs="Arial"/>
        </w:rPr>
        <w:t xml:space="preserve"> </w:t>
      </w:r>
      <w:r w:rsidR="00CA6808" w:rsidRPr="00A41FAF">
        <w:rPr>
          <w:rFonts w:ascii="Arial" w:hAnsi="Arial" w:cs="Arial"/>
        </w:rPr>
        <w:t>Stanje in dosedanje izkušnje</w:t>
      </w:r>
      <w:bookmarkEnd w:id="88"/>
    </w:p>
    <w:p w14:paraId="060C6C10" w14:textId="77777777" w:rsidR="00CA6808"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Živinoreja je najpomembnejša panoga slovenskega kmetijstva. Prevladuje govedoreja, sledijo ji perutninarstvo, prašičereja, reja drobnice, konjereja, čebelarstvo in druge. Najpomembnejša proizvodna usmeritev znotraj živinoreje in kmetijstva nasploh je prireja mleka in mesa.</w:t>
      </w:r>
    </w:p>
    <w:p w14:paraId="259A50CB" w14:textId="77777777" w:rsidR="00CA6808"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Z vidika velikosti kmetijskih gospodarstev Slovenija praktično pri vseh živinorejskih usmeritvah zaostaja za povprečjem držav EU–28</w:t>
      </w:r>
      <w:r w:rsidRPr="00D31B31">
        <w:rPr>
          <w:rFonts w:eastAsia="Times New Roman"/>
          <w:sz w:val="20"/>
          <w:vertAlign w:val="superscript"/>
          <w:lang w:eastAsia="en-GB"/>
        </w:rPr>
        <w:footnoteReference w:id="8"/>
      </w:r>
      <w:r w:rsidRPr="00D31B31">
        <w:rPr>
          <w:rFonts w:eastAsia="Times New Roman"/>
          <w:sz w:val="20"/>
          <w:lang w:eastAsia="en-GB"/>
        </w:rPr>
        <w:t>. Govedorejska gospodarstva v Sloveniji redijo trikrat manj goveda, pri prašičerejskih in ovčerejskih gospodarstvih je razkorak še večji, saj v Sloveniji ta gospodarstva v povprečju redijo kar šestkrat manj živali, kot je povprečje v EU–28. Razlike v koncentraciji živinorejske proizvodnje v državah EU–28 se kažejo tudi v velikostni strukturi kmetijskih gospodarstev z živino. V povprečju je v EU–28 skoraj tri četrtine (71%) gospodarstev, ki redijo do 5 GVŽ. Na tako velik delež majhnih živinorejskih gospodarstev vpliva predvsem struktura v novih državah članicah EU, kjer delež gospodarstev z do 5 GVŽ znaša kar 87%, v državah EU–15 pa je ta delež 34%. Slovenija ima v tem razredu 62% vseh živinorejskih gospodarstev.</w:t>
      </w:r>
    </w:p>
    <w:p w14:paraId="56C6760A" w14:textId="6A78E478" w:rsidR="00EE1DC0"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V velikostnem razredu gospodarstev, v katerem redijo nad 50 GVŽ, je v EU–28 9% živinorejskih gospodarstev. V starih državah članicah EU je v tem velikostnem razredu več kot četrtina (27 %) gospodarstev, v novih pa je gospodarstev v tem razredu le dober odstotek. To velja tudi za Slovenijo, ki ima manj kot 3% kmetijskih gospodarstev v velikostnem razredu z več kot 50 GVŽ</w:t>
      </w:r>
      <w:r>
        <w:rPr>
          <w:rFonts w:eastAsia="Times New Roman"/>
          <w:sz w:val="20"/>
          <w:lang w:eastAsia="en-GB"/>
        </w:rPr>
        <w:t xml:space="preserve"> (</w:t>
      </w:r>
      <w:r w:rsidR="000A1A7D">
        <w:rPr>
          <w:rFonts w:eastAsia="Times New Roman"/>
          <w:sz w:val="20"/>
          <w:lang w:eastAsia="en-GB"/>
        </w:rPr>
        <w:t>Tabel</w:t>
      </w:r>
      <w:r w:rsidR="00587D0F">
        <w:rPr>
          <w:rFonts w:eastAsia="Times New Roman"/>
          <w:sz w:val="20"/>
          <w:lang w:eastAsia="en-GB"/>
        </w:rPr>
        <w:t xml:space="preserve">a </w:t>
      </w:r>
      <w:r w:rsidR="00CF0FC8">
        <w:rPr>
          <w:rFonts w:eastAsia="Times New Roman"/>
          <w:sz w:val="20"/>
          <w:lang w:eastAsia="en-GB"/>
        </w:rPr>
        <w:t>8</w:t>
      </w:r>
      <w:r>
        <w:rPr>
          <w:rFonts w:eastAsia="Times New Roman"/>
          <w:sz w:val="20"/>
          <w:lang w:eastAsia="en-GB"/>
        </w:rPr>
        <w:t>)</w:t>
      </w:r>
      <w:r w:rsidRPr="00D31B31">
        <w:rPr>
          <w:rFonts w:eastAsia="Times New Roman"/>
          <w:sz w:val="20"/>
          <w:lang w:eastAsia="en-GB"/>
        </w:rPr>
        <w:t>.</w:t>
      </w:r>
      <w:r>
        <w:rPr>
          <w:rFonts w:eastAsia="Times New Roman"/>
          <w:sz w:val="20"/>
          <w:lang w:eastAsia="en-GB"/>
        </w:rPr>
        <w:t xml:space="preserve"> </w:t>
      </w:r>
      <w:r w:rsidRPr="00D31B31">
        <w:rPr>
          <w:rFonts w:eastAsia="Times New Roman"/>
          <w:sz w:val="20"/>
          <w:lang w:eastAsia="en-GB"/>
        </w:rPr>
        <w:t>Tudi razporeditev živine po posameznih velikostnih razredih GVŽ kaže na velike razlike v koncentraciji proizvodnje znotraj evropske živinoreje. V EU–28 je več kot tri četrtine (81 %) vse živine na gospodarstvih z več kot 50 GVŽ, v državah EU–15 ta delež znaša kar 87%, v</w:t>
      </w:r>
      <w:r>
        <w:rPr>
          <w:rFonts w:eastAsia="Times New Roman"/>
          <w:sz w:val="20"/>
          <w:lang w:eastAsia="en-GB"/>
        </w:rPr>
        <w:t xml:space="preserve"> </w:t>
      </w:r>
      <w:r w:rsidRPr="00D31B31">
        <w:rPr>
          <w:rFonts w:eastAsia="Times New Roman"/>
          <w:sz w:val="20"/>
          <w:lang w:eastAsia="en-GB"/>
        </w:rPr>
        <w:t>novih državah EU pa 55 %. Slovenija je s 35 % na dnu strukturne lestvice, saj ima le Romunija s 26 % manjši delež živine v velikostnem razredu nad 50 GVŽ.</w:t>
      </w:r>
    </w:p>
    <w:p w14:paraId="7E7D7CE5" w14:textId="2F2D6689" w:rsidR="0048262F" w:rsidRPr="0048262F" w:rsidRDefault="000A1A7D" w:rsidP="0048262F">
      <w:pPr>
        <w:pStyle w:val="Napis"/>
        <w:jc w:val="both"/>
        <w:rPr>
          <w:sz w:val="20"/>
          <w:szCs w:val="20"/>
        </w:rPr>
      </w:pPr>
      <w:bookmarkStart w:id="89" w:name="_Toc55484830"/>
      <w:r w:rsidRPr="0048262F">
        <w:rPr>
          <w:sz w:val="20"/>
          <w:szCs w:val="20"/>
        </w:rPr>
        <w:lastRenderedPageBreak/>
        <w:t xml:space="preserve">Tabela </w:t>
      </w:r>
      <w:r w:rsidR="004270C0" w:rsidRPr="0048262F">
        <w:rPr>
          <w:sz w:val="20"/>
          <w:szCs w:val="20"/>
        </w:rPr>
        <w:fldChar w:fldCharType="begin"/>
      </w:r>
      <w:r w:rsidR="004270C0" w:rsidRPr="0048262F">
        <w:rPr>
          <w:sz w:val="20"/>
          <w:szCs w:val="20"/>
        </w:rPr>
        <w:instrText xml:space="preserve"> SEQ Tabela \* ARABIC </w:instrText>
      </w:r>
      <w:r w:rsidR="004270C0" w:rsidRPr="0048262F">
        <w:rPr>
          <w:sz w:val="20"/>
          <w:szCs w:val="20"/>
        </w:rPr>
        <w:fldChar w:fldCharType="separate"/>
      </w:r>
      <w:r w:rsidR="00CF0FC8" w:rsidRPr="0048262F">
        <w:rPr>
          <w:noProof/>
          <w:sz w:val="20"/>
          <w:szCs w:val="20"/>
        </w:rPr>
        <w:t>8</w:t>
      </w:r>
      <w:r w:rsidR="004270C0" w:rsidRPr="0048262F">
        <w:rPr>
          <w:noProof/>
          <w:sz w:val="20"/>
          <w:szCs w:val="20"/>
        </w:rPr>
        <w:fldChar w:fldCharType="end"/>
      </w:r>
      <w:r w:rsidRPr="0048262F">
        <w:rPr>
          <w:sz w:val="20"/>
          <w:szCs w:val="20"/>
        </w:rPr>
        <w:t>: Kmetijska gospodarstva po velikostnih razredih števila GVŽ v letu 2016</w:t>
      </w:r>
      <w:bookmarkEnd w:id="89"/>
    </w:p>
    <w:tbl>
      <w:tblPr>
        <w:tblStyle w:val="Tabelamrea2"/>
        <w:tblW w:w="0" w:type="auto"/>
        <w:tblLayout w:type="fixed"/>
        <w:tblLook w:val="04A0" w:firstRow="1" w:lastRow="0" w:firstColumn="1" w:lastColumn="0" w:noHBand="0" w:noVBand="1"/>
      </w:tblPr>
      <w:tblGrid>
        <w:gridCol w:w="3939"/>
        <w:gridCol w:w="2561"/>
        <w:gridCol w:w="2562"/>
      </w:tblGrid>
      <w:tr w:rsidR="00CA6808" w:rsidRPr="007F41C6" w14:paraId="773E7B16" w14:textId="77777777" w:rsidTr="00CF43DE">
        <w:trPr>
          <w:trHeight w:val="547"/>
        </w:trPr>
        <w:tc>
          <w:tcPr>
            <w:tcW w:w="3939" w:type="dxa"/>
            <w:shd w:val="clear" w:color="auto" w:fill="D9EEF3"/>
            <w:noWrap/>
            <w:vAlign w:val="center"/>
            <w:hideMark/>
          </w:tcPr>
          <w:p w14:paraId="1C323BFA" w14:textId="77777777" w:rsidR="00CA6808" w:rsidRPr="007F41C6" w:rsidRDefault="00CA6808" w:rsidP="00CA6808">
            <w:pPr>
              <w:rPr>
                <w:rFonts w:eastAsia="Calibri"/>
                <w:b/>
                <w:sz w:val="20"/>
              </w:rPr>
            </w:pPr>
            <w:r w:rsidRPr="007F41C6">
              <w:rPr>
                <w:rFonts w:eastAsia="Calibri"/>
                <w:b/>
                <w:sz w:val="20"/>
              </w:rPr>
              <w:t>Velikostni razred GVŽ</w:t>
            </w:r>
          </w:p>
        </w:tc>
        <w:tc>
          <w:tcPr>
            <w:tcW w:w="2561" w:type="dxa"/>
            <w:shd w:val="clear" w:color="auto" w:fill="D9EEF3"/>
            <w:noWrap/>
            <w:vAlign w:val="center"/>
            <w:hideMark/>
          </w:tcPr>
          <w:p w14:paraId="4E339420" w14:textId="77777777" w:rsidR="00CA6808" w:rsidRPr="007F41C6" w:rsidRDefault="00CA6808" w:rsidP="00CA6808">
            <w:pPr>
              <w:jc w:val="right"/>
              <w:rPr>
                <w:rFonts w:eastAsia="Calibri"/>
                <w:b/>
                <w:sz w:val="20"/>
              </w:rPr>
            </w:pPr>
            <w:r w:rsidRPr="007F41C6">
              <w:rPr>
                <w:rFonts w:eastAsia="Calibri"/>
                <w:b/>
                <w:sz w:val="20"/>
              </w:rPr>
              <w:t>Glave velike živine [GVŽ]</w:t>
            </w:r>
          </w:p>
        </w:tc>
        <w:tc>
          <w:tcPr>
            <w:tcW w:w="2562" w:type="dxa"/>
            <w:shd w:val="clear" w:color="auto" w:fill="D9EEF3"/>
            <w:noWrap/>
            <w:vAlign w:val="center"/>
            <w:hideMark/>
          </w:tcPr>
          <w:p w14:paraId="2BC67335" w14:textId="77777777" w:rsidR="00CA6808" w:rsidRPr="007F41C6" w:rsidRDefault="00CA6808" w:rsidP="00CA6808">
            <w:pPr>
              <w:jc w:val="right"/>
              <w:rPr>
                <w:rFonts w:eastAsia="Calibri"/>
                <w:b/>
                <w:sz w:val="20"/>
              </w:rPr>
            </w:pPr>
            <w:r w:rsidRPr="007F41C6">
              <w:rPr>
                <w:rFonts w:eastAsia="Calibri"/>
                <w:b/>
                <w:sz w:val="20"/>
              </w:rPr>
              <w:t>Število kmetijskih gospodarstev</w:t>
            </w:r>
          </w:p>
        </w:tc>
      </w:tr>
      <w:tr w:rsidR="00CA6808" w:rsidRPr="007F41C6" w14:paraId="31955FE7" w14:textId="77777777" w:rsidTr="00CA6808">
        <w:trPr>
          <w:trHeight w:val="255"/>
        </w:trPr>
        <w:tc>
          <w:tcPr>
            <w:tcW w:w="3939" w:type="dxa"/>
            <w:noWrap/>
            <w:vAlign w:val="center"/>
            <w:hideMark/>
          </w:tcPr>
          <w:p w14:paraId="3304FC18" w14:textId="77777777" w:rsidR="00CA6808" w:rsidRPr="007F41C6" w:rsidRDefault="00CA6808" w:rsidP="00CA6808">
            <w:pPr>
              <w:rPr>
                <w:rFonts w:eastAsia="Calibri"/>
                <w:sz w:val="20"/>
              </w:rPr>
            </w:pPr>
            <w:r w:rsidRPr="007F41C6">
              <w:rPr>
                <w:rFonts w:eastAsia="Calibri"/>
                <w:sz w:val="20"/>
              </w:rPr>
              <w:t>brez GVŽ</w:t>
            </w:r>
          </w:p>
        </w:tc>
        <w:tc>
          <w:tcPr>
            <w:tcW w:w="2561" w:type="dxa"/>
            <w:noWrap/>
            <w:vAlign w:val="center"/>
            <w:hideMark/>
          </w:tcPr>
          <w:p w14:paraId="6147FD5B" w14:textId="77777777" w:rsidR="00CA6808" w:rsidRPr="007F41C6" w:rsidRDefault="00CA6808" w:rsidP="00CA6808">
            <w:pPr>
              <w:jc w:val="right"/>
              <w:rPr>
                <w:rFonts w:eastAsia="Calibri"/>
                <w:sz w:val="20"/>
              </w:rPr>
            </w:pPr>
            <w:r w:rsidRPr="007F41C6">
              <w:rPr>
                <w:rFonts w:eastAsia="Calibri"/>
                <w:sz w:val="20"/>
              </w:rPr>
              <w:t>0</w:t>
            </w:r>
          </w:p>
        </w:tc>
        <w:tc>
          <w:tcPr>
            <w:tcW w:w="2562" w:type="dxa"/>
            <w:noWrap/>
            <w:vAlign w:val="center"/>
            <w:hideMark/>
          </w:tcPr>
          <w:p w14:paraId="21CF87B1" w14:textId="77777777" w:rsidR="00CA6808" w:rsidRPr="007F41C6" w:rsidRDefault="00CA6808" w:rsidP="00CA6808">
            <w:pPr>
              <w:jc w:val="right"/>
              <w:rPr>
                <w:rFonts w:eastAsia="Calibri"/>
                <w:sz w:val="20"/>
              </w:rPr>
            </w:pPr>
            <w:r w:rsidRPr="007F41C6">
              <w:rPr>
                <w:rFonts w:eastAsia="Calibri"/>
                <w:sz w:val="20"/>
              </w:rPr>
              <w:t>14.120</w:t>
            </w:r>
          </w:p>
        </w:tc>
      </w:tr>
      <w:tr w:rsidR="00CA6808" w:rsidRPr="007F41C6" w14:paraId="2DAE11BE" w14:textId="77777777" w:rsidTr="00CA6808">
        <w:trPr>
          <w:trHeight w:val="255"/>
        </w:trPr>
        <w:tc>
          <w:tcPr>
            <w:tcW w:w="3939" w:type="dxa"/>
            <w:noWrap/>
            <w:vAlign w:val="center"/>
            <w:hideMark/>
          </w:tcPr>
          <w:p w14:paraId="4A8CE926" w14:textId="77777777" w:rsidR="00CA6808" w:rsidRPr="007F41C6" w:rsidRDefault="00CA6808" w:rsidP="00CA6808">
            <w:pPr>
              <w:rPr>
                <w:rFonts w:eastAsia="Calibri"/>
                <w:sz w:val="20"/>
              </w:rPr>
            </w:pPr>
            <w:r w:rsidRPr="007F41C6">
              <w:rPr>
                <w:rFonts w:eastAsia="Calibri"/>
                <w:sz w:val="20"/>
              </w:rPr>
              <w:t>več od 0 do pod 0,5</w:t>
            </w:r>
          </w:p>
        </w:tc>
        <w:tc>
          <w:tcPr>
            <w:tcW w:w="2561" w:type="dxa"/>
            <w:noWrap/>
            <w:vAlign w:val="center"/>
            <w:hideMark/>
          </w:tcPr>
          <w:p w14:paraId="1AD9348B" w14:textId="77777777" w:rsidR="00CA6808" w:rsidRPr="007F41C6" w:rsidRDefault="00CA6808" w:rsidP="00CA6808">
            <w:pPr>
              <w:jc w:val="right"/>
              <w:rPr>
                <w:rFonts w:eastAsia="Calibri"/>
                <w:sz w:val="20"/>
              </w:rPr>
            </w:pPr>
            <w:r w:rsidRPr="007F41C6">
              <w:rPr>
                <w:rFonts w:eastAsia="Calibri"/>
                <w:sz w:val="20"/>
              </w:rPr>
              <w:t>1.776</w:t>
            </w:r>
          </w:p>
        </w:tc>
        <w:tc>
          <w:tcPr>
            <w:tcW w:w="2562" w:type="dxa"/>
            <w:noWrap/>
            <w:vAlign w:val="center"/>
            <w:hideMark/>
          </w:tcPr>
          <w:p w14:paraId="19C174E4" w14:textId="77777777" w:rsidR="00CA6808" w:rsidRPr="007F41C6" w:rsidRDefault="00CA6808" w:rsidP="00CA6808">
            <w:pPr>
              <w:jc w:val="right"/>
              <w:rPr>
                <w:rFonts w:eastAsia="Calibri"/>
                <w:sz w:val="20"/>
              </w:rPr>
            </w:pPr>
            <w:r w:rsidRPr="007F41C6">
              <w:rPr>
                <w:rFonts w:eastAsia="Calibri"/>
                <w:sz w:val="20"/>
              </w:rPr>
              <w:t>12.284</w:t>
            </w:r>
          </w:p>
        </w:tc>
      </w:tr>
      <w:tr w:rsidR="00CA6808" w:rsidRPr="007F41C6" w14:paraId="047EE065" w14:textId="77777777" w:rsidTr="00CA6808">
        <w:trPr>
          <w:trHeight w:val="255"/>
        </w:trPr>
        <w:tc>
          <w:tcPr>
            <w:tcW w:w="3939" w:type="dxa"/>
            <w:noWrap/>
            <w:vAlign w:val="center"/>
            <w:hideMark/>
          </w:tcPr>
          <w:p w14:paraId="09EB615F" w14:textId="77777777" w:rsidR="00CA6808" w:rsidRPr="007F41C6" w:rsidRDefault="00CA6808" w:rsidP="00CA6808">
            <w:pPr>
              <w:rPr>
                <w:rFonts w:eastAsia="Calibri"/>
                <w:sz w:val="20"/>
              </w:rPr>
            </w:pPr>
            <w:r w:rsidRPr="007F41C6">
              <w:rPr>
                <w:rFonts w:eastAsia="Calibri"/>
                <w:sz w:val="20"/>
              </w:rPr>
              <w:t>0,5 do pod 1</w:t>
            </w:r>
          </w:p>
        </w:tc>
        <w:tc>
          <w:tcPr>
            <w:tcW w:w="2561" w:type="dxa"/>
            <w:noWrap/>
            <w:vAlign w:val="center"/>
            <w:hideMark/>
          </w:tcPr>
          <w:p w14:paraId="26032798" w14:textId="77777777" w:rsidR="00CA6808" w:rsidRPr="007F41C6" w:rsidRDefault="00CA6808" w:rsidP="00CA6808">
            <w:pPr>
              <w:jc w:val="right"/>
              <w:rPr>
                <w:rFonts w:eastAsia="Calibri"/>
                <w:sz w:val="20"/>
              </w:rPr>
            </w:pPr>
            <w:r w:rsidRPr="007F41C6">
              <w:rPr>
                <w:rFonts w:eastAsia="Calibri"/>
                <w:sz w:val="20"/>
              </w:rPr>
              <w:t>3.089</w:t>
            </w:r>
          </w:p>
        </w:tc>
        <w:tc>
          <w:tcPr>
            <w:tcW w:w="2562" w:type="dxa"/>
            <w:noWrap/>
            <w:vAlign w:val="center"/>
            <w:hideMark/>
          </w:tcPr>
          <w:p w14:paraId="6212C0E4" w14:textId="77777777" w:rsidR="00CA6808" w:rsidRPr="007F41C6" w:rsidRDefault="00CA6808" w:rsidP="00CA6808">
            <w:pPr>
              <w:jc w:val="right"/>
              <w:rPr>
                <w:rFonts w:eastAsia="Calibri"/>
                <w:sz w:val="20"/>
              </w:rPr>
            </w:pPr>
            <w:r w:rsidRPr="007F41C6">
              <w:rPr>
                <w:rFonts w:eastAsia="Calibri"/>
                <w:sz w:val="20"/>
              </w:rPr>
              <w:t>4.170</w:t>
            </w:r>
          </w:p>
        </w:tc>
      </w:tr>
      <w:tr w:rsidR="00CA6808" w:rsidRPr="007F41C6" w14:paraId="544AF1D5" w14:textId="77777777" w:rsidTr="00CA6808">
        <w:trPr>
          <w:trHeight w:val="255"/>
        </w:trPr>
        <w:tc>
          <w:tcPr>
            <w:tcW w:w="3939" w:type="dxa"/>
            <w:noWrap/>
            <w:vAlign w:val="center"/>
            <w:hideMark/>
          </w:tcPr>
          <w:p w14:paraId="127335F2" w14:textId="77777777" w:rsidR="00CA6808" w:rsidRPr="007F41C6" w:rsidRDefault="00CA6808" w:rsidP="00CA6808">
            <w:pPr>
              <w:rPr>
                <w:rFonts w:eastAsia="Calibri"/>
                <w:sz w:val="20"/>
              </w:rPr>
            </w:pPr>
            <w:r w:rsidRPr="007F41C6">
              <w:rPr>
                <w:rFonts w:eastAsia="Calibri"/>
                <w:sz w:val="20"/>
              </w:rPr>
              <w:t>1 do pod 2</w:t>
            </w:r>
          </w:p>
        </w:tc>
        <w:tc>
          <w:tcPr>
            <w:tcW w:w="2561" w:type="dxa"/>
            <w:noWrap/>
            <w:vAlign w:val="center"/>
            <w:hideMark/>
          </w:tcPr>
          <w:p w14:paraId="68E941AE" w14:textId="77777777" w:rsidR="00CA6808" w:rsidRPr="007F41C6" w:rsidRDefault="00CA6808" w:rsidP="00CA6808">
            <w:pPr>
              <w:jc w:val="right"/>
              <w:rPr>
                <w:rFonts w:eastAsia="Calibri"/>
                <w:sz w:val="20"/>
              </w:rPr>
            </w:pPr>
            <w:r w:rsidRPr="007F41C6">
              <w:rPr>
                <w:rFonts w:eastAsia="Calibri"/>
                <w:sz w:val="20"/>
              </w:rPr>
              <w:t>9.343</w:t>
            </w:r>
          </w:p>
        </w:tc>
        <w:tc>
          <w:tcPr>
            <w:tcW w:w="2562" w:type="dxa"/>
            <w:noWrap/>
            <w:vAlign w:val="center"/>
            <w:hideMark/>
          </w:tcPr>
          <w:p w14:paraId="578995F6" w14:textId="77777777" w:rsidR="00CA6808" w:rsidRPr="007F41C6" w:rsidRDefault="00CA6808" w:rsidP="00CA6808">
            <w:pPr>
              <w:jc w:val="right"/>
              <w:rPr>
                <w:rFonts w:eastAsia="Calibri"/>
                <w:sz w:val="20"/>
              </w:rPr>
            </w:pPr>
            <w:r w:rsidRPr="007F41C6">
              <w:rPr>
                <w:rFonts w:eastAsia="Calibri"/>
                <w:sz w:val="20"/>
              </w:rPr>
              <w:t>6.630</w:t>
            </w:r>
          </w:p>
        </w:tc>
      </w:tr>
      <w:tr w:rsidR="00CA6808" w:rsidRPr="007F41C6" w14:paraId="026BDD51" w14:textId="77777777" w:rsidTr="00CA6808">
        <w:trPr>
          <w:trHeight w:val="255"/>
        </w:trPr>
        <w:tc>
          <w:tcPr>
            <w:tcW w:w="3939" w:type="dxa"/>
            <w:noWrap/>
            <w:vAlign w:val="center"/>
            <w:hideMark/>
          </w:tcPr>
          <w:p w14:paraId="5A2C4EB2" w14:textId="77777777" w:rsidR="00CA6808" w:rsidRPr="007F41C6" w:rsidRDefault="00CA6808" w:rsidP="00CA6808">
            <w:pPr>
              <w:rPr>
                <w:rFonts w:eastAsia="Calibri"/>
                <w:sz w:val="20"/>
              </w:rPr>
            </w:pPr>
            <w:r w:rsidRPr="007F41C6">
              <w:rPr>
                <w:rFonts w:eastAsia="Calibri"/>
                <w:sz w:val="20"/>
              </w:rPr>
              <w:t>2 do pod 3</w:t>
            </w:r>
          </w:p>
        </w:tc>
        <w:tc>
          <w:tcPr>
            <w:tcW w:w="2561" w:type="dxa"/>
            <w:noWrap/>
            <w:vAlign w:val="center"/>
            <w:hideMark/>
          </w:tcPr>
          <w:p w14:paraId="70D3E617" w14:textId="77777777" w:rsidR="00CA6808" w:rsidRPr="007F41C6" w:rsidRDefault="00CA6808" w:rsidP="00CA6808">
            <w:pPr>
              <w:jc w:val="right"/>
              <w:rPr>
                <w:rFonts w:eastAsia="Calibri"/>
                <w:sz w:val="20"/>
              </w:rPr>
            </w:pPr>
            <w:r w:rsidRPr="007F41C6">
              <w:rPr>
                <w:rFonts w:eastAsia="Calibri"/>
                <w:sz w:val="20"/>
              </w:rPr>
              <w:t>13.830</w:t>
            </w:r>
          </w:p>
        </w:tc>
        <w:tc>
          <w:tcPr>
            <w:tcW w:w="2562" w:type="dxa"/>
            <w:noWrap/>
            <w:vAlign w:val="center"/>
            <w:hideMark/>
          </w:tcPr>
          <w:p w14:paraId="0C2F01FC" w14:textId="77777777" w:rsidR="00CA6808" w:rsidRPr="007F41C6" w:rsidRDefault="00CA6808" w:rsidP="00CA6808">
            <w:pPr>
              <w:jc w:val="right"/>
              <w:rPr>
                <w:rFonts w:eastAsia="Calibri"/>
                <w:sz w:val="20"/>
              </w:rPr>
            </w:pPr>
            <w:r w:rsidRPr="007F41C6">
              <w:rPr>
                <w:rFonts w:eastAsia="Calibri"/>
                <w:sz w:val="20"/>
              </w:rPr>
              <w:t>5.678</w:t>
            </w:r>
          </w:p>
        </w:tc>
      </w:tr>
      <w:tr w:rsidR="00CA6808" w:rsidRPr="007F41C6" w14:paraId="49C59BA6" w14:textId="77777777" w:rsidTr="00CA6808">
        <w:trPr>
          <w:trHeight w:val="255"/>
        </w:trPr>
        <w:tc>
          <w:tcPr>
            <w:tcW w:w="3939" w:type="dxa"/>
            <w:noWrap/>
            <w:vAlign w:val="center"/>
            <w:hideMark/>
          </w:tcPr>
          <w:p w14:paraId="7F162BD0" w14:textId="77777777" w:rsidR="00CA6808" w:rsidRPr="007F41C6" w:rsidRDefault="00CA6808" w:rsidP="00CA6808">
            <w:pPr>
              <w:rPr>
                <w:rFonts w:eastAsia="Calibri"/>
                <w:sz w:val="20"/>
              </w:rPr>
            </w:pPr>
            <w:r w:rsidRPr="007F41C6">
              <w:rPr>
                <w:rFonts w:eastAsia="Calibri"/>
                <w:sz w:val="20"/>
              </w:rPr>
              <w:t>3 do pod 5</w:t>
            </w:r>
          </w:p>
        </w:tc>
        <w:tc>
          <w:tcPr>
            <w:tcW w:w="2561" w:type="dxa"/>
            <w:noWrap/>
            <w:vAlign w:val="center"/>
            <w:hideMark/>
          </w:tcPr>
          <w:p w14:paraId="109BBE08" w14:textId="77777777" w:rsidR="00CA6808" w:rsidRPr="007F41C6" w:rsidRDefault="00CA6808" w:rsidP="00CA6808">
            <w:pPr>
              <w:jc w:val="right"/>
              <w:rPr>
                <w:rFonts w:eastAsia="Calibri"/>
                <w:sz w:val="20"/>
              </w:rPr>
            </w:pPr>
            <w:r w:rsidRPr="007F41C6">
              <w:rPr>
                <w:rFonts w:eastAsia="Calibri"/>
                <w:sz w:val="20"/>
              </w:rPr>
              <w:t>27.679</w:t>
            </w:r>
          </w:p>
        </w:tc>
        <w:tc>
          <w:tcPr>
            <w:tcW w:w="2562" w:type="dxa"/>
            <w:noWrap/>
            <w:vAlign w:val="center"/>
            <w:hideMark/>
          </w:tcPr>
          <w:p w14:paraId="41D5FFDD" w14:textId="77777777" w:rsidR="00CA6808" w:rsidRPr="007F41C6" w:rsidRDefault="00CA6808" w:rsidP="00CA6808">
            <w:pPr>
              <w:jc w:val="right"/>
              <w:rPr>
                <w:rFonts w:eastAsia="Calibri"/>
                <w:sz w:val="20"/>
              </w:rPr>
            </w:pPr>
            <w:r w:rsidRPr="007F41C6">
              <w:rPr>
                <w:rFonts w:eastAsia="Calibri"/>
                <w:sz w:val="20"/>
              </w:rPr>
              <w:t>7.170</w:t>
            </w:r>
          </w:p>
        </w:tc>
      </w:tr>
      <w:tr w:rsidR="00CA6808" w:rsidRPr="007F41C6" w14:paraId="7E77B767" w14:textId="77777777" w:rsidTr="00CA6808">
        <w:trPr>
          <w:trHeight w:val="255"/>
        </w:trPr>
        <w:tc>
          <w:tcPr>
            <w:tcW w:w="3939" w:type="dxa"/>
            <w:noWrap/>
            <w:vAlign w:val="center"/>
            <w:hideMark/>
          </w:tcPr>
          <w:p w14:paraId="3CF10B64" w14:textId="77777777" w:rsidR="00CA6808" w:rsidRPr="007F41C6" w:rsidRDefault="00CA6808" w:rsidP="00CA6808">
            <w:pPr>
              <w:rPr>
                <w:rFonts w:eastAsia="Calibri"/>
                <w:sz w:val="20"/>
              </w:rPr>
            </w:pPr>
            <w:r w:rsidRPr="007F41C6">
              <w:rPr>
                <w:rFonts w:eastAsia="Calibri"/>
                <w:sz w:val="20"/>
              </w:rPr>
              <w:t>5 do pod 10</w:t>
            </w:r>
          </w:p>
        </w:tc>
        <w:tc>
          <w:tcPr>
            <w:tcW w:w="2561" w:type="dxa"/>
            <w:noWrap/>
            <w:vAlign w:val="center"/>
            <w:hideMark/>
          </w:tcPr>
          <w:p w14:paraId="064EDE3D" w14:textId="77777777" w:rsidR="00CA6808" w:rsidRPr="007F41C6" w:rsidRDefault="00CA6808" w:rsidP="00CA6808">
            <w:pPr>
              <w:jc w:val="right"/>
              <w:rPr>
                <w:rFonts w:eastAsia="Calibri"/>
                <w:sz w:val="20"/>
              </w:rPr>
            </w:pPr>
            <w:r w:rsidRPr="007F41C6">
              <w:rPr>
                <w:rFonts w:eastAsia="Calibri"/>
                <w:sz w:val="20"/>
              </w:rPr>
              <w:t>64.331</w:t>
            </w:r>
          </w:p>
        </w:tc>
        <w:tc>
          <w:tcPr>
            <w:tcW w:w="2562" w:type="dxa"/>
            <w:noWrap/>
            <w:vAlign w:val="center"/>
            <w:hideMark/>
          </w:tcPr>
          <w:p w14:paraId="1AB074A6" w14:textId="77777777" w:rsidR="00CA6808" w:rsidRPr="007F41C6" w:rsidRDefault="00CA6808" w:rsidP="00CA6808">
            <w:pPr>
              <w:jc w:val="right"/>
              <w:rPr>
                <w:rFonts w:eastAsia="Calibri"/>
                <w:sz w:val="20"/>
              </w:rPr>
            </w:pPr>
            <w:r w:rsidRPr="007F41C6">
              <w:rPr>
                <w:rFonts w:eastAsia="Calibri"/>
                <w:sz w:val="20"/>
              </w:rPr>
              <w:t>9.136</w:t>
            </w:r>
          </w:p>
        </w:tc>
      </w:tr>
      <w:tr w:rsidR="00CA6808" w:rsidRPr="007F41C6" w14:paraId="75250606" w14:textId="77777777" w:rsidTr="00CA6808">
        <w:trPr>
          <w:trHeight w:val="255"/>
        </w:trPr>
        <w:tc>
          <w:tcPr>
            <w:tcW w:w="3939" w:type="dxa"/>
            <w:noWrap/>
            <w:vAlign w:val="center"/>
            <w:hideMark/>
          </w:tcPr>
          <w:p w14:paraId="51C3E5F9" w14:textId="77777777" w:rsidR="00CA6808" w:rsidRPr="007F41C6" w:rsidRDefault="00CA6808" w:rsidP="00CA6808">
            <w:pPr>
              <w:rPr>
                <w:rFonts w:eastAsia="Calibri"/>
                <w:sz w:val="20"/>
              </w:rPr>
            </w:pPr>
            <w:r w:rsidRPr="007F41C6">
              <w:rPr>
                <w:rFonts w:eastAsia="Calibri"/>
                <w:sz w:val="20"/>
              </w:rPr>
              <w:t>10 do pod 15</w:t>
            </w:r>
          </w:p>
        </w:tc>
        <w:tc>
          <w:tcPr>
            <w:tcW w:w="2561" w:type="dxa"/>
            <w:noWrap/>
            <w:vAlign w:val="center"/>
            <w:hideMark/>
          </w:tcPr>
          <w:p w14:paraId="635A6F86" w14:textId="77777777" w:rsidR="00CA6808" w:rsidRPr="007F41C6" w:rsidRDefault="00CA6808" w:rsidP="00CA6808">
            <w:pPr>
              <w:jc w:val="right"/>
              <w:rPr>
                <w:rFonts w:eastAsia="Calibri"/>
                <w:sz w:val="20"/>
              </w:rPr>
            </w:pPr>
            <w:r w:rsidRPr="007F41C6">
              <w:rPr>
                <w:rFonts w:eastAsia="Calibri"/>
                <w:sz w:val="20"/>
              </w:rPr>
              <w:t>45.345</w:t>
            </w:r>
          </w:p>
        </w:tc>
        <w:tc>
          <w:tcPr>
            <w:tcW w:w="2562" w:type="dxa"/>
            <w:noWrap/>
            <w:vAlign w:val="center"/>
            <w:hideMark/>
          </w:tcPr>
          <w:p w14:paraId="1F75615E" w14:textId="77777777" w:rsidR="00CA6808" w:rsidRPr="007F41C6" w:rsidRDefault="00CA6808" w:rsidP="00CA6808">
            <w:pPr>
              <w:jc w:val="right"/>
              <w:rPr>
                <w:rFonts w:eastAsia="Calibri"/>
                <w:sz w:val="20"/>
              </w:rPr>
            </w:pPr>
            <w:r w:rsidRPr="007F41C6">
              <w:rPr>
                <w:rFonts w:eastAsia="Calibri"/>
                <w:sz w:val="20"/>
              </w:rPr>
              <w:t>3.715</w:t>
            </w:r>
          </w:p>
        </w:tc>
      </w:tr>
      <w:tr w:rsidR="00CA6808" w:rsidRPr="007F41C6" w14:paraId="74BF3026" w14:textId="77777777" w:rsidTr="00CA6808">
        <w:trPr>
          <w:trHeight w:val="255"/>
        </w:trPr>
        <w:tc>
          <w:tcPr>
            <w:tcW w:w="3939" w:type="dxa"/>
            <w:noWrap/>
            <w:vAlign w:val="center"/>
            <w:hideMark/>
          </w:tcPr>
          <w:p w14:paraId="2864FAD5" w14:textId="77777777" w:rsidR="00CA6808" w:rsidRPr="007F41C6" w:rsidRDefault="00CA6808" w:rsidP="00CA6808">
            <w:pPr>
              <w:rPr>
                <w:rFonts w:eastAsia="Calibri"/>
                <w:sz w:val="20"/>
              </w:rPr>
            </w:pPr>
            <w:r w:rsidRPr="007F41C6">
              <w:rPr>
                <w:rFonts w:eastAsia="Calibri"/>
                <w:sz w:val="20"/>
              </w:rPr>
              <w:t>15 do pod 20</w:t>
            </w:r>
          </w:p>
        </w:tc>
        <w:tc>
          <w:tcPr>
            <w:tcW w:w="2561" w:type="dxa"/>
            <w:noWrap/>
            <w:vAlign w:val="center"/>
            <w:hideMark/>
          </w:tcPr>
          <w:p w14:paraId="44F79186" w14:textId="77777777" w:rsidR="00CA6808" w:rsidRPr="007F41C6" w:rsidRDefault="00CA6808" w:rsidP="00CA6808">
            <w:pPr>
              <w:jc w:val="right"/>
              <w:rPr>
                <w:rFonts w:eastAsia="Calibri"/>
                <w:sz w:val="20"/>
              </w:rPr>
            </w:pPr>
            <w:r w:rsidRPr="007F41C6">
              <w:rPr>
                <w:rFonts w:eastAsia="Calibri"/>
                <w:sz w:val="20"/>
              </w:rPr>
              <w:t>34.345</w:t>
            </w:r>
          </w:p>
        </w:tc>
        <w:tc>
          <w:tcPr>
            <w:tcW w:w="2562" w:type="dxa"/>
            <w:noWrap/>
            <w:vAlign w:val="center"/>
            <w:hideMark/>
          </w:tcPr>
          <w:p w14:paraId="68969AD8" w14:textId="77777777" w:rsidR="00CA6808" w:rsidRPr="007F41C6" w:rsidRDefault="00CA6808" w:rsidP="00CA6808">
            <w:pPr>
              <w:jc w:val="right"/>
              <w:rPr>
                <w:rFonts w:eastAsia="Calibri"/>
                <w:sz w:val="20"/>
              </w:rPr>
            </w:pPr>
            <w:r w:rsidRPr="007F41C6">
              <w:rPr>
                <w:rFonts w:eastAsia="Calibri"/>
                <w:sz w:val="20"/>
              </w:rPr>
              <w:t>1.983</w:t>
            </w:r>
          </w:p>
        </w:tc>
      </w:tr>
      <w:tr w:rsidR="00CA6808" w:rsidRPr="007F41C6" w14:paraId="38CD40FA" w14:textId="77777777" w:rsidTr="00CA6808">
        <w:trPr>
          <w:trHeight w:val="255"/>
        </w:trPr>
        <w:tc>
          <w:tcPr>
            <w:tcW w:w="3939" w:type="dxa"/>
            <w:noWrap/>
            <w:vAlign w:val="center"/>
            <w:hideMark/>
          </w:tcPr>
          <w:p w14:paraId="65A72048" w14:textId="77777777" w:rsidR="00CA6808" w:rsidRPr="007F41C6" w:rsidRDefault="00CA6808" w:rsidP="00CA6808">
            <w:pPr>
              <w:rPr>
                <w:rFonts w:eastAsia="Calibri"/>
                <w:sz w:val="20"/>
              </w:rPr>
            </w:pPr>
            <w:r w:rsidRPr="007F41C6">
              <w:rPr>
                <w:rFonts w:eastAsia="Calibri"/>
                <w:sz w:val="20"/>
              </w:rPr>
              <w:t>20 do pod 30</w:t>
            </w:r>
          </w:p>
        </w:tc>
        <w:tc>
          <w:tcPr>
            <w:tcW w:w="2561" w:type="dxa"/>
            <w:noWrap/>
            <w:vAlign w:val="center"/>
            <w:hideMark/>
          </w:tcPr>
          <w:p w14:paraId="578E5B5F" w14:textId="77777777" w:rsidR="00CA6808" w:rsidRPr="007F41C6" w:rsidRDefault="00CA6808" w:rsidP="00CA6808">
            <w:pPr>
              <w:jc w:val="right"/>
              <w:rPr>
                <w:rFonts w:eastAsia="Calibri"/>
                <w:sz w:val="20"/>
              </w:rPr>
            </w:pPr>
            <w:r w:rsidRPr="007F41C6">
              <w:rPr>
                <w:rFonts w:eastAsia="Calibri"/>
                <w:sz w:val="20"/>
              </w:rPr>
              <w:t>56.545</w:t>
            </w:r>
          </w:p>
        </w:tc>
        <w:tc>
          <w:tcPr>
            <w:tcW w:w="2562" w:type="dxa"/>
            <w:noWrap/>
            <w:vAlign w:val="center"/>
            <w:hideMark/>
          </w:tcPr>
          <w:p w14:paraId="0B5436F6" w14:textId="77777777" w:rsidR="00CA6808" w:rsidRPr="007F41C6" w:rsidRDefault="00CA6808" w:rsidP="00CA6808">
            <w:pPr>
              <w:jc w:val="right"/>
              <w:rPr>
                <w:rFonts w:eastAsia="Calibri"/>
                <w:sz w:val="20"/>
              </w:rPr>
            </w:pPr>
            <w:r w:rsidRPr="007F41C6">
              <w:rPr>
                <w:rFonts w:eastAsia="Calibri"/>
                <w:sz w:val="20"/>
              </w:rPr>
              <w:t>2.355</w:t>
            </w:r>
          </w:p>
        </w:tc>
      </w:tr>
      <w:tr w:rsidR="00CA6808" w:rsidRPr="007F41C6" w14:paraId="58BC0C56" w14:textId="77777777" w:rsidTr="00CA6808">
        <w:trPr>
          <w:trHeight w:val="255"/>
        </w:trPr>
        <w:tc>
          <w:tcPr>
            <w:tcW w:w="3939" w:type="dxa"/>
            <w:noWrap/>
            <w:vAlign w:val="center"/>
            <w:hideMark/>
          </w:tcPr>
          <w:p w14:paraId="354286D8" w14:textId="77777777" w:rsidR="00CA6808" w:rsidRPr="007F41C6" w:rsidRDefault="00CA6808" w:rsidP="00CA6808">
            <w:pPr>
              <w:rPr>
                <w:rFonts w:eastAsia="Calibri"/>
                <w:sz w:val="20"/>
              </w:rPr>
            </w:pPr>
            <w:r w:rsidRPr="007F41C6">
              <w:rPr>
                <w:rFonts w:eastAsia="Calibri"/>
                <w:sz w:val="20"/>
              </w:rPr>
              <w:t>30 do pod 50</w:t>
            </w:r>
          </w:p>
        </w:tc>
        <w:tc>
          <w:tcPr>
            <w:tcW w:w="2561" w:type="dxa"/>
            <w:noWrap/>
            <w:vAlign w:val="center"/>
            <w:hideMark/>
          </w:tcPr>
          <w:p w14:paraId="543BE602" w14:textId="77777777" w:rsidR="00CA6808" w:rsidRPr="007F41C6" w:rsidRDefault="00CA6808" w:rsidP="00CA6808">
            <w:pPr>
              <w:jc w:val="right"/>
              <w:rPr>
                <w:rFonts w:eastAsia="Calibri"/>
                <w:sz w:val="20"/>
              </w:rPr>
            </w:pPr>
            <w:r w:rsidRPr="007F41C6">
              <w:rPr>
                <w:rFonts w:eastAsia="Calibri"/>
                <w:sz w:val="20"/>
              </w:rPr>
              <w:t>60.330</w:t>
            </w:r>
          </w:p>
        </w:tc>
        <w:tc>
          <w:tcPr>
            <w:tcW w:w="2562" w:type="dxa"/>
            <w:noWrap/>
            <w:vAlign w:val="center"/>
            <w:hideMark/>
          </w:tcPr>
          <w:p w14:paraId="18F3B6E4" w14:textId="77777777" w:rsidR="00CA6808" w:rsidRPr="007F41C6" w:rsidRDefault="00CA6808" w:rsidP="00CA6808">
            <w:pPr>
              <w:jc w:val="right"/>
              <w:rPr>
                <w:rFonts w:eastAsia="Calibri"/>
                <w:sz w:val="20"/>
              </w:rPr>
            </w:pPr>
            <w:r w:rsidRPr="007F41C6">
              <w:rPr>
                <w:rFonts w:eastAsia="Calibri"/>
                <w:sz w:val="20"/>
              </w:rPr>
              <w:t>1.600</w:t>
            </w:r>
          </w:p>
        </w:tc>
      </w:tr>
      <w:tr w:rsidR="00CA6808" w:rsidRPr="007F41C6" w14:paraId="3F84B558" w14:textId="77777777" w:rsidTr="00CA6808">
        <w:trPr>
          <w:trHeight w:val="255"/>
        </w:trPr>
        <w:tc>
          <w:tcPr>
            <w:tcW w:w="3939" w:type="dxa"/>
            <w:noWrap/>
            <w:vAlign w:val="center"/>
            <w:hideMark/>
          </w:tcPr>
          <w:p w14:paraId="41323255" w14:textId="77777777" w:rsidR="00CA6808" w:rsidRPr="007F41C6" w:rsidRDefault="00CA6808" w:rsidP="00CA6808">
            <w:pPr>
              <w:rPr>
                <w:rFonts w:eastAsia="Calibri"/>
                <w:sz w:val="20"/>
              </w:rPr>
            </w:pPr>
            <w:r w:rsidRPr="007F41C6">
              <w:rPr>
                <w:rFonts w:eastAsia="Calibri"/>
                <w:sz w:val="20"/>
              </w:rPr>
              <w:t>50 do pod 100</w:t>
            </w:r>
          </w:p>
        </w:tc>
        <w:tc>
          <w:tcPr>
            <w:tcW w:w="2561" w:type="dxa"/>
            <w:noWrap/>
            <w:vAlign w:val="center"/>
            <w:hideMark/>
          </w:tcPr>
          <w:p w14:paraId="3DC1C0B8" w14:textId="77777777" w:rsidR="00CA6808" w:rsidRPr="007F41C6" w:rsidRDefault="00CA6808" w:rsidP="00CA6808">
            <w:pPr>
              <w:jc w:val="right"/>
              <w:rPr>
                <w:rFonts w:eastAsia="Calibri"/>
                <w:sz w:val="20"/>
              </w:rPr>
            </w:pPr>
            <w:r w:rsidRPr="007F41C6">
              <w:rPr>
                <w:rFonts w:eastAsia="Calibri"/>
                <w:sz w:val="20"/>
              </w:rPr>
              <w:t>55.728</w:t>
            </w:r>
          </w:p>
        </w:tc>
        <w:tc>
          <w:tcPr>
            <w:tcW w:w="2562" w:type="dxa"/>
            <w:noWrap/>
            <w:vAlign w:val="center"/>
            <w:hideMark/>
          </w:tcPr>
          <w:p w14:paraId="4D0B2484" w14:textId="77777777" w:rsidR="00CA6808" w:rsidRPr="007F41C6" w:rsidRDefault="00CA6808" w:rsidP="00CA6808">
            <w:pPr>
              <w:jc w:val="right"/>
              <w:rPr>
                <w:rFonts w:eastAsia="Calibri"/>
                <w:sz w:val="20"/>
              </w:rPr>
            </w:pPr>
            <w:r w:rsidRPr="007F41C6">
              <w:rPr>
                <w:rFonts w:eastAsia="Calibri"/>
                <w:sz w:val="20"/>
              </w:rPr>
              <w:t>832</w:t>
            </w:r>
          </w:p>
        </w:tc>
      </w:tr>
      <w:tr w:rsidR="00CA6808" w:rsidRPr="007F41C6" w14:paraId="5FEC5A36" w14:textId="77777777" w:rsidTr="00CA6808">
        <w:trPr>
          <w:trHeight w:val="255"/>
        </w:trPr>
        <w:tc>
          <w:tcPr>
            <w:tcW w:w="3939" w:type="dxa"/>
            <w:noWrap/>
            <w:vAlign w:val="center"/>
            <w:hideMark/>
          </w:tcPr>
          <w:p w14:paraId="612DBF31" w14:textId="77777777" w:rsidR="00CA6808" w:rsidRPr="007F41C6" w:rsidRDefault="00CA6808" w:rsidP="00CA6808">
            <w:pPr>
              <w:rPr>
                <w:rFonts w:eastAsia="Calibri"/>
                <w:sz w:val="20"/>
              </w:rPr>
            </w:pPr>
            <w:r w:rsidRPr="007F41C6">
              <w:rPr>
                <w:rFonts w:eastAsia="Calibri"/>
                <w:sz w:val="20"/>
              </w:rPr>
              <w:t>100 ali več</w:t>
            </w:r>
          </w:p>
        </w:tc>
        <w:tc>
          <w:tcPr>
            <w:tcW w:w="2561" w:type="dxa"/>
            <w:noWrap/>
            <w:vAlign w:val="center"/>
            <w:hideMark/>
          </w:tcPr>
          <w:p w14:paraId="330CACEB" w14:textId="77777777" w:rsidR="00CA6808" w:rsidRPr="007F41C6" w:rsidRDefault="00CA6808" w:rsidP="00CA6808">
            <w:pPr>
              <w:jc w:val="right"/>
              <w:rPr>
                <w:rFonts w:eastAsia="Calibri"/>
                <w:sz w:val="20"/>
              </w:rPr>
            </w:pPr>
            <w:r w:rsidRPr="007F41C6">
              <w:rPr>
                <w:rFonts w:eastAsia="Calibri"/>
                <w:sz w:val="20"/>
              </w:rPr>
              <w:t>46.344</w:t>
            </w:r>
          </w:p>
        </w:tc>
        <w:tc>
          <w:tcPr>
            <w:tcW w:w="2562" w:type="dxa"/>
            <w:noWrap/>
            <w:vAlign w:val="center"/>
            <w:hideMark/>
          </w:tcPr>
          <w:p w14:paraId="08527F5A" w14:textId="77777777" w:rsidR="00CA6808" w:rsidRPr="007F41C6" w:rsidRDefault="00CA6808" w:rsidP="00CA6808">
            <w:pPr>
              <w:jc w:val="right"/>
              <w:rPr>
                <w:rFonts w:eastAsia="Calibri"/>
                <w:sz w:val="20"/>
              </w:rPr>
            </w:pPr>
            <w:r w:rsidRPr="007F41C6">
              <w:rPr>
                <w:rFonts w:eastAsia="Calibri"/>
                <w:sz w:val="20"/>
              </w:rPr>
              <w:t>229</w:t>
            </w:r>
          </w:p>
        </w:tc>
      </w:tr>
      <w:tr w:rsidR="00CA6808" w:rsidRPr="007F41C6" w14:paraId="1049FE4F" w14:textId="77777777" w:rsidTr="00CA6808">
        <w:trPr>
          <w:trHeight w:val="255"/>
        </w:trPr>
        <w:tc>
          <w:tcPr>
            <w:tcW w:w="3939" w:type="dxa"/>
            <w:noWrap/>
            <w:vAlign w:val="center"/>
          </w:tcPr>
          <w:p w14:paraId="094DC481" w14:textId="77777777" w:rsidR="00CA6808" w:rsidRPr="007F41C6" w:rsidRDefault="00CA6808" w:rsidP="00CA6808">
            <w:pPr>
              <w:rPr>
                <w:rFonts w:eastAsia="Calibri"/>
                <w:sz w:val="20"/>
              </w:rPr>
            </w:pPr>
            <w:r w:rsidRPr="007F41C6">
              <w:rPr>
                <w:rFonts w:eastAsia="Calibri"/>
                <w:sz w:val="20"/>
              </w:rPr>
              <w:t>SKUPAJ</w:t>
            </w:r>
          </w:p>
        </w:tc>
        <w:tc>
          <w:tcPr>
            <w:tcW w:w="2561" w:type="dxa"/>
            <w:noWrap/>
            <w:vAlign w:val="center"/>
          </w:tcPr>
          <w:p w14:paraId="07783826" w14:textId="77777777" w:rsidR="00CA6808" w:rsidRPr="007F41C6" w:rsidRDefault="00CA6808" w:rsidP="00CA6808">
            <w:pPr>
              <w:jc w:val="right"/>
              <w:rPr>
                <w:rFonts w:eastAsia="Calibri"/>
                <w:sz w:val="20"/>
              </w:rPr>
            </w:pPr>
            <w:r w:rsidRPr="007F41C6">
              <w:rPr>
                <w:rFonts w:eastAsia="Calibri"/>
                <w:sz w:val="20"/>
              </w:rPr>
              <w:t>418.684</w:t>
            </w:r>
          </w:p>
        </w:tc>
        <w:tc>
          <w:tcPr>
            <w:tcW w:w="2562" w:type="dxa"/>
            <w:noWrap/>
            <w:vAlign w:val="center"/>
          </w:tcPr>
          <w:p w14:paraId="2A0EAE85" w14:textId="77777777" w:rsidR="00CA6808" w:rsidRPr="007F41C6" w:rsidRDefault="00CA6808" w:rsidP="00CA6808">
            <w:pPr>
              <w:jc w:val="right"/>
              <w:rPr>
                <w:rFonts w:eastAsia="Calibri"/>
                <w:sz w:val="20"/>
              </w:rPr>
            </w:pPr>
            <w:r w:rsidRPr="007F41C6">
              <w:rPr>
                <w:rFonts w:eastAsia="Calibri"/>
                <w:sz w:val="20"/>
              </w:rPr>
              <w:t>69.902</w:t>
            </w:r>
          </w:p>
        </w:tc>
      </w:tr>
    </w:tbl>
    <w:p w14:paraId="01ADD5F3" w14:textId="77777777" w:rsidR="00CA6808" w:rsidRPr="00237DB1" w:rsidRDefault="00CA6808" w:rsidP="00CA6808">
      <w:pPr>
        <w:tabs>
          <w:tab w:val="left" w:pos="0"/>
        </w:tabs>
        <w:spacing w:before="120" w:after="0" w:line="240" w:lineRule="auto"/>
        <w:jc w:val="both"/>
        <w:textAlignment w:val="baseline"/>
        <w:rPr>
          <w:rFonts w:eastAsia="Times New Roman"/>
          <w:i/>
          <w:sz w:val="16"/>
          <w:szCs w:val="16"/>
          <w:lang w:eastAsia="en-GB"/>
        </w:rPr>
      </w:pPr>
      <w:r w:rsidRPr="00237DB1">
        <w:rPr>
          <w:rFonts w:eastAsia="Times New Roman"/>
          <w:i/>
          <w:sz w:val="16"/>
          <w:szCs w:val="16"/>
          <w:lang w:eastAsia="en-GB"/>
        </w:rPr>
        <w:t>Vir: SURS</w:t>
      </w:r>
    </w:p>
    <w:p w14:paraId="04F57611" w14:textId="77777777" w:rsidR="00CA6808"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 xml:space="preserve">Kot izhaja iz navedenih podatkov je Slovenija, z vidika velikostne strukture kmetijskih gospodarstev, glede skrbi za dobrobit živali v prednosti, ker nima res množičnih sistemov rej, saj je nevarnost pojavov bolezni in težav z dobrobitjo v manjših sistemih manjša. Na to kaže tudi nizka poraba veterinarskih protimikrobnih zdravil, ki je v Sloveniji precej pod povprečjem EU. </w:t>
      </w:r>
    </w:p>
    <w:p w14:paraId="57BF12CA" w14:textId="77777777" w:rsidR="00CA6808"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Ugodno z vidika dobrobiti živali pri transportu je tudi dejstvo, da so transportne poti v Sloveniji kratke. Živali vozimo v klavnice, prevažamo jih na kmetijska gospodarstva za nadaljnjo rejo, v laboratorije in raziskovalne centre, na razstave in tekmovanja. Vsak, še tako dobro organiziran in izpeljan prevoz živali, je za živali stresen, zato je zelo pomembno, da je vožnja čim krajša in da so med vožnjo zadovoljene vse potrebe živali.</w:t>
      </w:r>
    </w:p>
    <w:p w14:paraId="5840AB16" w14:textId="77777777" w:rsidR="00CA6808" w:rsidRPr="00D31B31" w:rsidRDefault="00CA6808" w:rsidP="00CA6808">
      <w:pPr>
        <w:spacing w:before="120" w:after="0" w:line="240" w:lineRule="auto"/>
        <w:jc w:val="both"/>
        <w:rPr>
          <w:rFonts w:eastAsia="Times New Roman"/>
          <w:sz w:val="20"/>
          <w:u w:val="single"/>
          <w:lang w:eastAsia="sl-SI" w:bidi="sl-SI"/>
        </w:rPr>
      </w:pPr>
      <w:r w:rsidRPr="00D31B31">
        <w:rPr>
          <w:rFonts w:eastAsia="Times New Roman"/>
          <w:sz w:val="20"/>
          <w:u w:val="single"/>
          <w:lang w:eastAsia="sl-SI" w:bidi="sl-SI"/>
        </w:rPr>
        <w:t>Prepoved rutinskega krajšanja repov prašičem v Sloveniji</w:t>
      </w:r>
    </w:p>
    <w:p w14:paraId="43F04222" w14:textId="6D26643C"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Grizenje repov med prašiči je motnja v obnašanju, ki je razširjena, a nepredvidljiva. Dejavniki tveganja so številni (odsotnost slame, osiromašeno in nestimulativno okolje, rešetkasta tla, neustrezna mikroklima, slabo zdravstveno stanje črede). </w:t>
      </w:r>
    </w:p>
    <w:p w14:paraId="7325F5B4" w14:textId="3BB1A7F4" w:rsidR="00CA6808" w:rsidRPr="0086383B" w:rsidRDefault="00CA6808" w:rsidP="00CA6808">
      <w:pPr>
        <w:spacing w:before="120" w:after="0" w:line="240" w:lineRule="auto"/>
        <w:jc w:val="both"/>
        <w:rPr>
          <w:rFonts w:eastAsia="Times New Roman"/>
          <w:sz w:val="20"/>
          <w:vertAlign w:val="superscript"/>
          <w:lang w:eastAsia="sl-SI" w:bidi="sl-SI"/>
        </w:rPr>
      </w:pPr>
      <w:r w:rsidRPr="00D31B31">
        <w:rPr>
          <w:rFonts w:eastAsia="Times New Roman"/>
          <w:sz w:val="20"/>
          <w:lang w:eastAsia="sl-SI" w:bidi="sl-SI"/>
        </w:rPr>
        <w:t>Na ravni EU je prepoved rutinskega krajšanja določena z Direktivo Sveta 2008/120/ES z dne 18 decembra 2008 o določitvi minimalnih pogojev za zaščito prašičev</w:t>
      </w:r>
      <w:r w:rsidR="0086383B">
        <w:rPr>
          <w:rFonts w:eastAsia="Times New Roman"/>
          <w:sz w:val="20"/>
          <w:vertAlign w:val="superscript"/>
          <w:lang w:eastAsia="sl-SI" w:bidi="sl-SI"/>
        </w:rPr>
        <w:t>7</w:t>
      </w:r>
      <w:r w:rsidRPr="00D31B31">
        <w:rPr>
          <w:rFonts w:eastAsia="Times New Roman"/>
          <w:sz w:val="20"/>
          <w:lang w:eastAsia="sl-SI" w:bidi="sl-SI"/>
        </w:rPr>
        <w:t xml:space="preserve">. V Sloveniji je ta določba direktive prenesena v nacionalni pravni s Pravilnikom o zaščiti </w:t>
      </w:r>
      <w:proofErr w:type="spellStart"/>
      <w:r w:rsidRPr="00D31B31">
        <w:rPr>
          <w:rFonts w:eastAsia="Times New Roman"/>
          <w:sz w:val="20"/>
          <w:lang w:eastAsia="sl-SI" w:bidi="sl-SI"/>
        </w:rPr>
        <w:t>rejnih</w:t>
      </w:r>
      <w:proofErr w:type="spellEnd"/>
      <w:r w:rsidRPr="00D31B31">
        <w:rPr>
          <w:rFonts w:eastAsia="Times New Roman"/>
          <w:sz w:val="20"/>
          <w:lang w:eastAsia="sl-SI" w:bidi="sl-SI"/>
        </w:rPr>
        <w:t xml:space="preserve"> živali. Dodatnih nacionalnih zahtev, ki presegajo določbe direktive na področju zaščite prašičev v Sloveniji nimamo.</w:t>
      </w:r>
    </w:p>
    <w:p w14:paraId="4DB8AB04" w14:textId="007DFE5C" w:rsidR="00587D0F" w:rsidRDefault="00CA6808" w:rsidP="007E1E59">
      <w:pPr>
        <w:spacing w:before="120" w:after="0" w:line="240" w:lineRule="auto"/>
        <w:jc w:val="both"/>
        <w:rPr>
          <w:rFonts w:eastAsia="Times New Roman"/>
          <w:sz w:val="20"/>
          <w:lang w:eastAsia="sl-SI" w:bidi="sl-SI"/>
        </w:rPr>
      </w:pPr>
      <w:r w:rsidRPr="00D31B31">
        <w:rPr>
          <w:rFonts w:eastAsia="Times New Roman"/>
          <w:sz w:val="20"/>
          <w:lang w:eastAsia="sl-SI" w:bidi="sl-SI"/>
        </w:rPr>
        <w:t>Cilj uradnega nadzora, ki ga izvaja U</w:t>
      </w:r>
      <w:r w:rsidR="00587D0F">
        <w:rPr>
          <w:rFonts w:eastAsia="Times New Roman"/>
          <w:sz w:val="20"/>
          <w:lang w:eastAsia="sl-SI" w:bidi="sl-SI"/>
        </w:rPr>
        <w:t>VHVVR</w:t>
      </w:r>
      <w:r w:rsidRPr="00D31B31">
        <w:rPr>
          <w:rFonts w:eastAsia="Times New Roman"/>
          <w:sz w:val="20"/>
          <w:lang w:eastAsia="sl-SI" w:bidi="sl-SI"/>
        </w:rPr>
        <w:t>, je doseči skladnost z zakonodajo, kar pomeni, da krajšanje repov ni rutinsko, ampak šele potem, ko je rejec izčrpal vse možnosti in uredil vse ostale stvari. Natančnih podatkov o deležu prašičev s skrajšanimi repi U</w:t>
      </w:r>
      <w:r w:rsidR="007E1E59">
        <w:rPr>
          <w:rFonts w:eastAsia="Times New Roman"/>
          <w:sz w:val="20"/>
          <w:lang w:eastAsia="sl-SI" w:bidi="sl-SI"/>
        </w:rPr>
        <w:t>VHVVR</w:t>
      </w:r>
      <w:r w:rsidRPr="00D31B31">
        <w:rPr>
          <w:rFonts w:eastAsia="Times New Roman"/>
          <w:sz w:val="20"/>
          <w:lang w:eastAsia="sl-SI" w:bidi="sl-SI"/>
        </w:rPr>
        <w:t xml:space="preserve"> nima. Ocene poskuša pridobiti preko obveznih letnih pregledov gospodarstev, ki dajejo živila v promet</w:t>
      </w:r>
      <w:r>
        <w:rPr>
          <w:rFonts w:eastAsia="Times New Roman"/>
          <w:sz w:val="20"/>
          <w:lang w:eastAsia="sl-SI" w:bidi="sl-SI"/>
        </w:rPr>
        <w:t xml:space="preserve"> (</w:t>
      </w:r>
      <w:r w:rsidR="00237DB1">
        <w:rPr>
          <w:rFonts w:eastAsia="Times New Roman"/>
          <w:sz w:val="20"/>
          <w:lang w:eastAsia="sl-SI" w:bidi="sl-SI"/>
        </w:rPr>
        <w:t>Tabel</w:t>
      </w:r>
      <w:r w:rsidR="00587D0F">
        <w:rPr>
          <w:rFonts w:eastAsia="Times New Roman"/>
          <w:sz w:val="20"/>
          <w:lang w:eastAsia="sl-SI" w:bidi="sl-SI"/>
        </w:rPr>
        <w:t>a</w:t>
      </w:r>
      <w:r>
        <w:rPr>
          <w:rFonts w:eastAsia="Times New Roman"/>
          <w:sz w:val="20"/>
          <w:lang w:eastAsia="sl-SI" w:bidi="sl-SI"/>
        </w:rPr>
        <w:t xml:space="preserve"> </w:t>
      </w:r>
      <w:r w:rsidR="00CF0FC8">
        <w:rPr>
          <w:rFonts w:eastAsia="Times New Roman"/>
          <w:sz w:val="20"/>
          <w:lang w:eastAsia="sl-SI" w:bidi="sl-SI"/>
        </w:rPr>
        <w:t>9</w:t>
      </w:r>
      <w:r>
        <w:rPr>
          <w:rFonts w:eastAsia="Times New Roman"/>
          <w:sz w:val="20"/>
          <w:lang w:eastAsia="sl-SI" w:bidi="sl-SI"/>
        </w:rPr>
        <w:t>)</w:t>
      </w:r>
      <w:r w:rsidRPr="00D31B31">
        <w:rPr>
          <w:rFonts w:eastAsia="Times New Roman"/>
          <w:sz w:val="20"/>
          <w:lang w:eastAsia="sl-SI" w:bidi="sl-SI"/>
        </w:rPr>
        <w:t>. Te preglede izvajajo veterinarji koncesionarji in pridobljene informacije vnesejo v centralni informacijski sistem (VOLOS). V letu 2019 so razširili nabor informacij, ki jih v zvezi s krajšanjem repov prašičem pr</w:t>
      </w:r>
      <w:r>
        <w:rPr>
          <w:rFonts w:eastAsia="Times New Roman"/>
          <w:sz w:val="20"/>
          <w:lang w:eastAsia="sl-SI" w:bidi="sl-SI"/>
        </w:rPr>
        <w:t>i</w:t>
      </w:r>
      <w:r w:rsidRPr="00D31B31">
        <w:rPr>
          <w:rFonts w:eastAsia="Times New Roman"/>
          <w:sz w:val="20"/>
          <w:lang w:eastAsia="sl-SI" w:bidi="sl-SI"/>
        </w:rPr>
        <w:t>dobi veterinar koncesionar in posreduje.</w:t>
      </w:r>
    </w:p>
    <w:p w14:paraId="64AA49E9" w14:textId="77777777" w:rsidR="005269E9" w:rsidRDefault="005269E9" w:rsidP="007E1E59">
      <w:pPr>
        <w:spacing w:before="120" w:after="0" w:line="240" w:lineRule="auto"/>
        <w:jc w:val="both"/>
        <w:rPr>
          <w:rFonts w:eastAsia="Times New Roman"/>
          <w:sz w:val="20"/>
          <w:lang w:eastAsia="sl-SI" w:bidi="sl-SI"/>
        </w:rPr>
      </w:pPr>
    </w:p>
    <w:p w14:paraId="73E24CED" w14:textId="77777777" w:rsidR="005269E9" w:rsidRDefault="005269E9" w:rsidP="007E1E59">
      <w:pPr>
        <w:spacing w:before="120" w:after="0" w:line="240" w:lineRule="auto"/>
        <w:jc w:val="both"/>
        <w:rPr>
          <w:rFonts w:eastAsia="Times New Roman"/>
          <w:sz w:val="20"/>
          <w:lang w:eastAsia="sl-SI" w:bidi="sl-SI"/>
        </w:rPr>
      </w:pPr>
    </w:p>
    <w:p w14:paraId="4BAE25C5" w14:textId="77777777" w:rsidR="005269E9" w:rsidRDefault="005269E9" w:rsidP="007E1E59">
      <w:pPr>
        <w:spacing w:before="120" w:after="0" w:line="240" w:lineRule="auto"/>
        <w:jc w:val="both"/>
        <w:rPr>
          <w:rFonts w:eastAsia="Times New Roman"/>
          <w:sz w:val="20"/>
          <w:lang w:eastAsia="sl-SI" w:bidi="sl-SI"/>
        </w:rPr>
      </w:pPr>
    </w:p>
    <w:p w14:paraId="72EBD233" w14:textId="77777777" w:rsidR="005269E9" w:rsidRDefault="005269E9" w:rsidP="007E1E59">
      <w:pPr>
        <w:spacing w:before="120" w:after="0" w:line="240" w:lineRule="auto"/>
        <w:jc w:val="both"/>
        <w:rPr>
          <w:rFonts w:eastAsia="Times New Roman"/>
          <w:sz w:val="20"/>
          <w:lang w:eastAsia="sl-SI" w:bidi="sl-SI"/>
        </w:rPr>
      </w:pPr>
    </w:p>
    <w:p w14:paraId="39411BB0" w14:textId="5BEBF459" w:rsidR="00CA6808" w:rsidRPr="006A09AF" w:rsidRDefault="00237DB1" w:rsidP="00237DB1">
      <w:pPr>
        <w:pStyle w:val="Napis"/>
        <w:jc w:val="both"/>
        <w:rPr>
          <w:sz w:val="20"/>
          <w:szCs w:val="20"/>
          <w:vertAlign w:val="superscript"/>
        </w:rPr>
      </w:pPr>
      <w:bookmarkStart w:id="90" w:name="_Toc55484831"/>
      <w:r w:rsidRPr="006A09AF">
        <w:rPr>
          <w:sz w:val="20"/>
          <w:szCs w:val="20"/>
        </w:rPr>
        <w:lastRenderedPageBreak/>
        <w:t xml:space="preserve">Tabela </w:t>
      </w:r>
      <w:r w:rsidR="004270C0" w:rsidRPr="006A09AF">
        <w:rPr>
          <w:sz w:val="20"/>
          <w:szCs w:val="20"/>
        </w:rPr>
        <w:fldChar w:fldCharType="begin"/>
      </w:r>
      <w:r w:rsidR="004270C0" w:rsidRPr="006A09AF">
        <w:rPr>
          <w:sz w:val="20"/>
          <w:szCs w:val="20"/>
        </w:rPr>
        <w:instrText xml:space="preserve"> SEQ Tabela \* ARABIC </w:instrText>
      </w:r>
      <w:r w:rsidR="004270C0" w:rsidRPr="006A09AF">
        <w:rPr>
          <w:sz w:val="20"/>
          <w:szCs w:val="20"/>
        </w:rPr>
        <w:fldChar w:fldCharType="separate"/>
      </w:r>
      <w:r w:rsidR="00CF0FC8" w:rsidRPr="006A09AF">
        <w:rPr>
          <w:noProof/>
          <w:sz w:val="20"/>
          <w:szCs w:val="20"/>
        </w:rPr>
        <w:t>9</w:t>
      </w:r>
      <w:r w:rsidR="004270C0" w:rsidRPr="006A09AF">
        <w:rPr>
          <w:noProof/>
          <w:sz w:val="20"/>
          <w:szCs w:val="20"/>
        </w:rPr>
        <w:fldChar w:fldCharType="end"/>
      </w:r>
      <w:r w:rsidRPr="006A09AF">
        <w:rPr>
          <w:sz w:val="20"/>
          <w:szCs w:val="20"/>
        </w:rPr>
        <w:t>: Ocena deleža prašičev s skrajšanimi repi glede na velikost gospodarstev na podlagi podatkov iz obveznih letnih pregledov gospodarstev v letu 2016</w:t>
      </w:r>
      <w:r w:rsidR="005269E9" w:rsidRPr="006A09AF">
        <w:rPr>
          <w:rStyle w:val="Sprotnaopomba-sklic"/>
        </w:rPr>
        <w:footnoteReference w:id="9"/>
      </w:r>
      <w:bookmarkEnd w:id="90"/>
    </w:p>
    <w:tbl>
      <w:tblPr>
        <w:tblStyle w:val="Tabelamrea3"/>
        <w:tblW w:w="0" w:type="auto"/>
        <w:tblLook w:val="04A0" w:firstRow="1" w:lastRow="0" w:firstColumn="1" w:lastColumn="0" w:noHBand="0" w:noVBand="1"/>
      </w:tblPr>
      <w:tblGrid>
        <w:gridCol w:w="1877"/>
        <w:gridCol w:w="1877"/>
        <w:gridCol w:w="1877"/>
        <w:gridCol w:w="1877"/>
      </w:tblGrid>
      <w:tr w:rsidR="00CA6808" w:rsidRPr="007F41C6" w14:paraId="65549B75" w14:textId="77777777" w:rsidTr="00CF43DE">
        <w:tc>
          <w:tcPr>
            <w:tcW w:w="1877" w:type="dxa"/>
            <w:shd w:val="clear" w:color="auto" w:fill="D9EEF3"/>
          </w:tcPr>
          <w:p w14:paraId="11D01405" w14:textId="77777777" w:rsidR="00CA6808" w:rsidRPr="007F41C6" w:rsidRDefault="00CA6808" w:rsidP="00CA6808">
            <w:pPr>
              <w:rPr>
                <w:rFonts w:eastAsia="Calibri"/>
                <w:sz w:val="20"/>
              </w:rPr>
            </w:pPr>
            <w:r w:rsidRPr="007F41C6">
              <w:rPr>
                <w:rFonts w:eastAsia="Calibri"/>
                <w:sz w:val="20"/>
              </w:rPr>
              <w:t>Velikostni razred (število živali)</w:t>
            </w:r>
          </w:p>
        </w:tc>
        <w:tc>
          <w:tcPr>
            <w:tcW w:w="1877" w:type="dxa"/>
            <w:shd w:val="clear" w:color="auto" w:fill="D9EEF3"/>
          </w:tcPr>
          <w:p w14:paraId="769CB890" w14:textId="77777777" w:rsidR="00CA6808" w:rsidRPr="007F41C6" w:rsidRDefault="00CA6808" w:rsidP="00CA6808">
            <w:pPr>
              <w:rPr>
                <w:rFonts w:eastAsia="Calibri"/>
                <w:sz w:val="20"/>
              </w:rPr>
            </w:pPr>
            <w:r w:rsidRPr="007F41C6">
              <w:rPr>
                <w:rFonts w:eastAsia="Calibri"/>
                <w:sz w:val="20"/>
              </w:rPr>
              <w:t>Delež prašičev s celimi repi (%)</w:t>
            </w:r>
          </w:p>
        </w:tc>
        <w:tc>
          <w:tcPr>
            <w:tcW w:w="1877" w:type="dxa"/>
            <w:shd w:val="clear" w:color="auto" w:fill="D9EEF3"/>
          </w:tcPr>
          <w:p w14:paraId="756167B7" w14:textId="77777777" w:rsidR="00CA6808" w:rsidRPr="007F41C6" w:rsidRDefault="00CA6808" w:rsidP="00CA6808">
            <w:pPr>
              <w:rPr>
                <w:rFonts w:eastAsia="Calibri"/>
                <w:sz w:val="20"/>
              </w:rPr>
            </w:pPr>
            <w:r w:rsidRPr="007F41C6">
              <w:rPr>
                <w:rFonts w:eastAsia="Calibri"/>
                <w:sz w:val="20"/>
              </w:rPr>
              <w:t xml:space="preserve">Delež prašičev s </w:t>
            </w:r>
            <w:proofErr w:type="spellStart"/>
            <w:r w:rsidRPr="007F41C6">
              <w:rPr>
                <w:rFonts w:eastAsia="Calibri"/>
                <w:sz w:val="20"/>
              </w:rPr>
              <w:t>skrajšnimi</w:t>
            </w:r>
            <w:proofErr w:type="spellEnd"/>
            <w:r w:rsidRPr="007F41C6">
              <w:rPr>
                <w:rFonts w:eastAsia="Calibri"/>
                <w:sz w:val="20"/>
              </w:rPr>
              <w:t xml:space="preserve"> repi (%)</w:t>
            </w:r>
          </w:p>
        </w:tc>
        <w:tc>
          <w:tcPr>
            <w:tcW w:w="1877" w:type="dxa"/>
            <w:shd w:val="clear" w:color="auto" w:fill="D9EEF3"/>
          </w:tcPr>
          <w:p w14:paraId="34D4DDFA" w14:textId="77777777" w:rsidR="00CA6808" w:rsidRPr="007F41C6" w:rsidRDefault="00CA6808" w:rsidP="00CA6808">
            <w:pPr>
              <w:rPr>
                <w:rFonts w:eastAsia="Calibri"/>
                <w:sz w:val="20"/>
              </w:rPr>
            </w:pPr>
            <w:r w:rsidRPr="007F41C6">
              <w:rPr>
                <w:rFonts w:eastAsia="Calibri"/>
                <w:sz w:val="20"/>
              </w:rPr>
              <w:t xml:space="preserve">Delež kupljenih prašičev s </w:t>
            </w:r>
            <w:proofErr w:type="spellStart"/>
            <w:r w:rsidRPr="007F41C6">
              <w:rPr>
                <w:rFonts w:eastAsia="Calibri"/>
                <w:sz w:val="20"/>
              </w:rPr>
              <w:t>skrajšnimi</w:t>
            </w:r>
            <w:proofErr w:type="spellEnd"/>
            <w:r w:rsidRPr="007F41C6">
              <w:rPr>
                <w:rFonts w:eastAsia="Calibri"/>
                <w:sz w:val="20"/>
              </w:rPr>
              <w:t xml:space="preserve"> repi (%)</w:t>
            </w:r>
          </w:p>
        </w:tc>
      </w:tr>
      <w:tr w:rsidR="00CA6808" w:rsidRPr="007F41C6" w14:paraId="5F41021B" w14:textId="77777777" w:rsidTr="00CA6808">
        <w:tc>
          <w:tcPr>
            <w:tcW w:w="1877" w:type="dxa"/>
          </w:tcPr>
          <w:p w14:paraId="79DCB6F6" w14:textId="77777777" w:rsidR="00CA6808" w:rsidRPr="007F41C6" w:rsidRDefault="00CA6808" w:rsidP="00CA6808">
            <w:pPr>
              <w:jc w:val="right"/>
              <w:rPr>
                <w:rFonts w:eastAsia="Calibri"/>
                <w:sz w:val="20"/>
              </w:rPr>
            </w:pPr>
            <w:r w:rsidRPr="007F41C6">
              <w:rPr>
                <w:rFonts w:eastAsia="Calibri"/>
                <w:sz w:val="20"/>
              </w:rPr>
              <w:t>&lt; 10</w:t>
            </w:r>
          </w:p>
        </w:tc>
        <w:tc>
          <w:tcPr>
            <w:tcW w:w="1877" w:type="dxa"/>
          </w:tcPr>
          <w:p w14:paraId="2363E4F1" w14:textId="77777777" w:rsidR="00CA6808" w:rsidRPr="007F41C6" w:rsidRDefault="00CA6808" w:rsidP="00CA6808">
            <w:pPr>
              <w:jc w:val="right"/>
              <w:rPr>
                <w:rFonts w:eastAsia="Calibri"/>
                <w:sz w:val="20"/>
              </w:rPr>
            </w:pPr>
            <w:r w:rsidRPr="007F41C6">
              <w:rPr>
                <w:rFonts w:eastAsia="Calibri"/>
                <w:sz w:val="20"/>
              </w:rPr>
              <w:t>60,6</w:t>
            </w:r>
          </w:p>
        </w:tc>
        <w:tc>
          <w:tcPr>
            <w:tcW w:w="1877" w:type="dxa"/>
          </w:tcPr>
          <w:p w14:paraId="4A52C8D8" w14:textId="77777777" w:rsidR="00CA6808" w:rsidRPr="007F41C6" w:rsidRDefault="00CA6808" w:rsidP="00CA6808">
            <w:pPr>
              <w:jc w:val="right"/>
              <w:rPr>
                <w:rFonts w:eastAsia="Calibri"/>
                <w:sz w:val="20"/>
              </w:rPr>
            </w:pPr>
            <w:r w:rsidRPr="007F41C6">
              <w:rPr>
                <w:rFonts w:eastAsia="Calibri"/>
                <w:sz w:val="20"/>
              </w:rPr>
              <w:t>39,4</w:t>
            </w:r>
          </w:p>
        </w:tc>
        <w:tc>
          <w:tcPr>
            <w:tcW w:w="1877" w:type="dxa"/>
          </w:tcPr>
          <w:p w14:paraId="64EFD165" w14:textId="77777777" w:rsidR="00CA6808" w:rsidRPr="007F41C6" w:rsidRDefault="00CA6808" w:rsidP="00CA6808">
            <w:pPr>
              <w:jc w:val="right"/>
              <w:rPr>
                <w:rFonts w:eastAsia="Calibri"/>
                <w:sz w:val="20"/>
              </w:rPr>
            </w:pPr>
            <w:r w:rsidRPr="007F41C6">
              <w:rPr>
                <w:rFonts w:eastAsia="Calibri"/>
                <w:sz w:val="20"/>
              </w:rPr>
              <w:t>94,0</w:t>
            </w:r>
          </w:p>
        </w:tc>
      </w:tr>
      <w:tr w:rsidR="00CA6808" w:rsidRPr="007F41C6" w14:paraId="3D69C14D" w14:textId="77777777" w:rsidTr="00CA6808">
        <w:tc>
          <w:tcPr>
            <w:tcW w:w="1877" w:type="dxa"/>
          </w:tcPr>
          <w:p w14:paraId="5BFAADA8" w14:textId="77777777" w:rsidR="00CA6808" w:rsidRPr="007F41C6" w:rsidRDefault="00CA6808" w:rsidP="00CA6808">
            <w:pPr>
              <w:jc w:val="right"/>
              <w:rPr>
                <w:rFonts w:eastAsia="Calibri"/>
                <w:sz w:val="20"/>
              </w:rPr>
            </w:pPr>
            <w:r w:rsidRPr="007F41C6">
              <w:rPr>
                <w:rFonts w:eastAsia="Calibri"/>
                <w:sz w:val="20"/>
              </w:rPr>
              <w:t>10 do 19</w:t>
            </w:r>
          </w:p>
        </w:tc>
        <w:tc>
          <w:tcPr>
            <w:tcW w:w="1877" w:type="dxa"/>
          </w:tcPr>
          <w:p w14:paraId="3AE4FCCB" w14:textId="77777777" w:rsidR="00CA6808" w:rsidRPr="007F41C6" w:rsidRDefault="00CA6808" w:rsidP="00CA6808">
            <w:pPr>
              <w:jc w:val="right"/>
              <w:rPr>
                <w:rFonts w:eastAsia="Calibri"/>
                <w:sz w:val="20"/>
              </w:rPr>
            </w:pPr>
            <w:r w:rsidRPr="007F41C6">
              <w:rPr>
                <w:rFonts w:eastAsia="Calibri"/>
                <w:sz w:val="20"/>
              </w:rPr>
              <w:t>70,1</w:t>
            </w:r>
          </w:p>
        </w:tc>
        <w:tc>
          <w:tcPr>
            <w:tcW w:w="1877" w:type="dxa"/>
          </w:tcPr>
          <w:p w14:paraId="7DC2CDC3" w14:textId="77777777" w:rsidR="00CA6808" w:rsidRPr="007F41C6" w:rsidRDefault="00CA6808" w:rsidP="00CA6808">
            <w:pPr>
              <w:jc w:val="right"/>
              <w:rPr>
                <w:rFonts w:eastAsia="Calibri"/>
                <w:sz w:val="20"/>
              </w:rPr>
            </w:pPr>
            <w:r w:rsidRPr="007F41C6">
              <w:rPr>
                <w:rFonts w:eastAsia="Calibri"/>
                <w:sz w:val="20"/>
              </w:rPr>
              <w:t>29,9</w:t>
            </w:r>
          </w:p>
        </w:tc>
        <w:tc>
          <w:tcPr>
            <w:tcW w:w="1877" w:type="dxa"/>
          </w:tcPr>
          <w:p w14:paraId="355C9FC3" w14:textId="77777777" w:rsidR="00CA6808" w:rsidRPr="007F41C6" w:rsidRDefault="00CA6808" w:rsidP="00CA6808">
            <w:pPr>
              <w:jc w:val="right"/>
              <w:rPr>
                <w:rFonts w:eastAsia="Calibri"/>
                <w:sz w:val="20"/>
              </w:rPr>
            </w:pPr>
            <w:r w:rsidRPr="007F41C6">
              <w:rPr>
                <w:rFonts w:eastAsia="Calibri"/>
                <w:sz w:val="20"/>
              </w:rPr>
              <w:t>40,8</w:t>
            </w:r>
          </w:p>
        </w:tc>
      </w:tr>
      <w:tr w:rsidR="00CA6808" w:rsidRPr="007F41C6" w14:paraId="6EDF789C" w14:textId="77777777" w:rsidTr="00CA6808">
        <w:tc>
          <w:tcPr>
            <w:tcW w:w="1877" w:type="dxa"/>
          </w:tcPr>
          <w:p w14:paraId="1D296910" w14:textId="77777777" w:rsidR="00CA6808" w:rsidRPr="007F41C6" w:rsidRDefault="00CA6808" w:rsidP="00CA6808">
            <w:pPr>
              <w:jc w:val="right"/>
              <w:rPr>
                <w:rFonts w:eastAsia="Calibri"/>
                <w:sz w:val="20"/>
              </w:rPr>
            </w:pPr>
            <w:r w:rsidRPr="007F41C6">
              <w:rPr>
                <w:rFonts w:eastAsia="Calibri"/>
                <w:sz w:val="20"/>
              </w:rPr>
              <w:t>20 do 49</w:t>
            </w:r>
          </w:p>
        </w:tc>
        <w:tc>
          <w:tcPr>
            <w:tcW w:w="1877" w:type="dxa"/>
          </w:tcPr>
          <w:p w14:paraId="58B0463B" w14:textId="77777777" w:rsidR="00CA6808" w:rsidRPr="007F41C6" w:rsidRDefault="00CA6808" w:rsidP="00CA6808">
            <w:pPr>
              <w:jc w:val="right"/>
              <w:rPr>
                <w:rFonts w:eastAsia="Calibri"/>
                <w:sz w:val="20"/>
              </w:rPr>
            </w:pPr>
            <w:r w:rsidRPr="007F41C6">
              <w:rPr>
                <w:rFonts w:eastAsia="Calibri"/>
                <w:sz w:val="20"/>
              </w:rPr>
              <w:t>59,7</w:t>
            </w:r>
          </w:p>
        </w:tc>
        <w:tc>
          <w:tcPr>
            <w:tcW w:w="1877" w:type="dxa"/>
          </w:tcPr>
          <w:p w14:paraId="7D8320D8" w14:textId="77777777" w:rsidR="00CA6808" w:rsidRPr="007F41C6" w:rsidRDefault="00CA6808" w:rsidP="00CA6808">
            <w:pPr>
              <w:jc w:val="right"/>
              <w:rPr>
                <w:rFonts w:eastAsia="Calibri"/>
                <w:sz w:val="20"/>
              </w:rPr>
            </w:pPr>
            <w:r w:rsidRPr="007F41C6">
              <w:rPr>
                <w:rFonts w:eastAsia="Calibri"/>
                <w:sz w:val="20"/>
              </w:rPr>
              <w:t>40,3</w:t>
            </w:r>
          </w:p>
        </w:tc>
        <w:tc>
          <w:tcPr>
            <w:tcW w:w="1877" w:type="dxa"/>
          </w:tcPr>
          <w:p w14:paraId="2A8FEF63" w14:textId="77777777" w:rsidR="00CA6808" w:rsidRPr="007F41C6" w:rsidRDefault="00CA6808" w:rsidP="00CA6808">
            <w:pPr>
              <w:jc w:val="right"/>
              <w:rPr>
                <w:rFonts w:eastAsia="Calibri"/>
                <w:sz w:val="20"/>
              </w:rPr>
            </w:pPr>
            <w:r w:rsidRPr="007F41C6">
              <w:rPr>
                <w:rFonts w:eastAsia="Calibri"/>
                <w:sz w:val="20"/>
              </w:rPr>
              <w:t>20,1</w:t>
            </w:r>
          </w:p>
        </w:tc>
      </w:tr>
      <w:tr w:rsidR="00CA6808" w:rsidRPr="007F41C6" w14:paraId="6CA62A96" w14:textId="77777777" w:rsidTr="00CA6808">
        <w:tc>
          <w:tcPr>
            <w:tcW w:w="1877" w:type="dxa"/>
          </w:tcPr>
          <w:p w14:paraId="0E22FC19" w14:textId="77777777" w:rsidR="00CA6808" w:rsidRPr="007F41C6" w:rsidRDefault="00CA6808" w:rsidP="00CA6808">
            <w:pPr>
              <w:jc w:val="right"/>
              <w:rPr>
                <w:rFonts w:eastAsia="Calibri"/>
                <w:sz w:val="20"/>
              </w:rPr>
            </w:pPr>
            <w:r w:rsidRPr="007F41C6">
              <w:rPr>
                <w:rFonts w:eastAsia="Calibri"/>
                <w:sz w:val="20"/>
              </w:rPr>
              <w:t>50 do 99</w:t>
            </w:r>
          </w:p>
        </w:tc>
        <w:tc>
          <w:tcPr>
            <w:tcW w:w="1877" w:type="dxa"/>
          </w:tcPr>
          <w:p w14:paraId="6F2E15A2" w14:textId="77777777" w:rsidR="00CA6808" w:rsidRPr="007F41C6" w:rsidRDefault="00CA6808" w:rsidP="00CA6808">
            <w:pPr>
              <w:jc w:val="right"/>
              <w:rPr>
                <w:rFonts w:eastAsia="Calibri"/>
                <w:sz w:val="20"/>
              </w:rPr>
            </w:pPr>
            <w:r w:rsidRPr="007F41C6">
              <w:rPr>
                <w:rFonts w:eastAsia="Calibri"/>
                <w:sz w:val="20"/>
              </w:rPr>
              <w:t>45,8</w:t>
            </w:r>
          </w:p>
        </w:tc>
        <w:tc>
          <w:tcPr>
            <w:tcW w:w="1877" w:type="dxa"/>
          </w:tcPr>
          <w:p w14:paraId="5600DDCA" w14:textId="77777777" w:rsidR="00CA6808" w:rsidRPr="007F41C6" w:rsidRDefault="00CA6808" w:rsidP="00CA6808">
            <w:pPr>
              <w:jc w:val="right"/>
              <w:rPr>
                <w:rFonts w:eastAsia="Calibri"/>
                <w:sz w:val="20"/>
              </w:rPr>
            </w:pPr>
            <w:r w:rsidRPr="007F41C6">
              <w:rPr>
                <w:rFonts w:eastAsia="Calibri"/>
                <w:sz w:val="20"/>
              </w:rPr>
              <w:t>54,2</w:t>
            </w:r>
          </w:p>
        </w:tc>
        <w:tc>
          <w:tcPr>
            <w:tcW w:w="1877" w:type="dxa"/>
          </w:tcPr>
          <w:p w14:paraId="7A49649F" w14:textId="77777777" w:rsidR="00CA6808" w:rsidRPr="007F41C6" w:rsidRDefault="00CA6808" w:rsidP="00CA6808">
            <w:pPr>
              <w:jc w:val="right"/>
              <w:rPr>
                <w:rFonts w:eastAsia="Calibri"/>
                <w:sz w:val="20"/>
              </w:rPr>
            </w:pPr>
            <w:r w:rsidRPr="007F41C6">
              <w:rPr>
                <w:rFonts w:eastAsia="Calibri"/>
                <w:sz w:val="20"/>
              </w:rPr>
              <w:t>11,5</w:t>
            </w:r>
          </w:p>
        </w:tc>
      </w:tr>
      <w:tr w:rsidR="00CA6808" w:rsidRPr="007F41C6" w14:paraId="4FF37D57" w14:textId="77777777" w:rsidTr="00CA6808">
        <w:tc>
          <w:tcPr>
            <w:tcW w:w="1877" w:type="dxa"/>
          </w:tcPr>
          <w:p w14:paraId="3DBC9C07" w14:textId="77777777" w:rsidR="00CA6808" w:rsidRPr="007F41C6" w:rsidRDefault="00CA6808" w:rsidP="00CA6808">
            <w:pPr>
              <w:jc w:val="right"/>
              <w:rPr>
                <w:rFonts w:eastAsia="Calibri"/>
                <w:sz w:val="20"/>
              </w:rPr>
            </w:pPr>
            <w:r w:rsidRPr="007F41C6">
              <w:rPr>
                <w:rFonts w:eastAsia="Calibri"/>
                <w:sz w:val="20"/>
              </w:rPr>
              <w:t>100 do 199</w:t>
            </w:r>
          </w:p>
        </w:tc>
        <w:tc>
          <w:tcPr>
            <w:tcW w:w="1877" w:type="dxa"/>
          </w:tcPr>
          <w:p w14:paraId="07BA82CD" w14:textId="77777777" w:rsidR="00CA6808" w:rsidRPr="007F41C6" w:rsidRDefault="00CA6808" w:rsidP="00CA6808">
            <w:pPr>
              <w:jc w:val="right"/>
              <w:rPr>
                <w:rFonts w:eastAsia="Calibri"/>
                <w:sz w:val="20"/>
              </w:rPr>
            </w:pPr>
            <w:r w:rsidRPr="007F41C6">
              <w:rPr>
                <w:rFonts w:eastAsia="Calibri"/>
                <w:sz w:val="20"/>
              </w:rPr>
              <w:t>21,6</w:t>
            </w:r>
          </w:p>
        </w:tc>
        <w:tc>
          <w:tcPr>
            <w:tcW w:w="1877" w:type="dxa"/>
          </w:tcPr>
          <w:p w14:paraId="1938A62D" w14:textId="77777777" w:rsidR="00CA6808" w:rsidRPr="007F41C6" w:rsidRDefault="00CA6808" w:rsidP="00CA6808">
            <w:pPr>
              <w:jc w:val="right"/>
              <w:rPr>
                <w:rFonts w:eastAsia="Calibri"/>
                <w:sz w:val="20"/>
              </w:rPr>
            </w:pPr>
            <w:r w:rsidRPr="007F41C6">
              <w:rPr>
                <w:rFonts w:eastAsia="Calibri"/>
                <w:sz w:val="20"/>
              </w:rPr>
              <w:t>78,4</w:t>
            </w:r>
          </w:p>
        </w:tc>
        <w:tc>
          <w:tcPr>
            <w:tcW w:w="1877" w:type="dxa"/>
          </w:tcPr>
          <w:p w14:paraId="2D4BCC90" w14:textId="77777777" w:rsidR="00CA6808" w:rsidRPr="007F41C6" w:rsidRDefault="00CA6808" w:rsidP="00CA6808">
            <w:pPr>
              <w:jc w:val="right"/>
              <w:rPr>
                <w:rFonts w:eastAsia="Calibri"/>
                <w:sz w:val="20"/>
              </w:rPr>
            </w:pPr>
            <w:r w:rsidRPr="007F41C6">
              <w:rPr>
                <w:rFonts w:eastAsia="Calibri"/>
                <w:sz w:val="20"/>
              </w:rPr>
              <w:t>19,9</w:t>
            </w:r>
          </w:p>
        </w:tc>
      </w:tr>
      <w:tr w:rsidR="00CA6808" w:rsidRPr="007F41C6" w14:paraId="2C7ACE1C" w14:textId="77777777" w:rsidTr="00CA6808">
        <w:tc>
          <w:tcPr>
            <w:tcW w:w="1877" w:type="dxa"/>
          </w:tcPr>
          <w:p w14:paraId="4B1C41F4" w14:textId="77777777" w:rsidR="00CA6808" w:rsidRPr="007F41C6" w:rsidRDefault="00CA6808" w:rsidP="00CA6808">
            <w:pPr>
              <w:jc w:val="right"/>
              <w:rPr>
                <w:rFonts w:eastAsia="Calibri"/>
                <w:sz w:val="20"/>
              </w:rPr>
            </w:pPr>
            <w:r w:rsidRPr="007F41C6">
              <w:rPr>
                <w:rFonts w:eastAsia="Calibri"/>
                <w:sz w:val="20"/>
              </w:rPr>
              <w:t>200 do 399</w:t>
            </w:r>
          </w:p>
        </w:tc>
        <w:tc>
          <w:tcPr>
            <w:tcW w:w="1877" w:type="dxa"/>
          </w:tcPr>
          <w:p w14:paraId="161B1532" w14:textId="77777777" w:rsidR="00CA6808" w:rsidRPr="007F41C6" w:rsidRDefault="00CA6808" w:rsidP="00CA6808">
            <w:pPr>
              <w:jc w:val="right"/>
              <w:rPr>
                <w:rFonts w:eastAsia="Calibri"/>
                <w:sz w:val="20"/>
              </w:rPr>
            </w:pPr>
            <w:r w:rsidRPr="007F41C6">
              <w:rPr>
                <w:rFonts w:eastAsia="Calibri"/>
                <w:sz w:val="20"/>
              </w:rPr>
              <w:t>12,9</w:t>
            </w:r>
          </w:p>
        </w:tc>
        <w:tc>
          <w:tcPr>
            <w:tcW w:w="1877" w:type="dxa"/>
          </w:tcPr>
          <w:p w14:paraId="2808D3B1" w14:textId="77777777" w:rsidR="00CA6808" w:rsidRPr="007F41C6" w:rsidRDefault="00CA6808" w:rsidP="00CA6808">
            <w:pPr>
              <w:jc w:val="right"/>
              <w:rPr>
                <w:rFonts w:eastAsia="Calibri"/>
                <w:sz w:val="20"/>
              </w:rPr>
            </w:pPr>
            <w:r w:rsidRPr="007F41C6">
              <w:rPr>
                <w:rFonts w:eastAsia="Calibri"/>
                <w:sz w:val="20"/>
              </w:rPr>
              <w:t>87,1</w:t>
            </w:r>
          </w:p>
        </w:tc>
        <w:tc>
          <w:tcPr>
            <w:tcW w:w="1877" w:type="dxa"/>
          </w:tcPr>
          <w:p w14:paraId="75ADED70" w14:textId="77777777" w:rsidR="00CA6808" w:rsidRPr="007F41C6" w:rsidRDefault="00CA6808" w:rsidP="00CA6808">
            <w:pPr>
              <w:jc w:val="right"/>
              <w:rPr>
                <w:rFonts w:eastAsia="Calibri"/>
                <w:sz w:val="20"/>
              </w:rPr>
            </w:pPr>
            <w:r w:rsidRPr="007F41C6">
              <w:rPr>
                <w:rFonts w:eastAsia="Calibri"/>
                <w:sz w:val="20"/>
              </w:rPr>
              <w:t>30,8</w:t>
            </w:r>
          </w:p>
        </w:tc>
      </w:tr>
      <w:tr w:rsidR="00CA6808" w:rsidRPr="007F41C6" w14:paraId="6FB330EE" w14:textId="77777777" w:rsidTr="00CA6808">
        <w:tc>
          <w:tcPr>
            <w:tcW w:w="1877" w:type="dxa"/>
          </w:tcPr>
          <w:p w14:paraId="7E41DBB7" w14:textId="77777777" w:rsidR="00CA6808" w:rsidRPr="007F41C6" w:rsidRDefault="00CA6808" w:rsidP="00CA6808">
            <w:pPr>
              <w:jc w:val="right"/>
              <w:rPr>
                <w:rFonts w:eastAsia="Calibri"/>
                <w:sz w:val="20"/>
              </w:rPr>
            </w:pPr>
            <w:r w:rsidRPr="007F41C6">
              <w:rPr>
                <w:rFonts w:eastAsia="Calibri"/>
                <w:sz w:val="20"/>
              </w:rPr>
              <w:t>400 in več</w:t>
            </w:r>
          </w:p>
        </w:tc>
        <w:tc>
          <w:tcPr>
            <w:tcW w:w="1877" w:type="dxa"/>
          </w:tcPr>
          <w:p w14:paraId="3F96E9A0" w14:textId="77777777" w:rsidR="00CA6808" w:rsidRPr="007F41C6" w:rsidRDefault="00CA6808" w:rsidP="00CA6808">
            <w:pPr>
              <w:jc w:val="right"/>
              <w:rPr>
                <w:rFonts w:eastAsia="Calibri"/>
                <w:sz w:val="20"/>
              </w:rPr>
            </w:pPr>
            <w:r w:rsidRPr="007F41C6">
              <w:rPr>
                <w:rFonts w:eastAsia="Calibri"/>
                <w:sz w:val="20"/>
              </w:rPr>
              <w:t>8,7</w:t>
            </w:r>
          </w:p>
        </w:tc>
        <w:tc>
          <w:tcPr>
            <w:tcW w:w="1877" w:type="dxa"/>
          </w:tcPr>
          <w:p w14:paraId="1B8D7991" w14:textId="77777777" w:rsidR="00CA6808" w:rsidRPr="007F41C6" w:rsidRDefault="00CA6808" w:rsidP="00CA6808">
            <w:pPr>
              <w:jc w:val="right"/>
              <w:rPr>
                <w:rFonts w:eastAsia="Calibri"/>
                <w:sz w:val="20"/>
              </w:rPr>
            </w:pPr>
            <w:r w:rsidRPr="007F41C6">
              <w:rPr>
                <w:rFonts w:eastAsia="Calibri"/>
                <w:sz w:val="20"/>
              </w:rPr>
              <w:t>91,3</w:t>
            </w:r>
          </w:p>
        </w:tc>
        <w:tc>
          <w:tcPr>
            <w:tcW w:w="1877" w:type="dxa"/>
          </w:tcPr>
          <w:p w14:paraId="1D7D6C5F" w14:textId="77777777" w:rsidR="00CA6808" w:rsidRPr="007F41C6" w:rsidRDefault="00CA6808" w:rsidP="00CA6808">
            <w:pPr>
              <w:jc w:val="right"/>
              <w:rPr>
                <w:rFonts w:eastAsia="Calibri"/>
                <w:sz w:val="20"/>
              </w:rPr>
            </w:pPr>
            <w:r w:rsidRPr="007F41C6">
              <w:rPr>
                <w:rFonts w:eastAsia="Calibri"/>
                <w:sz w:val="20"/>
              </w:rPr>
              <w:t>32,1</w:t>
            </w:r>
          </w:p>
        </w:tc>
      </w:tr>
    </w:tbl>
    <w:p w14:paraId="4869120C" w14:textId="77777777" w:rsidR="00CA6808" w:rsidRPr="00237DB1" w:rsidRDefault="00CA6808" w:rsidP="00CA6808">
      <w:pPr>
        <w:spacing w:before="120" w:after="0" w:line="240" w:lineRule="auto"/>
        <w:jc w:val="both"/>
        <w:rPr>
          <w:rFonts w:eastAsia="Times New Roman"/>
          <w:i/>
          <w:sz w:val="16"/>
          <w:szCs w:val="16"/>
          <w:lang w:eastAsia="sl-SI" w:bidi="sl-SI"/>
        </w:rPr>
      </w:pPr>
      <w:r w:rsidRPr="00237DB1">
        <w:rPr>
          <w:rFonts w:eastAsia="Times New Roman"/>
          <w:i/>
          <w:sz w:val="16"/>
          <w:szCs w:val="16"/>
          <w:lang w:eastAsia="sl-SI" w:bidi="sl-SI"/>
        </w:rPr>
        <w:t>Vir: UVHVVR, Letni pregledi gospodarstev 2016</w:t>
      </w:r>
    </w:p>
    <w:p w14:paraId="01E62C4E"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Poleg uradnega nadzora, ki ga pristojni organi izvajajo skladno z večletnim načrtom Slovenije, je potrebno z različnimi ukrepi ozavestiti rejce, jim predstaviti dobre prakse reje prašičev s celimi repi, jih poučiti o dejavnikih tveganja za pojav grizenja repov, jih naučiti, kako prepoznati dejavnike tveganja v svoji reji, ter jih opremiti za ukrepe ob morebitnem izbruhu grizenja repov. </w:t>
      </w:r>
    </w:p>
    <w:p w14:paraId="763E6CEC"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Ker se </w:t>
      </w:r>
      <w:r>
        <w:rPr>
          <w:rFonts w:eastAsia="Times New Roman"/>
          <w:sz w:val="20"/>
          <w:lang w:eastAsia="sl-SI" w:bidi="sl-SI"/>
        </w:rPr>
        <w:t>zavedamo</w:t>
      </w:r>
      <w:r w:rsidRPr="00D31B31">
        <w:rPr>
          <w:rFonts w:eastAsia="Times New Roman"/>
          <w:sz w:val="20"/>
          <w:lang w:eastAsia="sl-SI" w:bidi="sl-SI"/>
        </w:rPr>
        <w:t xml:space="preserve">, da je dosego ciljev potrebno zagotoviti zadostne vire ter politično predanost tem ciljem, </w:t>
      </w:r>
      <w:r>
        <w:rPr>
          <w:rFonts w:eastAsia="Times New Roman"/>
          <w:sz w:val="20"/>
          <w:lang w:eastAsia="sl-SI" w:bidi="sl-SI"/>
        </w:rPr>
        <w:t xml:space="preserve">smo </w:t>
      </w:r>
      <w:r w:rsidRPr="00D31B31">
        <w:rPr>
          <w:rFonts w:eastAsia="Times New Roman"/>
          <w:sz w:val="20"/>
          <w:lang w:eastAsia="sl-SI" w:bidi="sl-SI"/>
        </w:rPr>
        <w:t>v letu 2018 namenil</w:t>
      </w:r>
      <w:r>
        <w:rPr>
          <w:rFonts w:eastAsia="Times New Roman"/>
          <w:sz w:val="20"/>
          <w:lang w:eastAsia="sl-SI" w:bidi="sl-SI"/>
        </w:rPr>
        <w:t>i</w:t>
      </w:r>
      <w:r w:rsidRPr="00D31B31">
        <w:rPr>
          <w:rFonts w:eastAsia="Times New Roman"/>
          <w:sz w:val="20"/>
          <w:lang w:eastAsia="sl-SI" w:bidi="sl-SI"/>
        </w:rPr>
        <w:t xml:space="preserve"> finančna sredstva za raziskave in razvoj v obliki financiranja ciljno</w:t>
      </w:r>
      <w:r>
        <w:rPr>
          <w:rFonts w:eastAsia="Times New Roman"/>
          <w:sz w:val="20"/>
          <w:lang w:eastAsia="sl-SI" w:bidi="sl-SI"/>
        </w:rPr>
        <w:t>-</w:t>
      </w:r>
      <w:r w:rsidRPr="00D31B31">
        <w:rPr>
          <w:rFonts w:eastAsia="Times New Roman"/>
          <w:sz w:val="20"/>
          <w:lang w:eastAsia="sl-SI" w:bidi="sl-SI"/>
        </w:rPr>
        <w:t xml:space="preserve">raziskovalnega projekta CRP V4-1718 Tehnološke rešitve za izboljšanje dobrega počutja </w:t>
      </w:r>
      <w:proofErr w:type="spellStart"/>
      <w:r w:rsidRPr="00D31B31">
        <w:rPr>
          <w:rFonts w:eastAsia="Times New Roman"/>
          <w:sz w:val="20"/>
          <w:lang w:eastAsia="sl-SI" w:bidi="sl-SI"/>
        </w:rPr>
        <w:t>rejnih</w:t>
      </w:r>
      <w:proofErr w:type="spellEnd"/>
      <w:r w:rsidRPr="00D31B31">
        <w:rPr>
          <w:rFonts w:eastAsia="Times New Roman"/>
          <w:sz w:val="20"/>
          <w:lang w:eastAsia="sl-SI" w:bidi="sl-SI"/>
        </w:rPr>
        <w:t xml:space="preserve"> živali v perutninarstvu in prašičereji</w:t>
      </w:r>
      <w:r w:rsidRPr="00D31B31">
        <w:rPr>
          <w:rFonts w:eastAsia="Times New Roman"/>
          <w:sz w:val="20"/>
          <w:vertAlign w:val="superscript"/>
          <w:lang w:eastAsia="sl-SI" w:bidi="sl-SI"/>
        </w:rPr>
        <w:footnoteReference w:id="10"/>
      </w:r>
      <w:r w:rsidRPr="00D31B31">
        <w:rPr>
          <w:rFonts w:eastAsia="Times New Roman"/>
          <w:sz w:val="20"/>
          <w:lang w:eastAsia="sl-SI" w:bidi="sl-SI"/>
        </w:rPr>
        <w:t xml:space="preserve">. Eden izmed pomembnih ciljev projekta je analiza kazalnikov za oceno tveganja pojava grizenja repov in razvoj orodja za pomoč rejcem pri oceni tveganja za pojav grizenja repov. </w:t>
      </w:r>
    </w:p>
    <w:p w14:paraId="53E5899B" w14:textId="77777777" w:rsidR="00CA6808" w:rsidRPr="00D31B31" w:rsidRDefault="00CA6808" w:rsidP="00CA6808">
      <w:pPr>
        <w:spacing w:before="120" w:after="0" w:line="240" w:lineRule="auto"/>
        <w:jc w:val="both"/>
        <w:rPr>
          <w:rFonts w:eastAsia="Times New Roman"/>
          <w:sz w:val="20"/>
          <w:u w:val="single"/>
          <w:lang w:eastAsia="sl-SI" w:bidi="sl-SI"/>
        </w:rPr>
      </w:pPr>
      <w:r w:rsidRPr="00D31B31">
        <w:rPr>
          <w:rFonts w:eastAsia="Times New Roman"/>
          <w:sz w:val="20"/>
          <w:u w:val="single"/>
          <w:lang w:eastAsia="sl-SI" w:bidi="sl-SI"/>
        </w:rPr>
        <w:t>Kokoši nesnice in pitovni piščanci</w:t>
      </w:r>
    </w:p>
    <w:p w14:paraId="27DCD10F" w14:textId="46080C05"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Poročila EFSA-e in </w:t>
      </w:r>
      <w:r w:rsidRPr="00FA1A57">
        <w:rPr>
          <w:rFonts w:eastAsia="Times New Roman"/>
          <w:sz w:val="20"/>
          <w:lang w:eastAsia="sl-SI" w:bidi="sl-SI"/>
        </w:rPr>
        <w:t xml:space="preserve">Farm </w:t>
      </w:r>
      <w:proofErr w:type="spellStart"/>
      <w:r w:rsidRPr="00FA1A57">
        <w:rPr>
          <w:rFonts w:eastAsia="Times New Roman"/>
          <w:sz w:val="20"/>
          <w:lang w:eastAsia="sl-SI" w:bidi="sl-SI"/>
        </w:rPr>
        <w:t>Animal</w:t>
      </w:r>
      <w:proofErr w:type="spellEnd"/>
      <w:r w:rsidRPr="00FA1A57">
        <w:rPr>
          <w:rFonts w:eastAsia="Times New Roman"/>
          <w:sz w:val="20"/>
          <w:lang w:eastAsia="sl-SI" w:bidi="sl-SI"/>
        </w:rPr>
        <w:t xml:space="preserve"> </w:t>
      </w:r>
      <w:proofErr w:type="spellStart"/>
      <w:r w:rsidRPr="00FA1A57">
        <w:rPr>
          <w:rFonts w:eastAsia="Times New Roman"/>
          <w:sz w:val="20"/>
          <w:lang w:eastAsia="sl-SI" w:bidi="sl-SI"/>
        </w:rPr>
        <w:t>Welfare</w:t>
      </w:r>
      <w:proofErr w:type="spellEnd"/>
      <w:r w:rsidRPr="00FA1A57">
        <w:rPr>
          <w:rFonts w:eastAsia="Times New Roman"/>
          <w:sz w:val="20"/>
          <w:lang w:eastAsia="sl-SI" w:bidi="sl-SI"/>
        </w:rPr>
        <w:t xml:space="preserve"> </w:t>
      </w:r>
      <w:proofErr w:type="spellStart"/>
      <w:r w:rsidRPr="00FA1A57">
        <w:rPr>
          <w:rFonts w:eastAsia="Times New Roman"/>
          <w:sz w:val="20"/>
          <w:lang w:eastAsia="sl-SI" w:bidi="sl-SI"/>
        </w:rPr>
        <w:t>Committee</w:t>
      </w:r>
      <w:proofErr w:type="spellEnd"/>
      <w:r w:rsidRPr="00FA1A57">
        <w:rPr>
          <w:rFonts w:eastAsia="Times New Roman"/>
          <w:sz w:val="20"/>
          <w:lang w:eastAsia="sl-SI" w:bidi="sl-SI"/>
        </w:rPr>
        <w:t xml:space="preserve"> (FAWC)</w:t>
      </w:r>
      <w:r>
        <w:rPr>
          <w:rStyle w:val="Sprotnaopomba-sklic"/>
          <w:rFonts w:eastAsia="Times New Roman"/>
          <w:lang w:eastAsia="sl-SI" w:bidi="sl-SI"/>
        </w:rPr>
        <w:footnoteReference w:id="11"/>
      </w:r>
      <w:r w:rsidRPr="00D31B31">
        <w:rPr>
          <w:rFonts w:eastAsia="Times New Roman"/>
          <w:sz w:val="20"/>
          <w:lang w:eastAsia="sl-SI" w:bidi="sl-SI"/>
        </w:rPr>
        <w:t xml:space="preserve"> izpostavljajo poškodbe grodnic in poškodbe nog, kamor pri piščancih predvsem spadajo podplatni žulji, vnetja sklepov in prsni žulji pri kokoših nesnicah kot enega od ključnih problemov dobrobiti v vseh sistemih rej, tako intenzivnih kot tudi tistih manj intenzivnih.</w:t>
      </w:r>
    </w:p>
    <w:p w14:paraId="5D4CE671" w14:textId="6863CF63"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V reji kokoši nesnic predstavljata veliko težavo z vidika počutja živali in ekonomike reje tudi kljuvanje perja in kanibalizem.  </w:t>
      </w:r>
    </w:p>
    <w:p w14:paraId="6A316D84" w14:textId="77777777" w:rsidR="00CA6808" w:rsidRPr="00D31B31" w:rsidRDefault="00CA6808" w:rsidP="00CA6808">
      <w:pPr>
        <w:spacing w:before="120" w:after="0" w:line="240" w:lineRule="auto"/>
        <w:jc w:val="both"/>
        <w:rPr>
          <w:rFonts w:eastAsia="Times New Roman"/>
          <w:sz w:val="20"/>
          <w:lang w:eastAsia="sl-SI" w:bidi="sl-SI"/>
        </w:rPr>
      </w:pPr>
      <w:r>
        <w:rPr>
          <w:rFonts w:eastAsia="Times New Roman"/>
          <w:sz w:val="20"/>
          <w:lang w:eastAsia="sl-SI" w:bidi="sl-SI"/>
        </w:rPr>
        <w:t xml:space="preserve">V </w:t>
      </w:r>
      <w:r w:rsidRPr="00D31B31">
        <w:rPr>
          <w:rFonts w:eastAsia="Times New Roman"/>
          <w:sz w:val="20"/>
          <w:lang w:eastAsia="sl-SI" w:bidi="sl-SI"/>
        </w:rPr>
        <w:t>projekt</w:t>
      </w:r>
      <w:r>
        <w:rPr>
          <w:rFonts w:eastAsia="Times New Roman"/>
          <w:sz w:val="20"/>
          <w:lang w:eastAsia="sl-SI" w:bidi="sl-SI"/>
        </w:rPr>
        <w:t>u</w:t>
      </w:r>
      <w:r w:rsidRPr="00D31B31">
        <w:rPr>
          <w:rFonts w:eastAsia="Times New Roman"/>
          <w:sz w:val="20"/>
          <w:lang w:eastAsia="sl-SI" w:bidi="sl-SI"/>
        </w:rPr>
        <w:t xml:space="preserve"> </w:t>
      </w:r>
      <w:r w:rsidRPr="00D31B31">
        <w:rPr>
          <w:rFonts w:eastAsia="Times New Roman"/>
          <w:bCs/>
          <w:sz w:val="20"/>
          <w:lang w:eastAsia="sl-SI" w:bidi="sl-SI"/>
        </w:rPr>
        <w:t>CRP V4-1604 Dobrobit v povezavi z zdravstvenim varstvom perutnine ter prašičev v konvencionalnih in alternativnih sistemih rej</w:t>
      </w:r>
      <w:r w:rsidRPr="00D31B31">
        <w:rPr>
          <w:rFonts w:eastAsia="Times New Roman"/>
          <w:bCs/>
          <w:sz w:val="20"/>
          <w:vertAlign w:val="superscript"/>
          <w:lang w:eastAsia="sl-SI" w:bidi="sl-SI"/>
        </w:rPr>
        <w:footnoteReference w:id="12"/>
      </w:r>
      <w:r w:rsidRPr="00D31B31">
        <w:rPr>
          <w:rFonts w:eastAsia="Times New Roman"/>
          <w:bCs/>
          <w:sz w:val="20"/>
          <w:lang w:eastAsia="sl-SI" w:bidi="sl-SI"/>
        </w:rPr>
        <w:t xml:space="preserve"> je bilo ugotovljeno, da so poškodbe grodnice pri kokoših nesnicah pomemben problem, ne glede na sistem reje in da je le-ta povezan s čustvenim stanjem posamezne živali. Namen projekta je bil med drugim tudi ugotoviti vpliv nanosa različnih </w:t>
      </w:r>
      <w:proofErr w:type="spellStart"/>
      <w:r w:rsidRPr="00D31B31">
        <w:rPr>
          <w:rFonts w:eastAsia="Times New Roman"/>
          <w:bCs/>
          <w:sz w:val="20"/>
          <w:lang w:eastAsia="sl-SI" w:bidi="sl-SI"/>
        </w:rPr>
        <w:t>repelentov</w:t>
      </w:r>
      <w:proofErr w:type="spellEnd"/>
      <w:r w:rsidRPr="00D31B31">
        <w:rPr>
          <w:rFonts w:eastAsia="Times New Roman"/>
          <w:bCs/>
          <w:sz w:val="20"/>
          <w:lang w:eastAsia="sl-SI" w:bidi="sl-SI"/>
        </w:rPr>
        <w:t xml:space="preserve"> na </w:t>
      </w:r>
      <w:proofErr w:type="spellStart"/>
      <w:r w:rsidRPr="00D31B31">
        <w:rPr>
          <w:rFonts w:eastAsia="Times New Roman"/>
          <w:bCs/>
          <w:sz w:val="20"/>
          <w:lang w:eastAsia="sl-SI" w:bidi="sl-SI"/>
        </w:rPr>
        <w:t>operjenost</w:t>
      </w:r>
      <w:proofErr w:type="spellEnd"/>
      <w:r w:rsidRPr="00D31B31">
        <w:rPr>
          <w:rFonts w:eastAsia="Times New Roman"/>
          <w:bCs/>
          <w:sz w:val="20"/>
          <w:lang w:eastAsia="sl-SI" w:bidi="sl-SI"/>
        </w:rPr>
        <w:t xml:space="preserve">, obnašanje in proizvodne lastnosti kokoši nesnic. </w:t>
      </w:r>
      <w:r>
        <w:rPr>
          <w:rFonts w:eastAsia="Times New Roman"/>
          <w:bCs/>
          <w:sz w:val="20"/>
          <w:lang w:eastAsia="sl-SI" w:bidi="sl-SI"/>
        </w:rPr>
        <w:t>Preskušena</w:t>
      </w:r>
      <w:r w:rsidRPr="00D31B31">
        <w:rPr>
          <w:rFonts w:eastAsia="Times New Roman"/>
          <w:bCs/>
          <w:sz w:val="20"/>
          <w:lang w:eastAsia="sl-SI" w:bidi="sl-SI"/>
        </w:rPr>
        <w:t xml:space="preserve"> sta bila </w:t>
      </w:r>
      <w:proofErr w:type="spellStart"/>
      <w:r w:rsidRPr="00D31B31">
        <w:rPr>
          <w:rFonts w:eastAsia="Times New Roman"/>
          <w:bCs/>
          <w:sz w:val="20"/>
          <w:lang w:eastAsia="sl-SI" w:bidi="sl-SI"/>
        </w:rPr>
        <w:t>repelenta</w:t>
      </w:r>
      <w:proofErr w:type="spellEnd"/>
      <w:r w:rsidRPr="00D31B31">
        <w:rPr>
          <w:rFonts w:eastAsia="Times New Roman"/>
          <w:bCs/>
          <w:sz w:val="20"/>
          <w:lang w:eastAsia="sl-SI" w:bidi="sl-SI"/>
        </w:rPr>
        <w:t xml:space="preserve"> na osnovi </w:t>
      </w:r>
      <w:proofErr w:type="spellStart"/>
      <w:r w:rsidRPr="00D31B31">
        <w:rPr>
          <w:rFonts w:eastAsia="Times New Roman"/>
          <w:bCs/>
          <w:sz w:val="20"/>
          <w:lang w:eastAsia="sl-SI" w:bidi="sl-SI"/>
        </w:rPr>
        <w:t>dimetil</w:t>
      </w:r>
      <w:proofErr w:type="spellEnd"/>
      <w:r w:rsidRPr="00D31B31">
        <w:rPr>
          <w:rFonts w:eastAsia="Times New Roman"/>
          <w:bCs/>
          <w:sz w:val="20"/>
          <w:lang w:eastAsia="sl-SI" w:bidi="sl-SI"/>
        </w:rPr>
        <w:t xml:space="preserve"> </w:t>
      </w:r>
      <w:proofErr w:type="spellStart"/>
      <w:r w:rsidRPr="00D31B31">
        <w:rPr>
          <w:rFonts w:eastAsia="Times New Roman"/>
          <w:bCs/>
          <w:sz w:val="20"/>
          <w:lang w:eastAsia="sl-SI" w:bidi="sl-SI"/>
        </w:rPr>
        <w:t>antranilata</w:t>
      </w:r>
      <w:proofErr w:type="spellEnd"/>
      <w:r w:rsidRPr="00D31B31">
        <w:rPr>
          <w:rFonts w:eastAsia="Times New Roman"/>
          <w:bCs/>
          <w:sz w:val="20"/>
          <w:lang w:eastAsia="sl-SI" w:bidi="sl-SI"/>
        </w:rPr>
        <w:t xml:space="preserve">. </w:t>
      </w:r>
      <w:r>
        <w:rPr>
          <w:rFonts w:eastAsia="Times New Roman"/>
          <w:bCs/>
          <w:sz w:val="20"/>
          <w:lang w:eastAsia="sl-SI" w:bidi="sl-SI"/>
        </w:rPr>
        <w:t>Obe o</w:t>
      </w:r>
      <w:r w:rsidRPr="00D31B31">
        <w:rPr>
          <w:rFonts w:eastAsia="Times New Roman"/>
          <w:bCs/>
          <w:sz w:val="20"/>
          <w:lang w:eastAsia="sl-SI" w:bidi="sl-SI"/>
        </w:rPr>
        <w:t>dvračali (</w:t>
      </w:r>
      <w:proofErr w:type="spellStart"/>
      <w:r w:rsidRPr="00D31B31">
        <w:rPr>
          <w:rFonts w:eastAsia="Times New Roman"/>
          <w:bCs/>
          <w:sz w:val="20"/>
          <w:lang w:eastAsia="sl-SI" w:bidi="sl-SI"/>
        </w:rPr>
        <w:t>repelenta</w:t>
      </w:r>
      <w:proofErr w:type="spellEnd"/>
      <w:r w:rsidRPr="00D31B31">
        <w:rPr>
          <w:rFonts w:eastAsia="Times New Roman"/>
          <w:bCs/>
          <w:sz w:val="20"/>
          <w:lang w:eastAsia="sl-SI" w:bidi="sl-SI"/>
        </w:rPr>
        <w:t xml:space="preserve">), ki so ju </w:t>
      </w:r>
      <w:r>
        <w:rPr>
          <w:rFonts w:eastAsia="Times New Roman"/>
          <w:bCs/>
          <w:sz w:val="20"/>
          <w:lang w:eastAsia="sl-SI" w:bidi="sl-SI"/>
        </w:rPr>
        <w:t xml:space="preserve"> v raziskavi </w:t>
      </w:r>
      <w:r w:rsidRPr="00D31B31">
        <w:rPr>
          <w:rFonts w:eastAsia="Times New Roman"/>
          <w:bCs/>
          <w:sz w:val="20"/>
          <w:lang w:eastAsia="sl-SI" w:bidi="sl-SI"/>
        </w:rPr>
        <w:t xml:space="preserve">uporabili z namenom zmanjšanja pojavnosti kljuvanja perja in kanibalizma pri komercialnih kokoših nesnicah, </w:t>
      </w:r>
      <w:r>
        <w:rPr>
          <w:rFonts w:eastAsia="Times New Roman"/>
          <w:bCs/>
          <w:sz w:val="20"/>
          <w:lang w:eastAsia="sl-SI" w:bidi="sl-SI"/>
        </w:rPr>
        <w:t xml:space="preserve">se </w:t>
      </w:r>
      <w:r w:rsidRPr="00D31B31">
        <w:rPr>
          <w:rFonts w:eastAsia="Times New Roman"/>
          <w:bCs/>
          <w:sz w:val="20"/>
          <w:lang w:eastAsia="sl-SI" w:bidi="sl-SI"/>
        </w:rPr>
        <w:t xml:space="preserve">nista izkazali za uspešni </w:t>
      </w:r>
      <w:r>
        <w:rPr>
          <w:rFonts w:eastAsia="Times New Roman"/>
          <w:bCs/>
          <w:sz w:val="20"/>
          <w:lang w:eastAsia="sl-SI" w:bidi="sl-SI"/>
        </w:rPr>
        <w:t>pri</w:t>
      </w:r>
      <w:r w:rsidRPr="00D31B31">
        <w:rPr>
          <w:rFonts w:eastAsia="Times New Roman"/>
          <w:bCs/>
          <w:sz w:val="20"/>
          <w:lang w:eastAsia="sl-SI" w:bidi="sl-SI"/>
        </w:rPr>
        <w:t xml:space="preserve"> omejevanju poškodb perja</w:t>
      </w:r>
      <w:r>
        <w:rPr>
          <w:rFonts w:eastAsia="Times New Roman"/>
          <w:bCs/>
          <w:sz w:val="20"/>
          <w:lang w:eastAsia="sl-SI" w:bidi="sl-SI"/>
        </w:rPr>
        <w:t xml:space="preserve">, </w:t>
      </w:r>
      <w:r w:rsidRPr="00D31B31">
        <w:rPr>
          <w:rFonts w:eastAsia="Times New Roman"/>
          <w:bCs/>
          <w:sz w:val="20"/>
          <w:lang w:eastAsia="sl-SI" w:bidi="sl-SI"/>
        </w:rPr>
        <w:t xml:space="preserve"> zato nista priporočeni za uporabo v praksi.</w:t>
      </w:r>
    </w:p>
    <w:p w14:paraId="02E504E0" w14:textId="77777777" w:rsidR="00CA6808" w:rsidRPr="00D31B31" w:rsidRDefault="00CA6808" w:rsidP="00CA6808">
      <w:pPr>
        <w:spacing w:before="120" w:after="0" w:line="240" w:lineRule="auto"/>
        <w:jc w:val="both"/>
        <w:rPr>
          <w:rFonts w:eastAsia="Times New Roman"/>
          <w:sz w:val="20"/>
          <w:u w:val="single"/>
          <w:lang w:eastAsia="sl-SI" w:bidi="sl-SI"/>
        </w:rPr>
      </w:pPr>
      <w:r w:rsidRPr="00D31B31">
        <w:rPr>
          <w:rFonts w:eastAsia="Times New Roman"/>
          <w:sz w:val="20"/>
          <w:u w:val="single"/>
          <w:lang w:eastAsia="sl-SI" w:bidi="sl-SI"/>
        </w:rPr>
        <w:t>Govedo</w:t>
      </w:r>
    </w:p>
    <w:p w14:paraId="26F8AB4A"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Govedo je po naravi pašna žival. Temu je prilagojena njena celotna fiziologija in anatomija, zato je pašna reja govedi vrsti najbolj prilagojena oblika reje. V hlevih s prosto živino so običajno izpolnjene vse zahteve za vrsti ustrezen sistem </w:t>
      </w:r>
      <w:proofErr w:type="spellStart"/>
      <w:r w:rsidRPr="00D31B31">
        <w:rPr>
          <w:rFonts w:eastAsia="Times New Roman"/>
          <w:sz w:val="20"/>
          <w:lang w:eastAsia="sl-SI" w:bidi="sl-SI"/>
        </w:rPr>
        <w:t>vhlevitve</w:t>
      </w:r>
      <w:proofErr w:type="spellEnd"/>
      <w:r w:rsidRPr="00D31B31">
        <w:rPr>
          <w:rFonts w:eastAsia="Times New Roman"/>
          <w:sz w:val="20"/>
          <w:lang w:eastAsia="sl-SI" w:bidi="sl-SI"/>
        </w:rPr>
        <w:t>. V hlevih s privezano živino, ki v Sloveniji prevladujejo, pa so živali pri gibanju zelo omejene, kar negativno vpliva predvsem na zdravje nog in parkljev pa tudi na splošno zdravje, reprodukcijo, proizvodnjo in dobro počutje živali. Zato naj bi imele take živali v času vegetacije možnost paše, saj ima paša številne pozitivne učinke na organizem.</w:t>
      </w:r>
    </w:p>
    <w:p w14:paraId="2CD00C47"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lastRenderedPageBreak/>
        <w:t>Najbolj obremenjena kategorija goveda z vidika dobrobiti so krave molznice.</w:t>
      </w:r>
      <w:r w:rsidRPr="00D31B31">
        <w:rPr>
          <w:rFonts w:eastAsia="Times New Roman"/>
          <w:sz w:val="20"/>
          <w:lang w:eastAsia="en-GB"/>
        </w:rPr>
        <w:t xml:space="preserve"> </w:t>
      </w:r>
      <w:proofErr w:type="spellStart"/>
      <w:r w:rsidRPr="00D31B31">
        <w:rPr>
          <w:rFonts w:eastAsia="Times New Roman"/>
          <w:sz w:val="20"/>
          <w:lang w:eastAsia="sl-SI" w:bidi="sl-SI"/>
        </w:rPr>
        <w:t>Intenzifikacija</w:t>
      </w:r>
      <w:proofErr w:type="spellEnd"/>
      <w:r w:rsidRPr="00D31B31">
        <w:rPr>
          <w:rFonts w:eastAsia="Times New Roman"/>
          <w:sz w:val="20"/>
          <w:lang w:eastAsia="sl-SI" w:bidi="sl-SI"/>
        </w:rPr>
        <w:t xml:space="preserve"> reje krav molznic je privedla do tega, da se je v zadnjih štiridesetih letih prireja mleka na kravo več kot podvojila. Dandanes krave proizvedejo šest do desetkrat toliko mleka, kot bi bilo naravno potrebno za teleta. V primerjavi z drugimi </w:t>
      </w:r>
      <w:proofErr w:type="spellStart"/>
      <w:r w:rsidRPr="00D31B31">
        <w:rPr>
          <w:rFonts w:eastAsia="Times New Roman"/>
          <w:sz w:val="20"/>
          <w:lang w:eastAsia="sl-SI" w:bidi="sl-SI"/>
        </w:rPr>
        <w:t>rejnimi</w:t>
      </w:r>
      <w:proofErr w:type="spellEnd"/>
      <w:r w:rsidRPr="00D31B31">
        <w:rPr>
          <w:rFonts w:eastAsia="Times New Roman"/>
          <w:sz w:val="20"/>
          <w:lang w:eastAsia="sl-SI" w:bidi="sl-SI"/>
        </w:rPr>
        <w:t xml:space="preserve"> živalmi so krave molznice zaradi selekcije na količino mleka, podvržene največjemu presnovnemu stresu (</w:t>
      </w:r>
      <w:r>
        <w:rPr>
          <w:rFonts w:eastAsia="Times New Roman"/>
          <w:sz w:val="20"/>
          <w:lang w:eastAsia="sl-SI" w:bidi="sl-SI"/>
        </w:rPr>
        <w:t>Evropska komisija</w:t>
      </w:r>
      <w:r w:rsidRPr="00D31B31">
        <w:rPr>
          <w:rFonts w:eastAsia="Times New Roman"/>
          <w:sz w:val="20"/>
          <w:lang w:eastAsia="sl-SI" w:bidi="sl-SI"/>
        </w:rPr>
        <w:t>, 2017)</w:t>
      </w:r>
      <w:r w:rsidRPr="00D31B31">
        <w:rPr>
          <w:rFonts w:eastAsia="Times New Roman"/>
          <w:sz w:val="20"/>
          <w:vertAlign w:val="superscript"/>
          <w:lang w:eastAsia="sl-SI" w:bidi="sl-SI"/>
        </w:rPr>
        <w:footnoteReference w:id="13"/>
      </w:r>
      <w:r w:rsidRPr="00D31B31">
        <w:rPr>
          <w:rFonts w:eastAsia="Times New Roman"/>
          <w:sz w:val="20"/>
          <w:lang w:eastAsia="sl-SI" w:bidi="sl-SI"/>
        </w:rPr>
        <w:t>.</w:t>
      </w:r>
    </w:p>
    <w:p w14:paraId="4473DAD5" w14:textId="02EF4840" w:rsidR="00CA6808"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Reja krav molznic je ena izmed pomembnejših živinorejskih dejavnosti v Sloveniji, vendar pa stanje dobrobiti v rejah molznic še v veliki meri ni znano. Kmetijskih gospodarstev, ki se ukvarjajo s tržno prirejo mleka, je bilo v letu 2019 v Sloveniji 5.584, skupaj so imela 97.757 krav molznic. Povprečno kmetijsko gospodarstvo je redilo 17,5 molznic. Analiza podatkov za leto 2019 glede na podatke iz leta 2002 kaže na premike v strukturi kmetijskih gospodarstev. Proces koncentracije je opazen na vseh gospodarstvih, ki se ukvarjajo s prirejo mleka. V zadnjih desetih letih se je število kmetijskih gospodarstev, ki redijo do 20 molznic zmanjšalo, številna manjša kmetijska gospodarstva so prirejo mleka opustila. Čeprav se je velikostna struktura gospodarstev v večjih velikostnih razredih izboljšala, je v velikostnih razredih do 30 molznic na kmetijo še vedno 55,4 % molznic. Gospodarstva, ki so v letu v letu 2019 redila 50 in več molznic, predstavljajo 5,5 % kmetijskih gospodarstev z molznicami in redijo slabo četrtino vseh krav. Gospodarstev s 100 do 199 molznicami je bilo 34, z več kot 200 molznicami pa le 6 (Sadar in sod., 2019)</w:t>
      </w:r>
      <w:r w:rsidRPr="00D31B31">
        <w:rPr>
          <w:rFonts w:eastAsia="Times New Roman"/>
          <w:sz w:val="20"/>
          <w:vertAlign w:val="superscript"/>
          <w:lang w:eastAsia="sl-SI" w:bidi="sl-SI"/>
        </w:rPr>
        <w:footnoteReference w:id="14"/>
      </w:r>
      <w:r w:rsidRPr="00D31B31">
        <w:rPr>
          <w:rFonts w:eastAsia="Times New Roman"/>
          <w:sz w:val="20"/>
          <w:lang w:eastAsia="sl-SI" w:bidi="sl-SI"/>
        </w:rPr>
        <w:t>. Velika gospodarstva, ki se ukvarjajo z rejo krav molznic so večinoma starejšega izvora, saj so bili objekti zgrajeni v 60. in 80. letih. Kasneje je prišlo do povečanja prireje, kar je vplivalo na dobrobit krav.</w:t>
      </w:r>
    </w:p>
    <w:p w14:paraId="2B9EEB75" w14:textId="77777777" w:rsidR="00CA6808" w:rsidRPr="00D31B31" w:rsidRDefault="00CA6808" w:rsidP="00CA6808">
      <w:pPr>
        <w:spacing w:before="120" w:after="0" w:line="240" w:lineRule="auto"/>
        <w:jc w:val="both"/>
        <w:rPr>
          <w:rFonts w:eastAsia="Times New Roman"/>
          <w:sz w:val="20"/>
          <w:u w:val="single"/>
          <w:lang w:eastAsia="sl-SI" w:bidi="sl-SI"/>
        </w:rPr>
      </w:pPr>
      <w:r w:rsidRPr="00D31B31">
        <w:rPr>
          <w:rFonts w:eastAsia="Times New Roman"/>
          <w:sz w:val="20"/>
          <w:u w:val="single"/>
          <w:lang w:eastAsia="sl-SI" w:bidi="sl-SI"/>
        </w:rPr>
        <w:t>Drobnica</w:t>
      </w:r>
    </w:p>
    <w:p w14:paraId="0ABBA553" w14:textId="77777777" w:rsidR="00CA6808" w:rsidRPr="00D31B31" w:rsidRDefault="00CA6808" w:rsidP="00CA6808">
      <w:pPr>
        <w:spacing w:before="120" w:after="0" w:line="240" w:lineRule="auto"/>
        <w:jc w:val="both"/>
        <w:rPr>
          <w:rFonts w:eastAsia="Times New Roman"/>
          <w:sz w:val="20"/>
          <w:lang w:eastAsia="en-GB"/>
        </w:rPr>
      </w:pPr>
      <w:r w:rsidRPr="00D31B31">
        <w:rPr>
          <w:rFonts w:eastAsia="Times New Roman"/>
          <w:sz w:val="20"/>
          <w:lang w:eastAsia="sl-SI" w:bidi="sl-SI"/>
        </w:rPr>
        <w:t>Pri paši drobnice je pomembno, da se paša začne kolikor je mogoče zgodaj spomladi in traja do začetka snežnih padavin, lahko pa je živalim dana možnost, da so tudi v zimskem času izpuščene na pašnik. S takim načinom paše se doseže boljše počutje živali, zaradi dobre prehrane pa je boljša tudi prireja (boljša kakovost mesa in volne). S pašo dobijo živali več vitaminov E, A in beta karotina, česar s suho krmo ne dobijo v zadostni količini, zato meso pašnih živali ostaja dalj časa sveže. Zelo pomembno za manjši stres živali je tudi to, da sta pri dolgotrajni paši mati in mladič dalj časa skupaj.</w:t>
      </w:r>
      <w:r w:rsidRPr="00D31B31">
        <w:rPr>
          <w:rFonts w:eastAsia="Times New Roman"/>
          <w:sz w:val="20"/>
          <w:lang w:eastAsia="en-GB"/>
        </w:rPr>
        <w:t xml:space="preserve"> </w:t>
      </w:r>
    </w:p>
    <w:p w14:paraId="5BC20F02"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V rejah drobnice predstavljajo zajedavske bolezni pomemben zdravstveni problem, ki lahko povzroči veliko škode (slabši prirasti, potreba po dodatnem zdravljenju, pogini) in na ta način ogrozi gospodarnost reje ter zelo negativno vpliva na dobro počutje živali</w:t>
      </w:r>
      <w:r w:rsidRPr="00D31B31">
        <w:rPr>
          <w:rFonts w:eastAsia="Times New Roman"/>
          <w:sz w:val="20"/>
          <w:vertAlign w:val="superscript"/>
          <w:lang w:eastAsia="sl-SI" w:bidi="sl-SI"/>
        </w:rPr>
        <w:footnoteReference w:id="15"/>
      </w:r>
      <w:r w:rsidRPr="00D31B31">
        <w:rPr>
          <w:rFonts w:eastAsia="Times New Roman"/>
          <w:sz w:val="20"/>
          <w:lang w:eastAsia="sl-SI" w:bidi="sl-SI"/>
        </w:rPr>
        <w:t xml:space="preserve">. </w:t>
      </w:r>
    </w:p>
    <w:p w14:paraId="3EC69FDC"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 xml:space="preserve">Zdravljenje z </w:t>
      </w:r>
      <w:proofErr w:type="spellStart"/>
      <w:r w:rsidRPr="00D31B31">
        <w:rPr>
          <w:rFonts w:eastAsia="Times New Roman"/>
          <w:sz w:val="20"/>
          <w:lang w:eastAsia="sl-SI" w:bidi="sl-SI"/>
        </w:rPr>
        <w:t>antiparazitiki</w:t>
      </w:r>
      <w:proofErr w:type="spellEnd"/>
      <w:r w:rsidRPr="00D31B31">
        <w:rPr>
          <w:rFonts w:eastAsia="Times New Roman"/>
          <w:sz w:val="20"/>
          <w:lang w:eastAsia="en-GB"/>
        </w:rPr>
        <w:t xml:space="preserve"> </w:t>
      </w:r>
      <w:r w:rsidRPr="00D31B31">
        <w:rPr>
          <w:rFonts w:eastAsia="Times New Roman"/>
          <w:sz w:val="20"/>
          <w:lang w:eastAsia="sl-SI" w:bidi="sl-SI"/>
        </w:rPr>
        <w:t xml:space="preserve">je pogosto najenostavnejši in najvarnejši način zatiranja zajedavcev. Učinkovitost zdravljenja je odvisna od vrste zajedavcev in izbire ustreznega </w:t>
      </w:r>
      <w:proofErr w:type="spellStart"/>
      <w:r w:rsidRPr="00D31B31">
        <w:rPr>
          <w:rFonts w:eastAsia="Times New Roman"/>
          <w:sz w:val="20"/>
          <w:lang w:eastAsia="sl-SI" w:bidi="sl-SI"/>
        </w:rPr>
        <w:t>antiparazitika</w:t>
      </w:r>
      <w:proofErr w:type="spellEnd"/>
      <w:r w:rsidRPr="00D31B31">
        <w:rPr>
          <w:rFonts w:eastAsia="Times New Roman"/>
          <w:sz w:val="20"/>
          <w:lang w:eastAsia="sl-SI" w:bidi="sl-SI"/>
        </w:rPr>
        <w:t xml:space="preserve">. Posledica predvsem prepogoste in neustrezne uporabe </w:t>
      </w:r>
      <w:proofErr w:type="spellStart"/>
      <w:r w:rsidRPr="00D31B31">
        <w:rPr>
          <w:rFonts w:eastAsia="Times New Roman"/>
          <w:sz w:val="20"/>
          <w:lang w:eastAsia="sl-SI" w:bidi="sl-SI"/>
        </w:rPr>
        <w:t>antiparazitikov</w:t>
      </w:r>
      <w:proofErr w:type="spellEnd"/>
      <w:r w:rsidRPr="00D31B31">
        <w:rPr>
          <w:rFonts w:eastAsia="Times New Roman"/>
          <w:sz w:val="20"/>
          <w:lang w:eastAsia="sl-SI" w:bidi="sl-SI"/>
        </w:rPr>
        <w:t xml:space="preserve"> je pojav rezistence zajedavcev na </w:t>
      </w:r>
      <w:proofErr w:type="spellStart"/>
      <w:r w:rsidRPr="00D31B31">
        <w:rPr>
          <w:rFonts w:eastAsia="Times New Roman"/>
          <w:sz w:val="20"/>
          <w:lang w:eastAsia="sl-SI" w:bidi="sl-SI"/>
        </w:rPr>
        <w:t>antiparazitike</w:t>
      </w:r>
      <w:proofErr w:type="spellEnd"/>
      <w:r w:rsidRPr="00D31B31">
        <w:rPr>
          <w:rFonts w:eastAsia="Times New Roman"/>
          <w:sz w:val="20"/>
          <w:lang w:eastAsia="sl-SI" w:bidi="sl-SI"/>
        </w:rPr>
        <w:t xml:space="preserve">. Poleg zdravljenja pa so v boju proti zajedavcem pomembni tudi drugi preventivni ukrepi kot so menjava pašnikov, menjava različnih vrst in kategorij pašnih živali na pašnikih ter menjava paše in košnje. </w:t>
      </w:r>
    </w:p>
    <w:p w14:paraId="64EF967B" w14:textId="77777777" w:rsidR="00CA6808" w:rsidRPr="00D31B31" w:rsidRDefault="00CA6808" w:rsidP="00CA6808">
      <w:pPr>
        <w:spacing w:before="120" w:after="0" w:line="240" w:lineRule="auto"/>
        <w:jc w:val="both"/>
        <w:rPr>
          <w:rFonts w:eastAsia="Times New Roman"/>
          <w:sz w:val="20"/>
          <w:lang w:eastAsia="sl-SI" w:bidi="sl-SI"/>
        </w:rPr>
      </w:pPr>
      <w:r w:rsidRPr="00D31B31">
        <w:rPr>
          <w:rFonts w:eastAsia="Times New Roman"/>
          <w:sz w:val="20"/>
          <w:lang w:eastAsia="sl-SI" w:bidi="sl-SI"/>
        </w:rPr>
        <w:t>Večinoma rejci zdravijo svoje živali na osnovi preteklih izkušenj in se skoraj ne poslužujejo drugih metod zatiranja zajedavcev. V Sloveniji se rejci zelo redko odločajo za parazitološko (</w:t>
      </w:r>
      <w:proofErr w:type="spellStart"/>
      <w:r w:rsidRPr="00D31B31">
        <w:rPr>
          <w:rFonts w:eastAsia="Times New Roman"/>
          <w:sz w:val="20"/>
          <w:lang w:eastAsia="sl-SI" w:bidi="sl-SI"/>
        </w:rPr>
        <w:t>koprološko</w:t>
      </w:r>
      <w:proofErr w:type="spellEnd"/>
      <w:r w:rsidRPr="00D31B31">
        <w:rPr>
          <w:rFonts w:eastAsia="Times New Roman"/>
          <w:sz w:val="20"/>
          <w:lang w:eastAsia="sl-SI" w:bidi="sl-SI"/>
        </w:rPr>
        <w:t>) preiskavo blata drobnice, kar potrjuje tudi zelo majhno število opravljenih parazitoloških preiskav. Po uvedbi ukrepa Dobrobit živali v letu 2017 tudi pri drobnici, v okviru katerega morajo rejci poslati vzorce blata na parazitološko preiskavo, se je to stanje nekoliko izboljšalo vendar je pristop rejcev k omenjeni problematiki še vedno premalo sistematičen. Raziskava »</w:t>
      </w:r>
      <w:proofErr w:type="spellStart"/>
      <w:r w:rsidRPr="00D31B31">
        <w:rPr>
          <w:rFonts w:eastAsia="Times New Roman"/>
          <w:sz w:val="20"/>
          <w:lang w:eastAsia="sl-SI" w:bidi="sl-SI"/>
        </w:rPr>
        <w:t>Parazitoze</w:t>
      </w:r>
      <w:proofErr w:type="spellEnd"/>
      <w:r w:rsidRPr="00D31B31">
        <w:rPr>
          <w:rFonts w:eastAsia="Times New Roman"/>
          <w:sz w:val="20"/>
          <w:lang w:eastAsia="sl-SI" w:bidi="sl-SI"/>
        </w:rPr>
        <w:t xml:space="preserve"> in njihovo zdravljenje pri drobnici«</w:t>
      </w:r>
      <w:r w:rsidRPr="00D31B31">
        <w:rPr>
          <w:rFonts w:eastAsia="Times New Roman"/>
          <w:sz w:val="20"/>
          <w:vertAlign w:val="superscript"/>
          <w:lang w:eastAsia="sl-SI" w:bidi="sl-SI"/>
        </w:rPr>
        <w:footnoteReference w:id="16"/>
      </w:r>
      <w:r w:rsidRPr="00D31B31">
        <w:rPr>
          <w:rFonts w:eastAsia="Times New Roman"/>
          <w:sz w:val="20"/>
          <w:lang w:eastAsia="sl-SI" w:bidi="sl-SI"/>
        </w:rPr>
        <w:t>, ki so jo izvedli na Veterinarski fakulteti je pokazala, da rejci zajedavskim boleznim pripisujejo premalo pozornosti. V okviru raziskave so imeli možnost poslati vzorce iztrebkov pred zdravljenjem proti zajedavcem in po zdravljenju. Odziv rejcev pri pošiljanju iztrebkov pred zdravljenjem je bil dober, po zdravljenju pa je bil precej skromen, čeprav so imeli to možnost brezplačno na razpolago.</w:t>
      </w:r>
    </w:p>
    <w:p w14:paraId="566CEB89" w14:textId="77777777" w:rsidR="00CA6808" w:rsidRDefault="00CA6808" w:rsidP="00CA6808">
      <w:pPr>
        <w:tabs>
          <w:tab w:val="left" w:pos="0"/>
        </w:tabs>
        <w:spacing w:after="0" w:line="240" w:lineRule="auto"/>
        <w:jc w:val="both"/>
        <w:textAlignment w:val="baseline"/>
        <w:rPr>
          <w:rFonts w:eastAsia="Times New Roman"/>
          <w:sz w:val="20"/>
          <w:lang w:eastAsia="en-GB"/>
        </w:rPr>
      </w:pPr>
    </w:p>
    <w:p w14:paraId="63A9F6F9" w14:textId="38ED3520" w:rsidR="00596C3E" w:rsidRPr="00191201" w:rsidRDefault="00191201" w:rsidP="00191201">
      <w:pPr>
        <w:pStyle w:val="Naslov2"/>
        <w:rPr>
          <w:rFonts w:ascii="Arial" w:eastAsia="Times New Roman" w:hAnsi="Arial" w:cs="Arial"/>
          <w:lang w:eastAsia="en-GB"/>
        </w:rPr>
      </w:pPr>
      <w:bookmarkStart w:id="91" w:name="_Toc55547451"/>
      <w:r w:rsidRPr="00191201">
        <w:rPr>
          <w:rFonts w:ascii="Arial" w:eastAsia="Times New Roman" w:hAnsi="Arial" w:cs="Arial"/>
          <w:lang w:eastAsia="en-GB"/>
        </w:rPr>
        <w:lastRenderedPageBreak/>
        <w:t>4.3</w:t>
      </w:r>
      <w:r w:rsidR="00333DE0" w:rsidRPr="00191201">
        <w:rPr>
          <w:rFonts w:ascii="Arial" w:eastAsia="Times New Roman" w:hAnsi="Arial" w:cs="Arial"/>
          <w:lang w:eastAsia="en-GB"/>
        </w:rPr>
        <w:t xml:space="preserve"> </w:t>
      </w:r>
      <w:r w:rsidR="00596C3E" w:rsidRPr="00191201">
        <w:rPr>
          <w:rFonts w:ascii="Arial" w:eastAsia="Times New Roman" w:hAnsi="Arial" w:cs="Arial"/>
          <w:lang w:eastAsia="en-GB"/>
        </w:rPr>
        <w:t>U</w:t>
      </w:r>
      <w:r w:rsidR="00CF0FC8">
        <w:rPr>
          <w:rFonts w:ascii="Arial" w:eastAsia="Times New Roman" w:hAnsi="Arial" w:cs="Arial"/>
          <w:lang w:eastAsia="en-GB"/>
        </w:rPr>
        <w:t>krep Dobrobiti v Sloveniji</w:t>
      </w:r>
      <w:bookmarkEnd w:id="91"/>
    </w:p>
    <w:p w14:paraId="2B94D477" w14:textId="656CF31D" w:rsidR="00CA6808" w:rsidRPr="00D31B31" w:rsidRDefault="00CA6808" w:rsidP="00CA6808">
      <w:pPr>
        <w:tabs>
          <w:tab w:val="left" w:pos="0"/>
        </w:tabs>
        <w:spacing w:before="120" w:after="0" w:line="240" w:lineRule="auto"/>
        <w:jc w:val="both"/>
        <w:textAlignment w:val="baseline"/>
        <w:rPr>
          <w:rFonts w:eastAsia="Times New Roman"/>
          <w:sz w:val="20"/>
          <w:lang w:eastAsia="en-GB"/>
        </w:rPr>
      </w:pPr>
      <w:r w:rsidRPr="00D31B31">
        <w:rPr>
          <w:rFonts w:eastAsia="Times New Roman"/>
          <w:sz w:val="20"/>
          <w:lang w:eastAsia="en-GB"/>
        </w:rPr>
        <w:t>Z letom 2014 se je prvič v Sloveniji, v okviru P</w:t>
      </w:r>
      <w:r w:rsidR="007E1E59">
        <w:rPr>
          <w:rFonts w:eastAsia="Times New Roman"/>
          <w:sz w:val="20"/>
          <w:lang w:eastAsia="en-GB"/>
        </w:rPr>
        <w:t>RP</w:t>
      </w:r>
      <w:r w:rsidRPr="00D31B31">
        <w:rPr>
          <w:rFonts w:eastAsia="Times New Roman"/>
          <w:sz w:val="20"/>
          <w:lang w:eastAsia="en-GB"/>
        </w:rPr>
        <w:t xml:space="preserve"> 2014–2020, začel izvajati ukrep Dobrobit živali (v nadaljevanju</w:t>
      </w:r>
      <w:r w:rsidR="007E1E59">
        <w:rPr>
          <w:rFonts w:eastAsia="Times New Roman"/>
          <w:sz w:val="20"/>
          <w:lang w:eastAsia="en-GB"/>
        </w:rPr>
        <w:t xml:space="preserve"> besedila</w:t>
      </w:r>
      <w:r w:rsidRPr="00D31B31">
        <w:rPr>
          <w:rFonts w:eastAsia="Times New Roman"/>
          <w:sz w:val="20"/>
          <w:lang w:eastAsia="en-GB"/>
        </w:rPr>
        <w:t xml:space="preserve">: ukrep DŽ). Ukrep DŽ se je postopoma uvajal za posamezne vrste </w:t>
      </w:r>
      <w:proofErr w:type="spellStart"/>
      <w:r w:rsidRPr="00D31B31">
        <w:rPr>
          <w:rFonts w:eastAsia="Times New Roman"/>
          <w:sz w:val="20"/>
          <w:lang w:eastAsia="en-GB"/>
        </w:rPr>
        <w:t>rejnih</w:t>
      </w:r>
      <w:proofErr w:type="spellEnd"/>
      <w:r w:rsidRPr="00D31B31">
        <w:rPr>
          <w:rFonts w:eastAsia="Times New Roman"/>
          <w:sz w:val="20"/>
          <w:lang w:eastAsia="en-GB"/>
        </w:rPr>
        <w:t xml:space="preserve"> živali. V letu 2014 se je začel izvajati v prašičereji, v letu 2016 se je razširil na govedorejo in v letu 2017 še na rejo drobnice.</w:t>
      </w:r>
    </w:p>
    <w:p w14:paraId="471A9062" w14:textId="370030CA" w:rsidR="00CA6808" w:rsidRPr="007E1E59" w:rsidRDefault="00CA6808" w:rsidP="007E1E59">
      <w:pPr>
        <w:tabs>
          <w:tab w:val="left" w:pos="0"/>
        </w:tabs>
        <w:spacing w:before="120" w:after="0" w:line="240" w:lineRule="auto"/>
        <w:jc w:val="both"/>
        <w:textAlignment w:val="baseline"/>
        <w:rPr>
          <w:rFonts w:eastAsia="Times New Roman"/>
          <w:sz w:val="20"/>
          <w:lang w:eastAsia="sl-SI"/>
        </w:rPr>
      </w:pPr>
      <w:r w:rsidRPr="00D31B31">
        <w:rPr>
          <w:rFonts w:eastAsia="Times New Roman"/>
          <w:sz w:val="20"/>
          <w:lang w:eastAsia="en-GB"/>
        </w:rPr>
        <w:t>Ukrep DŽ se torej od leta 2017 izvaja v treh operacijah, in sicer za prašiče (v nadaljevanju</w:t>
      </w:r>
      <w:r w:rsidR="007E1E59">
        <w:rPr>
          <w:rFonts w:eastAsia="Times New Roman"/>
          <w:sz w:val="20"/>
          <w:lang w:eastAsia="en-GB"/>
        </w:rPr>
        <w:t xml:space="preserve"> besedila</w:t>
      </w:r>
      <w:r w:rsidRPr="00D31B31">
        <w:rPr>
          <w:rFonts w:eastAsia="Times New Roman"/>
          <w:sz w:val="20"/>
          <w:lang w:eastAsia="en-GB"/>
        </w:rPr>
        <w:t>: DŽ – prašiči), govedo (v nadaljevanju</w:t>
      </w:r>
      <w:r w:rsidR="007E1E59">
        <w:rPr>
          <w:rFonts w:eastAsia="Times New Roman"/>
          <w:sz w:val="20"/>
          <w:lang w:eastAsia="en-GB"/>
        </w:rPr>
        <w:t xml:space="preserve"> besedila</w:t>
      </w:r>
      <w:r w:rsidRPr="00D31B31">
        <w:rPr>
          <w:rFonts w:eastAsia="Times New Roman"/>
          <w:sz w:val="20"/>
          <w:lang w:eastAsia="en-GB"/>
        </w:rPr>
        <w:t>: DŽ – govedo) in drobnico (v nadaljevanju</w:t>
      </w:r>
      <w:r w:rsidR="007E1E59">
        <w:rPr>
          <w:rFonts w:eastAsia="Times New Roman"/>
          <w:sz w:val="20"/>
          <w:lang w:eastAsia="en-GB"/>
        </w:rPr>
        <w:t xml:space="preserve"> besedila</w:t>
      </w:r>
      <w:r w:rsidRPr="00D31B31">
        <w:rPr>
          <w:rFonts w:eastAsia="Times New Roman"/>
          <w:sz w:val="20"/>
          <w:lang w:eastAsia="en-GB"/>
        </w:rPr>
        <w:t>: DŽ – drobnica). Trajanje obveznosti za ukrep DŽ je eno leto. Namen ukrepa DŽ je spodbujanje kmetijskih gospodarstev k izvajanju zahtev za dobrobit živali, ki presegajo zahteve ravnanja iz navzkrižne skladnosti, ter običajno rejsko prakso. Za pridobitev plačil za DŽ – prašiči mora upravičenec izpolnjevati vsaj eno zahtevo iz nabora zahtev za plemenske svinje in pleme</w:t>
      </w:r>
      <w:r w:rsidRPr="00D31B31">
        <w:rPr>
          <w:rFonts w:eastAsia="Times New Roman"/>
          <w:sz w:val="20"/>
          <w:lang w:eastAsia="sl-SI"/>
        </w:rPr>
        <w:t>nske mladice, tekače in prašiče pitance. Za pridobitev plačil za DŽ – govedo oziroma DŽ – drobnica pa mora upravičenec izvajati pašo goveda oziroma drobnice.</w:t>
      </w:r>
      <w:r w:rsidRPr="00D31B31">
        <w:rPr>
          <w:rFonts w:eastAsia="Times New Roman"/>
          <w:sz w:val="20"/>
          <w:vertAlign w:val="superscript"/>
          <w:lang w:eastAsia="sl-SI"/>
        </w:rPr>
        <w:t xml:space="preserve"> </w:t>
      </w:r>
    </w:p>
    <w:p w14:paraId="6121E461" w14:textId="77777777" w:rsidR="00CA6808" w:rsidRPr="00D31B31" w:rsidRDefault="00CA6808" w:rsidP="00CA6808">
      <w:pPr>
        <w:spacing w:after="0" w:line="240" w:lineRule="auto"/>
        <w:jc w:val="both"/>
        <w:rPr>
          <w:rFonts w:eastAsia="Times New Roman"/>
          <w:bCs/>
          <w:sz w:val="20"/>
          <w:lang w:eastAsia="sl-SI"/>
        </w:rPr>
      </w:pPr>
    </w:p>
    <w:p w14:paraId="0187FF8C" w14:textId="4AD9CC8A" w:rsidR="007E1E59" w:rsidRDefault="00CA6808" w:rsidP="00CA6808">
      <w:pPr>
        <w:spacing w:after="0" w:line="240" w:lineRule="auto"/>
        <w:jc w:val="both"/>
        <w:rPr>
          <w:rFonts w:eastAsia="Times New Roman"/>
          <w:bCs/>
          <w:i/>
          <w:sz w:val="20"/>
          <w:lang w:eastAsia="sl-SI"/>
        </w:rPr>
      </w:pPr>
      <w:r>
        <w:rPr>
          <w:rFonts w:eastAsia="Times New Roman"/>
          <w:bCs/>
          <w:sz w:val="20"/>
          <w:lang w:eastAsia="sl-SI"/>
        </w:rPr>
        <w:t>D</w:t>
      </w:r>
      <w:r w:rsidRPr="00D240C3">
        <w:rPr>
          <w:rFonts w:eastAsia="Times New Roman"/>
          <w:bCs/>
          <w:sz w:val="20"/>
          <w:lang w:eastAsia="sl-SI"/>
        </w:rPr>
        <w:t>elež živali vključenih v ukrep DŽ</w:t>
      </w:r>
      <w:r>
        <w:rPr>
          <w:rFonts w:eastAsia="Times New Roman"/>
          <w:bCs/>
          <w:sz w:val="20"/>
          <w:lang w:eastAsia="sl-SI"/>
        </w:rPr>
        <w:t xml:space="preserve"> je razviden iz </w:t>
      </w:r>
      <w:r w:rsidR="00237DB1">
        <w:rPr>
          <w:rFonts w:eastAsia="Times New Roman"/>
          <w:bCs/>
          <w:sz w:val="20"/>
          <w:lang w:eastAsia="sl-SI"/>
        </w:rPr>
        <w:t>Tabel</w:t>
      </w:r>
      <w:r w:rsidR="007E1E59">
        <w:rPr>
          <w:rFonts w:eastAsia="Times New Roman"/>
          <w:bCs/>
          <w:sz w:val="20"/>
          <w:lang w:eastAsia="sl-SI"/>
        </w:rPr>
        <w:t xml:space="preserve">e </w:t>
      </w:r>
      <w:r w:rsidR="00CF0FC8">
        <w:rPr>
          <w:rFonts w:eastAsia="Times New Roman"/>
          <w:bCs/>
          <w:sz w:val="20"/>
          <w:lang w:eastAsia="sl-SI"/>
        </w:rPr>
        <w:t>10</w:t>
      </w:r>
      <w:r>
        <w:rPr>
          <w:rFonts w:eastAsia="Times New Roman"/>
          <w:bCs/>
          <w:sz w:val="20"/>
          <w:lang w:eastAsia="sl-SI"/>
        </w:rPr>
        <w:t>.</w:t>
      </w:r>
      <w:r w:rsidRPr="00B24BDB">
        <w:rPr>
          <w:rFonts w:eastAsia="Times New Roman"/>
          <w:bCs/>
          <w:sz w:val="20"/>
          <w:lang w:eastAsia="sl-SI"/>
        </w:rPr>
        <w:t xml:space="preserve"> </w:t>
      </w:r>
      <w:r w:rsidRPr="00EB14C9">
        <w:rPr>
          <w:rFonts w:eastAsia="Times New Roman"/>
          <w:bCs/>
          <w:sz w:val="20"/>
          <w:lang w:eastAsia="sl-SI"/>
        </w:rPr>
        <w:t>Pri operaciji DŽ – govedo se število GVŽ vključenih v ukrep DŽ med leti skoraj enakomerno povečuje in dosega pričakovano vrednost. Tudi pri operaciji DŽ – drobnica se število vključenih GVŽ rahlo povečuje vendar pa je nizka vključenost v operacijo DŽ – drobnica predvsem odraz velikostne strukture kmetijskih gospodarstev, ki redijo drobnico. Skupaj je drobnico v povprečju let 2016-2018 redilo 7.149 KMG-jev, ki so redili 14.903 GVŽ drobnice. Razred do pod 5 GVŽ drobnice predstavljata 93% KMG-jev in 63% GVŽ drobnice. Pri operaciji DŽ – prašiči se je število GVŽ vključenih v ukrep povečevalo do leta 2017, ko se je začetni trend rasti ustavil in je v letu 2018 celo nekoliko padel. Za prašičerejo je značilno ciklično nihanje števila živali, kar se odraža tudi na številu vključenih GVŽ v ukrep, predvsem pa se pozna trend zmanjševanja staleža prašičev v Sloveniji, ki se od leta 2006 še vedno ni popolnoma ustavil.</w:t>
      </w:r>
    </w:p>
    <w:p w14:paraId="5498665E" w14:textId="77777777" w:rsidR="007E1E59" w:rsidRDefault="007E1E59" w:rsidP="00CA6808">
      <w:pPr>
        <w:spacing w:after="0" w:line="240" w:lineRule="auto"/>
        <w:jc w:val="both"/>
        <w:rPr>
          <w:rFonts w:eastAsia="Times New Roman"/>
          <w:bCs/>
          <w:i/>
          <w:sz w:val="20"/>
          <w:lang w:eastAsia="sl-SI"/>
        </w:rPr>
      </w:pPr>
    </w:p>
    <w:p w14:paraId="5253DF89" w14:textId="752E024C" w:rsidR="00237DB1" w:rsidRPr="006A09AF" w:rsidRDefault="00237DB1" w:rsidP="00237DB1">
      <w:pPr>
        <w:pStyle w:val="Napis"/>
        <w:jc w:val="both"/>
        <w:rPr>
          <w:sz w:val="20"/>
          <w:szCs w:val="20"/>
        </w:rPr>
      </w:pPr>
      <w:bookmarkStart w:id="92" w:name="_Toc55484832"/>
      <w:r w:rsidRPr="006A09AF">
        <w:rPr>
          <w:sz w:val="20"/>
          <w:szCs w:val="20"/>
        </w:rPr>
        <w:t xml:space="preserve">Tabela </w:t>
      </w:r>
      <w:r w:rsidR="004270C0" w:rsidRPr="006A09AF">
        <w:rPr>
          <w:sz w:val="20"/>
          <w:szCs w:val="20"/>
        </w:rPr>
        <w:fldChar w:fldCharType="begin"/>
      </w:r>
      <w:r w:rsidR="004270C0" w:rsidRPr="006A09AF">
        <w:rPr>
          <w:sz w:val="20"/>
          <w:szCs w:val="20"/>
        </w:rPr>
        <w:instrText xml:space="preserve"> SEQ Tabela \* ARABIC </w:instrText>
      </w:r>
      <w:r w:rsidR="004270C0" w:rsidRPr="006A09AF">
        <w:rPr>
          <w:sz w:val="20"/>
          <w:szCs w:val="20"/>
        </w:rPr>
        <w:fldChar w:fldCharType="separate"/>
      </w:r>
      <w:r w:rsidR="00CF0FC8" w:rsidRPr="006A09AF">
        <w:rPr>
          <w:noProof/>
          <w:sz w:val="20"/>
          <w:szCs w:val="20"/>
        </w:rPr>
        <w:t>10</w:t>
      </w:r>
      <w:r w:rsidR="004270C0" w:rsidRPr="006A09AF">
        <w:rPr>
          <w:noProof/>
          <w:sz w:val="20"/>
          <w:szCs w:val="20"/>
        </w:rPr>
        <w:fldChar w:fldCharType="end"/>
      </w:r>
      <w:r w:rsidRPr="006A09AF">
        <w:rPr>
          <w:sz w:val="20"/>
          <w:szCs w:val="20"/>
        </w:rPr>
        <w:t xml:space="preserve">: Število živali na KMG na 1. februar iz obrazca Stalež živali po vrstah in kategorijah </w:t>
      </w:r>
      <w:proofErr w:type="spellStart"/>
      <w:r w:rsidRPr="006A09AF">
        <w:rPr>
          <w:sz w:val="20"/>
          <w:szCs w:val="20"/>
        </w:rPr>
        <w:t>rejnih</w:t>
      </w:r>
      <w:proofErr w:type="spellEnd"/>
      <w:r w:rsidRPr="006A09AF">
        <w:rPr>
          <w:sz w:val="20"/>
          <w:szCs w:val="20"/>
        </w:rPr>
        <w:t xml:space="preserve"> živali ter število in delež živali vključenih v ukrep DŽ</w:t>
      </w:r>
      <w:bookmarkEnd w:id="92"/>
    </w:p>
    <w:p w14:paraId="59CAB0B8" w14:textId="77777777" w:rsidR="00CA6808" w:rsidRPr="007F41C6" w:rsidRDefault="00CA6808" w:rsidP="00CA6808">
      <w:pPr>
        <w:spacing w:after="0" w:line="240" w:lineRule="auto"/>
        <w:jc w:val="both"/>
        <w:rPr>
          <w:rFonts w:eastAsia="Calibri"/>
          <w:b/>
          <w:szCs w:val="24"/>
          <w:lang w:eastAsia="en-GB"/>
        </w:rPr>
      </w:pPr>
    </w:p>
    <w:tbl>
      <w:tblPr>
        <w:tblW w:w="8646" w:type="dxa"/>
        <w:jc w:val="center"/>
        <w:tblLayout w:type="fixed"/>
        <w:tblCellMar>
          <w:left w:w="70" w:type="dxa"/>
          <w:right w:w="70" w:type="dxa"/>
        </w:tblCellMar>
        <w:tblLook w:val="04A0" w:firstRow="1" w:lastRow="0" w:firstColumn="1" w:lastColumn="0" w:noHBand="0" w:noVBand="1"/>
      </w:tblPr>
      <w:tblGrid>
        <w:gridCol w:w="2434"/>
        <w:gridCol w:w="1035"/>
        <w:gridCol w:w="1035"/>
        <w:gridCol w:w="1036"/>
        <w:gridCol w:w="1035"/>
        <w:gridCol w:w="1035"/>
        <w:gridCol w:w="1036"/>
      </w:tblGrid>
      <w:tr w:rsidR="00CA6808" w:rsidRPr="007F41C6" w14:paraId="6258B9F5" w14:textId="77777777" w:rsidTr="00CF43DE">
        <w:trPr>
          <w:trHeight w:val="284"/>
          <w:jc w:val="center"/>
        </w:trPr>
        <w:tc>
          <w:tcPr>
            <w:tcW w:w="2434" w:type="dxa"/>
            <w:tcBorders>
              <w:top w:val="single" w:sz="8" w:space="0" w:color="auto"/>
              <w:left w:val="single" w:sz="8" w:space="0" w:color="auto"/>
              <w:bottom w:val="single" w:sz="8" w:space="0" w:color="auto"/>
              <w:right w:val="single" w:sz="8" w:space="0" w:color="auto"/>
            </w:tcBorders>
            <w:shd w:val="clear" w:color="auto" w:fill="D9EEF3"/>
            <w:noWrap/>
            <w:vAlign w:val="center"/>
            <w:hideMark/>
          </w:tcPr>
          <w:p w14:paraId="4FEA64ED" w14:textId="77777777"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t>Vrsta in kategorija  živali</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E2EA905"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2014</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0F170541"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2015</w:t>
            </w:r>
          </w:p>
        </w:tc>
        <w:tc>
          <w:tcPr>
            <w:tcW w:w="1036" w:type="dxa"/>
            <w:tcBorders>
              <w:top w:val="single" w:sz="8" w:space="0" w:color="auto"/>
              <w:left w:val="nil"/>
              <w:bottom w:val="single" w:sz="8" w:space="0" w:color="auto"/>
              <w:right w:val="single" w:sz="8" w:space="0" w:color="auto"/>
            </w:tcBorders>
            <w:shd w:val="clear" w:color="auto" w:fill="D9EEF3"/>
            <w:vAlign w:val="center"/>
            <w:hideMark/>
          </w:tcPr>
          <w:p w14:paraId="01313967"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2016</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5873CD07"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2017</w:t>
            </w:r>
          </w:p>
        </w:tc>
        <w:tc>
          <w:tcPr>
            <w:tcW w:w="1035" w:type="dxa"/>
            <w:tcBorders>
              <w:top w:val="single" w:sz="8" w:space="0" w:color="auto"/>
              <w:left w:val="nil"/>
              <w:bottom w:val="single" w:sz="8" w:space="0" w:color="auto"/>
              <w:right w:val="single" w:sz="8" w:space="0" w:color="auto"/>
            </w:tcBorders>
            <w:shd w:val="clear" w:color="auto" w:fill="D9EEF3"/>
            <w:vAlign w:val="center"/>
            <w:hideMark/>
          </w:tcPr>
          <w:p w14:paraId="6D8D709D"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2018</w:t>
            </w:r>
          </w:p>
        </w:tc>
        <w:tc>
          <w:tcPr>
            <w:tcW w:w="1036" w:type="dxa"/>
            <w:tcBorders>
              <w:top w:val="single" w:sz="4" w:space="0" w:color="auto"/>
              <w:left w:val="nil"/>
              <w:bottom w:val="single" w:sz="8" w:space="0" w:color="auto"/>
              <w:right w:val="single" w:sz="8" w:space="0" w:color="auto"/>
            </w:tcBorders>
            <w:shd w:val="clear" w:color="auto" w:fill="D9EEF3"/>
            <w:vAlign w:val="center"/>
            <w:hideMark/>
          </w:tcPr>
          <w:p w14:paraId="662631FE" w14:textId="77777777" w:rsidR="00CA6808" w:rsidRPr="007F41C6" w:rsidRDefault="00CA6808" w:rsidP="00CA6808">
            <w:pPr>
              <w:spacing w:before="120" w:after="0" w:line="240" w:lineRule="auto"/>
              <w:jc w:val="center"/>
              <w:rPr>
                <w:rFonts w:eastAsia="Times New Roman"/>
                <w:b/>
                <w:bCs/>
                <w:color w:val="000000"/>
                <w:sz w:val="16"/>
                <w:szCs w:val="16"/>
                <w:lang w:eastAsia="sl-SI"/>
              </w:rPr>
            </w:pPr>
            <w:r w:rsidRPr="007F41C6">
              <w:rPr>
                <w:rFonts w:eastAsia="Times New Roman"/>
                <w:b/>
                <w:bCs/>
                <w:color w:val="000000"/>
                <w:sz w:val="16"/>
                <w:szCs w:val="16"/>
                <w:lang w:eastAsia="sl-SI"/>
              </w:rPr>
              <w:t>2019</w:t>
            </w:r>
            <w:r w:rsidRPr="007F41C6">
              <w:rPr>
                <w:rFonts w:eastAsia="Times New Roman"/>
                <w:bCs/>
                <w:color w:val="000000"/>
                <w:sz w:val="16"/>
                <w:szCs w:val="16"/>
                <w:vertAlign w:val="superscript"/>
                <w:lang w:eastAsia="sl-SI"/>
              </w:rPr>
              <w:t>4</w:t>
            </w:r>
          </w:p>
        </w:tc>
      </w:tr>
      <w:tr w:rsidR="00CA6808" w:rsidRPr="007F41C6" w14:paraId="274CCD60" w14:textId="77777777" w:rsidTr="00CA6808">
        <w:trPr>
          <w:trHeight w:val="284"/>
          <w:jc w:val="center"/>
        </w:trPr>
        <w:tc>
          <w:tcPr>
            <w:tcW w:w="2434" w:type="dxa"/>
            <w:tcBorders>
              <w:top w:val="nil"/>
              <w:left w:val="nil"/>
              <w:bottom w:val="nil"/>
              <w:right w:val="nil"/>
            </w:tcBorders>
            <w:shd w:val="clear" w:color="auto" w:fill="auto"/>
            <w:noWrap/>
            <w:vAlign w:val="bottom"/>
            <w:hideMark/>
          </w:tcPr>
          <w:p w14:paraId="00E2E04C"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1AC3737E"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57325EDF"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426E7BE6"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2393F17C"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noWrap/>
            <w:vAlign w:val="bottom"/>
            <w:hideMark/>
          </w:tcPr>
          <w:p w14:paraId="7DA3EE18"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nil"/>
              <w:right w:val="nil"/>
            </w:tcBorders>
            <w:shd w:val="clear" w:color="auto" w:fill="auto"/>
            <w:noWrap/>
            <w:vAlign w:val="bottom"/>
            <w:hideMark/>
          </w:tcPr>
          <w:p w14:paraId="14F21CF0" w14:textId="77777777" w:rsidR="00CA6808" w:rsidRPr="007F41C6" w:rsidRDefault="00CA6808" w:rsidP="00CA6808">
            <w:pPr>
              <w:spacing w:before="120" w:after="0" w:line="240" w:lineRule="auto"/>
              <w:jc w:val="both"/>
              <w:rPr>
                <w:rFonts w:eastAsia="Times New Roman"/>
                <w:color w:val="000000"/>
                <w:sz w:val="16"/>
                <w:szCs w:val="16"/>
                <w:lang w:eastAsia="sl-SI"/>
              </w:rPr>
            </w:pPr>
          </w:p>
        </w:tc>
      </w:tr>
      <w:tr w:rsidR="00CA6808" w:rsidRPr="007F41C6" w14:paraId="67E4369C"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86F9977" w14:textId="77777777"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t>GOVEDO</w:t>
            </w:r>
          </w:p>
        </w:tc>
        <w:tc>
          <w:tcPr>
            <w:tcW w:w="1035" w:type="dxa"/>
            <w:tcBorders>
              <w:top w:val="nil"/>
              <w:left w:val="nil"/>
              <w:bottom w:val="nil"/>
              <w:right w:val="nil"/>
            </w:tcBorders>
            <w:shd w:val="clear" w:color="auto" w:fill="auto"/>
            <w:vAlign w:val="bottom"/>
            <w:hideMark/>
          </w:tcPr>
          <w:p w14:paraId="7C5F4FE8"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single" w:sz="8" w:space="0" w:color="auto"/>
              <w:right w:val="nil"/>
            </w:tcBorders>
            <w:shd w:val="clear" w:color="auto" w:fill="auto"/>
            <w:vAlign w:val="bottom"/>
            <w:hideMark/>
          </w:tcPr>
          <w:p w14:paraId="6F8963C6"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04C5A3BC"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2D272011"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auto" w:fill="auto"/>
            <w:vAlign w:val="bottom"/>
            <w:hideMark/>
          </w:tcPr>
          <w:p w14:paraId="5105EB90"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6" w:type="dxa"/>
            <w:tcBorders>
              <w:top w:val="nil"/>
              <w:left w:val="nil"/>
              <w:bottom w:val="single" w:sz="8" w:space="0" w:color="auto"/>
              <w:right w:val="nil"/>
            </w:tcBorders>
            <w:shd w:val="clear" w:color="auto" w:fill="auto"/>
            <w:vAlign w:val="bottom"/>
            <w:hideMark/>
          </w:tcPr>
          <w:p w14:paraId="6B2AE6C6" w14:textId="77777777" w:rsidR="00CA6808" w:rsidRPr="007F41C6" w:rsidRDefault="00CA6808" w:rsidP="00CA6808">
            <w:pPr>
              <w:spacing w:before="120" w:after="0" w:line="240" w:lineRule="auto"/>
              <w:jc w:val="both"/>
              <w:rPr>
                <w:rFonts w:eastAsia="Times New Roman"/>
                <w:color w:val="000000"/>
                <w:sz w:val="16"/>
                <w:szCs w:val="16"/>
                <w:lang w:eastAsia="sl-SI"/>
              </w:rPr>
            </w:pPr>
          </w:p>
        </w:tc>
      </w:tr>
      <w:tr w:rsidR="00CA6808" w:rsidRPr="007F41C6" w14:paraId="3063DEED"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90FE21A"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Teleta do 6 mesecev</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3161DAB6"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66.015</w:t>
            </w:r>
          </w:p>
        </w:tc>
        <w:tc>
          <w:tcPr>
            <w:tcW w:w="1035" w:type="dxa"/>
            <w:tcBorders>
              <w:top w:val="single" w:sz="8" w:space="0" w:color="auto"/>
              <w:left w:val="nil"/>
              <w:bottom w:val="single" w:sz="4" w:space="0" w:color="auto"/>
              <w:right w:val="single" w:sz="8" w:space="0" w:color="auto"/>
            </w:tcBorders>
            <w:shd w:val="clear" w:color="000000" w:fill="FFFFFF"/>
            <w:noWrap/>
            <w:vAlign w:val="center"/>
          </w:tcPr>
          <w:p w14:paraId="121034BD"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65.114</w:t>
            </w:r>
          </w:p>
        </w:tc>
        <w:tc>
          <w:tcPr>
            <w:tcW w:w="1036" w:type="dxa"/>
            <w:tcBorders>
              <w:top w:val="single" w:sz="8" w:space="0" w:color="auto"/>
              <w:left w:val="single" w:sz="4" w:space="0" w:color="auto"/>
              <w:bottom w:val="single" w:sz="4" w:space="0" w:color="auto"/>
              <w:right w:val="single" w:sz="8" w:space="0" w:color="auto"/>
            </w:tcBorders>
            <w:shd w:val="clear" w:color="auto" w:fill="auto"/>
            <w:noWrap/>
            <w:vAlign w:val="center"/>
          </w:tcPr>
          <w:p w14:paraId="12C3E81E"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66.480</w:t>
            </w:r>
          </w:p>
        </w:tc>
        <w:tc>
          <w:tcPr>
            <w:tcW w:w="1035" w:type="dxa"/>
            <w:tcBorders>
              <w:top w:val="single" w:sz="8" w:space="0" w:color="auto"/>
              <w:left w:val="nil"/>
              <w:bottom w:val="single" w:sz="4" w:space="0" w:color="auto"/>
              <w:right w:val="single" w:sz="8" w:space="0" w:color="auto"/>
            </w:tcBorders>
            <w:shd w:val="clear" w:color="auto" w:fill="auto"/>
            <w:noWrap/>
            <w:vAlign w:val="center"/>
          </w:tcPr>
          <w:p w14:paraId="00AC75E2"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67.683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330E4E"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66.051</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8B8B0D0"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63.348</w:t>
            </w:r>
          </w:p>
        </w:tc>
      </w:tr>
      <w:tr w:rsidR="00CA6808" w:rsidRPr="007F41C6" w14:paraId="7CE53808"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26BE8E4"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Mlado govedo od 6 mesecev do 1 leta</w:t>
            </w:r>
          </w:p>
        </w:tc>
        <w:tc>
          <w:tcPr>
            <w:tcW w:w="1035" w:type="dxa"/>
            <w:tcBorders>
              <w:top w:val="nil"/>
              <w:left w:val="nil"/>
              <w:bottom w:val="single" w:sz="4" w:space="0" w:color="auto"/>
              <w:right w:val="single" w:sz="8" w:space="0" w:color="auto"/>
            </w:tcBorders>
            <w:shd w:val="clear" w:color="auto" w:fill="auto"/>
            <w:vAlign w:val="center"/>
          </w:tcPr>
          <w:p w14:paraId="00D22E8D"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73.370</w:t>
            </w:r>
          </w:p>
        </w:tc>
        <w:tc>
          <w:tcPr>
            <w:tcW w:w="1035" w:type="dxa"/>
            <w:tcBorders>
              <w:top w:val="nil"/>
              <w:left w:val="nil"/>
              <w:bottom w:val="single" w:sz="4" w:space="0" w:color="auto"/>
              <w:right w:val="single" w:sz="8" w:space="0" w:color="auto"/>
            </w:tcBorders>
            <w:shd w:val="clear" w:color="000000" w:fill="FFFFFF"/>
            <w:vAlign w:val="center"/>
          </w:tcPr>
          <w:p w14:paraId="1A5081C9"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78.507</w:t>
            </w:r>
          </w:p>
        </w:tc>
        <w:tc>
          <w:tcPr>
            <w:tcW w:w="1036" w:type="dxa"/>
            <w:tcBorders>
              <w:top w:val="single" w:sz="4" w:space="0" w:color="auto"/>
              <w:left w:val="single" w:sz="4" w:space="0" w:color="auto"/>
              <w:bottom w:val="single" w:sz="4" w:space="0" w:color="auto"/>
              <w:right w:val="single" w:sz="8" w:space="0" w:color="auto"/>
            </w:tcBorders>
            <w:shd w:val="clear" w:color="auto" w:fill="auto"/>
            <w:vAlign w:val="center"/>
          </w:tcPr>
          <w:p w14:paraId="1D8FCD17"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81.072</w:t>
            </w:r>
          </w:p>
        </w:tc>
        <w:tc>
          <w:tcPr>
            <w:tcW w:w="1035" w:type="dxa"/>
            <w:tcBorders>
              <w:top w:val="nil"/>
              <w:left w:val="nil"/>
              <w:bottom w:val="single" w:sz="4" w:space="0" w:color="auto"/>
              <w:right w:val="single" w:sz="8" w:space="0" w:color="auto"/>
            </w:tcBorders>
            <w:shd w:val="clear" w:color="auto" w:fill="auto"/>
            <w:vAlign w:val="center"/>
          </w:tcPr>
          <w:p w14:paraId="30BBA03D"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82.733</w:t>
            </w:r>
          </w:p>
        </w:tc>
        <w:tc>
          <w:tcPr>
            <w:tcW w:w="1035" w:type="dxa"/>
            <w:tcBorders>
              <w:top w:val="nil"/>
              <w:left w:val="nil"/>
              <w:bottom w:val="single" w:sz="4" w:space="0" w:color="auto"/>
              <w:right w:val="single" w:sz="4" w:space="0" w:color="auto"/>
            </w:tcBorders>
            <w:shd w:val="clear" w:color="auto" w:fill="auto"/>
            <w:vAlign w:val="center"/>
          </w:tcPr>
          <w:p w14:paraId="28FF08A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82.801</w:t>
            </w:r>
          </w:p>
        </w:tc>
        <w:tc>
          <w:tcPr>
            <w:tcW w:w="1036" w:type="dxa"/>
            <w:tcBorders>
              <w:top w:val="nil"/>
              <w:left w:val="nil"/>
              <w:bottom w:val="single" w:sz="4" w:space="0" w:color="auto"/>
              <w:right w:val="single" w:sz="4" w:space="0" w:color="auto"/>
            </w:tcBorders>
            <w:shd w:val="clear" w:color="auto" w:fill="auto"/>
            <w:vAlign w:val="center"/>
          </w:tcPr>
          <w:p w14:paraId="5AFB7C87"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86.491</w:t>
            </w:r>
          </w:p>
        </w:tc>
      </w:tr>
      <w:tr w:rsidR="00CA6808" w:rsidRPr="007F41C6" w14:paraId="2A554794"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0A387D1"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Mlado govedo od 1 do 2 let</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C9E089D"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116.760</w:t>
            </w:r>
          </w:p>
        </w:tc>
        <w:tc>
          <w:tcPr>
            <w:tcW w:w="1035" w:type="dxa"/>
            <w:tcBorders>
              <w:top w:val="nil"/>
              <w:left w:val="nil"/>
              <w:bottom w:val="single" w:sz="4" w:space="0" w:color="auto"/>
              <w:right w:val="single" w:sz="8" w:space="0" w:color="auto"/>
            </w:tcBorders>
            <w:shd w:val="clear" w:color="000000" w:fill="FFFFFF"/>
            <w:noWrap/>
            <w:vAlign w:val="center"/>
          </w:tcPr>
          <w:p w14:paraId="75BD1E8A"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118.199</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3497F9D"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124.772</w:t>
            </w:r>
          </w:p>
        </w:tc>
        <w:tc>
          <w:tcPr>
            <w:tcW w:w="1035" w:type="dxa"/>
            <w:tcBorders>
              <w:top w:val="nil"/>
              <w:left w:val="nil"/>
              <w:bottom w:val="single" w:sz="4" w:space="0" w:color="auto"/>
              <w:right w:val="single" w:sz="8" w:space="0" w:color="auto"/>
            </w:tcBorders>
            <w:shd w:val="clear" w:color="auto" w:fill="auto"/>
            <w:noWrap/>
            <w:vAlign w:val="center"/>
          </w:tcPr>
          <w:p w14:paraId="65B1ACC8"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126.040</w:t>
            </w:r>
          </w:p>
        </w:tc>
        <w:tc>
          <w:tcPr>
            <w:tcW w:w="1035" w:type="dxa"/>
            <w:tcBorders>
              <w:top w:val="nil"/>
              <w:left w:val="nil"/>
              <w:bottom w:val="single" w:sz="4" w:space="0" w:color="auto"/>
              <w:right w:val="single" w:sz="4" w:space="0" w:color="auto"/>
            </w:tcBorders>
            <w:shd w:val="clear" w:color="auto" w:fill="auto"/>
            <w:noWrap/>
            <w:vAlign w:val="center"/>
          </w:tcPr>
          <w:p w14:paraId="6C3E7382"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122.867</w:t>
            </w:r>
          </w:p>
        </w:tc>
        <w:tc>
          <w:tcPr>
            <w:tcW w:w="1036" w:type="dxa"/>
            <w:tcBorders>
              <w:top w:val="nil"/>
              <w:left w:val="nil"/>
              <w:bottom w:val="single" w:sz="4" w:space="0" w:color="auto"/>
              <w:right w:val="single" w:sz="4" w:space="0" w:color="auto"/>
            </w:tcBorders>
            <w:shd w:val="clear" w:color="auto" w:fill="auto"/>
            <w:noWrap/>
            <w:vAlign w:val="center"/>
          </w:tcPr>
          <w:p w14:paraId="32E22FE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122.643</w:t>
            </w:r>
          </w:p>
        </w:tc>
      </w:tr>
      <w:tr w:rsidR="00CA6808" w:rsidRPr="007F41C6" w14:paraId="7031CAF5"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4A7C040"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Govedo nad 2 leti</w:t>
            </w:r>
          </w:p>
        </w:tc>
        <w:tc>
          <w:tcPr>
            <w:tcW w:w="1035" w:type="dxa"/>
            <w:tcBorders>
              <w:top w:val="single" w:sz="4" w:space="0" w:color="auto"/>
              <w:left w:val="nil"/>
              <w:bottom w:val="single" w:sz="8" w:space="0" w:color="auto"/>
              <w:right w:val="single" w:sz="8" w:space="0" w:color="auto"/>
            </w:tcBorders>
            <w:shd w:val="clear" w:color="auto" w:fill="auto"/>
            <w:noWrap/>
            <w:vAlign w:val="center"/>
          </w:tcPr>
          <w:p w14:paraId="528715AA"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187.033</w:t>
            </w:r>
          </w:p>
        </w:tc>
        <w:tc>
          <w:tcPr>
            <w:tcW w:w="1035" w:type="dxa"/>
            <w:tcBorders>
              <w:top w:val="nil"/>
              <w:left w:val="nil"/>
              <w:bottom w:val="single" w:sz="4" w:space="0" w:color="auto"/>
              <w:right w:val="single" w:sz="8" w:space="0" w:color="auto"/>
            </w:tcBorders>
            <w:shd w:val="clear" w:color="000000" w:fill="FFFFFF"/>
            <w:noWrap/>
            <w:vAlign w:val="center"/>
          </w:tcPr>
          <w:p w14:paraId="2357005D"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192.627</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B5AEF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197.042</w:t>
            </w:r>
          </w:p>
        </w:tc>
        <w:tc>
          <w:tcPr>
            <w:tcW w:w="1035" w:type="dxa"/>
            <w:tcBorders>
              <w:top w:val="nil"/>
              <w:left w:val="nil"/>
              <w:bottom w:val="single" w:sz="4" w:space="0" w:color="auto"/>
              <w:right w:val="single" w:sz="8" w:space="0" w:color="auto"/>
            </w:tcBorders>
            <w:shd w:val="clear" w:color="auto" w:fill="auto"/>
            <w:noWrap/>
            <w:vAlign w:val="center"/>
          </w:tcPr>
          <w:p w14:paraId="64057ED6"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197.312</w:t>
            </w:r>
          </w:p>
        </w:tc>
        <w:tc>
          <w:tcPr>
            <w:tcW w:w="1035" w:type="dxa"/>
            <w:tcBorders>
              <w:top w:val="nil"/>
              <w:left w:val="nil"/>
              <w:bottom w:val="single" w:sz="4" w:space="0" w:color="auto"/>
              <w:right w:val="single" w:sz="4" w:space="0" w:color="auto"/>
            </w:tcBorders>
            <w:shd w:val="clear" w:color="auto" w:fill="auto"/>
            <w:noWrap/>
            <w:vAlign w:val="center"/>
          </w:tcPr>
          <w:p w14:paraId="41DFBA6C"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191.621</w:t>
            </w:r>
          </w:p>
        </w:tc>
        <w:tc>
          <w:tcPr>
            <w:tcW w:w="1036" w:type="dxa"/>
            <w:tcBorders>
              <w:top w:val="nil"/>
              <w:left w:val="nil"/>
              <w:bottom w:val="single" w:sz="4" w:space="0" w:color="auto"/>
              <w:right w:val="single" w:sz="4" w:space="0" w:color="auto"/>
            </w:tcBorders>
            <w:shd w:val="clear" w:color="auto" w:fill="auto"/>
            <w:noWrap/>
            <w:vAlign w:val="center"/>
          </w:tcPr>
          <w:p w14:paraId="3EFFA38A"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190.390</w:t>
            </w:r>
          </w:p>
        </w:tc>
      </w:tr>
      <w:tr w:rsidR="00CA6808" w:rsidRPr="007F41C6" w14:paraId="1C0E9981"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41441370"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Pritlikavi zebu do 2 let</w:t>
            </w:r>
          </w:p>
        </w:tc>
        <w:tc>
          <w:tcPr>
            <w:tcW w:w="1035" w:type="dxa"/>
            <w:tcBorders>
              <w:top w:val="nil"/>
              <w:left w:val="nil"/>
              <w:bottom w:val="single" w:sz="8" w:space="0" w:color="auto"/>
              <w:right w:val="single" w:sz="8" w:space="0" w:color="auto"/>
            </w:tcBorders>
            <w:shd w:val="clear" w:color="auto" w:fill="auto"/>
            <w:noWrap/>
            <w:vAlign w:val="center"/>
          </w:tcPr>
          <w:p w14:paraId="6BAA8208"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9</w:t>
            </w:r>
          </w:p>
        </w:tc>
        <w:tc>
          <w:tcPr>
            <w:tcW w:w="1035" w:type="dxa"/>
            <w:tcBorders>
              <w:top w:val="nil"/>
              <w:left w:val="nil"/>
              <w:bottom w:val="single" w:sz="4" w:space="0" w:color="auto"/>
              <w:right w:val="single" w:sz="8" w:space="0" w:color="auto"/>
            </w:tcBorders>
            <w:shd w:val="clear" w:color="000000" w:fill="FFFFFF"/>
            <w:noWrap/>
            <w:vAlign w:val="center"/>
          </w:tcPr>
          <w:p w14:paraId="074B5EA7"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15</w:t>
            </w:r>
          </w:p>
        </w:tc>
        <w:tc>
          <w:tcPr>
            <w:tcW w:w="103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7AD5F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14</w:t>
            </w:r>
          </w:p>
        </w:tc>
        <w:tc>
          <w:tcPr>
            <w:tcW w:w="1035" w:type="dxa"/>
            <w:tcBorders>
              <w:top w:val="nil"/>
              <w:left w:val="nil"/>
              <w:bottom w:val="single" w:sz="4" w:space="0" w:color="auto"/>
              <w:right w:val="single" w:sz="8" w:space="0" w:color="auto"/>
            </w:tcBorders>
            <w:shd w:val="clear" w:color="auto" w:fill="auto"/>
            <w:noWrap/>
            <w:vAlign w:val="center"/>
          </w:tcPr>
          <w:p w14:paraId="106ECEB4"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20</w:t>
            </w:r>
          </w:p>
        </w:tc>
        <w:tc>
          <w:tcPr>
            <w:tcW w:w="1035" w:type="dxa"/>
            <w:tcBorders>
              <w:top w:val="nil"/>
              <w:left w:val="nil"/>
              <w:bottom w:val="single" w:sz="4" w:space="0" w:color="auto"/>
              <w:right w:val="single" w:sz="4" w:space="0" w:color="auto"/>
            </w:tcBorders>
            <w:shd w:val="clear" w:color="auto" w:fill="auto"/>
            <w:noWrap/>
            <w:vAlign w:val="center"/>
          </w:tcPr>
          <w:p w14:paraId="05FC99F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23</w:t>
            </w:r>
          </w:p>
        </w:tc>
        <w:tc>
          <w:tcPr>
            <w:tcW w:w="1036" w:type="dxa"/>
            <w:tcBorders>
              <w:top w:val="nil"/>
              <w:left w:val="nil"/>
              <w:bottom w:val="single" w:sz="4" w:space="0" w:color="auto"/>
              <w:right w:val="single" w:sz="4" w:space="0" w:color="auto"/>
            </w:tcBorders>
            <w:shd w:val="clear" w:color="auto" w:fill="auto"/>
            <w:noWrap/>
            <w:vAlign w:val="center"/>
          </w:tcPr>
          <w:p w14:paraId="46AAA87D"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10</w:t>
            </w:r>
          </w:p>
        </w:tc>
      </w:tr>
      <w:tr w:rsidR="00CA6808" w:rsidRPr="007F41C6" w14:paraId="596B0AC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7723B863"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Pritlikavi zebu nad 2 leti</w:t>
            </w:r>
          </w:p>
        </w:tc>
        <w:tc>
          <w:tcPr>
            <w:tcW w:w="1035" w:type="dxa"/>
            <w:tcBorders>
              <w:top w:val="nil"/>
              <w:left w:val="nil"/>
              <w:bottom w:val="single" w:sz="8" w:space="0" w:color="auto"/>
              <w:right w:val="single" w:sz="8" w:space="0" w:color="auto"/>
            </w:tcBorders>
            <w:shd w:val="clear" w:color="auto" w:fill="auto"/>
            <w:noWrap/>
            <w:vAlign w:val="center"/>
          </w:tcPr>
          <w:p w14:paraId="30659598"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36</w:t>
            </w:r>
          </w:p>
        </w:tc>
        <w:tc>
          <w:tcPr>
            <w:tcW w:w="1035" w:type="dxa"/>
            <w:tcBorders>
              <w:top w:val="nil"/>
              <w:left w:val="nil"/>
              <w:bottom w:val="single" w:sz="8" w:space="0" w:color="auto"/>
              <w:right w:val="single" w:sz="8" w:space="0" w:color="auto"/>
            </w:tcBorders>
            <w:shd w:val="clear" w:color="000000" w:fill="FFFFFF"/>
            <w:noWrap/>
            <w:vAlign w:val="center"/>
          </w:tcPr>
          <w:p w14:paraId="4428A3C9"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39</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6203F5E"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41</w:t>
            </w:r>
          </w:p>
        </w:tc>
        <w:tc>
          <w:tcPr>
            <w:tcW w:w="1035" w:type="dxa"/>
            <w:tcBorders>
              <w:top w:val="nil"/>
              <w:left w:val="nil"/>
              <w:bottom w:val="single" w:sz="8" w:space="0" w:color="auto"/>
              <w:right w:val="single" w:sz="8" w:space="0" w:color="auto"/>
            </w:tcBorders>
            <w:shd w:val="clear" w:color="auto" w:fill="auto"/>
            <w:noWrap/>
            <w:vAlign w:val="center"/>
          </w:tcPr>
          <w:p w14:paraId="7E2BE1D2"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42</w:t>
            </w:r>
          </w:p>
        </w:tc>
        <w:tc>
          <w:tcPr>
            <w:tcW w:w="1035" w:type="dxa"/>
            <w:tcBorders>
              <w:top w:val="nil"/>
              <w:left w:val="nil"/>
              <w:bottom w:val="single" w:sz="4" w:space="0" w:color="auto"/>
              <w:right w:val="single" w:sz="4" w:space="0" w:color="auto"/>
            </w:tcBorders>
            <w:shd w:val="clear" w:color="auto" w:fill="auto"/>
            <w:noWrap/>
            <w:vAlign w:val="center"/>
          </w:tcPr>
          <w:p w14:paraId="74832BF9"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50</w:t>
            </w:r>
          </w:p>
        </w:tc>
        <w:tc>
          <w:tcPr>
            <w:tcW w:w="1036" w:type="dxa"/>
            <w:tcBorders>
              <w:top w:val="nil"/>
              <w:left w:val="nil"/>
              <w:bottom w:val="single" w:sz="4" w:space="0" w:color="auto"/>
              <w:right w:val="single" w:sz="4" w:space="0" w:color="auto"/>
            </w:tcBorders>
            <w:shd w:val="clear" w:color="auto" w:fill="auto"/>
            <w:noWrap/>
            <w:vAlign w:val="center"/>
          </w:tcPr>
          <w:p w14:paraId="673AE4DE"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39</w:t>
            </w:r>
          </w:p>
        </w:tc>
      </w:tr>
      <w:tr w:rsidR="00CA6808" w:rsidRPr="007F41C6" w14:paraId="7BF5ADC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A88CD2D"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w:t>
            </w:r>
            <w:r w:rsidRPr="007F41C6">
              <w:rPr>
                <w:rFonts w:eastAsia="Times New Roman"/>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6D343E97"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327.558,40</w:t>
            </w:r>
          </w:p>
        </w:tc>
        <w:tc>
          <w:tcPr>
            <w:tcW w:w="1035" w:type="dxa"/>
            <w:tcBorders>
              <w:top w:val="nil"/>
              <w:left w:val="nil"/>
              <w:bottom w:val="single" w:sz="8" w:space="0" w:color="auto"/>
              <w:right w:val="single" w:sz="8" w:space="0" w:color="auto"/>
            </w:tcBorders>
            <w:shd w:val="clear" w:color="000000" w:fill="FFFFFF"/>
            <w:noWrap/>
            <w:vAlign w:val="center"/>
          </w:tcPr>
          <w:p w14:paraId="085221D1"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336.744,20</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1E8053F"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347.189,80</w:t>
            </w:r>
          </w:p>
        </w:tc>
        <w:tc>
          <w:tcPr>
            <w:tcW w:w="1035" w:type="dxa"/>
            <w:tcBorders>
              <w:top w:val="nil"/>
              <w:left w:val="nil"/>
              <w:bottom w:val="single" w:sz="8" w:space="0" w:color="auto"/>
              <w:right w:val="single" w:sz="8" w:space="0" w:color="auto"/>
            </w:tcBorders>
            <w:shd w:val="clear" w:color="auto" w:fill="auto"/>
            <w:noWrap/>
            <w:vAlign w:val="center"/>
          </w:tcPr>
          <w:p w14:paraId="4D1E362D"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349.703,00</w:t>
            </w:r>
          </w:p>
        </w:tc>
        <w:tc>
          <w:tcPr>
            <w:tcW w:w="1035" w:type="dxa"/>
            <w:tcBorders>
              <w:top w:val="nil"/>
              <w:left w:val="nil"/>
              <w:bottom w:val="single" w:sz="4" w:space="0" w:color="auto"/>
              <w:right w:val="single" w:sz="4" w:space="0" w:color="auto"/>
            </w:tcBorders>
            <w:shd w:val="clear" w:color="auto" w:fill="auto"/>
            <w:noWrap/>
            <w:vAlign w:val="center"/>
          </w:tcPr>
          <w:p w14:paraId="1B113298"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341.506,00</w:t>
            </w:r>
          </w:p>
        </w:tc>
        <w:tc>
          <w:tcPr>
            <w:tcW w:w="1036" w:type="dxa"/>
            <w:tcBorders>
              <w:top w:val="nil"/>
              <w:left w:val="nil"/>
              <w:bottom w:val="single" w:sz="4" w:space="0" w:color="auto"/>
              <w:right w:val="single" w:sz="4" w:space="0" w:color="auto"/>
            </w:tcBorders>
            <w:shd w:val="clear" w:color="auto" w:fill="auto"/>
            <w:noWrap/>
            <w:vAlign w:val="center"/>
          </w:tcPr>
          <w:p w14:paraId="7DCEA750"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341.254,60</w:t>
            </w:r>
          </w:p>
        </w:tc>
      </w:tr>
      <w:tr w:rsidR="00CA6808" w:rsidRPr="007F41C6" w14:paraId="39722183"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B19C0E2"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 v DŽ</w:t>
            </w:r>
          </w:p>
        </w:tc>
        <w:tc>
          <w:tcPr>
            <w:tcW w:w="1035" w:type="dxa"/>
            <w:tcBorders>
              <w:top w:val="nil"/>
              <w:left w:val="nil"/>
              <w:bottom w:val="single" w:sz="8" w:space="0" w:color="auto"/>
              <w:right w:val="single" w:sz="8" w:space="0" w:color="auto"/>
            </w:tcBorders>
            <w:shd w:val="clear" w:color="auto" w:fill="auto"/>
            <w:noWrap/>
            <w:vAlign w:val="center"/>
          </w:tcPr>
          <w:p w14:paraId="46095A1E"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6FD31DB1"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127059E"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71.036</w:t>
            </w:r>
          </w:p>
        </w:tc>
        <w:tc>
          <w:tcPr>
            <w:tcW w:w="1035" w:type="dxa"/>
            <w:tcBorders>
              <w:top w:val="nil"/>
              <w:left w:val="nil"/>
              <w:bottom w:val="single" w:sz="8" w:space="0" w:color="auto"/>
              <w:right w:val="single" w:sz="8" w:space="0" w:color="auto"/>
            </w:tcBorders>
            <w:shd w:val="clear" w:color="auto" w:fill="auto"/>
            <w:noWrap/>
            <w:vAlign w:val="center"/>
          </w:tcPr>
          <w:p w14:paraId="210F2AAF"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83.745</w:t>
            </w:r>
          </w:p>
        </w:tc>
        <w:tc>
          <w:tcPr>
            <w:tcW w:w="1035" w:type="dxa"/>
            <w:tcBorders>
              <w:top w:val="nil"/>
              <w:left w:val="nil"/>
              <w:bottom w:val="single" w:sz="4" w:space="0" w:color="auto"/>
              <w:right w:val="single" w:sz="4" w:space="0" w:color="auto"/>
            </w:tcBorders>
            <w:shd w:val="clear" w:color="auto" w:fill="auto"/>
            <w:noWrap/>
            <w:vAlign w:val="center"/>
          </w:tcPr>
          <w:p w14:paraId="5DE53C76"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86.118</w:t>
            </w:r>
          </w:p>
        </w:tc>
        <w:tc>
          <w:tcPr>
            <w:tcW w:w="1036" w:type="dxa"/>
            <w:tcBorders>
              <w:top w:val="nil"/>
              <w:left w:val="nil"/>
              <w:bottom w:val="single" w:sz="4" w:space="0" w:color="auto"/>
              <w:right w:val="single" w:sz="4" w:space="0" w:color="auto"/>
            </w:tcBorders>
            <w:shd w:val="clear" w:color="auto" w:fill="auto"/>
            <w:noWrap/>
            <w:vAlign w:val="center"/>
          </w:tcPr>
          <w:p w14:paraId="3E4D603F"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95.743</w:t>
            </w:r>
          </w:p>
        </w:tc>
      </w:tr>
      <w:tr w:rsidR="00CA6808" w:rsidRPr="007F41C6" w14:paraId="77017389"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A7C6326"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Delež GVŽ v DŽ (%)</w:t>
            </w:r>
          </w:p>
        </w:tc>
        <w:tc>
          <w:tcPr>
            <w:tcW w:w="1035" w:type="dxa"/>
            <w:tcBorders>
              <w:top w:val="nil"/>
              <w:left w:val="nil"/>
              <w:bottom w:val="single" w:sz="8" w:space="0" w:color="auto"/>
              <w:right w:val="single" w:sz="8" w:space="0" w:color="auto"/>
            </w:tcBorders>
            <w:shd w:val="clear" w:color="auto" w:fill="auto"/>
            <w:noWrap/>
            <w:vAlign w:val="center"/>
          </w:tcPr>
          <w:p w14:paraId="40F48A5D"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w:t>
            </w:r>
          </w:p>
        </w:tc>
        <w:tc>
          <w:tcPr>
            <w:tcW w:w="1035" w:type="dxa"/>
            <w:tcBorders>
              <w:top w:val="nil"/>
              <w:left w:val="nil"/>
              <w:bottom w:val="single" w:sz="8" w:space="0" w:color="auto"/>
              <w:right w:val="single" w:sz="8" w:space="0" w:color="auto"/>
            </w:tcBorders>
            <w:shd w:val="clear" w:color="000000" w:fill="FFFFFF"/>
            <w:noWrap/>
            <w:vAlign w:val="center"/>
          </w:tcPr>
          <w:p w14:paraId="006CD84C"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w:t>
            </w:r>
          </w:p>
        </w:tc>
        <w:tc>
          <w:tcPr>
            <w:tcW w:w="103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AB28C29"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20,46</w:t>
            </w:r>
          </w:p>
        </w:tc>
        <w:tc>
          <w:tcPr>
            <w:tcW w:w="1035" w:type="dxa"/>
            <w:tcBorders>
              <w:top w:val="nil"/>
              <w:left w:val="nil"/>
              <w:bottom w:val="single" w:sz="8" w:space="0" w:color="auto"/>
              <w:right w:val="single" w:sz="8" w:space="0" w:color="auto"/>
            </w:tcBorders>
            <w:shd w:val="clear" w:color="auto" w:fill="auto"/>
            <w:noWrap/>
            <w:vAlign w:val="center"/>
          </w:tcPr>
          <w:p w14:paraId="5EB7F5B5"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23,95</w:t>
            </w:r>
          </w:p>
        </w:tc>
        <w:tc>
          <w:tcPr>
            <w:tcW w:w="1035" w:type="dxa"/>
            <w:tcBorders>
              <w:top w:val="nil"/>
              <w:left w:val="nil"/>
              <w:bottom w:val="single" w:sz="4" w:space="0" w:color="auto"/>
              <w:right w:val="single" w:sz="4" w:space="0" w:color="auto"/>
            </w:tcBorders>
            <w:shd w:val="clear" w:color="auto" w:fill="auto"/>
            <w:noWrap/>
            <w:vAlign w:val="center"/>
          </w:tcPr>
          <w:p w14:paraId="525A0CE0"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25,22</w:t>
            </w:r>
          </w:p>
        </w:tc>
        <w:tc>
          <w:tcPr>
            <w:tcW w:w="1036" w:type="dxa"/>
            <w:tcBorders>
              <w:top w:val="nil"/>
              <w:left w:val="nil"/>
              <w:bottom w:val="single" w:sz="4" w:space="0" w:color="auto"/>
              <w:right w:val="single" w:sz="4" w:space="0" w:color="auto"/>
            </w:tcBorders>
            <w:shd w:val="clear" w:color="auto" w:fill="auto"/>
            <w:noWrap/>
            <w:vAlign w:val="center"/>
          </w:tcPr>
          <w:p w14:paraId="63ACCB55"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28,06</w:t>
            </w:r>
          </w:p>
        </w:tc>
      </w:tr>
      <w:tr w:rsidR="00CA6808" w:rsidRPr="007F41C6" w14:paraId="5B9A30AD" w14:textId="77777777" w:rsidTr="00CA6808">
        <w:trPr>
          <w:trHeight w:val="284"/>
          <w:jc w:val="center"/>
        </w:trPr>
        <w:tc>
          <w:tcPr>
            <w:tcW w:w="2434" w:type="dxa"/>
            <w:tcBorders>
              <w:top w:val="nil"/>
              <w:left w:val="nil"/>
              <w:bottom w:val="nil"/>
              <w:right w:val="nil"/>
            </w:tcBorders>
            <w:shd w:val="clear" w:color="000000" w:fill="FFFFFF"/>
            <w:vAlign w:val="center"/>
            <w:hideMark/>
          </w:tcPr>
          <w:p w14:paraId="0DBA520C"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3FEA52D4"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B7858E6"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 </w:t>
            </w:r>
          </w:p>
        </w:tc>
        <w:tc>
          <w:tcPr>
            <w:tcW w:w="1036" w:type="dxa"/>
            <w:tcBorders>
              <w:top w:val="nil"/>
              <w:left w:val="nil"/>
              <w:bottom w:val="nil"/>
              <w:right w:val="nil"/>
            </w:tcBorders>
            <w:shd w:val="clear" w:color="000000" w:fill="FFFFFF"/>
            <w:vAlign w:val="center"/>
          </w:tcPr>
          <w:p w14:paraId="72F726C6" w14:textId="77777777" w:rsidR="00CA6808" w:rsidRPr="007F41C6" w:rsidRDefault="00CA6808" w:rsidP="00CA6808">
            <w:pPr>
              <w:spacing w:before="120" w:after="0" w:line="240" w:lineRule="auto"/>
              <w:jc w:val="right"/>
              <w:rPr>
                <w:rFonts w:eastAsia="Times New Roman"/>
                <w:bCs/>
                <w:color w:val="000000"/>
                <w:sz w:val="16"/>
                <w:szCs w:val="16"/>
                <w:lang w:eastAsia="sl-SI"/>
              </w:rPr>
            </w:pPr>
          </w:p>
        </w:tc>
        <w:tc>
          <w:tcPr>
            <w:tcW w:w="1035" w:type="dxa"/>
            <w:tcBorders>
              <w:top w:val="nil"/>
              <w:left w:val="nil"/>
              <w:bottom w:val="nil"/>
              <w:right w:val="nil"/>
            </w:tcBorders>
            <w:shd w:val="clear" w:color="000000" w:fill="FFFFFF"/>
            <w:vAlign w:val="center"/>
          </w:tcPr>
          <w:p w14:paraId="0E97751D" w14:textId="77777777" w:rsidR="00CA6808" w:rsidRPr="007F41C6" w:rsidRDefault="00CA6808" w:rsidP="00CA6808">
            <w:pPr>
              <w:spacing w:before="120" w:after="0" w:line="240" w:lineRule="auto"/>
              <w:jc w:val="right"/>
              <w:rPr>
                <w:rFonts w:eastAsia="Times New Roman"/>
                <w:bCs/>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6374A4B0"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 </w:t>
            </w:r>
          </w:p>
        </w:tc>
        <w:tc>
          <w:tcPr>
            <w:tcW w:w="1036" w:type="dxa"/>
            <w:tcBorders>
              <w:top w:val="nil"/>
              <w:left w:val="nil"/>
              <w:bottom w:val="nil"/>
              <w:right w:val="nil"/>
            </w:tcBorders>
            <w:shd w:val="clear" w:color="000000" w:fill="FFFFFF"/>
            <w:vAlign w:val="center"/>
          </w:tcPr>
          <w:p w14:paraId="0CDED4E6"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 </w:t>
            </w:r>
          </w:p>
        </w:tc>
      </w:tr>
      <w:tr w:rsidR="00CA6808" w:rsidRPr="007F41C6" w14:paraId="2AAD5630"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454A54BC" w14:textId="10B4B12E"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t xml:space="preserve">DROBNICA </w:t>
            </w:r>
            <w:r w:rsidR="003F0C47">
              <w:rPr>
                <w:rFonts w:eastAsia="Times New Roman"/>
                <w:b/>
                <w:bCs/>
                <w:color w:val="000000"/>
                <w:sz w:val="16"/>
                <w:szCs w:val="16"/>
                <w:lang w:eastAsia="sl-SI"/>
              </w:rPr>
              <w:t>–</w:t>
            </w:r>
            <w:r w:rsidRPr="007F41C6">
              <w:rPr>
                <w:rFonts w:eastAsia="Times New Roman"/>
                <w:b/>
                <w:bCs/>
                <w:color w:val="000000"/>
                <w:sz w:val="16"/>
                <w:szCs w:val="16"/>
                <w:lang w:eastAsia="sl-SI"/>
              </w:rPr>
              <w:t xml:space="preserve"> OVCE</w:t>
            </w:r>
          </w:p>
        </w:tc>
        <w:tc>
          <w:tcPr>
            <w:tcW w:w="1035" w:type="dxa"/>
            <w:tcBorders>
              <w:top w:val="nil"/>
              <w:left w:val="nil"/>
              <w:bottom w:val="single" w:sz="8" w:space="0" w:color="auto"/>
              <w:right w:val="nil"/>
            </w:tcBorders>
            <w:shd w:val="clear" w:color="000000" w:fill="FFFFFF"/>
            <w:vAlign w:val="center"/>
          </w:tcPr>
          <w:p w14:paraId="4FA17BC0"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01154B39"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28F36E59"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nil"/>
              <w:right w:val="nil"/>
            </w:tcBorders>
            <w:shd w:val="clear" w:color="000000" w:fill="FFFFFF"/>
            <w:vAlign w:val="center"/>
          </w:tcPr>
          <w:p w14:paraId="1DDD1F5B"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nil"/>
              <w:right w:val="nil"/>
            </w:tcBorders>
            <w:shd w:val="clear" w:color="000000" w:fill="FFFFFF"/>
            <w:vAlign w:val="center"/>
          </w:tcPr>
          <w:p w14:paraId="4708AEED"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32B9985"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r>
      <w:tr w:rsidR="00CA6808" w:rsidRPr="007F41C6" w14:paraId="6CD49F61"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6D0453B"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Jagnjeta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0EFCC174"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30.766</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11962A87"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29.412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8EA370A"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30.544</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C4E44BC"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31.212</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41AFD2CA"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32.850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3657D7"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31.255</w:t>
            </w:r>
          </w:p>
        </w:tc>
      </w:tr>
      <w:tr w:rsidR="00CA6808" w:rsidRPr="007F41C6" w14:paraId="013FFF5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33F348FF"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 xml:space="preserve">Starejše od 1 leta oz. so že </w:t>
            </w:r>
            <w:proofErr w:type="spellStart"/>
            <w:r w:rsidRPr="007F41C6">
              <w:rPr>
                <w:rFonts w:eastAsia="Times New Roman"/>
                <w:color w:val="000000"/>
                <w:sz w:val="16"/>
                <w:szCs w:val="16"/>
                <w:lang w:eastAsia="sl-SI"/>
              </w:rPr>
              <w:t>jagnjile</w:t>
            </w:r>
            <w:proofErr w:type="spellEnd"/>
            <w:r w:rsidRPr="007F41C6">
              <w:rPr>
                <w:rFonts w:eastAsia="Times New Roman"/>
                <w:color w:val="000000"/>
                <w:sz w:val="16"/>
                <w:szCs w:val="16"/>
                <w:lang w:eastAsia="sl-SI"/>
              </w:rPr>
              <w:t xml:space="preserve"> – mlečne</w:t>
            </w:r>
          </w:p>
        </w:tc>
        <w:tc>
          <w:tcPr>
            <w:tcW w:w="1035" w:type="dxa"/>
            <w:tcBorders>
              <w:top w:val="nil"/>
              <w:left w:val="nil"/>
              <w:bottom w:val="single" w:sz="8" w:space="0" w:color="auto"/>
              <w:right w:val="single" w:sz="8" w:space="0" w:color="auto"/>
            </w:tcBorders>
            <w:shd w:val="clear" w:color="auto" w:fill="auto"/>
            <w:vAlign w:val="center"/>
          </w:tcPr>
          <w:p w14:paraId="174422C0"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BF5D780"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4.768</w:t>
            </w:r>
          </w:p>
        </w:tc>
        <w:tc>
          <w:tcPr>
            <w:tcW w:w="1036" w:type="dxa"/>
            <w:tcBorders>
              <w:top w:val="nil"/>
              <w:left w:val="single" w:sz="8" w:space="0" w:color="auto"/>
              <w:bottom w:val="single" w:sz="4" w:space="0" w:color="auto"/>
              <w:right w:val="single" w:sz="8" w:space="0" w:color="auto"/>
            </w:tcBorders>
            <w:shd w:val="clear" w:color="auto" w:fill="auto"/>
            <w:vAlign w:val="center"/>
          </w:tcPr>
          <w:p w14:paraId="11590260"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5.024</w:t>
            </w:r>
          </w:p>
        </w:tc>
        <w:tc>
          <w:tcPr>
            <w:tcW w:w="1035" w:type="dxa"/>
            <w:tcBorders>
              <w:top w:val="nil"/>
              <w:left w:val="single" w:sz="8" w:space="0" w:color="auto"/>
              <w:bottom w:val="single" w:sz="4" w:space="0" w:color="auto"/>
              <w:right w:val="single" w:sz="8" w:space="0" w:color="auto"/>
            </w:tcBorders>
            <w:shd w:val="clear" w:color="auto" w:fill="auto"/>
            <w:vAlign w:val="center"/>
          </w:tcPr>
          <w:p w14:paraId="1EBCCB2F"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4.849</w:t>
            </w:r>
          </w:p>
        </w:tc>
        <w:tc>
          <w:tcPr>
            <w:tcW w:w="1035" w:type="dxa"/>
            <w:tcBorders>
              <w:top w:val="nil"/>
              <w:left w:val="nil"/>
              <w:bottom w:val="single" w:sz="4" w:space="0" w:color="auto"/>
              <w:right w:val="single" w:sz="4" w:space="0" w:color="auto"/>
            </w:tcBorders>
            <w:shd w:val="clear" w:color="auto" w:fill="auto"/>
            <w:vAlign w:val="center"/>
          </w:tcPr>
          <w:p w14:paraId="4BCB874A"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4.892</w:t>
            </w:r>
          </w:p>
        </w:tc>
        <w:tc>
          <w:tcPr>
            <w:tcW w:w="1036" w:type="dxa"/>
            <w:tcBorders>
              <w:top w:val="nil"/>
              <w:left w:val="nil"/>
              <w:bottom w:val="single" w:sz="4" w:space="0" w:color="auto"/>
              <w:right w:val="single" w:sz="4" w:space="0" w:color="auto"/>
            </w:tcBorders>
            <w:shd w:val="clear" w:color="auto" w:fill="auto"/>
            <w:vAlign w:val="center"/>
          </w:tcPr>
          <w:p w14:paraId="5A120B15"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5.115</w:t>
            </w:r>
          </w:p>
        </w:tc>
      </w:tr>
      <w:tr w:rsidR="00CA6808" w:rsidRPr="007F41C6" w14:paraId="4870E93F"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0F3491B8"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 xml:space="preserve">Starejše od 1 leta oz. so že </w:t>
            </w:r>
            <w:proofErr w:type="spellStart"/>
            <w:r w:rsidRPr="007F41C6">
              <w:rPr>
                <w:rFonts w:eastAsia="Times New Roman"/>
                <w:color w:val="000000"/>
                <w:sz w:val="16"/>
                <w:szCs w:val="16"/>
                <w:lang w:eastAsia="sl-SI"/>
              </w:rPr>
              <w:t>jagnjile</w:t>
            </w:r>
            <w:proofErr w:type="spellEnd"/>
            <w:r w:rsidRPr="007F41C6">
              <w:rPr>
                <w:rFonts w:eastAsia="Times New Roman"/>
                <w:color w:val="000000"/>
                <w:sz w:val="16"/>
                <w:szCs w:val="16"/>
                <w:lang w:eastAsia="sl-SI"/>
              </w:rPr>
              <w:t xml:space="preserve"> – mesne</w:t>
            </w:r>
            <w:r w:rsidRPr="007F41C6">
              <w:rPr>
                <w:rFonts w:eastAsia="Times New Roman"/>
                <w:color w:val="000000"/>
                <w:sz w:val="16"/>
                <w:szCs w:val="16"/>
                <w:vertAlign w:val="superscript"/>
                <w:lang w:eastAsia="sl-SI"/>
              </w:rPr>
              <w:t>1</w:t>
            </w:r>
          </w:p>
        </w:tc>
        <w:tc>
          <w:tcPr>
            <w:tcW w:w="1035" w:type="dxa"/>
            <w:tcBorders>
              <w:top w:val="nil"/>
              <w:left w:val="nil"/>
              <w:bottom w:val="single" w:sz="8" w:space="0" w:color="auto"/>
              <w:right w:val="single" w:sz="8" w:space="0" w:color="auto"/>
            </w:tcBorders>
            <w:shd w:val="clear" w:color="auto" w:fill="auto"/>
            <w:vAlign w:val="center"/>
          </w:tcPr>
          <w:p w14:paraId="6EC6E7C7"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71.140</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5FB6C1E1"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66.873</w:t>
            </w:r>
          </w:p>
        </w:tc>
        <w:tc>
          <w:tcPr>
            <w:tcW w:w="1036" w:type="dxa"/>
            <w:tcBorders>
              <w:top w:val="nil"/>
              <w:left w:val="single" w:sz="8" w:space="0" w:color="auto"/>
              <w:bottom w:val="single" w:sz="4" w:space="0" w:color="auto"/>
              <w:right w:val="single" w:sz="8" w:space="0" w:color="auto"/>
            </w:tcBorders>
            <w:shd w:val="clear" w:color="auto" w:fill="auto"/>
            <w:vAlign w:val="center"/>
          </w:tcPr>
          <w:p w14:paraId="0138AB49"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67.370</w:t>
            </w:r>
          </w:p>
        </w:tc>
        <w:tc>
          <w:tcPr>
            <w:tcW w:w="1035" w:type="dxa"/>
            <w:tcBorders>
              <w:top w:val="nil"/>
              <w:left w:val="single" w:sz="8" w:space="0" w:color="auto"/>
              <w:bottom w:val="single" w:sz="4" w:space="0" w:color="auto"/>
              <w:right w:val="single" w:sz="8" w:space="0" w:color="auto"/>
            </w:tcBorders>
            <w:shd w:val="clear" w:color="auto" w:fill="auto"/>
            <w:vAlign w:val="center"/>
          </w:tcPr>
          <w:p w14:paraId="760FBB20"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70.722</w:t>
            </w:r>
          </w:p>
        </w:tc>
        <w:tc>
          <w:tcPr>
            <w:tcW w:w="1035" w:type="dxa"/>
            <w:tcBorders>
              <w:top w:val="nil"/>
              <w:left w:val="nil"/>
              <w:bottom w:val="single" w:sz="4" w:space="0" w:color="auto"/>
              <w:right w:val="single" w:sz="4" w:space="0" w:color="auto"/>
            </w:tcBorders>
            <w:shd w:val="clear" w:color="auto" w:fill="auto"/>
            <w:vAlign w:val="center"/>
          </w:tcPr>
          <w:p w14:paraId="548AAFE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70.471</w:t>
            </w:r>
          </w:p>
        </w:tc>
        <w:tc>
          <w:tcPr>
            <w:tcW w:w="1036" w:type="dxa"/>
            <w:tcBorders>
              <w:top w:val="nil"/>
              <w:left w:val="nil"/>
              <w:bottom w:val="single" w:sz="4" w:space="0" w:color="auto"/>
              <w:right w:val="single" w:sz="4" w:space="0" w:color="auto"/>
            </w:tcBorders>
            <w:shd w:val="clear" w:color="auto" w:fill="auto"/>
            <w:vAlign w:val="center"/>
          </w:tcPr>
          <w:p w14:paraId="678A872E"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68.947</w:t>
            </w:r>
          </w:p>
        </w:tc>
      </w:tr>
      <w:tr w:rsidR="00CA6808" w:rsidRPr="007F41C6" w14:paraId="0D8D329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2EB0E131"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Ovni starejši od 1 leta</w:t>
            </w:r>
          </w:p>
        </w:tc>
        <w:tc>
          <w:tcPr>
            <w:tcW w:w="1035" w:type="dxa"/>
            <w:tcBorders>
              <w:top w:val="nil"/>
              <w:left w:val="nil"/>
              <w:bottom w:val="single" w:sz="8" w:space="0" w:color="auto"/>
              <w:right w:val="single" w:sz="8" w:space="0" w:color="auto"/>
            </w:tcBorders>
            <w:shd w:val="clear" w:color="auto" w:fill="auto"/>
            <w:noWrap/>
            <w:vAlign w:val="center"/>
          </w:tcPr>
          <w:p w14:paraId="52BBDD5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3.754</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C26D921"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3.857</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96472E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3.913</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2D98A5F7"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4.183</w:t>
            </w:r>
          </w:p>
        </w:tc>
        <w:tc>
          <w:tcPr>
            <w:tcW w:w="1035" w:type="dxa"/>
            <w:tcBorders>
              <w:top w:val="nil"/>
              <w:left w:val="nil"/>
              <w:bottom w:val="single" w:sz="4" w:space="0" w:color="auto"/>
              <w:right w:val="single" w:sz="4" w:space="0" w:color="auto"/>
            </w:tcBorders>
            <w:shd w:val="clear" w:color="auto" w:fill="auto"/>
            <w:noWrap/>
            <w:vAlign w:val="center"/>
          </w:tcPr>
          <w:p w14:paraId="5423C859"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4.245</w:t>
            </w:r>
          </w:p>
        </w:tc>
        <w:tc>
          <w:tcPr>
            <w:tcW w:w="1036" w:type="dxa"/>
            <w:tcBorders>
              <w:top w:val="nil"/>
              <w:left w:val="nil"/>
              <w:bottom w:val="single" w:sz="4" w:space="0" w:color="auto"/>
              <w:right w:val="single" w:sz="4" w:space="0" w:color="auto"/>
            </w:tcBorders>
            <w:shd w:val="clear" w:color="auto" w:fill="auto"/>
            <w:noWrap/>
            <w:vAlign w:val="center"/>
          </w:tcPr>
          <w:p w14:paraId="7BC9F371"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4.147</w:t>
            </w:r>
          </w:p>
        </w:tc>
      </w:tr>
      <w:tr w:rsidR="00CA6808" w:rsidRPr="007F41C6" w14:paraId="58F63F46"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CDA53C5"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w:t>
            </w:r>
            <w:r w:rsidRPr="007F41C6">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8" w:space="0" w:color="auto"/>
            </w:tcBorders>
            <w:shd w:val="clear" w:color="auto" w:fill="auto"/>
            <w:noWrap/>
            <w:vAlign w:val="center"/>
          </w:tcPr>
          <w:p w14:paraId="5ECC9E02"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11.234,10</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6AD68CDD"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11.324,70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43E6E7D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11.446,05</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0C589F70"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11.963,10</w:t>
            </w:r>
          </w:p>
        </w:tc>
        <w:tc>
          <w:tcPr>
            <w:tcW w:w="1035" w:type="dxa"/>
            <w:tcBorders>
              <w:top w:val="nil"/>
              <w:left w:val="nil"/>
              <w:bottom w:val="single" w:sz="4" w:space="0" w:color="auto"/>
              <w:right w:val="single" w:sz="4" w:space="0" w:color="auto"/>
            </w:tcBorders>
            <w:shd w:val="clear" w:color="auto" w:fill="auto"/>
            <w:noWrap/>
            <w:vAlign w:val="center"/>
          </w:tcPr>
          <w:p w14:paraId="3EE942FC"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11.941,20</w:t>
            </w:r>
          </w:p>
        </w:tc>
        <w:tc>
          <w:tcPr>
            <w:tcW w:w="1036" w:type="dxa"/>
            <w:tcBorders>
              <w:top w:val="nil"/>
              <w:left w:val="nil"/>
              <w:bottom w:val="single" w:sz="4" w:space="0" w:color="auto"/>
              <w:right w:val="single" w:sz="4" w:space="0" w:color="auto"/>
            </w:tcBorders>
            <w:shd w:val="clear" w:color="auto" w:fill="auto"/>
            <w:noWrap/>
            <w:vAlign w:val="center"/>
          </w:tcPr>
          <w:p w14:paraId="15BB9956"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11.731,35</w:t>
            </w:r>
          </w:p>
        </w:tc>
      </w:tr>
      <w:tr w:rsidR="00CA6808" w:rsidRPr="007F41C6" w14:paraId="05DC872C" w14:textId="77777777" w:rsidTr="00CA6808">
        <w:trPr>
          <w:trHeight w:val="284"/>
          <w:jc w:val="center"/>
        </w:trPr>
        <w:tc>
          <w:tcPr>
            <w:tcW w:w="2434" w:type="dxa"/>
            <w:tcBorders>
              <w:top w:val="nil"/>
              <w:left w:val="nil"/>
              <w:bottom w:val="nil"/>
              <w:right w:val="nil"/>
            </w:tcBorders>
            <w:shd w:val="clear" w:color="000000" w:fill="FFFFFF"/>
            <w:vAlign w:val="center"/>
            <w:hideMark/>
          </w:tcPr>
          <w:p w14:paraId="79E641C2"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1175ADCF"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A999B4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21E65AF8"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1D3C98B7"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38BB55EF"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r>
      <w:tr w:rsidR="00CA6808" w:rsidRPr="007F41C6" w14:paraId="6561B889" w14:textId="77777777" w:rsidTr="00CF43DE">
        <w:trPr>
          <w:trHeight w:val="284"/>
          <w:jc w:val="center"/>
        </w:trPr>
        <w:tc>
          <w:tcPr>
            <w:tcW w:w="2434" w:type="dxa"/>
            <w:tcBorders>
              <w:top w:val="single" w:sz="8" w:space="0" w:color="auto"/>
              <w:left w:val="single" w:sz="8" w:space="0" w:color="auto"/>
              <w:bottom w:val="nil"/>
              <w:right w:val="single" w:sz="8" w:space="0" w:color="auto"/>
            </w:tcBorders>
            <w:shd w:val="clear" w:color="auto" w:fill="D9EEF3"/>
            <w:vAlign w:val="center"/>
            <w:hideMark/>
          </w:tcPr>
          <w:p w14:paraId="783A5230" w14:textId="6EACE454"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lastRenderedPageBreak/>
              <w:t xml:space="preserve">DROBNICA </w:t>
            </w:r>
            <w:r w:rsidR="003F0C47">
              <w:rPr>
                <w:rFonts w:eastAsia="Times New Roman"/>
                <w:b/>
                <w:bCs/>
                <w:color w:val="000000"/>
                <w:sz w:val="16"/>
                <w:szCs w:val="16"/>
                <w:lang w:eastAsia="sl-SI"/>
              </w:rPr>
              <w:t>–</w:t>
            </w:r>
            <w:r w:rsidRPr="007F41C6">
              <w:rPr>
                <w:rFonts w:eastAsia="Times New Roman"/>
                <w:b/>
                <w:bCs/>
                <w:color w:val="000000"/>
                <w:sz w:val="16"/>
                <w:szCs w:val="16"/>
                <w:lang w:eastAsia="sl-SI"/>
              </w:rPr>
              <w:t xml:space="preserve"> KOZE</w:t>
            </w:r>
          </w:p>
        </w:tc>
        <w:tc>
          <w:tcPr>
            <w:tcW w:w="2070" w:type="dxa"/>
            <w:gridSpan w:val="2"/>
            <w:tcBorders>
              <w:top w:val="nil"/>
              <w:left w:val="nil"/>
              <w:bottom w:val="nil"/>
            </w:tcBorders>
            <w:shd w:val="clear" w:color="000000" w:fill="FFFFFF"/>
            <w:vAlign w:val="center"/>
          </w:tcPr>
          <w:p w14:paraId="706FE5E8"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0FD3F9D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24204B"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4EF7B4C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0FDE7CAD"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r>
      <w:tr w:rsidR="00CA6808" w:rsidRPr="007F41C6" w14:paraId="1980550B"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0F148BE"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Kozlički do 1 leta</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73808D38"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5.200</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25B68246"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5.070</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5B084AE"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5.422</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FDEEB77"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5.213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5FC0F6B"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5.156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1E857E3"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4.876</w:t>
            </w:r>
          </w:p>
        </w:tc>
      </w:tr>
      <w:tr w:rsidR="00CA6808" w:rsidRPr="007F41C6" w14:paraId="3512AB3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B4B3599"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Starejše od 1 leta oz. so že jarile – mlečne</w:t>
            </w:r>
          </w:p>
        </w:tc>
        <w:tc>
          <w:tcPr>
            <w:tcW w:w="1035" w:type="dxa"/>
            <w:tcBorders>
              <w:top w:val="nil"/>
              <w:left w:val="nil"/>
              <w:bottom w:val="single" w:sz="4" w:space="0" w:color="auto"/>
              <w:right w:val="single" w:sz="8" w:space="0" w:color="auto"/>
            </w:tcBorders>
            <w:shd w:val="clear" w:color="auto" w:fill="auto"/>
            <w:vAlign w:val="center"/>
          </w:tcPr>
          <w:p w14:paraId="3F542E09"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1B76E810"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4.616</w:t>
            </w:r>
          </w:p>
        </w:tc>
        <w:tc>
          <w:tcPr>
            <w:tcW w:w="1036" w:type="dxa"/>
            <w:tcBorders>
              <w:top w:val="nil"/>
              <w:left w:val="single" w:sz="8" w:space="0" w:color="auto"/>
              <w:bottom w:val="single" w:sz="4" w:space="0" w:color="auto"/>
              <w:right w:val="single" w:sz="8" w:space="0" w:color="auto"/>
            </w:tcBorders>
            <w:shd w:val="clear" w:color="auto" w:fill="auto"/>
            <w:vAlign w:val="center"/>
          </w:tcPr>
          <w:p w14:paraId="3BB16AA8"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4.464</w:t>
            </w:r>
          </w:p>
        </w:tc>
        <w:tc>
          <w:tcPr>
            <w:tcW w:w="1035" w:type="dxa"/>
            <w:tcBorders>
              <w:top w:val="nil"/>
              <w:left w:val="single" w:sz="8" w:space="0" w:color="auto"/>
              <w:bottom w:val="single" w:sz="4" w:space="0" w:color="auto"/>
              <w:right w:val="single" w:sz="8" w:space="0" w:color="auto"/>
            </w:tcBorders>
            <w:shd w:val="clear" w:color="auto" w:fill="auto"/>
            <w:vAlign w:val="center"/>
          </w:tcPr>
          <w:p w14:paraId="20557564"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4.806</w:t>
            </w:r>
          </w:p>
        </w:tc>
        <w:tc>
          <w:tcPr>
            <w:tcW w:w="1035" w:type="dxa"/>
            <w:tcBorders>
              <w:top w:val="nil"/>
              <w:left w:val="nil"/>
              <w:bottom w:val="single" w:sz="4" w:space="0" w:color="auto"/>
              <w:right w:val="single" w:sz="4" w:space="0" w:color="auto"/>
            </w:tcBorders>
            <w:shd w:val="clear" w:color="auto" w:fill="auto"/>
            <w:vAlign w:val="center"/>
          </w:tcPr>
          <w:p w14:paraId="09854650"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4.821</w:t>
            </w:r>
          </w:p>
        </w:tc>
        <w:tc>
          <w:tcPr>
            <w:tcW w:w="1036" w:type="dxa"/>
            <w:tcBorders>
              <w:top w:val="nil"/>
              <w:left w:val="nil"/>
              <w:bottom w:val="single" w:sz="4" w:space="0" w:color="auto"/>
              <w:right w:val="single" w:sz="4" w:space="0" w:color="auto"/>
            </w:tcBorders>
            <w:shd w:val="clear" w:color="auto" w:fill="auto"/>
            <w:vAlign w:val="center"/>
          </w:tcPr>
          <w:p w14:paraId="58E71B64"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5.415</w:t>
            </w:r>
          </w:p>
        </w:tc>
      </w:tr>
      <w:tr w:rsidR="00CA6808" w:rsidRPr="007F41C6" w14:paraId="6078A21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84009D2"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Starejše od 1 leta oz. so že jarile – mesne</w:t>
            </w:r>
            <w:r w:rsidRPr="007F41C6">
              <w:rPr>
                <w:rFonts w:eastAsia="Times New Roman"/>
                <w:color w:val="000000"/>
                <w:sz w:val="16"/>
                <w:szCs w:val="16"/>
                <w:vertAlign w:val="superscript"/>
                <w:lang w:eastAsia="sl-SI"/>
              </w:rPr>
              <w:t>1</w:t>
            </w:r>
          </w:p>
        </w:tc>
        <w:tc>
          <w:tcPr>
            <w:tcW w:w="1035" w:type="dxa"/>
            <w:tcBorders>
              <w:top w:val="single" w:sz="4" w:space="0" w:color="auto"/>
              <w:left w:val="nil"/>
              <w:bottom w:val="single" w:sz="4" w:space="0" w:color="auto"/>
              <w:right w:val="single" w:sz="4" w:space="0" w:color="auto"/>
            </w:tcBorders>
            <w:shd w:val="clear" w:color="auto" w:fill="auto"/>
            <w:vAlign w:val="center"/>
          </w:tcPr>
          <w:p w14:paraId="3BC57BC8"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17.415</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222A6DDE"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12.691</w:t>
            </w:r>
          </w:p>
        </w:tc>
        <w:tc>
          <w:tcPr>
            <w:tcW w:w="1036" w:type="dxa"/>
            <w:tcBorders>
              <w:top w:val="nil"/>
              <w:left w:val="single" w:sz="8" w:space="0" w:color="auto"/>
              <w:bottom w:val="single" w:sz="4" w:space="0" w:color="auto"/>
              <w:right w:val="single" w:sz="8" w:space="0" w:color="auto"/>
            </w:tcBorders>
            <w:shd w:val="clear" w:color="auto" w:fill="auto"/>
            <w:vAlign w:val="center"/>
          </w:tcPr>
          <w:p w14:paraId="50C598B1"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13.035</w:t>
            </w:r>
          </w:p>
        </w:tc>
        <w:tc>
          <w:tcPr>
            <w:tcW w:w="1035" w:type="dxa"/>
            <w:tcBorders>
              <w:top w:val="nil"/>
              <w:left w:val="single" w:sz="8" w:space="0" w:color="auto"/>
              <w:bottom w:val="single" w:sz="4" w:space="0" w:color="auto"/>
              <w:right w:val="single" w:sz="8" w:space="0" w:color="auto"/>
            </w:tcBorders>
            <w:shd w:val="clear" w:color="auto" w:fill="auto"/>
            <w:vAlign w:val="center"/>
          </w:tcPr>
          <w:p w14:paraId="477F9D3C"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14.362</w:t>
            </w:r>
          </w:p>
        </w:tc>
        <w:tc>
          <w:tcPr>
            <w:tcW w:w="1035" w:type="dxa"/>
            <w:tcBorders>
              <w:top w:val="nil"/>
              <w:left w:val="nil"/>
              <w:bottom w:val="single" w:sz="4" w:space="0" w:color="auto"/>
              <w:right w:val="single" w:sz="4" w:space="0" w:color="auto"/>
            </w:tcBorders>
            <w:shd w:val="clear" w:color="auto" w:fill="auto"/>
            <w:vAlign w:val="center"/>
          </w:tcPr>
          <w:p w14:paraId="05BFE5F6"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14.336</w:t>
            </w:r>
          </w:p>
        </w:tc>
        <w:tc>
          <w:tcPr>
            <w:tcW w:w="1036" w:type="dxa"/>
            <w:tcBorders>
              <w:top w:val="nil"/>
              <w:left w:val="nil"/>
              <w:bottom w:val="single" w:sz="4" w:space="0" w:color="auto"/>
              <w:right w:val="single" w:sz="4" w:space="0" w:color="auto"/>
            </w:tcBorders>
            <w:shd w:val="clear" w:color="auto" w:fill="auto"/>
            <w:vAlign w:val="center"/>
          </w:tcPr>
          <w:p w14:paraId="2DE5B5B5"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13.038</w:t>
            </w:r>
          </w:p>
        </w:tc>
      </w:tr>
      <w:tr w:rsidR="00CA6808" w:rsidRPr="007F41C6" w14:paraId="1F96D621"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hideMark/>
          </w:tcPr>
          <w:p w14:paraId="0EEF352F"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Kozli starejši od 1 leta</w:t>
            </w:r>
          </w:p>
        </w:tc>
        <w:tc>
          <w:tcPr>
            <w:tcW w:w="1035" w:type="dxa"/>
            <w:tcBorders>
              <w:top w:val="nil"/>
              <w:left w:val="nil"/>
              <w:bottom w:val="single" w:sz="8" w:space="0" w:color="auto"/>
              <w:right w:val="single" w:sz="4" w:space="0" w:color="auto"/>
            </w:tcBorders>
            <w:shd w:val="clear" w:color="auto" w:fill="auto"/>
            <w:noWrap/>
            <w:vAlign w:val="center"/>
          </w:tcPr>
          <w:p w14:paraId="09D803F9"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bCs/>
                <w:color w:val="000000"/>
                <w:sz w:val="16"/>
                <w:szCs w:val="16"/>
                <w:lang w:eastAsia="sl-SI"/>
              </w:rPr>
              <w:t>1.642</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3F1D2E44"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1.610</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5D84B321"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1.739</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46D8DD51"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1.920</w:t>
            </w:r>
          </w:p>
        </w:tc>
        <w:tc>
          <w:tcPr>
            <w:tcW w:w="1035" w:type="dxa"/>
            <w:tcBorders>
              <w:top w:val="nil"/>
              <w:left w:val="nil"/>
              <w:bottom w:val="single" w:sz="4" w:space="0" w:color="auto"/>
              <w:right w:val="single" w:sz="4" w:space="0" w:color="auto"/>
            </w:tcBorders>
            <w:shd w:val="clear" w:color="auto" w:fill="auto"/>
            <w:noWrap/>
            <w:vAlign w:val="center"/>
          </w:tcPr>
          <w:p w14:paraId="08AF4E96"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1.945</w:t>
            </w:r>
          </w:p>
        </w:tc>
        <w:tc>
          <w:tcPr>
            <w:tcW w:w="1036" w:type="dxa"/>
            <w:tcBorders>
              <w:top w:val="nil"/>
              <w:left w:val="nil"/>
              <w:bottom w:val="single" w:sz="4" w:space="0" w:color="auto"/>
              <w:right w:val="single" w:sz="4" w:space="0" w:color="auto"/>
            </w:tcBorders>
            <w:shd w:val="clear" w:color="auto" w:fill="auto"/>
            <w:noWrap/>
            <w:vAlign w:val="center"/>
          </w:tcPr>
          <w:p w14:paraId="48668205"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1.840</w:t>
            </w:r>
          </w:p>
        </w:tc>
      </w:tr>
      <w:tr w:rsidR="00CA6808" w:rsidRPr="007F41C6" w14:paraId="1EF0301D"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78A1816F"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w:t>
            </w:r>
            <w:r w:rsidRPr="007F41C6">
              <w:rPr>
                <w:rFonts w:eastAsia="Times New Roman"/>
                <w:b/>
                <w:color w:val="000000"/>
                <w:sz w:val="16"/>
                <w:szCs w:val="16"/>
                <w:vertAlign w:val="superscript"/>
                <w:lang w:eastAsia="sl-SI"/>
              </w:rPr>
              <w:t>3</w:t>
            </w:r>
          </w:p>
        </w:tc>
        <w:tc>
          <w:tcPr>
            <w:tcW w:w="1035" w:type="dxa"/>
            <w:tcBorders>
              <w:top w:val="nil"/>
              <w:left w:val="nil"/>
              <w:bottom w:val="single" w:sz="8" w:space="0" w:color="auto"/>
              <w:right w:val="single" w:sz="4" w:space="0" w:color="auto"/>
            </w:tcBorders>
            <w:shd w:val="clear" w:color="auto" w:fill="auto"/>
            <w:noWrap/>
            <w:vAlign w:val="center"/>
          </w:tcPr>
          <w:p w14:paraId="66EF6A2C"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2.858,55</w:t>
            </w:r>
          </w:p>
        </w:tc>
        <w:tc>
          <w:tcPr>
            <w:tcW w:w="1035" w:type="dxa"/>
            <w:tcBorders>
              <w:top w:val="nil"/>
              <w:left w:val="single" w:sz="4" w:space="0" w:color="auto"/>
              <w:bottom w:val="single" w:sz="8" w:space="0" w:color="auto"/>
              <w:right w:val="single" w:sz="8" w:space="0" w:color="auto"/>
            </w:tcBorders>
            <w:shd w:val="clear" w:color="000000" w:fill="FFFFFF"/>
            <w:noWrap/>
            <w:vAlign w:val="center"/>
          </w:tcPr>
          <w:p w14:paraId="09C8F4BA"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2.837,55</w:t>
            </w:r>
          </w:p>
        </w:tc>
        <w:tc>
          <w:tcPr>
            <w:tcW w:w="1036" w:type="dxa"/>
            <w:tcBorders>
              <w:top w:val="nil"/>
              <w:left w:val="single" w:sz="8" w:space="0" w:color="auto"/>
              <w:bottom w:val="single" w:sz="8" w:space="0" w:color="auto"/>
              <w:right w:val="single" w:sz="8" w:space="0" w:color="auto"/>
            </w:tcBorders>
            <w:shd w:val="clear" w:color="auto" w:fill="auto"/>
            <w:noWrap/>
            <w:vAlign w:val="center"/>
          </w:tcPr>
          <w:p w14:paraId="7D6135C5"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2.885,70</w:t>
            </w:r>
          </w:p>
        </w:tc>
        <w:tc>
          <w:tcPr>
            <w:tcW w:w="1035" w:type="dxa"/>
            <w:tcBorders>
              <w:top w:val="nil"/>
              <w:left w:val="single" w:sz="8" w:space="0" w:color="auto"/>
              <w:bottom w:val="single" w:sz="8" w:space="0" w:color="auto"/>
              <w:right w:val="single" w:sz="8" w:space="0" w:color="auto"/>
            </w:tcBorders>
            <w:shd w:val="clear" w:color="auto" w:fill="auto"/>
            <w:noWrap/>
            <w:vAlign w:val="center"/>
          </w:tcPr>
          <w:p w14:paraId="1558BB3C"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3.163,20</w:t>
            </w:r>
          </w:p>
        </w:tc>
        <w:tc>
          <w:tcPr>
            <w:tcW w:w="1035" w:type="dxa"/>
            <w:tcBorders>
              <w:top w:val="nil"/>
              <w:left w:val="nil"/>
              <w:bottom w:val="single" w:sz="4" w:space="0" w:color="auto"/>
              <w:right w:val="single" w:sz="4" w:space="0" w:color="auto"/>
            </w:tcBorders>
            <w:shd w:val="clear" w:color="auto" w:fill="auto"/>
            <w:noWrap/>
            <w:vAlign w:val="center"/>
          </w:tcPr>
          <w:p w14:paraId="0813993C"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3.165,30</w:t>
            </w:r>
          </w:p>
        </w:tc>
        <w:tc>
          <w:tcPr>
            <w:tcW w:w="1036" w:type="dxa"/>
            <w:tcBorders>
              <w:top w:val="nil"/>
              <w:left w:val="nil"/>
              <w:bottom w:val="single" w:sz="4" w:space="0" w:color="auto"/>
              <w:right w:val="single" w:sz="4" w:space="0" w:color="auto"/>
            </w:tcBorders>
            <w:shd w:val="clear" w:color="auto" w:fill="auto"/>
            <w:noWrap/>
            <w:vAlign w:val="center"/>
          </w:tcPr>
          <w:p w14:paraId="72EA3B41"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3.043,95</w:t>
            </w:r>
          </w:p>
        </w:tc>
      </w:tr>
      <w:tr w:rsidR="00CA6808" w:rsidRPr="007F41C6" w14:paraId="5200810F" w14:textId="77777777" w:rsidTr="00CA6808">
        <w:trPr>
          <w:trHeight w:val="284"/>
          <w:jc w:val="center"/>
        </w:trPr>
        <w:tc>
          <w:tcPr>
            <w:tcW w:w="2434" w:type="dxa"/>
            <w:tcBorders>
              <w:top w:val="nil"/>
              <w:left w:val="nil"/>
              <w:bottom w:val="single" w:sz="4" w:space="0" w:color="auto"/>
              <w:right w:val="nil"/>
            </w:tcBorders>
            <w:shd w:val="clear" w:color="000000" w:fill="FFFFFF"/>
            <w:vAlign w:val="center"/>
            <w:hideMark/>
          </w:tcPr>
          <w:p w14:paraId="7F7299FB"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 </w:t>
            </w:r>
          </w:p>
        </w:tc>
        <w:tc>
          <w:tcPr>
            <w:tcW w:w="2070" w:type="dxa"/>
            <w:gridSpan w:val="2"/>
            <w:tcBorders>
              <w:top w:val="nil"/>
              <w:left w:val="nil"/>
              <w:bottom w:val="nil"/>
            </w:tcBorders>
            <w:shd w:val="clear" w:color="000000" w:fill="FFFFFF"/>
            <w:vAlign w:val="center"/>
          </w:tcPr>
          <w:p w14:paraId="6A8A1D07"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4F8896A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46081082"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3E6E1987"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0D622C4"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r>
      <w:tr w:rsidR="00CA6808" w:rsidRPr="007F41C6" w14:paraId="33846A50" w14:textId="77777777" w:rsidTr="00CF43DE">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auto" w:fill="D9EEF3"/>
            <w:vAlign w:val="center"/>
          </w:tcPr>
          <w:p w14:paraId="7863FDB4" w14:textId="651E6E59"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t xml:space="preserve">DROBNICA </w:t>
            </w:r>
            <w:r w:rsidR="003F0C47">
              <w:rPr>
                <w:rFonts w:eastAsia="Times New Roman"/>
                <w:b/>
                <w:bCs/>
                <w:color w:val="000000"/>
                <w:sz w:val="16"/>
                <w:szCs w:val="16"/>
                <w:lang w:eastAsia="sl-SI"/>
              </w:rPr>
              <w:t>–</w:t>
            </w:r>
            <w:r w:rsidRPr="007F41C6">
              <w:rPr>
                <w:rFonts w:eastAsia="Times New Roman"/>
                <w:b/>
                <w:bCs/>
                <w:color w:val="000000"/>
                <w:sz w:val="16"/>
                <w:szCs w:val="16"/>
                <w:lang w:eastAsia="sl-SI"/>
              </w:rPr>
              <w:t xml:space="preserve"> skupaj</w:t>
            </w:r>
          </w:p>
        </w:tc>
        <w:tc>
          <w:tcPr>
            <w:tcW w:w="2070" w:type="dxa"/>
            <w:gridSpan w:val="2"/>
            <w:tcBorders>
              <w:top w:val="nil"/>
              <w:left w:val="single" w:sz="4" w:space="0" w:color="auto"/>
              <w:bottom w:val="single" w:sz="4" w:space="0" w:color="auto"/>
            </w:tcBorders>
            <w:shd w:val="clear" w:color="000000" w:fill="FFFFFF"/>
            <w:vAlign w:val="center"/>
          </w:tcPr>
          <w:p w14:paraId="2F08D9C1" w14:textId="77777777" w:rsidR="00CA6808" w:rsidRPr="007F41C6" w:rsidRDefault="00CA6808" w:rsidP="00CA6808">
            <w:pPr>
              <w:spacing w:before="120" w:after="0" w:line="240" w:lineRule="auto"/>
              <w:jc w:val="right"/>
              <w:rPr>
                <w:rFonts w:eastAsia="Times New Roman"/>
                <w:sz w:val="16"/>
                <w:szCs w:val="16"/>
                <w:lang w:eastAsia="sl-SI"/>
              </w:rPr>
            </w:pPr>
          </w:p>
        </w:tc>
        <w:tc>
          <w:tcPr>
            <w:tcW w:w="1036" w:type="dxa"/>
            <w:tcBorders>
              <w:top w:val="nil"/>
              <w:left w:val="nil"/>
              <w:bottom w:val="single" w:sz="4" w:space="0" w:color="auto"/>
              <w:right w:val="nil"/>
            </w:tcBorders>
            <w:shd w:val="clear" w:color="000000" w:fill="FFFFFF"/>
            <w:vAlign w:val="center"/>
          </w:tcPr>
          <w:p w14:paraId="0196823B"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5" w:type="dxa"/>
            <w:tcBorders>
              <w:top w:val="nil"/>
              <w:left w:val="nil"/>
              <w:bottom w:val="single" w:sz="4" w:space="0" w:color="auto"/>
              <w:right w:val="nil"/>
            </w:tcBorders>
            <w:shd w:val="clear" w:color="000000" w:fill="FFFFFF"/>
            <w:vAlign w:val="center"/>
          </w:tcPr>
          <w:p w14:paraId="060EBEFE"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nil"/>
              <w:left w:val="nil"/>
              <w:bottom w:val="single" w:sz="4" w:space="0" w:color="auto"/>
              <w:right w:val="nil"/>
            </w:tcBorders>
            <w:shd w:val="clear" w:color="000000" w:fill="FFFFFF"/>
            <w:vAlign w:val="center"/>
          </w:tcPr>
          <w:p w14:paraId="7EC1DA88"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6" w:type="dxa"/>
            <w:tcBorders>
              <w:top w:val="nil"/>
              <w:left w:val="nil"/>
              <w:bottom w:val="single" w:sz="4" w:space="0" w:color="auto"/>
              <w:right w:val="nil"/>
            </w:tcBorders>
            <w:shd w:val="clear" w:color="000000" w:fill="FFFFFF"/>
            <w:vAlign w:val="center"/>
          </w:tcPr>
          <w:p w14:paraId="6DE98AF2" w14:textId="77777777" w:rsidR="00CA6808" w:rsidRPr="007F41C6" w:rsidRDefault="00CA6808" w:rsidP="00CA6808">
            <w:pPr>
              <w:spacing w:before="120" w:after="0" w:line="240" w:lineRule="auto"/>
              <w:jc w:val="right"/>
              <w:rPr>
                <w:rFonts w:eastAsia="Times New Roman"/>
                <w:sz w:val="16"/>
                <w:szCs w:val="16"/>
                <w:lang w:eastAsia="sl-SI"/>
              </w:rPr>
            </w:pPr>
          </w:p>
        </w:tc>
      </w:tr>
      <w:tr w:rsidR="00CA6808" w:rsidRPr="007F41C6" w14:paraId="02EE1A42" w14:textId="77777777" w:rsidTr="00CA6808">
        <w:trPr>
          <w:trHeight w:val="284"/>
          <w:jc w:val="center"/>
        </w:trPr>
        <w:tc>
          <w:tcPr>
            <w:tcW w:w="2434" w:type="dxa"/>
            <w:tcBorders>
              <w:top w:val="single" w:sz="4" w:space="0" w:color="auto"/>
              <w:left w:val="single" w:sz="4" w:space="0" w:color="auto"/>
              <w:bottom w:val="single" w:sz="4" w:space="0" w:color="auto"/>
              <w:right w:val="single" w:sz="4" w:space="0" w:color="auto"/>
            </w:tcBorders>
            <w:shd w:val="clear" w:color="000000" w:fill="FFFFFF"/>
            <w:vAlign w:val="center"/>
          </w:tcPr>
          <w:p w14:paraId="79EF5766"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DF8EA2D"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14092,65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13C9F96"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14162,25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0DC2EBE0"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14331,75</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9DFB491"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15126,30</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661EC287"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15106,50</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45199ECE"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14775,30</w:t>
            </w:r>
          </w:p>
        </w:tc>
      </w:tr>
      <w:tr w:rsidR="00CA6808" w:rsidRPr="007F41C6" w14:paraId="3683344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03720C27"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 v DŽ</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4948F429"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ECB9803"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33936E74"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3A0116EE"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3.791</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6D98A8A"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3.925</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72A4C76A" w14:textId="77777777" w:rsidR="00CA6808" w:rsidRPr="007F41C6" w:rsidRDefault="00CA6808" w:rsidP="00CA6808">
            <w:pPr>
              <w:spacing w:before="120" w:after="0" w:line="240" w:lineRule="auto"/>
              <w:jc w:val="right"/>
              <w:rPr>
                <w:rFonts w:eastAsia="Times New Roman"/>
                <w:bCs/>
                <w:color w:val="000000"/>
                <w:sz w:val="16"/>
                <w:szCs w:val="16"/>
                <w:lang w:eastAsia="sl-SI"/>
              </w:rPr>
            </w:pPr>
            <w:r w:rsidRPr="007F41C6">
              <w:rPr>
                <w:rFonts w:eastAsia="Times New Roman"/>
                <w:bCs/>
                <w:color w:val="000000"/>
                <w:sz w:val="16"/>
                <w:szCs w:val="16"/>
                <w:lang w:eastAsia="sl-SI"/>
              </w:rPr>
              <w:t>4.059</w:t>
            </w:r>
          </w:p>
        </w:tc>
      </w:tr>
      <w:tr w:rsidR="00CA6808" w:rsidRPr="007F41C6" w14:paraId="7E60BF17"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627A657B"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Delež GVŽ v DŽ (%)</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0C941506"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27F74BE4"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552732F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5BDAC5A2"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25,06</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14:paraId="72DCAF84"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25,98</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174648BA" w14:textId="77777777" w:rsidR="00CA6808" w:rsidRPr="007F41C6" w:rsidRDefault="00CA6808" w:rsidP="00CA6808">
            <w:pPr>
              <w:spacing w:before="120" w:after="0" w:line="240" w:lineRule="auto"/>
              <w:jc w:val="right"/>
              <w:rPr>
                <w:rFonts w:eastAsia="Times New Roman"/>
                <w:b/>
                <w:bCs/>
                <w:color w:val="000000"/>
                <w:sz w:val="16"/>
                <w:szCs w:val="16"/>
                <w:lang w:eastAsia="sl-SI"/>
              </w:rPr>
            </w:pPr>
            <w:r w:rsidRPr="007F41C6">
              <w:rPr>
                <w:rFonts w:eastAsia="Times New Roman"/>
                <w:b/>
                <w:bCs/>
                <w:color w:val="000000"/>
                <w:sz w:val="16"/>
                <w:szCs w:val="16"/>
                <w:lang w:eastAsia="sl-SI"/>
              </w:rPr>
              <w:t>27,47</w:t>
            </w:r>
          </w:p>
        </w:tc>
      </w:tr>
      <w:tr w:rsidR="00CA6808" w:rsidRPr="007F41C6" w14:paraId="58E6B33D" w14:textId="77777777" w:rsidTr="00CA6808">
        <w:trPr>
          <w:trHeight w:val="284"/>
          <w:jc w:val="center"/>
        </w:trPr>
        <w:tc>
          <w:tcPr>
            <w:tcW w:w="2434" w:type="dxa"/>
            <w:tcBorders>
              <w:top w:val="single" w:sz="4" w:space="0" w:color="auto"/>
              <w:left w:val="nil"/>
              <w:bottom w:val="single" w:sz="4" w:space="0" w:color="auto"/>
              <w:right w:val="nil"/>
            </w:tcBorders>
            <w:shd w:val="clear" w:color="000000" w:fill="FFFFFF"/>
            <w:vAlign w:val="center"/>
          </w:tcPr>
          <w:p w14:paraId="608FC60C" w14:textId="77777777" w:rsidR="00CA6808" w:rsidRPr="007F41C6" w:rsidRDefault="00CA6808" w:rsidP="00CA6808">
            <w:pPr>
              <w:spacing w:before="120" w:after="0" w:line="240" w:lineRule="auto"/>
              <w:jc w:val="both"/>
              <w:rPr>
                <w:rFonts w:eastAsia="Times New Roman"/>
                <w:color w:val="000000"/>
                <w:sz w:val="16"/>
                <w:szCs w:val="16"/>
                <w:lang w:eastAsia="sl-SI"/>
              </w:rPr>
            </w:pPr>
          </w:p>
        </w:tc>
        <w:tc>
          <w:tcPr>
            <w:tcW w:w="2070" w:type="dxa"/>
            <w:gridSpan w:val="2"/>
            <w:tcBorders>
              <w:top w:val="single" w:sz="4" w:space="0" w:color="auto"/>
              <w:left w:val="nil"/>
              <w:bottom w:val="nil"/>
            </w:tcBorders>
            <w:shd w:val="clear" w:color="000000" w:fill="FFFFFF"/>
            <w:vAlign w:val="center"/>
          </w:tcPr>
          <w:p w14:paraId="06AD9B65" w14:textId="77777777" w:rsidR="00CA6808" w:rsidRPr="007F41C6" w:rsidRDefault="00CA6808" w:rsidP="00CA6808">
            <w:pPr>
              <w:spacing w:before="120" w:after="0" w:line="240" w:lineRule="auto"/>
              <w:jc w:val="right"/>
              <w:rPr>
                <w:rFonts w:eastAsia="Times New Roman"/>
                <w:sz w:val="16"/>
                <w:szCs w:val="16"/>
                <w:lang w:eastAsia="sl-SI"/>
              </w:rPr>
            </w:pPr>
          </w:p>
        </w:tc>
        <w:tc>
          <w:tcPr>
            <w:tcW w:w="1036" w:type="dxa"/>
            <w:tcBorders>
              <w:top w:val="single" w:sz="4" w:space="0" w:color="auto"/>
              <w:left w:val="nil"/>
              <w:bottom w:val="nil"/>
              <w:right w:val="nil"/>
            </w:tcBorders>
            <w:shd w:val="clear" w:color="000000" w:fill="FFFFFF"/>
            <w:vAlign w:val="center"/>
          </w:tcPr>
          <w:p w14:paraId="4D2F2DC9"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5" w:type="dxa"/>
            <w:tcBorders>
              <w:top w:val="single" w:sz="4" w:space="0" w:color="auto"/>
              <w:left w:val="nil"/>
              <w:bottom w:val="nil"/>
              <w:right w:val="nil"/>
            </w:tcBorders>
            <w:shd w:val="clear" w:color="000000" w:fill="FFFFFF"/>
            <w:vAlign w:val="center"/>
          </w:tcPr>
          <w:p w14:paraId="25FC456C"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p>
        </w:tc>
        <w:tc>
          <w:tcPr>
            <w:tcW w:w="1035" w:type="dxa"/>
            <w:tcBorders>
              <w:top w:val="single" w:sz="4" w:space="0" w:color="auto"/>
              <w:left w:val="nil"/>
              <w:bottom w:val="nil"/>
              <w:right w:val="nil"/>
            </w:tcBorders>
            <w:shd w:val="clear" w:color="000000" w:fill="FFFFFF"/>
            <w:vAlign w:val="center"/>
          </w:tcPr>
          <w:p w14:paraId="5A000C0F" w14:textId="77777777" w:rsidR="00CA6808" w:rsidRPr="007F41C6" w:rsidRDefault="00CA6808" w:rsidP="00CA6808">
            <w:pPr>
              <w:spacing w:before="120" w:after="0" w:line="240" w:lineRule="auto"/>
              <w:jc w:val="right"/>
              <w:rPr>
                <w:rFonts w:eastAsia="Times New Roman"/>
                <w:color w:val="000000"/>
                <w:sz w:val="16"/>
                <w:szCs w:val="16"/>
                <w:lang w:eastAsia="sl-SI"/>
              </w:rPr>
            </w:pPr>
          </w:p>
        </w:tc>
        <w:tc>
          <w:tcPr>
            <w:tcW w:w="1036" w:type="dxa"/>
            <w:tcBorders>
              <w:top w:val="single" w:sz="4" w:space="0" w:color="auto"/>
              <w:left w:val="nil"/>
              <w:bottom w:val="nil"/>
              <w:right w:val="nil"/>
            </w:tcBorders>
            <w:shd w:val="clear" w:color="000000" w:fill="FFFFFF"/>
            <w:vAlign w:val="center"/>
          </w:tcPr>
          <w:p w14:paraId="4EDB94C2" w14:textId="77777777" w:rsidR="00CA6808" w:rsidRPr="007F41C6" w:rsidRDefault="00CA6808" w:rsidP="00CA6808">
            <w:pPr>
              <w:spacing w:before="120" w:after="0" w:line="240" w:lineRule="auto"/>
              <w:jc w:val="right"/>
              <w:rPr>
                <w:rFonts w:eastAsia="Times New Roman"/>
                <w:sz w:val="16"/>
                <w:szCs w:val="16"/>
                <w:lang w:eastAsia="sl-SI"/>
              </w:rPr>
            </w:pPr>
          </w:p>
        </w:tc>
      </w:tr>
      <w:tr w:rsidR="00CA6808" w:rsidRPr="007F41C6" w14:paraId="42B5CED5" w14:textId="77777777" w:rsidTr="00CF43DE">
        <w:trPr>
          <w:trHeight w:val="284"/>
          <w:jc w:val="center"/>
        </w:trPr>
        <w:tc>
          <w:tcPr>
            <w:tcW w:w="2434" w:type="dxa"/>
            <w:tcBorders>
              <w:top w:val="single" w:sz="4" w:space="0" w:color="auto"/>
              <w:left w:val="single" w:sz="8" w:space="0" w:color="auto"/>
              <w:bottom w:val="single" w:sz="8" w:space="0" w:color="auto"/>
              <w:right w:val="single" w:sz="8" w:space="0" w:color="auto"/>
            </w:tcBorders>
            <w:shd w:val="clear" w:color="auto" w:fill="D9EEF3"/>
            <w:vAlign w:val="center"/>
            <w:hideMark/>
          </w:tcPr>
          <w:p w14:paraId="2577000E" w14:textId="77777777" w:rsidR="00CA6808" w:rsidRPr="007F41C6" w:rsidRDefault="00CA6808" w:rsidP="00CA6808">
            <w:pPr>
              <w:spacing w:before="120" w:after="0" w:line="240" w:lineRule="auto"/>
              <w:jc w:val="both"/>
              <w:rPr>
                <w:rFonts w:eastAsia="Times New Roman"/>
                <w:b/>
                <w:bCs/>
                <w:color w:val="000000"/>
                <w:sz w:val="16"/>
                <w:szCs w:val="16"/>
                <w:lang w:eastAsia="sl-SI"/>
              </w:rPr>
            </w:pPr>
            <w:r w:rsidRPr="007F41C6">
              <w:rPr>
                <w:rFonts w:eastAsia="Times New Roman"/>
                <w:b/>
                <w:bCs/>
                <w:color w:val="000000"/>
                <w:sz w:val="16"/>
                <w:szCs w:val="16"/>
                <w:lang w:eastAsia="sl-SI"/>
              </w:rPr>
              <w:t>PRAŠIČI</w:t>
            </w:r>
          </w:p>
        </w:tc>
        <w:tc>
          <w:tcPr>
            <w:tcW w:w="2070" w:type="dxa"/>
            <w:gridSpan w:val="2"/>
            <w:tcBorders>
              <w:top w:val="nil"/>
              <w:left w:val="nil"/>
              <w:bottom w:val="nil"/>
            </w:tcBorders>
            <w:shd w:val="clear" w:color="000000" w:fill="FFFFFF"/>
            <w:vAlign w:val="center"/>
          </w:tcPr>
          <w:p w14:paraId="6149EB35"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c>
          <w:tcPr>
            <w:tcW w:w="1036" w:type="dxa"/>
            <w:tcBorders>
              <w:top w:val="nil"/>
              <w:left w:val="nil"/>
              <w:bottom w:val="nil"/>
              <w:right w:val="nil"/>
            </w:tcBorders>
            <w:shd w:val="clear" w:color="000000" w:fill="FFFFFF"/>
            <w:vAlign w:val="center"/>
          </w:tcPr>
          <w:p w14:paraId="6BD12D16"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5" w:type="dxa"/>
            <w:tcBorders>
              <w:top w:val="nil"/>
              <w:left w:val="nil"/>
              <w:bottom w:val="nil"/>
              <w:right w:val="nil"/>
            </w:tcBorders>
            <w:shd w:val="clear" w:color="000000" w:fill="FFFFFF"/>
            <w:vAlign w:val="center"/>
          </w:tcPr>
          <w:p w14:paraId="52BBA737"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 </w:t>
            </w:r>
          </w:p>
        </w:tc>
        <w:tc>
          <w:tcPr>
            <w:tcW w:w="1035" w:type="dxa"/>
            <w:tcBorders>
              <w:top w:val="nil"/>
              <w:left w:val="nil"/>
              <w:bottom w:val="nil"/>
              <w:right w:val="nil"/>
            </w:tcBorders>
            <w:shd w:val="clear" w:color="000000" w:fill="FFFFFF"/>
            <w:vAlign w:val="center"/>
          </w:tcPr>
          <w:p w14:paraId="040ADD7F"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 </w:t>
            </w:r>
          </w:p>
        </w:tc>
        <w:tc>
          <w:tcPr>
            <w:tcW w:w="1036" w:type="dxa"/>
            <w:tcBorders>
              <w:top w:val="nil"/>
              <w:left w:val="nil"/>
              <w:bottom w:val="nil"/>
              <w:right w:val="nil"/>
            </w:tcBorders>
            <w:shd w:val="clear" w:color="000000" w:fill="FFFFFF"/>
            <w:vAlign w:val="center"/>
          </w:tcPr>
          <w:p w14:paraId="2FE015E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 </w:t>
            </w:r>
          </w:p>
        </w:tc>
      </w:tr>
      <w:tr w:rsidR="00CA6808" w:rsidRPr="007F41C6" w14:paraId="1AA60DEA" w14:textId="77777777" w:rsidTr="00CA6808">
        <w:trPr>
          <w:trHeight w:val="284"/>
          <w:jc w:val="center"/>
        </w:trPr>
        <w:tc>
          <w:tcPr>
            <w:tcW w:w="243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3CCA1E3"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Sesni pujski</w:t>
            </w:r>
          </w:p>
        </w:tc>
        <w:tc>
          <w:tcPr>
            <w:tcW w:w="1035" w:type="dxa"/>
            <w:tcBorders>
              <w:top w:val="single" w:sz="8" w:space="0" w:color="auto"/>
              <w:left w:val="nil"/>
              <w:bottom w:val="single" w:sz="4" w:space="0" w:color="auto"/>
              <w:right w:val="single" w:sz="4" w:space="0" w:color="auto"/>
            </w:tcBorders>
            <w:shd w:val="clear" w:color="auto" w:fill="auto"/>
            <w:noWrap/>
            <w:vAlign w:val="center"/>
          </w:tcPr>
          <w:p w14:paraId="6C6B5981"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w:t>
            </w:r>
          </w:p>
        </w:tc>
        <w:tc>
          <w:tcPr>
            <w:tcW w:w="1035" w:type="dxa"/>
            <w:tcBorders>
              <w:top w:val="single" w:sz="8" w:space="0" w:color="auto"/>
              <w:left w:val="single" w:sz="4" w:space="0" w:color="auto"/>
              <w:bottom w:val="single" w:sz="4" w:space="0" w:color="auto"/>
              <w:right w:val="single" w:sz="8" w:space="0" w:color="auto"/>
            </w:tcBorders>
            <w:shd w:val="clear" w:color="000000" w:fill="FFFFFF"/>
            <w:noWrap/>
            <w:vAlign w:val="center"/>
          </w:tcPr>
          <w:p w14:paraId="6D55941C"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34.192</w:t>
            </w:r>
          </w:p>
        </w:tc>
        <w:tc>
          <w:tcPr>
            <w:tcW w:w="1036"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71FE5E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33.903</w:t>
            </w:r>
          </w:p>
        </w:tc>
        <w:tc>
          <w:tcPr>
            <w:tcW w:w="103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DC32F12"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33.023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3F1BE2C"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42.418</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1C1988E9"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41.116</w:t>
            </w:r>
          </w:p>
        </w:tc>
      </w:tr>
      <w:tr w:rsidR="00CA6808" w:rsidRPr="007F41C6" w14:paraId="558963CD"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6F70977B"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Tekači do 30 kg</w:t>
            </w:r>
            <w:r w:rsidRPr="007F41C6">
              <w:rPr>
                <w:rFonts w:eastAsia="Times New Roman"/>
                <w:color w:val="000000"/>
                <w:sz w:val="16"/>
                <w:szCs w:val="16"/>
                <w:vertAlign w:val="superscript"/>
                <w:lang w:eastAsia="sl-SI"/>
              </w:rPr>
              <w:t>2</w:t>
            </w:r>
          </w:p>
        </w:tc>
        <w:tc>
          <w:tcPr>
            <w:tcW w:w="1035" w:type="dxa"/>
            <w:tcBorders>
              <w:top w:val="nil"/>
              <w:left w:val="nil"/>
              <w:bottom w:val="single" w:sz="4" w:space="0" w:color="auto"/>
              <w:right w:val="single" w:sz="4" w:space="0" w:color="auto"/>
            </w:tcBorders>
            <w:shd w:val="clear" w:color="auto" w:fill="auto"/>
            <w:noWrap/>
            <w:vAlign w:val="center"/>
          </w:tcPr>
          <w:p w14:paraId="4D7042D8"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39.000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66C1275E"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49.494</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1B102541"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49.139</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5571FBDD"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45.307</w:t>
            </w:r>
          </w:p>
        </w:tc>
        <w:tc>
          <w:tcPr>
            <w:tcW w:w="1035" w:type="dxa"/>
            <w:tcBorders>
              <w:top w:val="nil"/>
              <w:left w:val="nil"/>
              <w:bottom w:val="single" w:sz="4" w:space="0" w:color="auto"/>
              <w:right w:val="single" w:sz="4" w:space="0" w:color="auto"/>
            </w:tcBorders>
            <w:shd w:val="clear" w:color="auto" w:fill="auto"/>
            <w:noWrap/>
            <w:vAlign w:val="center"/>
          </w:tcPr>
          <w:p w14:paraId="10D8318B"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29.978</w:t>
            </w:r>
          </w:p>
        </w:tc>
        <w:tc>
          <w:tcPr>
            <w:tcW w:w="1036" w:type="dxa"/>
            <w:tcBorders>
              <w:top w:val="nil"/>
              <w:left w:val="nil"/>
              <w:bottom w:val="single" w:sz="4" w:space="0" w:color="auto"/>
              <w:right w:val="single" w:sz="4" w:space="0" w:color="auto"/>
            </w:tcBorders>
            <w:shd w:val="clear" w:color="auto" w:fill="auto"/>
            <w:noWrap/>
            <w:vAlign w:val="center"/>
          </w:tcPr>
          <w:p w14:paraId="50F15652"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29.670</w:t>
            </w:r>
          </w:p>
        </w:tc>
      </w:tr>
      <w:tr w:rsidR="00CA6808" w:rsidRPr="007F41C6" w14:paraId="56500AD0"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12C68B6A"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Prašiči pitanci in plemenski prašiči od 30 do 110 kg</w:t>
            </w:r>
          </w:p>
        </w:tc>
        <w:tc>
          <w:tcPr>
            <w:tcW w:w="1035" w:type="dxa"/>
            <w:tcBorders>
              <w:top w:val="nil"/>
              <w:left w:val="nil"/>
              <w:bottom w:val="single" w:sz="4" w:space="0" w:color="auto"/>
              <w:right w:val="single" w:sz="4" w:space="0" w:color="auto"/>
            </w:tcBorders>
            <w:shd w:val="clear" w:color="auto" w:fill="auto"/>
            <w:vAlign w:val="center"/>
          </w:tcPr>
          <w:p w14:paraId="65DF101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167.923</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397A01A0"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110.007</w:t>
            </w:r>
          </w:p>
        </w:tc>
        <w:tc>
          <w:tcPr>
            <w:tcW w:w="1036" w:type="dxa"/>
            <w:tcBorders>
              <w:top w:val="nil"/>
              <w:left w:val="single" w:sz="8" w:space="0" w:color="auto"/>
              <w:bottom w:val="single" w:sz="4" w:space="0" w:color="auto"/>
              <w:right w:val="single" w:sz="8" w:space="0" w:color="auto"/>
            </w:tcBorders>
            <w:shd w:val="clear" w:color="auto" w:fill="auto"/>
            <w:vAlign w:val="center"/>
          </w:tcPr>
          <w:p w14:paraId="189D2FD8"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92.787</w:t>
            </w:r>
          </w:p>
        </w:tc>
        <w:tc>
          <w:tcPr>
            <w:tcW w:w="1035" w:type="dxa"/>
            <w:tcBorders>
              <w:top w:val="nil"/>
              <w:left w:val="single" w:sz="8" w:space="0" w:color="auto"/>
              <w:bottom w:val="single" w:sz="4" w:space="0" w:color="auto"/>
              <w:right w:val="single" w:sz="8" w:space="0" w:color="auto"/>
            </w:tcBorders>
            <w:shd w:val="clear" w:color="auto" w:fill="auto"/>
            <w:vAlign w:val="center"/>
          </w:tcPr>
          <w:p w14:paraId="61412757"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95.061</w:t>
            </w:r>
          </w:p>
        </w:tc>
        <w:tc>
          <w:tcPr>
            <w:tcW w:w="1035" w:type="dxa"/>
            <w:tcBorders>
              <w:top w:val="nil"/>
              <w:left w:val="nil"/>
              <w:bottom w:val="single" w:sz="4" w:space="0" w:color="auto"/>
              <w:right w:val="single" w:sz="4" w:space="0" w:color="auto"/>
            </w:tcBorders>
            <w:shd w:val="clear" w:color="auto" w:fill="auto"/>
            <w:vAlign w:val="center"/>
          </w:tcPr>
          <w:p w14:paraId="1B8F2573"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47.742</w:t>
            </w:r>
          </w:p>
        </w:tc>
        <w:tc>
          <w:tcPr>
            <w:tcW w:w="1036" w:type="dxa"/>
            <w:tcBorders>
              <w:top w:val="nil"/>
              <w:left w:val="nil"/>
              <w:bottom w:val="single" w:sz="4" w:space="0" w:color="auto"/>
              <w:right w:val="single" w:sz="4" w:space="0" w:color="auto"/>
            </w:tcBorders>
            <w:shd w:val="clear" w:color="auto" w:fill="auto"/>
            <w:vAlign w:val="center"/>
          </w:tcPr>
          <w:p w14:paraId="5D9C7562"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49.226</w:t>
            </w:r>
          </w:p>
        </w:tc>
      </w:tr>
      <w:tr w:rsidR="00CA6808" w:rsidRPr="007F41C6" w14:paraId="094A2A7C"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57BBC213"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Mladi prašiči od 30 do 150 kg (kmečka reja)</w:t>
            </w:r>
          </w:p>
        </w:tc>
        <w:tc>
          <w:tcPr>
            <w:tcW w:w="1035" w:type="dxa"/>
            <w:tcBorders>
              <w:top w:val="nil"/>
              <w:left w:val="nil"/>
              <w:bottom w:val="single" w:sz="4" w:space="0" w:color="auto"/>
              <w:right w:val="single" w:sz="4" w:space="0" w:color="auto"/>
            </w:tcBorders>
            <w:shd w:val="clear" w:color="auto" w:fill="auto"/>
            <w:vAlign w:val="center"/>
          </w:tcPr>
          <w:p w14:paraId="59113E0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w:t>
            </w:r>
          </w:p>
        </w:tc>
        <w:tc>
          <w:tcPr>
            <w:tcW w:w="1035" w:type="dxa"/>
            <w:tcBorders>
              <w:top w:val="nil"/>
              <w:left w:val="single" w:sz="4" w:space="0" w:color="auto"/>
              <w:bottom w:val="single" w:sz="4" w:space="0" w:color="auto"/>
              <w:right w:val="single" w:sz="8" w:space="0" w:color="auto"/>
            </w:tcBorders>
            <w:shd w:val="clear" w:color="000000" w:fill="FFFFFF"/>
            <w:vAlign w:val="center"/>
          </w:tcPr>
          <w:p w14:paraId="058648D3"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44.135</w:t>
            </w:r>
          </w:p>
        </w:tc>
        <w:tc>
          <w:tcPr>
            <w:tcW w:w="1036" w:type="dxa"/>
            <w:tcBorders>
              <w:top w:val="nil"/>
              <w:left w:val="single" w:sz="8" w:space="0" w:color="auto"/>
              <w:bottom w:val="single" w:sz="4" w:space="0" w:color="auto"/>
              <w:right w:val="single" w:sz="8" w:space="0" w:color="auto"/>
            </w:tcBorders>
            <w:shd w:val="clear" w:color="auto" w:fill="auto"/>
            <w:vAlign w:val="center"/>
          </w:tcPr>
          <w:p w14:paraId="0BA480CD"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54.237</w:t>
            </w:r>
          </w:p>
        </w:tc>
        <w:tc>
          <w:tcPr>
            <w:tcW w:w="1035" w:type="dxa"/>
            <w:tcBorders>
              <w:top w:val="nil"/>
              <w:left w:val="single" w:sz="8" w:space="0" w:color="auto"/>
              <w:bottom w:val="single" w:sz="4" w:space="0" w:color="auto"/>
              <w:right w:val="single" w:sz="8" w:space="0" w:color="auto"/>
            </w:tcBorders>
            <w:shd w:val="clear" w:color="auto" w:fill="auto"/>
            <w:vAlign w:val="center"/>
          </w:tcPr>
          <w:p w14:paraId="40EDEA26"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43.234</w:t>
            </w:r>
          </w:p>
        </w:tc>
        <w:tc>
          <w:tcPr>
            <w:tcW w:w="1035" w:type="dxa"/>
            <w:tcBorders>
              <w:top w:val="nil"/>
              <w:left w:val="nil"/>
              <w:bottom w:val="single" w:sz="4" w:space="0" w:color="auto"/>
              <w:right w:val="single" w:sz="4" w:space="0" w:color="auto"/>
            </w:tcBorders>
            <w:shd w:val="clear" w:color="auto" w:fill="auto"/>
            <w:vAlign w:val="center"/>
          </w:tcPr>
          <w:p w14:paraId="023C9E0F"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96.446</w:t>
            </w:r>
          </w:p>
        </w:tc>
        <w:tc>
          <w:tcPr>
            <w:tcW w:w="1036" w:type="dxa"/>
            <w:tcBorders>
              <w:top w:val="nil"/>
              <w:left w:val="nil"/>
              <w:bottom w:val="single" w:sz="4" w:space="0" w:color="auto"/>
              <w:right w:val="single" w:sz="4" w:space="0" w:color="auto"/>
            </w:tcBorders>
            <w:shd w:val="clear" w:color="auto" w:fill="auto"/>
            <w:vAlign w:val="center"/>
          </w:tcPr>
          <w:p w14:paraId="6A88484A"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98.136</w:t>
            </w:r>
          </w:p>
        </w:tc>
      </w:tr>
      <w:tr w:rsidR="00CA6808" w:rsidRPr="007F41C6" w14:paraId="2AA5A087"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7D4C9B3A"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Plemenski merjasci</w:t>
            </w:r>
          </w:p>
        </w:tc>
        <w:tc>
          <w:tcPr>
            <w:tcW w:w="1035" w:type="dxa"/>
            <w:tcBorders>
              <w:top w:val="nil"/>
              <w:left w:val="nil"/>
              <w:bottom w:val="single" w:sz="4" w:space="0" w:color="auto"/>
              <w:right w:val="single" w:sz="4" w:space="0" w:color="auto"/>
            </w:tcBorders>
            <w:shd w:val="clear" w:color="auto" w:fill="auto"/>
            <w:noWrap/>
            <w:vAlign w:val="center"/>
          </w:tcPr>
          <w:p w14:paraId="7EEC0B82"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890</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40827BC7"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898</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68D35D61"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888</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0FB23526"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831</w:t>
            </w:r>
          </w:p>
        </w:tc>
        <w:tc>
          <w:tcPr>
            <w:tcW w:w="1035" w:type="dxa"/>
            <w:tcBorders>
              <w:top w:val="nil"/>
              <w:left w:val="nil"/>
              <w:bottom w:val="single" w:sz="4" w:space="0" w:color="auto"/>
              <w:right w:val="single" w:sz="4" w:space="0" w:color="auto"/>
            </w:tcBorders>
            <w:shd w:val="clear" w:color="auto" w:fill="auto"/>
            <w:noWrap/>
            <w:vAlign w:val="center"/>
          </w:tcPr>
          <w:p w14:paraId="42AD9D4A"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820</w:t>
            </w:r>
          </w:p>
        </w:tc>
        <w:tc>
          <w:tcPr>
            <w:tcW w:w="1036" w:type="dxa"/>
            <w:tcBorders>
              <w:top w:val="nil"/>
              <w:left w:val="nil"/>
              <w:bottom w:val="single" w:sz="4" w:space="0" w:color="auto"/>
              <w:right w:val="single" w:sz="4" w:space="0" w:color="auto"/>
            </w:tcBorders>
            <w:shd w:val="clear" w:color="auto" w:fill="auto"/>
            <w:noWrap/>
            <w:vAlign w:val="center"/>
          </w:tcPr>
          <w:p w14:paraId="1977F95A"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751</w:t>
            </w:r>
          </w:p>
        </w:tc>
      </w:tr>
      <w:tr w:rsidR="00CA6808" w:rsidRPr="007F41C6" w14:paraId="6DEF1C92" w14:textId="77777777" w:rsidTr="00CA6808">
        <w:trPr>
          <w:trHeight w:val="284"/>
          <w:jc w:val="center"/>
        </w:trPr>
        <w:tc>
          <w:tcPr>
            <w:tcW w:w="2434" w:type="dxa"/>
            <w:tcBorders>
              <w:top w:val="nil"/>
              <w:left w:val="single" w:sz="8" w:space="0" w:color="auto"/>
              <w:bottom w:val="single" w:sz="4" w:space="0" w:color="auto"/>
              <w:right w:val="single" w:sz="8" w:space="0" w:color="auto"/>
            </w:tcBorders>
            <w:shd w:val="clear" w:color="000000" w:fill="FFFFFF"/>
            <w:vAlign w:val="center"/>
            <w:hideMark/>
          </w:tcPr>
          <w:p w14:paraId="2F0C22AD"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Plemenske mladice</w:t>
            </w:r>
          </w:p>
        </w:tc>
        <w:tc>
          <w:tcPr>
            <w:tcW w:w="1035" w:type="dxa"/>
            <w:tcBorders>
              <w:top w:val="nil"/>
              <w:left w:val="nil"/>
              <w:bottom w:val="single" w:sz="4" w:space="0" w:color="auto"/>
              <w:right w:val="single" w:sz="4" w:space="0" w:color="auto"/>
            </w:tcBorders>
            <w:shd w:val="clear" w:color="auto" w:fill="auto"/>
            <w:noWrap/>
            <w:vAlign w:val="center"/>
          </w:tcPr>
          <w:p w14:paraId="7F9B1332"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6.137</w:t>
            </w:r>
          </w:p>
        </w:tc>
        <w:tc>
          <w:tcPr>
            <w:tcW w:w="1035" w:type="dxa"/>
            <w:tcBorders>
              <w:top w:val="nil"/>
              <w:left w:val="single" w:sz="4" w:space="0" w:color="auto"/>
              <w:bottom w:val="single" w:sz="4" w:space="0" w:color="auto"/>
              <w:right w:val="single" w:sz="8" w:space="0" w:color="auto"/>
            </w:tcBorders>
            <w:shd w:val="clear" w:color="000000" w:fill="FFFFFF"/>
            <w:noWrap/>
            <w:vAlign w:val="center"/>
          </w:tcPr>
          <w:p w14:paraId="7B3C68E2"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5.185</w:t>
            </w:r>
          </w:p>
        </w:tc>
        <w:tc>
          <w:tcPr>
            <w:tcW w:w="1036" w:type="dxa"/>
            <w:tcBorders>
              <w:top w:val="nil"/>
              <w:left w:val="single" w:sz="8" w:space="0" w:color="auto"/>
              <w:bottom w:val="single" w:sz="4" w:space="0" w:color="auto"/>
              <w:right w:val="single" w:sz="8" w:space="0" w:color="auto"/>
            </w:tcBorders>
            <w:shd w:val="clear" w:color="auto" w:fill="auto"/>
            <w:noWrap/>
            <w:vAlign w:val="center"/>
          </w:tcPr>
          <w:p w14:paraId="5790B2E4"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5.131</w:t>
            </w:r>
          </w:p>
        </w:tc>
        <w:tc>
          <w:tcPr>
            <w:tcW w:w="1035" w:type="dxa"/>
            <w:tcBorders>
              <w:top w:val="nil"/>
              <w:left w:val="single" w:sz="8" w:space="0" w:color="auto"/>
              <w:bottom w:val="single" w:sz="4" w:space="0" w:color="auto"/>
              <w:right w:val="single" w:sz="8" w:space="0" w:color="auto"/>
            </w:tcBorders>
            <w:shd w:val="clear" w:color="auto" w:fill="auto"/>
            <w:noWrap/>
            <w:vAlign w:val="center"/>
          </w:tcPr>
          <w:p w14:paraId="652BBA5B"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4.753</w:t>
            </w:r>
          </w:p>
        </w:tc>
        <w:tc>
          <w:tcPr>
            <w:tcW w:w="1035" w:type="dxa"/>
            <w:tcBorders>
              <w:top w:val="nil"/>
              <w:left w:val="nil"/>
              <w:bottom w:val="single" w:sz="4" w:space="0" w:color="auto"/>
              <w:right w:val="single" w:sz="4" w:space="0" w:color="auto"/>
            </w:tcBorders>
            <w:shd w:val="clear" w:color="auto" w:fill="auto"/>
            <w:noWrap/>
            <w:vAlign w:val="center"/>
          </w:tcPr>
          <w:p w14:paraId="5999139E"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4.977</w:t>
            </w:r>
          </w:p>
        </w:tc>
        <w:tc>
          <w:tcPr>
            <w:tcW w:w="1036" w:type="dxa"/>
            <w:tcBorders>
              <w:top w:val="nil"/>
              <w:left w:val="nil"/>
              <w:bottom w:val="single" w:sz="4" w:space="0" w:color="auto"/>
              <w:right w:val="single" w:sz="4" w:space="0" w:color="auto"/>
            </w:tcBorders>
            <w:shd w:val="clear" w:color="auto" w:fill="auto"/>
            <w:noWrap/>
            <w:vAlign w:val="center"/>
          </w:tcPr>
          <w:p w14:paraId="60927714"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4.570</w:t>
            </w:r>
          </w:p>
        </w:tc>
      </w:tr>
      <w:tr w:rsidR="00CA6808" w:rsidRPr="007F41C6" w14:paraId="48D660DD"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927F2DF" w14:textId="77777777" w:rsidR="00CA6808" w:rsidRPr="007F41C6" w:rsidRDefault="00CA6808" w:rsidP="00CA6808">
            <w:pPr>
              <w:spacing w:before="120" w:after="0" w:line="240" w:lineRule="auto"/>
              <w:jc w:val="both"/>
              <w:rPr>
                <w:rFonts w:eastAsia="Times New Roman"/>
                <w:color w:val="000000"/>
                <w:sz w:val="16"/>
                <w:szCs w:val="16"/>
                <w:lang w:eastAsia="sl-SI"/>
              </w:rPr>
            </w:pPr>
            <w:r w:rsidRPr="007F41C6">
              <w:rPr>
                <w:rFonts w:eastAsia="Times New Roman"/>
                <w:color w:val="000000"/>
                <w:sz w:val="16"/>
                <w:szCs w:val="16"/>
                <w:lang w:eastAsia="sl-SI"/>
              </w:rPr>
              <w:t>Plemenske svinje</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C9D02CB"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20.349</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E80FEEA"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19.871</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C01055"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19.392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3F3EA2" w14:textId="77777777" w:rsidR="00CA6808" w:rsidRPr="007F41C6" w:rsidRDefault="00CA6808" w:rsidP="00CA6808">
            <w:pPr>
              <w:spacing w:before="120" w:after="0" w:line="240" w:lineRule="auto"/>
              <w:jc w:val="right"/>
              <w:rPr>
                <w:rFonts w:eastAsia="Times New Roman"/>
                <w:color w:val="000000" w:themeColor="text1"/>
                <w:sz w:val="16"/>
                <w:szCs w:val="16"/>
                <w:lang w:eastAsia="sl-SI"/>
              </w:rPr>
            </w:pPr>
            <w:r w:rsidRPr="007F41C6">
              <w:rPr>
                <w:rFonts w:eastAsia="Times New Roman"/>
                <w:color w:val="000000" w:themeColor="text1"/>
                <w:sz w:val="16"/>
                <w:szCs w:val="16"/>
                <w:lang w:eastAsia="sl-SI"/>
              </w:rPr>
              <w:t>1.867</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95297B4" w14:textId="77777777" w:rsidR="00CA6808" w:rsidRPr="007F41C6" w:rsidRDefault="00CA6808" w:rsidP="00CA6808">
            <w:pPr>
              <w:spacing w:before="120" w:after="0" w:line="240" w:lineRule="auto"/>
              <w:jc w:val="right"/>
              <w:rPr>
                <w:rFonts w:eastAsia="Times New Roman"/>
                <w:color w:val="000000"/>
                <w:sz w:val="16"/>
                <w:szCs w:val="16"/>
                <w:lang w:eastAsia="sl-SI"/>
              </w:rPr>
            </w:pPr>
            <w:r w:rsidRPr="007F41C6">
              <w:rPr>
                <w:rFonts w:eastAsia="Times New Roman"/>
                <w:color w:val="000000"/>
                <w:sz w:val="16"/>
                <w:szCs w:val="16"/>
                <w:lang w:eastAsia="sl-SI"/>
              </w:rPr>
              <w:t>18.003</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7092BFD6" w14:textId="77777777" w:rsidR="00CA6808" w:rsidRPr="007F41C6" w:rsidRDefault="00CA6808" w:rsidP="00CA6808">
            <w:pPr>
              <w:spacing w:before="120" w:after="0" w:line="240" w:lineRule="auto"/>
              <w:jc w:val="right"/>
              <w:rPr>
                <w:rFonts w:eastAsia="Times New Roman"/>
                <w:bCs/>
                <w:sz w:val="16"/>
                <w:szCs w:val="16"/>
                <w:lang w:eastAsia="sl-SI"/>
              </w:rPr>
            </w:pPr>
            <w:r w:rsidRPr="007F41C6">
              <w:rPr>
                <w:rFonts w:eastAsia="Times New Roman"/>
                <w:bCs/>
                <w:sz w:val="16"/>
                <w:szCs w:val="16"/>
                <w:lang w:eastAsia="sl-SI"/>
              </w:rPr>
              <w:t>17.283</w:t>
            </w:r>
          </w:p>
        </w:tc>
      </w:tr>
      <w:tr w:rsidR="00CA6808" w:rsidRPr="007F41C6" w14:paraId="6F8D5B77" w14:textId="77777777" w:rsidTr="00CA6808">
        <w:trPr>
          <w:trHeight w:val="284"/>
          <w:jc w:val="center"/>
        </w:trPr>
        <w:tc>
          <w:tcPr>
            <w:tcW w:w="2434" w:type="dxa"/>
            <w:tcBorders>
              <w:top w:val="single" w:sz="4" w:space="0" w:color="auto"/>
              <w:left w:val="single" w:sz="4" w:space="0" w:color="auto"/>
              <w:bottom w:val="single" w:sz="4" w:space="0" w:color="auto"/>
              <w:right w:val="single" w:sz="8" w:space="0" w:color="auto"/>
            </w:tcBorders>
            <w:shd w:val="clear" w:color="000000" w:fill="FFFFFF"/>
            <w:vAlign w:val="center"/>
          </w:tcPr>
          <w:p w14:paraId="634EDC51"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w:t>
            </w:r>
            <w:r w:rsidRPr="007F41C6">
              <w:rPr>
                <w:rFonts w:eastAsia="Times New Roman"/>
                <w:color w:val="000000"/>
                <w:sz w:val="16"/>
                <w:szCs w:val="16"/>
                <w:vertAlign w:val="superscript"/>
                <w:lang w:eastAsia="sl-SI"/>
              </w:rPr>
              <w:t>3</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3670E0E"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75319,90</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039307E1"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73.618,80</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A1FF95"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71.110,40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D6BD7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58.390,60</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10302D65"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63.739,80</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234A2C2C"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64.036,10</w:t>
            </w:r>
          </w:p>
        </w:tc>
      </w:tr>
      <w:tr w:rsidR="00CA6808" w:rsidRPr="007F41C6" w14:paraId="503191AE"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CFAC903"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GVŽ v DŽ</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BFE3767"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28.564</w:t>
            </w:r>
          </w:p>
        </w:tc>
        <w:tc>
          <w:tcPr>
            <w:tcW w:w="1035" w:type="dxa"/>
            <w:tcBorders>
              <w:top w:val="single" w:sz="4" w:space="0" w:color="auto"/>
              <w:left w:val="single" w:sz="4" w:space="0" w:color="auto"/>
              <w:bottom w:val="single" w:sz="4" w:space="0" w:color="auto"/>
              <w:right w:val="single" w:sz="8" w:space="0" w:color="auto"/>
            </w:tcBorders>
            <w:shd w:val="clear" w:color="000000" w:fill="FFFFFF"/>
            <w:noWrap/>
            <w:vAlign w:val="center"/>
          </w:tcPr>
          <w:p w14:paraId="42A056EA"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27.446</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332973"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30.362</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C9DD77"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30.486</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8422360" w14:textId="77777777" w:rsidR="00CA6808" w:rsidRPr="007F41C6" w:rsidRDefault="00CA6808" w:rsidP="00CA6808">
            <w:pPr>
              <w:spacing w:before="120" w:after="0" w:line="240" w:lineRule="auto"/>
              <w:jc w:val="right"/>
              <w:rPr>
                <w:rFonts w:eastAsia="Times New Roman"/>
                <w:sz w:val="16"/>
                <w:szCs w:val="16"/>
                <w:lang w:eastAsia="sl-SI"/>
              </w:rPr>
            </w:pPr>
            <w:r w:rsidRPr="007F41C6">
              <w:rPr>
                <w:rFonts w:eastAsia="Times New Roman"/>
                <w:sz w:val="16"/>
                <w:szCs w:val="16"/>
                <w:lang w:eastAsia="sl-SI"/>
              </w:rPr>
              <w:t>31.975</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4C541189" w14:textId="77777777" w:rsidR="00CA6808" w:rsidRPr="007F41C6" w:rsidRDefault="00CA6808" w:rsidP="00CA6808">
            <w:pPr>
              <w:spacing w:before="120" w:after="0" w:line="240" w:lineRule="auto"/>
              <w:jc w:val="right"/>
              <w:rPr>
                <w:rFonts w:eastAsia="Times New Roman"/>
                <w:sz w:val="16"/>
                <w:szCs w:val="16"/>
                <w:lang w:eastAsia="sl-SI"/>
              </w:rPr>
            </w:pPr>
            <w:proofErr w:type="spellStart"/>
            <w:r w:rsidRPr="007F41C6">
              <w:rPr>
                <w:rFonts w:eastAsia="Times New Roman"/>
                <w:sz w:val="16"/>
                <w:szCs w:val="16"/>
                <w:lang w:eastAsia="sl-SI"/>
              </w:rPr>
              <w:t>np</w:t>
            </w:r>
            <w:proofErr w:type="spellEnd"/>
          </w:p>
        </w:tc>
      </w:tr>
      <w:tr w:rsidR="00CA6808" w:rsidRPr="007F41C6" w14:paraId="4816249F" w14:textId="77777777" w:rsidTr="00CA6808">
        <w:trPr>
          <w:trHeight w:val="284"/>
          <w:jc w:val="center"/>
        </w:trPr>
        <w:tc>
          <w:tcPr>
            <w:tcW w:w="2434" w:type="dxa"/>
            <w:tcBorders>
              <w:top w:val="nil"/>
              <w:left w:val="single" w:sz="8" w:space="0" w:color="auto"/>
              <w:bottom w:val="single" w:sz="8" w:space="0" w:color="auto"/>
              <w:right w:val="single" w:sz="8" w:space="0" w:color="auto"/>
            </w:tcBorders>
            <w:shd w:val="clear" w:color="000000" w:fill="FFFFFF"/>
            <w:vAlign w:val="center"/>
          </w:tcPr>
          <w:p w14:paraId="18AEA30B" w14:textId="77777777" w:rsidR="00CA6808" w:rsidRPr="007F41C6" w:rsidRDefault="00CA6808" w:rsidP="00CA6808">
            <w:pPr>
              <w:spacing w:before="120" w:after="0" w:line="240" w:lineRule="auto"/>
              <w:jc w:val="both"/>
              <w:rPr>
                <w:rFonts w:eastAsia="Times New Roman"/>
                <w:b/>
                <w:color w:val="000000"/>
                <w:sz w:val="16"/>
                <w:szCs w:val="16"/>
                <w:lang w:eastAsia="sl-SI"/>
              </w:rPr>
            </w:pPr>
            <w:r w:rsidRPr="007F41C6">
              <w:rPr>
                <w:rFonts w:eastAsia="Times New Roman"/>
                <w:b/>
                <w:color w:val="000000"/>
                <w:sz w:val="16"/>
                <w:szCs w:val="16"/>
                <w:lang w:eastAsia="sl-SI"/>
              </w:rPr>
              <w:t>Delež GVŽ v DŽ (%)</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7EB1A6DF" w14:textId="77777777" w:rsidR="00CA6808" w:rsidRPr="007F41C6" w:rsidRDefault="00CA6808" w:rsidP="00CA6808">
            <w:pPr>
              <w:spacing w:before="120" w:after="0" w:line="240" w:lineRule="auto"/>
              <w:jc w:val="right"/>
              <w:rPr>
                <w:rFonts w:eastAsia="Times New Roman"/>
                <w:b/>
                <w:sz w:val="16"/>
                <w:szCs w:val="16"/>
                <w:lang w:eastAsia="sl-SI"/>
              </w:rPr>
            </w:pPr>
            <w:r w:rsidRPr="007F41C6">
              <w:rPr>
                <w:rFonts w:eastAsia="Times New Roman"/>
                <w:b/>
                <w:sz w:val="16"/>
                <w:szCs w:val="16"/>
                <w:lang w:eastAsia="sl-SI"/>
              </w:rPr>
              <w:t>37,92</w:t>
            </w:r>
          </w:p>
        </w:tc>
        <w:tc>
          <w:tcPr>
            <w:tcW w:w="1035" w:type="dxa"/>
            <w:tcBorders>
              <w:top w:val="single" w:sz="4" w:space="0" w:color="auto"/>
              <w:left w:val="single" w:sz="4" w:space="0" w:color="auto"/>
              <w:bottom w:val="single" w:sz="8" w:space="0" w:color="auto"/>
              <w:right w:val="single" w:sz="8" w:space="0" w:color="auto"/>
            </w:tcBorders>
            <w:shd w:val="clear" w:color="000000" w:fill="FFFFFF"/>
            <w:noWrap/>
            <w:vAlign w:val="center"/>
          </w:tcPr>
          <w:p w14:paraId="005BBCF7" w14:textId="77777777" w:rsidR="00CA6808" w:rsidRPr="007F41C6" w:rsidRDefault="00CA6808" w:rsidP="00CA6808">
            <w:pPr>
              <w:spacing w:before="120" w:after="0" w:line="240" w:lineRule="auto"/>
              <w:jc w:val="right"/>
              <w:rPr>
                <w:rFonts w:eastAsia="Times New Roman"/>
                <w:b/>
                <w:sz w:val="16"/>
                <w:szCs w:val="16"/>
                <w:lang w:eastAsia="sl-SI"/>
              </w:rPr>
            </w:pPr>
            <w:r w:rsidRPr="007F41C6">
              <w:rPr>
                <w:rFonts w:eastAsia="Times New Roman"/>
                <w:b/>
                <w:sz w:val="16"/>
                <w:szCs w:val="16"/>
                <w:lang w:eastAsia="sl-SI"/>
              </w:rPr>
              <w:t>37,28</w:t>
            </w:r>
          </w:p>
        </w:tc>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6CFE42" w14:textId="77777777" w:rsidR="00CA6808" w:rsidRPr="007F41C6" w:rsidRDefault="00CA6808" w:rsidP="00CA6808">
            <w:pPr>
              <w:spacing w:before="120" w:after="0" w:line="240" w:lineRule="auto"/>
              <w:jc w:val="right"/>
              <w:rPr>
                <w:rFonts w:eastAsia="Times New Roman"/>
                <w:b/>
                <w:sz w:val="16"/>
                <w:szCs w:val="16"/>
                <w:lang w:eastAsia="sl-SI"/>
              </w:rPr>
            </w:pPr>
            <w:r w:rsidRPr="007F41C6">
              <w:rPr>
                <w:rFonts w:eastAsia="Times New Roman"/>
                <w:b/>
                <w:sz w:val="16"/>
                <w:szCs w:val="16"/>
                <w:lang w:eastAsia="sl-SI"/>
              </w:rPr>
              <w:t>42,70</w:t>
            </w:r>
          </w:p>
        </w:tc>
        <w:tc>
          <w:tcPr>
            <w:tcW w:w="10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632277" w14:textId="77777777" w:rsidR="00CA6808" w:rsidRPr="007F41C6" w:rsidRDefault="00CA6808" w:rsidP="00CA6808">
            <w:pPr>
              <w:spacing w:before="120" w:after="0" w:line="240" w:lineRule="auto"/>
              <w:jc w:val="right"/>
              <w:rPr>
                <w:rFonts w:eastAsia="Times New Roman"/>
                <w:b/>
                <w:sz w:val="16"/>
                <w:szCs w:val="16"/>
                <w:lang w:eastAsia="sl-SI"/>
              </w:rPr>
            </w:pPr>
            <w:r w:rsidRPr="007F41C6">
              <w:rPr>
                <w:rFonts w:eastAsia="Times New Roman"/>
                <w:b/>
                <w:sz w:val="16"/>
                <w:szCs w:val="16"/>
                <w:lang w:eastAsia="sl-SI"/>
              </w:rPr>
              <w:t>52,21</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502DF417" w14:textId="77777777" w:rsidR="00CA6808" w:rsidRPr="007F41C6" w:rsidRDefault="00CA6808" w:rsidP="00CA6808">
            <w:pPr>
              <w:spacing w:before="120" w:after="0" w:line="240" w:lineRule="auto"/>
              <w:jc w:val="right"/>
              <w:rPr>
                <w:rFonts w:eastAsia="Times New Roman"/>
                <w:b/>
                <w:sz w:val="16"/>
                <w:szCs w:val="16"/>
                <w:lang w:eastAsia="sl-SI"/>
              </w:rPr>
            </w:pPr>
            <w:r w:rsidRPr="007F41C6">
              <w:rPr>
                <w:rFonts w:eastAsia="Times New Roman"/>
                <w:b/>
                <w:sz w:val="16"/>
                <w:szCs w:val="16"/>
                <w:lang w:eastAsia="sl-SI"/>
              </w:rPr>
              <w:t>50,16</w:t>
            </w:r>
          </w:p>
        </w:tc>
        <w:tc>
          <w:tcPr>
            <w:tcW w:w="1036" w:type="dxa"/>
            <w:tcBorders>
              <w:top w:val="single" w:sz="4" w:space="0" w:color="auto"/>
              <w:left w:val="nil"/>
              <w:bottom w:val="single" w:sz="4" w:space="0" w:color="auto"/>
              <w:right w:val="single" w:sz="4" w:space="0" w:color="auto"/>
            </w:tcBorders>
            <w:shd w:val="clear" w:color="auto" w:fill="auto"/>
            <w:noWrap/>
            <w:vAlign w:val="center"/>
          </w:tcPr>
          <w:p w14:paraId="0DF9ED6D" w14:textId="77777777" w:rsidR="00CA6808" w:rsidRPr="007F41C6" w:rsidRDefault="00CA6808" w:rsidP="00CA6808">
            <w:pPr>
              <w:spacing w:before="120" w:after="0" w:line="240" w:lineRule="auto"/>
              <w:jc w:val="right"/>
              <w:rPr>
                <w:rFonts w:eastAsia="Times New Roman"/>
                <w:sz w:val="16"/>
                <w:szCs w:val="16"/>
                <w:lang w:eastAsia="sl-SI"/>
              </w:rPr>
            </w:pPr>
            <w:proofErr w:type="spellStart"/>
            <w:r w:rsidRPr="007F41C6">
              <w:rPr>
                <w:rFonts w:eastAsia="Times New Roman"/>
                <w:sz w:val="16"/>
                <w:szCs w:val="16"/>
                <w:lang w:eastAsia="sl-SI"/>
              </w:rPr>
              <w:t>np</w:t>
            </w:r>
            <w:proofErr w:type="spellEnd"/>
          </w:p>
        </w:tc>
      </w:tr>
    </w:tbl>
    <w:p w14:paraId="1487C02E" w14:textId="77777777" w:rsidR="00CA6808" w:rsidRPr="00237DB1" w:rsidRDefault="00CA6808" w:rsidP="00CA6808">
      <w:pPr>
        <w:spacing w:before="120" w:after="0" w:line="240" w:lineRule="auto"/>
        <w:jc w:val="both"/>
        <w:rPr>
          <w:rFonts w:eastAsia="Times New Roman"/>
          <w:i/>
          <w:sz w:val="16"/>
          <w:szCs w:val="16"/>
          <w:lang w:eastAsia="en-GB"/>
        </w:rPr>
      </w:pPr>
      <w:r w:rsidRPr="00237DB1">
        <w:rPr>
          <w:rFonts w:eastAsia="Times New Roman"/>
          <w:i/>
          <w:sz w:val="16"/>
          <w:szCs w:val="16"/>
          <w:lang w:eastAsia="en-GB"/>
        </w:rPr>
        <w:t>Vir: MKGP in ARSKTRP</w:t>
      </w:r>
    </w:p>
    <w:p w14:paraId="36E46513" w14:textId="77777777" w:rsidR="00CA6808" w:rsidRPr="00D31B31" w:rsidRDefault="00CA6808" w:rsidP="00CA6808">
      <w:pPr>
        <w:spacing w:after="0" w:line="240" w:lineRule="auto"/>
        <w:jc w:val="both"/>
        <w:rPr>
          <w:rFonts w:eastAsia="Times New Roman"/>
          <w:sz w:val="20"/>
          <w:lang w:eastAsia="en-GB"/>
        </w:rPr>
      </w:pPr>
    </w:p>
    <w:p w14:paraId="730664DD" w14:textId="77777777" w:rsidR="00CA6808" w:rsidRPr="00D31B31" w:rsidRDefault="00CA6808" w:rsidP="00CA6808">
      <w:pPr>
        <w:spacing w:after="0" w:line="240" w:lineRule="auto"/>
        <w:jc w:val="both"/>
        <w:rPr>
          <w:rFonts w:eastAsia="Times New Roman"/>
          <w:i/>
          <w:sz w:val="20"/>
          <w:lang w:eastAsia="en-GB"/>
        </w:rPr>
      </w:pPr>
      <w:r w:rsidRPr="00D31B31">
        <w:rPr>
          <w:rFonts w:eastAsia="Times New Roman"/>
          <w:i/>
          <w:sz w:val="20"/>
          <w:vertAlign w:val="superscript"/>
          <w:lang w:eastAsia="en-GB"/>
        </w:rPr>
        <w:t>1</w:t>
      </w:r>
      <w:r w:rsidRPr="00D31B31">
        <w:rPr>
          <w:rFonts w:eastAsia="Times New Roman"/>
          <w:i/>
          <w:sz w:val="20"/>
          <w:lang w:eastAsia="en-GB"/>
        </w:rPr>
        <w:t xml:space="preserve"> Za leto 2014 je na voljo le podatek o skupnem številu ovc oziroma koz, ne glede ali gre za mlečne ali mesne pasme.</w:t>
      </w:r>
    </w:p>
    <w:p w14:paraId="57585FC1" w14:textId="77777777" w:rsidR="00CA6808" w:rsidRPr="00D31B31" w:rsidRDefault="00CA6808" w:rsidP="00CA6808">
      <w:pPr>
        <w:spacing w:after="0" w:line="240" w:lineRule="auto"/>
        <w:jc w:val="both"/>
        <w:rPr>
          <w:rFonts w:eastAsia="Times New Roman"/>
          <w:i/>
          <w:sz w:val="20"/>
          <w:lang w:eastAsia="en-GB"/>
        </w:rPr>
      </w:pPr>
      <w:r w:rsidRPr="00D31B31">
        <w:rPr>
          <w:rFonts w:eastAsia="Times New Roman"/>
          <w:i/>
          <w:sz w:val="20"/>
          <w:vertAlign w:val="superscript"/>
          <w:lang w:eastAsia="en-GB"/>
        </w:rPr>
        <w:t>2</w:t>
      </w:r>
      <w:r w:rsidRPr="00D31B31">
        <w:rPr>
          <w:rFonts w:eastAsia="Times New Roman"/>
          <w:i/>
          <w:sz w:val="20"/>
          <w:lang w:eastAsia="en-GB"/>
        </w:rPr>
        <w:t xml:space="preserve"> V letu 2014 so podatki o staležu prašičev navedeni za kategorije prašičev določene v Prilogi 1 Uredbe o izvedbi ukrepov kmetijske politike za leto 2014 (Uradni list RS, št. </w:t>
      </w:r>
      <w:hyperlink r:id="rId31" w:tgtFrame="_blank" w:tooltip="Uredba o izvedbi ukrepov kmetijske politike za leto 2014" w:history="1">
        <w:r w:rsidRPr="00D31B31">
          <w:rPr>
            <w:rFonts w:eastAsia="Times New Roman"/>
            <w:i/>
            <w:sz w:val="20"/>
            <w:lang w:eastAsia="en-GB"/>
          </w:rPr>
          <w:t>113/13</w:t>
        </w:r>
      </w:hyperlink>
      <w:r w:rsidRPr="00D31B31">
        <w:rPr>
          <w:rFonts w:eastAsia="Times New Roman"/>
          <w:i/>
          <w:sz w:val="20"/>
          <w:lang w:eastAsia="en-GB"/>
        </w:rPr>
        <w:t xml:space="preserve">), ki se nekoliko razlikujejo od kategorij določenih v Prilogi 1 Pravilnika o Evidenci imetnikov </w:t>
      </w:r>
      <w:proofErr w:type="spellStart"/>
      <w:r w:rsidRPr="00D31B31">
        <w:rPr>
          <w:rFonts w:eastAsia="Times New Roman"/>
          <w:i/>
          <w:sz w:val="20"/>
          <w:lang w:eastAsia="en-GB"/>
        </w:rPr>
        <w:t>rejnih</w:t>
      </w:r>
      <w:proofErr w:type="spellEnd"/>
      <w:r w:rsidRPr="00D31B31">
        <w:rPr>
          <w:rFonts w:eastAsia="Times New Roman"/>
          <w:i/>
          <w:sz w:val="20"/>
          <w:lang w:eastAsia="en-GB"/>
        </w:rPr>
        <w:t xml:space="preserve"> živali in Evidenci </w:t>
      </w:r>
      <w:proofErr w:type="spellStart"/>
      <w:r w:rsidRPr="00D31B31">
        <w:rPr>
          <w:rFonts w:eastAsia="Times New Roman"/>
          <w:i/>
          <w:sz w:val="20"/>
          <w:lang w:eastAsia="en-GB"/>
        </w:rPr>
        <w:t>rejnih</w:t>
      </w:r>
      <w:proofErr w:type="spellEnd"/>
      <w:r w:rsidRPr="00D31B31">
        <w:rPr>
          <w:rFonts w:eastAsia="Times New Roman"/>
          <w:i/>
          <w:sz w:val="20"/>
          <w:lang w:eastAsia="en-GB"/>
        </w:rPr>
        <w:t xml:space="preserve"> živali (Uradni list RS, št. </w:t>
      </w:r>
      <w:r w:rsidR="00A5094D">
        <w:fldChar w:fldCharType="begin"/>
      </w:r>
      <w:r w:rsidR="00A5094D">
        <w:instrText xml:space="preserve"> HYPERLINK "http://www.uradni-list.si/1/objava.jsp?sop=2014-01-3506" \t "_blank" \o "Pravilnik o Evidenci imetnikov rejnih živali in Evidenci rejnih živali" </w:instrText>
      </w:r>
      <w:r w:rsidR="00A5094D">
        <w:fldChar w:fldCharType="separate"/>
      </w:r>
      <w:r w:rsidRPr="00D31B31">
        <w:rPr>
          <w:rFonts w:eastAsia="Times New Roman"/>
          <w:i/>
          <w:sz w:val="20"/>
          <w:lang w:eastAsia="en-GB"/>
        </w:rPr>
        <w:t>87/14</w:t>
      </w:r>
      <w:r w:rsidR="00A5094D">
        <w:rPr>
          <w:rFonts w:eastAsia="Times New Roman"/>
          <w:i/>
          <w:sz w:val="20"/>
          <w:lang w:eastAsia="en-GB"/>
        </w:rPr>
        <w:fldChar w:fldCharType="end"/>
      </w:r>
      <w:r w:rsidRPr="00D31B31">
        <w:rPr>
          <w:rFonts w:eastAsia="Times New Roman"/>
          <w:i/>
          <w:sz w:val="20"/>
          <w:lang w:eastAsia="en-GB"/>
        </w:rPr>
        <w:t>, </w:t>
      </w:r>
      <w:hyperlink r:id="rId32" w:tgtFrame="_blank" w:tooltip="Pravilnik o spremembah in dopolnitvah Pravilnika o Evidenci imetnikov rejnih živali in Evidenci rejnih živali" w:history="1">
        <w:r w:rsidRPr="00D31B31">
          <w:rPr>
            <w:rFonts w:eastAsia="Times New Roman"/>
            <w:i/>
            <w:sz w:val="20"/>
            <w:lang w:eastAsia="en-GB"/>
          </w:rPr>
          <w:t>15/16</w:t>
        </w:r>
      </w:hyperlink>
      <w:r w:rsidRPr="00D31B31">
        <w:rPr>
          <w:rFonts w:eastAsia="Times New Roman"/>
          <w:i/>
          <w:sz w:val="20"/>
          <w:lang w:eastAsia="en-GB"/>
        </w:rPr>
        <w:t> in </w:t>
      </w:r>
      <w:hyperlink r:id="rId33" w:tgtFrame="_blank" w:tooltip="Pravilnik o spremembah in dopolnitvah Pravilnika o Evidenci imetnikov rejnih živali in Evidenci rejnih živali" w:history="1">
        <w:r w:rsidRPr="00D31B31">
          <w:rPr>
            <w:rFonts w:eastAsia="Times New Roman"/>
            <w:i/>
            <w:sz w:val="20"/>
            <w:lang w:eastAsia="en-GB"/>
          </w:rPr>
          <w:t>78/18</w:t>
        </w:r>
      </w:hyperlink>
      <w:r w:rsidRPr="00D31B31">
        <w:rPr>
          <w:rFonts w:eastAsia="Times New Roman"/>
          <w:i/>
          <w:sz w:val="20"/>
          <w:lang w:eastAsia="en-GB"/>
        </w:rPr>
        <w:t>), zato je za število tekačev podana le ocena.</w:t>
      </w:r>
    </w:p>
    <w:p w14:paraId="745E577C" w14:textId="77777777" w:rsidR="00CA6808" w:rsidRPr="00D31B31" w:rsidRDefault="00CA6808" w:rsidP="00CA6808">
      <w:pPr>
        <w:spacing w:after="0" w:line="240" w:lineRule="auto"/>
        <w:jc w:val="both"/>
        <w:rPr>
          <w:rFonts w:eastAsia="Times New Roman"/>
          <w:i/>
          <w:sz w:val="20"/>
          <w:lang w:eastAsia="en-GB"/>
        </w:rPr>
      </w:pPr>
      <w:r w:rsidRPr="00D31B31">
        <w:rPr>
          <w:rFonts w:eastAsia="Times New Roman"/>
          <w:i/>
          <w:sz w:val="20"/>
          <w:vertAlign w:val="superscript"/>
          <w:lang w:eastAsia="en-GB"/>
        </w:rPr>
        <w:t>3</w:t>
      </w:r>
      <w:r w:rsidRPr="00D31B31">
        <w:rPr>
          <w:rFonts w:eastAsia="Times New Roman"/>
          <w:i/>
          <w:sz w:val="20"/>
          <w:lang w:eastAsia="sl-SI"/>
        </w:rPr>
        <w:t xml:space="preserve"> </w:t>
      </w:r>
      <w:r w:rsidRPr="00D31B31">
        <w:rPr>
          <w:rFonts w:eastAsia="Times New Roman"/>
          <w:i/>
          <w:sz w:val="20"/>
          <w:lang w:eastAsia="en-GB"/>
        </w:rPr>
        <w:t>Za preračun števila živali v GVŽ se upoštevajo koeficienti iz priloge II Uredbe 808/2014/EU</w:t>
      </w:r>
    </w:p>
    <w:p w14:paraId="624F3139" w14:textId="77777777" w:rsidR="00CA6808" w:rsidRPr="00D31B31" w:rsidRDefault="00CA6808" w:rsidP="00CA6808">
      <w:pPr>
        <w:spacing w:after="0" w:line="240" w:lineRule="auto"/>
        <w:jc w:val="both"/>
        <w:rPr>
          <w:rFonts w:eastAsia="Times New Roman"/>
          <w:i/>
          <w:sz w:val="20"/>
          <w:lang w:eastAsia="en-GB"/>
        </w:rPr>
      </w:pPr>
      <w:r w:rsidRPr="00D31B31">
        <w:rPr>
          <w:rFonts w:eastAsia="Times New Roman"/>
          <w:i/>
          <w:sz w:val="20"/>
          <w:vertAlign w:val="superscript"/>
          <w:lang w:eastAsia="en-GB"/>
        </w:rPr>
        <w:t xml:space="preserve">4 </w:t>
      </w:r>
      <w:r w:rsidRPr="00D31B31">
        <w:rPr>
          <w:rFonts w:eastAsia="Times New Roman"/>
          <w:i/>
          <w:sz w:val="20"/>
          <w:lang w:eastAsia="en-GB"/>
        </w:rPr>
        <w:t xml:space="preserve"> Podatki o številu vključenih GVŽ v DŽ so iz zajema zbirnih vlog 2019</w:t>
      </w:r>
    </w:p>
    <w:p w14:paraId="1320373E" w14:textId="77777777" w:rsidR="00CA6808" w:rsidRPr="00D31B31" w:rsidRDefault="00CA6808" w:rsidP="00CA6808">
      <w:pPr>
        <w:spacing w:after="0" w:line="240" w:lineRule="auto"/>
        <w:jc w:val="both"/>
        <w:rPr>
          <w:rFonts w:eastAsia="Times New Roman"/>
          <w:i/>
          <w:sz w:val="20"/>
          <w:lang w:eastAsia="en-GB"/>
        </w:rPr>
      </w:pPr>
      <w:proofErr w:type="spellStart"/>
      <w:r w:rsidRPr="00D31B31">
        <w:rPr>
          <w:rFonts w:eastAsia="Times New Roman"/>
          <w:i/>
          <w:sz w:val="20"/>
          <w:lang w:eastAsia="en-GB"/>
        </w:rPr>
        <w:t>np</w:t>
      </w:r>
      <w:proofErr w:type="spellEnd"/>
      <w:r w:rsidRPr="00D31B31">
        <w:rPr>
          <w:rFonts w:eastAsia="Times New Roman"/>
          <w:i/>
          <w:sz w:val="20"/>
          <w:lang w:eastAsia="en-GB"/>
        </w:rPr>
        <w:t xml:space="preserve"> – podatek še ni na voljo</w:t>
      </w:r>
    </w:p>
    <w:p w14:paraId="55F40FB4" w14:textId="77777777" w:rsidR="00CA6808" w:rsidRPr="00D31B31" w:rsidRDefault="00CA6808" w:rsidP="00CA6808">
      <w:pPr>
        <w:spacing w:after="0" w:line="240" w:lineRule="auto"/>
        <w:jc w:val="both"/>
        <w:rPr>
          <w:rFonts w:eastAsia="Times New Roman"/>
          <w:sz w:val="20"/>
          <w:lang w:eastAsia="sl-SI"/>
        </w:rPr>
      </w:pPr>
    </w:p>
    <w:p w14:paraId="0F0B3F7D" w14:textId="77777777" w:rsidR="00CA6808" w:rsidRDefault="00CA6808" w:rsidP="00CA6808">
      <w:pPr>
        <w:jc w:val="both"/>
        <w:rPr>
          <w:rFonts w:eastAsia="Arial"/>
          <w:sz w:val="20"/>
        </w:rPr>
      </w:pPr>
      <w:r w:rsidRPr="00D31B31">
        <w:rPr>
          <w:rFonts w:eastAsia="Times New Roman"/>
          <w:sz w:val="20"/>
          <w:lang w:eastAsia="sl-SI"/>
        </w:rPr>
        <w:t>Podatki so grafično predstavljeni na spodnjih grafikonih</w:t>
      </w:r>
      <w:r>
        <w:rPr>
          <w:rFonts w:eastAsia="Times New Roman"/>
          <w:sz w:val="20"/>
          <w:lang w:eastAsia="sl-SI"/>
        </w:rPr>
        <w:t xml:space="preserve"> (Slika </w:t>
      </w:r>
      <w:r w:rsidRPr="00EB14C9">
        <w:rPr>
          <w:rFonts w:eastAsia="Times New Roman"/>
          <w:sz w:val="20"/>
          <w:lang w:eastAsia="sl-SI"/>
        </w:rPr>
        <w:t>10, Slika 11, Slika 12</w:t>
      </w:r>
      <w:r>
        <w:rPr>
          <w:rFonts w:eastAsia="Times New Roman"/>
          <w:sz w:val="20"/>
          <w:lang w:eastAsia="sl-SI"/>
        </w:rPr>
        <w:t>)</w:t>
      </w:r>
      <w:r w:rsidRPr="00D31B31">
        <w:rPr>
          <w:rFonts w:eastAsia="Times New Roman"/>
          <w:sz w:val="20"/>
          <w:lang w:eastAsia="sl-SI"/>
        </w:rPr>
        <w:t>.</w:t>
      </w:r>
    </w:p>
    <w:p w14:paraId="40CC060A" w14:textId="788C7D8A" w:rsidR="00CA6808" w:rsidRPr="00D31B31" w:rsidRDefault="00CA6808" w:rsidP="00C76DA8">
      <w:pPr>
        <w:spacing w:before="100" w:beforeAutospacing="1" w:after="100" w:afterAutospacing="1" w:line="240" w:lineRule="auto"/>
        <w:jc w:val="both"/>
        <w:rPr>
          <w:rFonts w:ascii="Times New Roman" w:eastAsia="Times New Roman" w:hAnsi="Times New Roman"/>
          <w:sz w:val="20"/>
          <w:lang w:eastAsia="sl-SI"/>
        </w:rPr>
      </w:pPr>
      <w:r>
        <w:rPr>
          <w:rFonts w:eastAsia="Arial"/>
          <w:sz w:val="20"/>
        </w:rPr>
        <w:t>V zadnjem obdobju je naraščajoča odpornost mikrobov proti protimikrobnim zdravilom/antibiotikom vse večji zdravstveni problem po vsem svetu. Za zdravljenje živali se uporablja antibiotike, ki z nekaj izjemami spadajo v iste skupine, kot tisti, ki se uporabljajo za zdravljenje ljudi. Za ohranjanje  učinkovitosti obstoječih antibiotikov (ker razvoja novih skoraj ni) in obvladovanje odpornosti proti njim se jih uporabi le za nujne potrebe zdravljenja živali, saj lahko vsaka prekomerna in neprimerna raba antibiotikov dodatno doprinese k pojavu in širjenju odpornih mikrobov.  V bodoče bo več antibiotikov rezerviranih za zdravljenje ljudi, oziroma se bo njihovo rabo za zdravljenje živali omejevalo</w:t>
      </w:r>
      <w:r w:rsidRPr="00D31B31">
        <w:rPr>
          <w:rFonts w:eastAsia="Times New Roman"/>
          <w:sz w:val="20"/>
          <w:lang w:eastAsia="sl-SI"/>
        </w:rPr>
        <w:t>.</w:t>
      </w:r>
    </w:p>
    <w:p w14:paraId="0A1EAAA9" w14:textId="7FD0A65C" w:rsidR="00CA6808" w:rsidRPr="006A09AF" w:rsidRDefault="00237DB1" w:rsidP="00237DB1">
      <w:pPr>
        <w:pStyle w:val="Napis"/>
        <w:jc w:val="both"/>
        <w:rPr>
          <w:sz w:val="20"/>
          <w:szCs w:val="20"/>
        </w:rPr>
      </w:pPr>
      <w:bookmarkStart w:id="93" w:name="_Toc55484785"/>
      <w:r w:rsidRPr="006A09AF">
        <w:rPr>
          <w:sz w:val="20"/>
          <w:szCs w:val="20"/>
        </w:rPr>
        <w:lastRenderedPageBreak/>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10</w:t>
      </w:r>
      <w:r w:rsidR="004270C0" w:rsidRPr="006A09AF">
        <w:rPr>
          <w:noProof/>
          <w:sz w:val="20"/>
          <w:szCs w:val="20"/>
        </w:rPr>
        <w:fldChar w:fldCharType="end"/>
      </w:r>
      <w:r w:rsidRPr="006A09AF">
        <w:rPr>
          <w:sz w:val="20"/>
          <w:szCs w:val="20"/>
        </w:rPr>
        <w:t>: Število GVŽ in delež prašičev vključenih v ukrep DŽ glede na celoten stalež prašičev v GVŽ</w:t>
      </w:r>
      <w:bookmarkEnd w:id="93"/>
    </w:p>
    <w:p w14:paraId="5585C81F" w14:textId="77777777" w:rsidR="00CA6808" w:rsidRPr="007F41C6" w:rsidRDefault="00CA6808" w:rsidP="00CA6808">
      <w:pPr>
        <w:spacing w:before="80" w:after="80" w:line="240" w:lineRule="auto"/>
        <w:jc w:val="center"/>
        <w:rPr>
          <w:rFonts w:eastAsia="Times New Roman"/>
          <w:noProof/>
          <w:sz w:val="20"/>
          <w:szCs w:val="24"/>
          <w:lang w:eastAsia="sl-SI"/>
        </w:rPr>
      </w:pPr>
      <w:r w:rsidRPr="007F41C6">
        <w:rPr>
          <w:rFonts w:eastAsia="Times New Roman"/>
          <w:noProof/>
          <w:sz w:val="20"/>
          <w:szCs w:val="24"/>
          <w:lang w:eastAsia="sl-SI"/>
        </w:rPr>
        <w:drawing>
          <wp:inline distT="0" distB="0" distL="0" distR="0" wp14:anchorId="06FD0218" wp14:editId="0B804076">
            <wp:extent cx="4572000" cy="2743200"/>
            <wp:effectExtent l="0" t="0" r="0" b="0"/>
            <wp:docPr id="21" name="Grafikon 21" descr="Delež prašičev vključenih v ukrep DŽ je v primerjavi z 2017 leta 2018 malenkost padlo. Kljub temu je okrog 50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85B25FB" w14:textId="2D318468" w:rsidR="00CA6808" w:rsidRDefault="00CA6808" w:rsidP="00CA6808">
      <w:pPr>
        <w:spacing w:after="0" w:line="240" w:lineRule="auto"/>
        <w:jc w:val="center"/>
        <w:rPr>
          <w:rFonts w:eastAsia="Times New Roman"/>
          <w:sz w:val="20"/>
          <w:szCs w:val="24"/>
          <w:lang w:eastAsia="sl-SI"/>
        </w:rPr>
      </w:pPr>
    </w:p>
    <w:p w14:paraId="5FB14DF7" w14:textId="3008E1CF" w:rsidR="00237DB1" w:rsidRDefault="00237DB1" w:rsidP="00CA6808">
      <w:pPr>
        <w:spacing w:after="0" w:line="240" w:lineRule="auto"/>
        <w:jc w:val="center"/>
        <w:rPr>
          <w:rFonts w:eastAsia="Times New Roman"/>
          <w:sz w:val="20"/>
          <w:szCs w:val="24"/>
          <w:lang w:eastAsia="sl-SI"/>
        </w:rPr>
      </w:pPr>
    </w:p>
    <w:p w14:paraId="6E7B4982" w14:textId="0ABFFA70" w:rsidR="00237DB1" w:rsidRDefault="00237DB1" w:rsidP="00CA6808">
      <w:pPr>
        <w:spacing w:after="0" w:line="240" w:lineRule="auto"/>
        <w:jc w:val="center"/>
        <w:rPr>
          <w:rFonts w:eastAsia="Times New Roman"/>
          <w:sz w:val="20"/>
          <w:szCs w:val="24"/>
          <w:lang w:eastAsia="sl-SI"/>
        </w:rPr>
      </w:pPr>
    </w:p>
    <w:p w14:paraId="755A876B" w14:textId="77777777" w:rsidR="00237DB1" w:rsidRDefault="00237DB1" w:rsidP="007940FC">
      <w:pPr>
        <w:pStyle w:val="SCslika"/>
      </w:pPr>
    </w:p>
    <w:p w14:paraId="2BCCC40F" w14:textId="020C4F7B" w:rsidR="00CA6808" w:rsidRPr="000E58FE" w:rsidRDefault="00237DB1" w:rsidP="00237DB1">
      <w:pPr>
        <w:pStyle w:val="Napis"/>
        <w:jc w:val="both"/>
        <w:rPr>
          <w:sz w:val="20"/>
          <w:szCs w:val="20"/>
        </w:rPr>
      </w:pPr>
      <w:bookmarkStart w:id="94" w:name="_Toc55484786"/>
      <w:r w:rsidRPr="000E58FE">
        <w:rPr>
          <w:sz w:val="20"/>
          <w:szCs w:val="20"/>
        </w:rPr>
        <w:t xml:space="preserve">Slika </w:t>
      </w:r>
      <w:r w:rsidR="004270C0" w:rsidRPr="000E58FE">
        <w:rPr>
          <w:sz w:val="20"/>
          <w:szCs w:val="20"/>
        </w:rPr>
        <w:fldChar w:fldCharType="begin"/>
      </w:r>
      <w:r w:rsidR="004270C0" w:rsidRPr="000E58FE">
        <w:rPr>
          <w:sz w:val="20"/>
          <w:szCs w:val="20"/>
        </w:rPr>
        <w:instrText xml:space="preserve"> SEQ Slika \* ARABIC </w:instrText>
      </w:r>
      <w:r w:rsidR="004270C0" w:rsidRPr="000E58FE">
        <w:rPr>
          <w:sz w:val="20"/>
          <w:szCs w:val="20"/>
        </w:rPr>
        <w:fldChar w:fldCharType="separate"/>
      </w:r>
      <w:r w:rsidR="00F810F0" w:rsidRPr="000E58FE">
        <w:rPr>
          <w:noProof/>
          <w:sz w:val="20"/>
          <w:szCs w:val="20"/>
        </w:rPr>
        <w:t>11</w:t>
      </w:r>
      <w:r w:rsidR="004270C0" w:rsidRPr="000E58FE">
        <w:rPr>
          <w:noProof/>
          <w:sz w:val="20"/>
          <w:szCs w:val="20"/>
        </w:rPr>
        <w:fldChar w:fldCharType="end"/>
      </w:r>
      <w:r w:rsidRPr="000E58FE">
        <w:rPr>
          <w:sz w:val="20"/>
          <w:szCs w:val="20"/>
        </w:rPr>
        <w:t>: Število GVŽ in delež goveda vključenega v ukrep DŽ glede na celoten stalež goveda v GVŽ</w:t>
      </w:r>
      <w:bookmarkEnd w:id="94"/>
    </w:p>
    <w:p w14:paraId="698A3DED" w14:textId="77777777" w:rsidR="00CA6808" w:rsidRPr="007F41C6" w:rsidRDefault="00CA6808" w:rsidP="00CA6808">
      <w:pPr>
        <w:spacing w:before="80" w:after="80" w:line="240" w:lineRule="auto"/>
        <w:rPr>
          <w:rFonts w:eastAsia="Times New Roman"/>
          <w:noProof/>
          <w:sz w:val="20"/>
          <w:szCs w:val="24"/>
          <w:lang w:eastAsia="sl-SI"/>
        </w:rPr>
      </w:pPr>
    </w:p>
    <w:p w14:paraId="77769C10" w14:textId="77777777" w:rsidR="00CA6808" w:rsidRPr="007F41C6" w:rsidRDefault="00CA6808" w:rsidP="00CA6808">
      <w:pPr>
        <w:spacing w:before="80" w:after="80" w:line="240" w:lineRule="auto"/>
        <w:jc w:val="center"/>
        <w:rPr>
          <w:rFonts w:eastAsia="Times New Roman"/>
          <w:noProof/>
          <w:sz w:val="20"/>
          <w:szCs w:val="24"/>
          <w:lang w:eastAsia="sl-SI"/>
        </w:rPr>
      </w:pPr>
      <w:r w:rsidRPr="007F41C6">
        <w:rPr>
          <w:rFonts w:eastAsia="Times New Roman"/>
          <w:noProof/>
          <w:sz w:val="20"/>
          <w:szCs w:val="24"/>
          <w:lang w:eastAsia="sl-SI"/>
        </w:rPr>
        <w:drawing>
          <wp:inline distT="0" distB="0" distL="0" distR="0" wp14:anchorId="2142F402" wp14:editId="5235A231">
            <wp:extent cx="4572000" cy="2743200"/>
            <wp:effectExtent l="0" t="0" r="0" b="0"/>
            <wp:docPr id="22" name="Grafikon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C4E1264" w14:textId="77777777" w:rsidR="00CA6808" w:rsidRPr="007F41C6" w:rsidRDefault="00CA6808" w:rsidP="00CA6808">
      <w:pPr>
        <w:spacing w:after="0" w:line="240" w:lineRule="auto"/>
        <w:jc w:val="center"/>
        <w:rPr>
          <w:rFonts w:eastAsia="Times New Roman"/>
          <w:sz w:val="20"/>
          <w:szCs w:val="24"/>
          <w:lang w:eastAsia="sl-SI"/>
        </w:rPr>
      </w:pPr>
    </w:p>
    <w:p w14:paraId="5EC9B777" w14:textId="16B36A91" w:rsidR="00CA6808" w:rsidRPr="006A09AF" w:rsidRDefault="00237DB1" w:rsidP="00237DB1">
      <w:pPr>
        <w:pStyle w:val="Napis"/>
        <w:jc w:val="both"/>
        <w:rPr>
          <w:sz w:val="20"/>
          <w:szCs w:val="20"/>
        </w:rPr>
      </w:pPr>
      <w:bookmarkStart w:id="95" w:name="_Toc55484787"/>
      <w:r w:rsidRPr="006A09AF">
        <w:rPr>
          <w:sz w:val="20"/>
          <w:szCs w:val="20"/>
        </w:rPr>
        <w:lastRenderedPageBreak/>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12</w:t>
      </w:r>
      <w:r w:rsidR="004270C0" w:rsidRPr="006A09AF">
        <w:rPr>
          <w:noProof/>
          <w:sz w:val="20"/>
          <w:szCs w:val="20"/>
        </w:rPr>
        <w:fldChar w:fldCharType="end"/>
      </w:r>
      <w:r w:rsidRPr="006A09AF">
        <w:rPr>
          <w:sz w:val="20"/>
          <w:szCs w:val="20"/>
        </w:rPr>
        <w:t>: Število GVŽ in delež drobnice vključene v ukrep DŽ glede na celoten stalež drobnice v GVŽ</w:t>
      </w:r>
      <w:bookmarkEnd w:id="95"/>
    </w:p>
    <w:p w14:paraId="7B9046D7" w14:textId="77777777" w:rsidR="00CA6808" w:rsidRDefault="00CA6808" w:rsidP="00CA6808">
      <w:pPr>
        <w:spacing w:before="80" w:after="80" w:line="240" w:lineRule="auto"/>
        <w:jc w:val="center"/>
        <w:rPr>
          <w:rFonts w:eastAsia="Times New Roman"/>
          <w:noProof/>
          <w:sz w:val="20"/>
          <w:szCs w:val="24"/>
          <w:lang w:eastAsia="sl-SI"/>
        </w:rPr>
      </w:pPr>
      <w:r w:rsidRPr="007F41C6">
        <w:rPr>
          <w:rFonts w:eastAsia="Times New Roman"/>
          <w:noProof/>
          <w:sz w:val="20"/>
          <w:szCs w:val="24"/>
          <w:lang w:eastAsia="sl-SI"/>
        </w:rPr>
        <w:drawing>
          <wp:inline distT="0" distB="0" distL="0" distR="0" wp14:anchorId="794039FC" wp14:editId="75E7282F">
            <wp:extent cx="4572000" cy="2743200"/>
            <wp:effectExtent l="0" t="0" r="0" b="0"/>
            <wp:docPr id="23" name="Grafikon 23" descr="Delež drobnice vključene v DŽ z leti narašča. Leta 2019 je bil delež 27.5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3ADD385" w14:textId="77777777" w:rsidR="00191201" w:rsidRPr="007F41C6" w:rsidRDefault="00191201" w:rsidP="00CA6808">
      <w:pPr>
        <w:spacing w:before="80" w:after="80" w:line="240" w:lineRule="auto"/>
        <w:jc w:val="center"/>
        <w:rPr>
          <w:rFonts w:eastAsia="Times New Roman"/>
          <w:noProof/>
          <w:sz w:val="20"/>
          <w:szCs w:val="24"/>
          <w:lang w:eastAsia="sl-SI"/>
        </w:rPr>
      </w:pPr>
    </w:p>
    <w:p w14:paraId="7021B52B" w14:textId="28109649" w:rsidR="00CA6808" w:rsidRPr="00D03AD9" w:rsidRDefault="007940FC" w:rsidP="007940FC">
      <w:pPr>
        <w:pStyle w:val="Naslov2"/>
        <w:ind w:firstLine="708"/>
        <w:rPr>
          <w:rFonts w:ascii="Arial" w:eastAsia="Times New Roman" w:hAnsi="Arial" w:cs="Arial"/>
          <w:smallCaps/>
          <w:color w:val="365F91" w:themeColor="accent1" w:themeShade="BF"/>
          <w:sz w:val="24"/>
          <w:szCs w:val="24"/>
          <w:lang w:eastAsia="en-GB"/>
        </w:rPr>
      </w:pPr>
      <w:bookmarkStart w:id="96" w:name="_Toc55547452"/>
      <w:r>
        <w:rPr>
          <w:rFonts w:ascii="Arial" w:eastAsia="Times New Roman" w:hAnsi="Arial" w:cs="Arial"/>
          <w:color w:val="365F91" w:themeColor="accent1" w:themeShade="BF"/>
          <w:sz w:val="24"/>
          <w:szCs w:val="24"/>
          <w:lang w:eastAsia="en-GB"/>
        </w:rPr>
        <w:t>4</w:t>
      </w:r>
      <w:r w:rsidR="00D03AD9" w:rsidRPr="00D03AD9">
        <w:rPr>
          <w:rFonts w:ascii="Arial" w:eastAsia="Times New Roman" w:hAnsi="Arial" w:cs="Arial"/>
          <w:color w:val="365F91" w:themeColor="accent1" w:themeShade="BF"/>
          <w:sz w:val="24"/>
          <w:szCs w:val="24"/>
          <w:lang w:eastAsia="en-GB"/>
        </w:rPr>
        <w:t>.4</w:t>
      </w:r>
      <w:r w:rsidR="00C76DA8" w:rsidRPr="00D03AD9">
        <w:rPr>
          <w:rFonts w:ascii="Arial" w:eastAsia="Times New Roman" w:hAnsi="Arial" w:cs="Arial"/>
          <w:color w:val="365F91" w:themeColor="accent1" w:themeShade="BF"/>
          <w:sz w:val="24"/>
          <w:szCs w:val="24"/>
          <w:lang w:eastAsia="en-GB"/>
        </w:rPr>
        <w:t xml:space="preserve"> </w:t>
      </w:r>
      <w:r w:rsidR="00CA6808" w:rsidRPr="00D03AD9">
        <w:rPr>
          <w:rFonts w:ascii="Arial" w:eastAsia="Times New Roman" w:hAnsi="Arial" w:cs="Arial"/>
          <w:color w:val="365F91" w:themeColor="accent1" w:themeShade="BF"/>
          <w:sz w:val="24"/>
          <w:szCs w:val="24"/>
          <w:lang w:eastAsia="en-GB"/>
        </w:rPr>
        <w:t>Ključne ugotovitve</w:t>
      </w:r>
      <w:bookmarkEnd w:id="96"/>
    </w:p>
    <w:p w14:paraId="50247251" w14:textId="4E060025" w:rsidR="00C76DA8" w:rsidRPr="00C76DA8" w:rsidRDefault="00CA6808" w:rsidP="00C76DA8">
      <w:pPr>
        <w:spacing w:before="100" w:beforeAutospacing="1" w:after="0" w:line="240" w:lineRule="auto"/>
        <w:jc w:val="both"/>
        <w:rPr>
          <w:rFonts w:eastAsia="Times New Roman"/>
          <w:sz w:val="20"/>
          <w:lang w:eastAsia="sl-SI"/>
        </w:rPr>
      </w:pPr>
      <w:r w:rsidRPr="00D31B31">
        <w:rPr>
          <w:rFonts w:eastAsia="Times New Roman"/>
          <w:sz w:val="20"/>
          <w:lang w:eastAsia="sl-SI"/>
        </w:rPr>
        <w:t>V Sloveniji se rejci zaradi različnih razlogov v premajhnem obsegu odločajo za nadstandardne načine reje živali, ki upoštevajo vidike dobrobiti živali in presegajo predpisane zahteve ravnanja ali običajno rejsko prakso</w:t>
      </w:r>
      <w:r w:rsidR="00251624">
        <w:rPr>
          <w:rFonts w:eastAsia="Times New Roman"/>
          <w:sz w:val="20"/>
          <w:lang w:eastAsia="sl-SI"/>
        </w:rPr>
        <w:t xml:space="preserve">, čeprav bi Slovenija  </w:t>
      </w:r>
      <w:r w:rsidR="00251624" w:rsidRPr="00251624">
        <w:rPr>
          <w:rFonts w:eastAsia="Times New Roman"/>
          <w:sz w:val="20"/>
          <w:lang w:eastAsia="sl-SI"/>
        </w:rPr>
        <w:t>z vidika velikostne strukture kmet</w:t>
      </w:r>
      <w:r w:rsidR="00251624">
        <w:rPr>
          <w:rFonts w:eastAsia="Times New Roman"/>
          <w:sz w:val="20"/>
          <w:lang w:eastAsia="sl-SI"/>
        </w:rPr>
        <w:t xml:space="preserve">ijskih gospodarstev morala </w:t>
      </w:r>
      <w:r w:rsidR="00251624" w:rsidRPr="00251624">
        <w:rPr>
          <w:rFonts w:eastAsia="Times New Roman"/>
          <w:sz w:val="20"/>
          <w:lang w:eastAsia="sl-SI"/>
        </w:rPr>
        <w:t xml:space="preserve">glede skrbi za dobrobit živali </w:t>
      </w:r>
      <w:r w:rsidR="00251624">
        <w:rPr>
          <w:rFonts w:eastAsia="Times New Roman"/>
          <w:sz w:val="20"/>
          <w:lang w:eastAsia="sl-SI"/>
        </w:rPr>
        <w:t xml:space="preserve">biti </w:t>
      </w:r>
      <w:r w:rsidR="00251624" w:rsidRPr="00251624">
        <w:rPr>
          <w:rFonts w:eastAsia="Times New Roman"/>
          <w:sz w:val="20"/>
          <w:lang w:eastAsia="sl-SI"/>
        </w:rPr>
        <w:t xml:space="preserve">v prednosti, ker nima res množičnih sistemov rej,. </w:t>
      </w:r>
      <w:r w:rsidRPr="00D31B31">
        <w:rPr>
          <w:rFonts w:eastAsia="Times New Roman"/>
          <w:sz w:val="20"/>
          <w:lang w:eastAsia="sl-SI"/>
        </w:rPr>
        <w:t>Pomembni razlogi so neugodna posestna struktura kmetijskih gospodarstev in starostna struktura rejcev ter v veliko primerih tudi lokacija kmetijskega gospodarstva znotraj strnjenega vaškega naselja brez možnosti za povečanje in prilagoditev hlevov višjim standardom dobrobiti. Poleg tega rejce od nadstandardnih načinov reje, ki so praviloma dražji, odvrača predvsem ekonomika, zato zagotavljanje višjih standardov od minimalnih, predpisanih z zakonodajo, še vedno v večini primerov vidijo kot dodaten strošek, namesto da bi ga izkoristili kot tržno priložnost v okviru shem kakovosti. V Sloveniji, razen pri prireji perutninskega mesa, še ni vzpostavljenih nadstandardnih shem, ki bi potrošnikom zagotavljale, da so bile živali vzrejene v skladu z višjimi standardi dobrobiti živali.</w:t>
      </w:r>
    </w:p>
    <w:p w14:paraId="138AB21C" w14:textId="0E28E29E" w:rsidR="00C76DA8" w:rsidRDefault="00CA6808" w:rsidP="00C76DA8">
      <w:pPr>
        <w:spacing w:before="100" w:beforeAutospacing="1" w:after="100" w:afterAutospacing="1" w:line="240" w:lineRule="auto"/>
        <w:jc w:val="both"/>
        <w:rPr>
          <w:rFonts w:ascii="Times New Roman" w:eastAsia="Times New Roman" w:hAnsi="Times New Roman"/>
          <w:sz w:val="20"/>
          <w:lang w:eastAsia="sl-SI"/>
        </w:rPr>
      </w:pPr>
      <w:r w:rsidRPr="00D31B31">
        <w:rPr>
          <w:rFonts w:eastAsia="Times New Roman"/>
          <w:sz w:val="20"/>
          <w:lang w:eastAsia="sl-SI"/>
        </w:rPr>
        <w:t xml:space="preserve">Dobrobit živali je zelo pomemben dejavnik pri konceptu kakovosti hrane, saj potrošniki pričakujejo, da bo njihova hrana živalskega izvora pridelana na karseda živalim in okolju prijazen način. Predpogoj za vključitev dobrobiti živali v koncept kakovostne hrane pa je razvoj sistema za ocenjevanje dobrobiti živali, ki temelji na znanstvenih utemeljitvah in metodah. Eden takih sistemov, ki je bil razvit v okviru programa </w:t>
      </w:r>
      <w:proofErr w:type="spellStart"/>
      <w:r w:rsidRPr="00D31B31">
        <w:rPr>
          <w:rFonts w:eastAsia="Times New Roman"/>
          <w:sz w:val="20"/>
          <w:lang w:eastAsia="sl-SI"/>
        </w:rPr>
        <w:t>Welfare</w:t>
      </w:r>
      <w:proofErr w:type="spellEnd"/>
      <w:r w:rsidRPr="00D31B31">
        <w:rPr>
          <w:rFonts w:eastAsia="Times New Roman"/>
          <w:sz w:val="20"/>
          <w:lang w:eastAsia="sl-SI"/>
        </w:rPr>
        <w:t xml:space="preserve"> </w:t>
      </w:r>
      <w:proofErr w:type="spellStart"/>
      <w:r w:rsidRPr="00D31B31">
        <w:rPr>
          <w:rFonts w:eastAsia="Times New Roman"/>
          <w:sz w:val="20"/>
          <w:lang w:eastAsia="sl-SI"/>
        </w:rPr>
        <w:t>Quality</w:t>
      </w:r>
      <w:proofErr w:type="spellEnd"/>
      <w:r w:rsidRPr="00D31B31">
        <w:rPr>
          <w:rFonts w:eastAsia="Times New Roman"/>
          <w:sz w:val="20"/>
          <w:lang w:eastAsia="sl-SI"/>
        </w:rPr>
        <w:t xml:space="preserve"> s strani Evropske komisije, se v Sloveniji v okviru ciljnih raziskovalnih projektov še preizkuša in prilagaja za uporabo v slovenskih rejah prašičev, p</w:t>
      </w:r>
      <w:r>
        <w:rPr>
          <w:rFonts w:eastAsia="Times New Roman"/>
          <w:sz w:val="20"/>
          <w:lang w:eastAsia="sl-SI"/>
        </w:rPr>
        <w:t>e</w:t>
      </w:r>
      <w:r w:rsidRPr="00D31B31">
        <w:rPr>
          <w:rFonts w:eastAsia="Times New Roman"/>
          <w:sz w:val="20"/>
          <w:lang w:eastAsia="sl-SI"/>
        </w:rPr>
        <w:t>rutnine in krav mo</w:t>
      </w:r>
      <w:r>
        <w:rPr>
          <w:rFonts w:eastAsia="Times New Roman"/>
          <w:sz w:val="20"/>
          <w:lang w:eastAsia="sl-SI"/>
        </w:rPr>
        <w:t>l</w:t>
      </w:r>
      <w:r w:rsidRPr="00D31B31">
        <w:rPr>
          <w:rFonts w:eastAsia="Times New Roman"/>
          <w:sz w:val="20"/>
          <w:lang w:eastAsia="sl-SI"/>
        </w:rPr>
        <w:t>znic. Zato trenutno še ni uveljavl</w:t>
      </w:r>
      <w:r>
        <w:rPr>
          <w:rFonts w:eastAsia="Times New Roman"/>
          <w:sz w:val="20"/>
          <w:lang w:eastAsia="sl-SI"/>
        </w:rPr>
        <w:t>j</w:t>
      </w:r>
      <w:r w:rsidRPr="00D31B31">
        <w:rPr>
          <w:rFonts w:eastAsia="Times New Roman"/>
          <w:sz w:val="20"/>
          <w:lang w:eastAsia="sl-SI"/>
        </w:rPr>
        <w:t>en enoten sistem ocenjevanja in obstajajo le posamezne parcialne ocene o stanju dobrobiti v slovenskih rejah. Predpisi, ki urejajo zaščito živali, določajo minimalne pogoje, nadgradnjo pa predstavljajo nadstandardne sheme zagotavljanja dobrobiti živali, pri k</w:t>
      </w:r>
      <w:r>
        <w:rPr>
          <w:rFonts w:eastAsia="Times New Roman"/>
          <w:sz w:val="20"/>
          <w:lang w:eastAsia="sl-SI"/>
        </w:rPr>
        <w:t>aterih gre za prostovoljno prev</w:t>
      </w:r>
      <w:r w:rsidRPr="00D31B31">
        <w:rPr>
          <w:rFonts w:eastAsia="Times New Roman"/>
          <w:sz w:val="20"/>
          <w:lang w:eastAsia="sl-SI"/>
        </w:rPr>
        <w:t>zemanje nadstandardnih zahtev za rejo živali. V Sloveniji so težava »standardi«, saj trenutno po posameznih usmeritvah in vrstah reje, predvsem za tiste vrste i</w:t>
      </w:r>
      <w:r>
        <w:rPr>
          <w:rFonts w:eastAsia="Times New Roman"/>
          <w:sz w:val="20"/>
          <w:lang w:eastAsia="sl-SI"/>
        </w:rPr>
        <w:t xml:space="preserve">n kategorije </w:t>
      </w:r>
      <w:proofErr w:type="spellStart"/>
      <w:r>
        <w:rPr>
          <w:rFonts w:eastAsia="Times New Roman"/>
          <w:sz w:val="20"/>
          <w:lang w:eastAsia="sl-SI"/>
        </w:rPr>
        <w:t>rejnih</w:t>
      </w:r>
      <w:proofErr w:type="spellEnd"/>
      <w:r>
        <w:rPr>
          <w:rFonts w:eastAsia="Times New Roman"/>
          <w:sz w:val="20"/>
          <w:lang w:eastAsia="sl-SI"/>
        </w:rPr>
        <w:t xml:space="preserve"> živali za ka</w:t>
      </w:r>
      <w:r w:rsidRPr="00D31B31">
        <w:rPr>
          <w:rFonts w:eastAsia="Times New Roman"/>
          <w:sz w:val="20"/>
          <w:lang w:eastAsia="sl-SI"/>
        </w:rPr>
        <w:t xml:space="preserve">tere ni predpisanih minimalnih zahtev, še ni opredeljenih standardiziranih načinov reje oziroma običajne rejske prakse. </w:t>
      </w:r>
    </w:p>
    <w:p w14:paraId="7AC87CE5" w14:textId="073C0B71" w:rsidR="007F41C6" w:rsidRPr="007940FC" w:rsidRDefault="007940FC" w:rsidP="007940FC">
      <w:pPr>
        <w:pStyle w:val="Naslov1"/>
        <w:rPr>
          <w:rFonts w:ascii="Arial" w:eastAsia="Calibri" w:hAnsi="Arial" w:cs="Arial"/>
          <w:b/>
          <w:bCs/>
          <w:lang w:eastAsia="en-GB"/>
        </w:rPr>
      </w:pPr>
      <w:bookmarkStart w:id="97" w:name="_Toc55547453"/>
      <w:bookmarkEnd w:id="82"/>
      <w:bookmarkEnd w:id="83"/>
      <w:r w:rsidRPr="007940FC">
        <w:rPr>
          <w:rFonts w:ascii="Arial" w:eastAsia="Calibri" w:hAnsi="Arial" w:cs="Arial"/>
          <w:b/>
          <w:bCs/>
          <w:lang w:eastAsia="en-GB"/>
        </w:rPr>
        <w:t>5</w:t>
      </w:r>
      <w:r w:rsidR="00AC5261" w:rsidRPr="007940FC">
        <w:rPr>
          <w:rFonts w:ascii="Arial" w:eastAsia="Calibri" w:hAnsi="Arial" w:cs="Arial"/>
          <w:b/>
          <w:bCs/>
          <w:lang w:eastAsia="en-GB"/>
        </w:rPr>
        <w:t>.</w:t>
      </w:r>
      <w:r w:rsidR="00C76DA8" w:rsidRPr="007940FC">
        <w:rPr>
          <w:rFonts w:ascii="Arial" w:eastAsia="Calibri" w:hAnsi="Arial" w:cs="Arial"/>
          <w:b/>
          <w:bCs/>
          <w:lang w:eastAsia="en-GB"/>
        </w:rPr>
        <w:t xml:space="preserve"> ODPADNA HRANA</w:t>
      </w:r>
      <w:bookmarkEnd w:id="97"/>
    </w:p>
    <w:p w14:paraId="29354621" w14:textId="1AD52B10" w:rsidR="001E6A32" w:rsidRPr="00B96149" w:rsidRDefault="001E6A32" w:rsidP="001E6A32">
      <w:pPr>
        <w:tabs>
          <w:tab w:val="left" w:pos="0"/>
        </w:tabs>
        <w:spacing w:before="120" w:after="0" w:line="240" w:lineRule="auto"/>
        <w:jc w:val="both"/>
        <w:rPr>
          <w:rFonts w:eastAsia="Calibri"/>
          <w:sz w:val="20"/>
          <w:shd w:val="clear" w:color="auto" w:fill="FFFFFF"/>
          <w:lang w:bidi="sl-SI"/>
        </w:rPr>
      </w:pPr>
      <w:r w:rsidRPr="00B96149">
        <w:rPr>
          <w:rFonts w:eastAsia="Calibri"/>
          <w:sz w:val="20"/>
          <w:shd w:val="clear" w:color="auto" w:fill="FFFFFF"/>
          <w:lang w:bidi="sl-SI"/>
        </w:rPr>
        <w:t xml:space="preserve">Odpadna hrana je v Evropi in Sloveniji naraščajoča težava, še posebej odpadna hrana, ki je še užitna. </w:t>
      </w:r>
      <w:r>
        <w:rPr>
          <w:rFonts w:eastAsia="Calibri"/>
          <w:sz w:val="20"/>
          <w:shd w:val="clear" w:color="auto" w:fill="FFFFFF"/>
          <w:lang w:bidi="sl-SI"/>
        </w:rPr>
        <w:t>Zavržemo vsak šesti krožnik (obrok) oziroma 16% kupljene hrane (SURS,</w:t>
      </w:r>
      <w:r w:rsidR="00AC5261">
        <w:rPr>
          <w:rFonts w:eastAsia="Calibri"/>
          <w:sz w:val="20"/>
          <w:shd w:val="clear" w:color="auto" w:fill="FFFFFF"/>
          <w:lang w:bidi="sl-SI"/>
        </w:rPr>
        <w:t xml:space="preserve"> </w:t>
      </w:r>
      <w:r>
        <w:rPr>
          <w:rFonts w:eastAsia="Calibri"/>
          <w:sz w:val="20"/>
          <w:shd w:val="clear" w:color="auto" w:fill="FFFFFF"/>
          <w:lang w:bidi="sl-SI"/>
        </w:rPr>
        <w:t xml:space="preserve">2016). </w:t>
      </w:r>
      <w:r w:rsidRPr="00B96149">
        <w:rPr>
          <w:rFonts w:eastAsia="Calibri"/>
          <w:sz w:val="20"/>
          <w:shd w:val="clear" w:color="auto" w:fill="FFFFFF"/>
          <w:lang w:bidi="sl-SI"/>
        </w:rPr>
        <w:t>Ta povečuje negativne učinke na okolje in potrošnika ter gospodarstvu povzroča finančne izgube</w:t>
      </w:r>
      <w:r>
        <w:rPr>
          <w:rFonts w:eastAsia="Calibri"/>
          <w:sz w:val="20"/>
          <w:shd w:val="clear" w:color="auto" w:fill="FFFFFF"/>
          <w:lang w:bidi="sl-SI"/>
        </w:rPr>
        <w:t xml:space="preserve"> ter zmanjšuje učinkovitost rabe virov</w:t>
      </w:r>
      <w:r w:rsidRPr="00B96149">
        <w:rPr>
          <w:rFonts w:eastAsia="Calibri"/>
          <w:sz w:val="20"/>
          <w:shd w:val="clear" w:color="auto" w:fill="FFFFFF"/>
          <w:lang w:bidi="sl-SI"/>
        </w:rPr>
        <w:t xml:space="preserve">. </w:t>
      </w:r>
    </w:p>
    <w:p w14:paraId="7BD0316F" w14:textId="77777777" w:rsidR="001E6A32" w:rsidRPr="00B96149" w:rsidRDefault="001E6A32" w:rsidP="001E6A32">
      <w:pPr>
        <w:tabs>
          <w:tab w:val="left" w:pos="0"/>
        </w:tabs>
        <w:spacing w:before="120" w:after="0" w:line="240" w:lineRule="auto"/>
        <w:jc w:val="both"/>
        <w:rPr>
          <w:rFonts w:eastAsia="Times New Roman"/>
          <w:sz w:val="20"/>
          <w:lang w:eastAsia="en-GB"/>
        </w:rPr>
      </w:pPr>
      <w:r w:rsidRPr="00B96149">
        <w:rPr>
          <w:rFonts w:eastAsia="Times New Roman"/>
          <w:sz w:val="20"/>
          <w:lang w:eastAsia="en-GB"/>
        </w:rPr>
        <w:lastRenderedPageBreak/>
        <w:t>Problematika izgub in odpad</w:t>
      </w:r>
      <w:r>
        <w:rPr>
          <w:rFonts w:eastAsia="Times New Roman"/>
          <w:sz w:val="20"/>
          <w:lang w:eastAsia="en-GB"/>
        </w:rPr>
        <w:t>ne</w:t>
      </w:r>
      <w:r w:rsidRPr="00B96149">
        <w:rPr>
          <w:rFonts w:eastAsia="Times New Roman"/>
          <w:sz w:val="20"/>
          <w:lang w:eastAsia="en-GB"/>
        </w:rPr>
        <w:t xml:space="preserve"> hrane je večplastna in se odvija v vseh členih verige preskrbe s hrano. Izgube hrane in odpadna hrana nastajajo v primarni proizvodnji (kmetijstvu), živilsko predelovalni industriji, v distribuciji hrane in trgovini, gostinstvu in strežbi hrane ter v gospodinjstvih. </w:t>
      </w:r>
      <w:r>
        <w:rPr>
          <w:rFonts w:eastAsia="Times New Roman"/>
          <w:sz w:val="20"/>
          <w:lang w:eastAsia="en-GB"/>
        </w:rPr>
        <w:t xml:space="preserve">Polovica vse zavržene hrane izhaja iz gospodinjstev, v EU pa 70% (SURS, 2016 in BIOEAST, 2020) </w:t>
      </w:r>
    </w:p>
    <w:p w14:paraId="7D055A2B" w14:textId="77777777" w:rsidR="001E6A32" w:rsidRPr="00B96149" w:rsidRDefault="001E6A32" w:rsidP="001E6A32">
      <w:pPr>
        <w:tabs>
          <w:tab w:val="left" w:pos="0"/>
        </w:tabs>
        <w:spacing w:before="120" w:after="0" w:line="240" w:lineRule="auto"/>
        <w:jc w:val="both"/>
        <w:rPr>
          <w:rFonts w:eastAsia="Times New Roman"/>
          <w:sz w:val="20"/>
          <w:shd w:val="clear" w:color="auto" w:fill="FFFFFF"/>
          <w:lang w:eastAsia="en-GB"/>
        </w:rPr>
      </w:pPr>
      <w:r w:rsidRPr="00B96149">
        <w:rPr>
          <w:rFonts w:eastAsia="Times New Roman"/>
          <w:sz w:val="20"/>
          <w:lang w:eastAsia="en-GB"/>
        </w:rPr>
        <w:t xml:space="preserve">Podatki o odpadni hrani v Sloveniji temeljijo na dejansko poročanih podatkih komunalnih služb, specialnih zbiralcev in obdelovalcev odpadkov in ne temeljijo na ocenah (razen del, ki se nanaša na mešane frakcije odpadkov). </w:t>
      </w:r>
      <w:r w:rsidRPr="00B96149">
        <w:rPr>
          <w:rFonts w:eastAsia="Times New Roman"/>
          <w:sz w:val="20"/>
          <w:shd w:val="clear" w:color="auto" w:fill="FFFFFF"/>
          <w:lang w:eastAsia="en-GB"/>
        </w:rPr>
        <w:t xml:space="preserve">V metodološki okvir SURS za spremljanje nastajanja odpadne hrane na nacionalni ravni je zajeta vsa odpadna hrana, ki konča v sistemu ravnanja z odpadki. V ta okvir ni zajeta odpadna hrana, ki se obdela zunaj sistema ravnanja z odpadki. Gre za odpadno hrano, ki se obdela na kraju nastanka (npr. v gospodinjstvih v hišnih kompostnikih), in za odpadno hrano, ki se spušča v kanalizacijski odtok. V metodološki okvir SURS prav tako nista zajeta hrana, ki se porabi kot krma za živali, ter pridelek, ki zaradi slabe kakovosti ali presežka v pridelavi in posledično nizke vrednosti ostane na kmetijskih pridelovalnih površinah in se ne pobere. Zato bi bilo ta del spremljanja potrebno nadgraditi, saj predstavlja velik potencial za </w:t>
      </w:r>
      <w:proofErr w:type="spellStart"/>
      <w:r w:rsidRPr="00B96149">
        <w:rPr>
          <w:rFonts w:eastAsia="Times New Roman"/>
          <w:sz w:val="20"/>
          <w:shd w:val="clear" w:color="auto" w:fill="FFFFFF"/>
          <w:lang w:eastAsia="en-GB"/>
        </w:rPr>
        <w:t>biogospodarstvo</w:t>
      </w:r>
      <w:proofErr w:type="spellEnd"/>
      <w:r w:rsidRPr="00B96149">
        <w:rPr>
          <w:rFonts w:eastAsia="Times New Roman"/>
          <w:sz w:val="20"/>
          <w:shd w:val="clear" w:color="auto" w:fill="FFFFFF"/>
          <w:lang w:eastAsia="en-GB"/>
        </w:rPr>
        <w:t>.</w:t>
      </w:r>
    </w:p>
    <w:p w14:paraId="516124B9" w14:textId="2B755BB2" w:rsidR="001E6A32" w:rsidRPr="00B96149" w:rsidRDefault="001E6A32" w:rsidP="001E6A32">
      <w:pPr>
        <w:tabs>
          <w:tab w:val="left" w:pos="0"/>
        </w:tabs>
        <w:spacing w:before="120" w:after="0" w:line="240" w:lineRule="auto"/>
        <w:jc w:val="both"/>
        <w:rPr>
          <w:rFonts w:eastAsia="Times New Roman"/>
          <w:sz w:val="20"/>
          <w:lang w:eastAsia="en-GB"/>
        </w:rPr>
      </w:pPr>
      <w:r w:rsidRPr="00B96149">
        <w:rPr>
          <w:rFonts w:eastAsia="Times New Roman"/>
          <w:sz w:val="20"/>
          <w:lang w:eastAsia="en-GB"/>
        </w:rPr>
        <w:t xml:space="preserve">V primarni proizvodnji na količino presežkov sadja in zelenjave vpliva tudi namerno </w:t>
      </w:r>
      <w:proofErr w:type="spellStart"/>
      <w:r w:rsidRPr="00B96149">
        <w:rPr>
          <w:rFonts w:eastAsia="Times New Roman"/>
          <w:sz w:val="20"/>
          <w:lang w:eastAsia="en-GB"/>
        </w:rPr>
        <w:t>zasnovanje</w:t>
      </w:r>
      <w:proofErr w:type="spellEnd"/>
      <w:r w:rsidRPr="00B96149">
        <w:rPr>
          <w:rFonts w:eastAsia="Times New Roman"/>
          <w:sz w:val="20"/>
          <w:lang w:eastAsia="en-GB"/>
        </w:rPr>
        <w:t xml:space="preserve"> pridelkov v nekoliko večjih količinah, saj so lahko zaradi naravnih razmer (vreme, škodljivci) veliki izpadi. Prav tako je težje prodati pridelke drugačnih oblik ali velikosti od standardov, predpisanih s strani kupca. Zaradi </w:t>
      </w:r>
      <w:r>
        <w:rPr>
          <w:rFonts w:eastAsia="Times New Roman"/>
          <w:sz w:val="20"/>
          <w:lang w:eastAsia="en-GB"/>
        </w:rPr>
        <w:t>nezmožnosti prodaje</w:t>
      </w:r>
      <w:r w:rsidRPr="00B96149">
        <w:rPr>
          <w:rFonts w:eastAsia="Times New Roman"/>
          <w:sz w:val="20"/>
          <w:lang w:eastAsia="en-GB"/>
        </w:rPr>
        <w:t xml:space="preserve"> presež</w:t>
      </w:r>
      <w:r>
        <w:rPr>
          <w:rFonts w:eastAsia="Times New Roman"/>
          <w:sz w:val="20"/>
          <w:lang w:eastAsia="en-GB"/>
        </w:rPr>
        <w:t>nih</w:t>
      </w:r>
      <w:r w:rsidRPr="00B96149">
        <w:rPr>
          <w:rFonts w:eastAsia="Times New Roman"/>
          <w:sz w:val="20"/>
          <w:lang w:eastAsia="en-GB"/>
        </w:rPr>
        <w:t xml:space="preserve"> pridelkov na kmetiji</w:t>
      </w:r>
      <w:r>
        <w:rPr>
          <w:rFonts w:eastAsia="Times New Roman"/>
          <w:sz w:val="20"/>
          <w:lang w:eastAsia="en-GB"/>
        </w:rPr>
        <w:t>,</w:t>
      </w:r>
      <w:r w:rsidRPr="00B96149">
        <w:rPr>
          <w:rFonts w:eastAsia="Times New Roman"/>
          <w:sz w:val="20"/>
          <w:lang w:eastAsia="en-GB"/>
        </w:rPr>
        <w:t xml:space="preserve"> ostajajo nekateri pridelki, ki nimajo dolgega roka trajanja,</w:t>
      </w:r>
      <w:r>
        <w:rPr>
          <w:rFonts w:eastAsia="Times New Roman"/>
          <w:sz w:val="20"/>
          <w:lang w:eastAsia="en-GB"/>
        </w:rPr>
        <w:t xml:space="preserve"> zato</w:t>
      </w:r>
      <w:r w:rsidRPr="00B96149">
        <w:rPr>
          <w:rFonts w:eastAsia="Times New Roman"/>
          <w:sz w:val="20"/>
          <w:lang w:eastAsia="en-GB"/>
        </w:rPr>
        <w:t xml:space="preserve"> propadejo in predstavljajo ostanek, ki ni primeren za nadaljnjo prodajo oziroma zaužitje. Dogaja se tudi, da kmetija zaradi prenizkih odkupnih cen ne more pokriti stroškov spravila pridelka ter ga tako pusti na njivi in zaorje v tla (</w:t>
      </w:r>
      <w:proofErr w:type="spellStart"/>
      <w:r w:rsidRPr="00B96149">
        <w:rPr>
          <w:rFonts w:eastAsia="Times New Roman"/>
          <w:sz w:val="20"/>
          <w:lang w:eastAsia="en-GB"/>
        </w:rPr>
        <w:t>Ayalon</w:t>
      </w:r>
      <w:proofErr w:type="spellEnd"/>
      <w:r w:rsidRPr="00B96149">
        <w:rPr>
          <w:rFonts w:eastAsia="Times New Roman"/>
          <w:sz w:val="20"/>
          <w:lang w:eastAsia="en-GB"/>
        </w:rPr>
        <w:t xml:space="preserve"> in sod., 2017). V Sloveniji je bilo </w:t>
      </w:r>
      <w:r w:rsidRPr="00B96149">
        <w:rPr>
          <w:rFonts w:eastAsia="Times New Roman" w:hint="eastAsia"/>
          <w:sz w:val="20"/>
          <w:lang w:eastAsia="en-GB"/>
        </w:rPr>
        <w:t>ž</w:t>
      </w:r>
      <w:r w:rsidRPr="00B96149">
        <w:rPr>
          <w:rFonts w:eastAsia="Times New Roman"/>
          <w:sz w:val="20"/>
          <w:lang w:eastAsia="en-GB"/>
        </w:rPr>
        <w:t>e ve</w:t>
      </w:r>
      <w:r w:rsidRPr="00B96149">
        <w:rPr>
          <w:rFonts w:eastAsia="Times New Roman" w:hint="eastAsia"/>
          <w:sz w:val="20"/>
          <w:lang w:eastAsia="en-GB"/>
        </w:rPr>
        <w:t>č</w:t>
      </w:r>
      <w:r w:rsidRPr="00B96149">
        <w:rPr>
          <w:rFonts w:eastAsia="Times New Roman"/>
          <w:sz w:val="20"/>
          <w:lang w:eastAsia="en-GB"/>
        </w:rPr>
        <w:t xml:space="preserve"> akcij, s katerimi bi zmanj</w:t>
      </w:r>
      <w:r w:rsidRPr="00B96149">
        <w:rPr>
          <w:rFonts w:eastAsia="Times New Roman" w:hint="eastAsia"/>
          <w:sz w:val="20"/>
          <w:lang w:eastAsia="en-GB"/>
        </w:rPr>
        <w:t>š</w:t>
      </w:r>
      <w:r w:rsidRPr="00B96149">
        <w:rPr>
          <w:rFonts w:eastAsia="Times New Roman"/>
          <w:sz w:val="20"/>
          <w:lang w:eastAsia="en-GB"/>
        </w:rPr>
        <w:t>ali količine pridelkov, ki bi sicer propadli. Ena izmed akcij je bila »Rešimo slovenske pridelke« (2015), s katero so spodbudili kmete, da prodajajo svoje pridelke, ki jih niso mogli prodati, po ni</w:t>
      </w:r>
      <w:r w:rsidRPr="00B96149">
        <w:rPr>
          <w:rFonts w:eastAsia="Times New Roman" w:hint="eastAsia"/>
          <w:sz w:val="20"/>
          <w:lang w:eastAsia="en-GB"/>
        </w:rPr>
        <w:t>ž</w:t>
      </w:r>
      <w:r w:rsidRPr="00B96149">
        <w:rPr>
          <w:rFonts w:eastAsia="Times New Roman"/>
          <w:sz w:val="20"/>
          <w:lang w:eastAsia="en-GB"/>
        </w:rPr>
        <w:t>ji ceni kar pred gasilskimi domovi (Zaplotnik, 2015). Projekt Oskrbimo Ljubljano prav tako podpira kmete pri prodaji pridelkov na tr</w:t>
      </w:r>
      <w:r w:rsidRPr="00B96149">
        <w:rPr>
          <w:rFonts w:eastAsia="Times New Roman" w:hint="eastAsia"/>
          <w:sz w:val="20"/>
          <w:lang w:eastAsia="en-GB"/>
        </w:rPr>
        <w:t>ž</w:t>
      </w:r>
      <w:r w:rsidRPr="00B96149">
        <w:rPr>
          <w:rFonts w:eastAsia="Times New Roman"/>
          <w:sz w:val="20"/>
          <w:lang w:eastAsia="en-GB"/>
        </w:rPr>
        <w:t>nicah (</w:t>
      </w:r>
      <w:r w:rsidRPr="00B96149">
        <w:rPr>
          <w:rFonts w:eastAsia="Times New Roman" w:hint="eastAsia"/>
          <w:sz w:val="20"/>
          <w:lang w:eastAsia="en-GB"/>
        </w:rPr>
        <w:t>Š</w:t>
      </w:r>
      <w:r w:rsidRPr="00B96149">
        <w:rPr>
          <w:rFonts w:eastAsia="Times New Roman"/>
          <w:sz w:val="20"/>
          <w:lang w:eastAsia="en-GB"/>
        </w:rPr>
        <w:t>vab, 2019).Pospravljene pridelke, ki propadejo, je mogo</w:t>
      </w:r>
      <w:r w:rsidRPr="00B96149">
        <w:rPr>
          <w:rFonts w:eastAsia="Times New Roman" w:hint="eastAsia"/>
          <w:sz w:val="20"/>
          <w:lang w:eastAsia="en-GB"/>
        </w:rPr>
        <w:t>č</w:t>
      </w:r>
      <w:r w:rsidRPr="00B96149">
        <w:rPr>
          <w:rFonts w:eastAsia="Times New Roman"/>
          <w:sz w:val="20"/>
          <w:lang w:eastAsia="en-GB"/>
        </w:rPr>
        <w:t>e nameniti v proizvodnjo komposta ali bioplina.</w:t>
      </w:r>
      <w:r>
        <w:rPr>
          <w:rFonts w:eastAsia="Times New Roman"/>
          <w:sz w:val="20"/>
          <w:lang w:eastAsia="en-GB"/>
        </w:rPr>
        <w:t xml:space="preserve"> </w:t>
      </w:r>
      <w:r w:rsidRPr="00865C70">
        <w:rPr>
          <w:rFonts w:eastAsia="Times New Roman"/>
          <w:sz w:val="20"/>
          <w:lang w:eastAsia="en-GB"/>
        </w:rPr>
        <w:t xml:space="preserve">Raziskava </w:t>
      </w:r>
      <w:proofErr w:type="spellStart"/>
      <w:r w:rsidRPr="00865C70">
        <w:rPr>
          <w:rFonts w:eastAsia="Times New Roman"/>
          <w:sz w:val="20"/>
          <w:lang w:eastAsia="en-GB"/>
        </w:rPr>
        <w:t>Deloitte</w:t>
      </w:r>
      <w:proofErr w:type="spellEnd"/>
      <w:r w:rsidRPr="00865C70">
        <w:rPr>
          <w:rFonts w:eastAsia="Times New Roman"/>
          <w:sz w:val="20"/>
          <w:lang w:eastAsia="en-GB"/>
        </w:rPr>
        <w:t xml:space="preserve"> z ekspertnimi paneli v okviru EIT </w:t>
      </w:r>
      <w:proofErr w:type="spellStart"/>
      <w:r w:rsidRPr="00865C70">
        <w:rPr>
          <w:rFonts w:eastAsia="Times New Roman"/>
          <w:sz w:val="20"/>
          <w:lang w:eastAsia="en-GB"/>
        </w:rPr>
        <w:t>Food</w:t>
      </w:r>
      <w:proofErr w:type="spellEnd"/>
      <w:r w:rsidRPr="00865C70">
        <w:rPr>
          <w:rFonts w:eastAsia="Times New Roman"/>
          <w:sz w:val="20"/>
          <w:lang w:eastAsia="en-GB"/>
        </w:rPr>
        <w:t xml:space="preserve"> na področju prilagajanja pridelave in ŽPI med krizo COVID-19 je razkrila, da so ti viri – neobstojni pridelki in živila ter načini njihove hitre uporabe in predelave tudi ključni za večjo f</w:t>
      </w:r>
      <w:r>
        <w:rPr>
          <w:rFonts w:eastAsia="Times New Roman"/>
          <w:sz w:val="20"/>
          <w:lang w:eastAsia="en-GB"/>
        </w:rPr>
        <w:t>le</w:t>
      </w:r>
      <w:r w:rsidRPr="00865C70">
        <w:rPr>
          <w:rFonts w:eastAsia="Times New Roman"/>
          <w:sz w:val="20"/>
          <w:lang w:eastAsia="en-GB"/>
        </w:rPr>
        <w:t>ksibilnost osnovne pridelave/predelave in razvoj bolj stabilnih sistemov za hitro prilagajanje na spremembe</w:t>
      </w:r>
      <w:r>
        <w:rPr>
          <w:rFonts w:eastAsia="Times New Roman"/>
          <w:sz w:val="20"/>
          <w:lang w:eastAsia="en-GB"/>
        </w:rPr>
        <w:t>,</w:t>
      </w:r>
      <w:r w:rsidRPr="00865C70">
        <w:rPr>
          <w:rFonts w:eastAsia="Times New Roman"/>
          <w:sz w:val="20"/>
          <w:lang w:eastAsia="en-GB"/>
        </w:rPr>
        <w:t xml:space="preserve"> ki drastično vplivajo na konvencionalne dostavne sisteme. Neizrabljeni viri v smislu viškov in odpadne hrane tako močno vplivajo tudi na ta vidik.</w:t>
      </w:r>
    </w:p>
    <w:p w14:paraId="2C50B336" w14:textId="77777777" w:rsidR="007601E4" w:rsidRDefault="001E6A32" w:rsidP="001E6A32">
      <w:pPr>
        <w:tabs>
          <w:tab w:val="left" w:pos="0"/>
        </w:tabs>
        <w:spacing w:before="120" w:after="0" w:line="240" w:lineRule="auto"/>
        <w:jc w:val="both"/>
        <w:rPr>
          <w:rFonts w:eastAsia="Times New Roman"/>
          <w:sz w:val="20"/>
          <w:lang w:eastAsia="en-GB"/>
        </w:rPr>
      </w:pPr>
      <w:r w:rsidRPr="00B96149">
        <w:rPr>
          <w:rFonts w:eastAsia="Times New Roman"/>
          <w:sz w:val="20"/>
          <w:lang w:eastAsia="en-GB"/>
        </w:rPr>
        <w:t xml:space="preserve">Ostanki v živilskopredelovalni industriji lahko postanejo stranski proizvod ali odpadek. </w:t>
      </w:r>
      <w:r w:rsidRPr="00B83FA0">
        <w:rPr>
          <w:rFonts w:eastAsia="Times New Roman"/>
          <w:sz w:val="20"/>
          <w:lang w:eastAsia="en-GB"/>
        </w:rPr>
        <w:t xml:space="preserve">Ostanki v </w:t>
      </w:r>
      <w:r w:rsidRPr="00B83FA0">
        <w:rPr>
          <w:rFonts w:eastAsia="Times New Roman" w:hint="eastAsia"/>
          <w:sz w:val="20"/>
          <w:lang w:eastAsia="en-GB"/>
        </w:rPr>
        <w:t>ž</w:t>
      </w:r>
      <w:r w:rsidRPr="00B83FA0">
        <w:rPr>
          <w:rFonts w:eastAsia="Times New Roman"/>
          <w:sz w:val="20"/>
          <w:lang w:eastAsia="en-GB"/>
        </w:rPr>
        <w:t xml:space="preserve">ivilskopredelovalni industriji v glavnini prestavljajo biomaso, ki nastaja pri procesiranju organskih surovin v </w:t>
      </w:r>
      <w:r w:rsidRPr="00B83FA0">
        <w:rPr>
          <w:rFonts w:eastAsia="Times New Roman" w:hint="eastAsia"/>
          <w:sz w:val="20"/>
          <w:lang w:eastAsia="en-GB"/>
        </w:rPr>
        <w:t>ž</w:t>
      </w:r>
      <w:r w:rsidRPr="00B83FA0">
        <w:rPr>
          <w:rFonts w:eastAsia="Times New Roman"/>
          <w:sz w:val="20"/>
          <w:lang w:eastAsia="en-GB"/>
        </w:rPr>
        <w:t>ivila z lo</w:t>
      </w:r>
      <w:r w:rsidRPr="00B83FA0">
        <w:rPr>
          <w:rFonts w:eastAsia="Times New Roman" w:hint="eastAsia"/>
          <w:sz w:val="20"/>
          <w:lang w:eastAsia="en-GB"/>
        </w:rPr>
        <w:t>č</w:t>
      </w:r>
      <w:r w:rsidRPr="00B83FA0">
        <w:rPr>
          <w:rFonts w:eastAsia="Times New Roman"/>
          <w:sz w:val="20"/>
          <w:lang w:eastAsia="en-GB"/>
        </w:rPr>
        <w:t>evanjem in/ali ekstrakcijo frakcij z visoko hranilno vrednostjo iz osnovne surovine. Poglavitni viri ostankov so proizvodnja in predelava sadja, zelenjave, mesa, sladkorja, mleka, pekovskih in sla</w:t>
      </w:r>
      <w:r w:rsidRPr="00B83FA0">
        <w:rPr>
          <w:rFonts w:eastAsia="Times New Roman" w:hint="eastAsia"/>
          <w:sz w:val="20"/>
          <w:lang w:eastAsia="en-GB"/>
        </w:rPr>
        <w:t>šč</w:t>
      </w:r>
      <w:r w:rsidRPr="00B83FA0">
        <w:rPr>
          <w:rFonts w:eastAsia="Times New Roman"/>
          <w:sz w:val="20"/>
          <w:lang w:eastAsia="en-GB"/>
        </w:rPr>
        <w:t>i</w:t>
      </w:r>
      <w:r w:rsidRPr="00B83FA0">
        <w:rPr>
          <w:rFonts w:eastAsia="Times New Roman" w:hint="eastAsia"/>
          <w:sz w:val="20"/>
          <w:lang w:eastAsia="en-GB"/>
        </w:rPr>
        <w:t>č</w:t>
      </w:r>
      <w:r w:rsidRPr="00B83FA0">
        <w:rPr>
          <w:rFonts w:eastAsia="Times New Roman"/>
          <w:sz w:val="20"/>
          <w:lang w:eastAsia="en-GB"/>
        </w:rPr>
        <w:t>arskih izdelkov in alkoholnih ter brezalkoholnih pija</w:t>
      </w:r>
      <w:r w:rsidRPr="00B83FA0">
        <w:rPr>
          <w:rFonts w:eastAsia="Times New Roman" w:hint="eastAsia"/>
          <w:sz w:val="20"/>
          <w:lang w:eastAsia="en-GB"/>
        </w:rPr>
        <w:t>č</w:t>
      </w:r>
      <w:r w:rsidRPr="00B83FA0">
        <w:rPr>
          <w:rFonts w:eastAsia="Times New Roman"/>
          <w:sz w:val="20"/>
          <w:lang w:eastAsia="en-GB"/>
        </w:rPr>
        <w:t>, ki se lahko porabijo za stranske proizvode. Na ta način se lahko zmanjšuje tudi količina odpadne hrane.</w:t>
      </w:r>
    </w:p>
    <w:p w14:paraId="77494B19" w14:textId="3EDF6149" w:rsidR="001E6A32" w:rsidRPr="006A09AF" w:rsidRDefault="00237DB1" w:rsidP="00237DB1">
      <w:pPr>
        <w:pStyle w:val="Napis"/>
        <w:jc w:val="both"/>
        <w:rPr>
          <w:sz w:val="20"/>
          <w:szCs w:val="20"/>
        </w:rPr>
      </w:pPr>
      <w:bookmarkStart w:id="98" w:name="_Toc55484833"/>
      <w:r w:rsidRPr="006A09AF">
        <w:rPr>
          <w:sz w:val="20"/>
          <w:szCs w:val="20"/>
        </w:rPr>
        <w:lastRenderedPageBreak/>
        <w:t xml:space="preserve">Tabela </w:t>
      </w:r>
      <w:r w:rsidR="004270C0" w:rsidRPr="006A09AF">
        <w:rPr>
          <w:sz w:val="20"/>
          <w:szCs w:val="20"/>
        </w:rPr>
        <w:fldChar w:fldCharType="begin"/>
      </w:r>
      <w:r w:rsidR="004270C0" w:rsidRPr="006A09AF">
        <w:rPr>
          <w:sz w:val="20"/>
          <w:szCs w:val="20"/>
        </w:rPr>
        <w:instrText xml:space="preserve"> SEQ Tabela \* ARABIC </w:instrText>
      </w:r>
      <w:r w:rsidR="004270C0" w:rsidRPr="006A09AF">
        <w:rPr>
          <w:sz w:val="20"/>
          <w:szCs w:val="20"/>
        </w:rPr>
        <w:fldChar w:fldCharType="separate"/>
      </w:r>
      <w:r w:rsidR="00CF0FC8" w:rsidRPr="006A09AF">
        <w:rPr>
          <w:noProof/>
          <w:sz w:val="20"/>
          <w:szCs w:val="20"/>
        </w:rPr>
        <w:t>11</w:t>
      </w:r>
      <w:r w:rsidR="004270C0" w:rsidRPr="006A09AF">
        <w:rPr>
          <w:noProof/>
          <w:sz w:val="20"/>
          <w:szCs w:val="20"/>
        </w:rPr>
        <w:fldChar w:fldCharType="end"/>
      </w:r>
      <w:r w:rsidRPr="006A09AF">
        <w:rPr>
          <w:sz w:val="20"/>
          <w:szCs w:val="20"/>
        </w:rPr>
        <w:t>: Odpadki, nastali v proizvodnih in storitvenih dejavnostih iz kmetijstva, vrtnarstva, ribogojstva, gozdarstva, lova in ribištva ter proizvodnje hrane, kakor tudi izbrani povezani komunalni odpadki* (v tonah) za leta 2013–2018</w:t>
      </w:r>
      <w:bookmarkEnd w:id="98"/>
      <w:r w:rsidR="001E6A32" w:rsidRPr="006A09AF">
        <w:rPr>
          <w:b/>
          <w:sz w:val="20"/>
          <w:szCs w:val="20"/>
          <w:lang w:eastAsia="sl-SI"/>
        </w:rPr>
        <w:t xml:space="preserve">  </w:t>
      </w:r>
    </w:p>
    <w:tbl>
      <w:tblPr>
        <w:tblStyle w:val="Tabelamrea2"/>
        <w:tblW w:w="5000" w:type="pct"/>
        <w:tblLook w:val="04A0" w:firstRow="1" w:lastRow="0" w:firstColumn="1" w:lastColumn="0" w:noHBand="0" w:noVBand="1"/>
      </w:tblPr>
      <w:tblGrid>
        <w:gridCol w:w="2828"/>
        <w:gridCol w:w="1270"/>
        <w:gridCol w:w="828"/>
        <w:gridCol w:w="939"/>
        <w:gridCol w:w="828"/>
        <w:gridCol w:w="939"/>
        <w:gridCol w:w="828"/>
        <w:gridCol w:w="828"/>
      </w:tblGrid>
      <w:tr w:rsidR="001E6A32" w:rsidRPr="006A09AF" w14:paraId="2D4C4F96" w14:textId="77777777" w:rsidTr="00CF43DE">
        <w:trPr>
          <w:trHeight w:val="301"/>
        </w:trPr>
        <w:tc>
          <w:tcPr>
            <w:tcW w:w="2978" w:type="dxa"/>
            <w:shd w:val="clear" w:color="auto" w:fill="D9EEF3"/>
            <w:hideMark/>
          </w:tcPr>
          <w:p w14:paraId="51D2F30B"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Vir odpadka</w:t>
            </w:r>
          </w:p>
        </w:tc>
        <w:tc>
          <w:tcPr>
            <w:tcW w:w="1293" w:type="dxa"/>
            <w:shd w:val="clear" w:color="auto" w:fill="D9EEF3"/>
            <w:hideMark/>
          </w:tcPr>
          <w:p w14:paraId="24C2DBAB" w14:textId="6CA0B95B" w:rsidR="001E6A32" w:rsidRPr="006A09AF" w:rsidRDefault="001E6A32" w:rsidP="001E6A32">
            <w:pPr>
              <w:keepNext/>
              <w:keepLines/>
              <w:rPr>
                <w:rFonts w:eastAsia="Times New Roman"/>
                <w:b/>
                <w:sz w:val="20"/>
                <w:lang w:eastAsia="sl-SI"/>
              </w:rPr>
            </w:pPr>
            <w:r w:rsidRPr="006A09AF">
              <w:rPr>
                <w:rFonts w:eastAsia="Times New Roman"/>
                <w:b/>
                <w:sz w:val="20"/>
                <w:lang w:eastAsia="sl-SI"/>
              </w:rPr>
              <w:t xml:space="preserve">Št. </w:t>
            </w:r>
            <w:r w:rsidR="00C76DA8" w:rsidRPr="006A09AF">
              <w:rPr>
                <w:rFonts w:eastAsia="Times New Roman"/>
                <w:b/>
                <w:sz w:val="20"/>
                <w:lang w:eastAsia="sl-SI"/>
              </w:rPr>
              <w:t>O</w:t>
            </w:r>
            <w:r w:rsidRPr="006A09AF">
              <w:rPr>
                <w:rFonts w:eastAsia="Times New Roman"/>
                <w:b/>
                <w:sz w:val="20"/>
                <w:lang w:eastAsia="sl-SI"/>
              </w:rPr>
              <w:t>dpadka</w:t>
            </w:r>
          </w:p>
        </w:tc>
        <w:tc>
          <w:tcPr>
            <w:tcW w:w="766" w:type="dxa"/>
            <w:shd w:val="clear" w:color="auto" w:fill="D9EEF3"/>
            <w:hideMark/>
          </w:tcPr>
          <w:p w14:paraId="6271ED76"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2013</w:t>
            </w:r>
          </w:p>
        </w:tc>
        <w:tc>
          <w:tcPr>
            <w:tcW w:w="867" w:type="dxa"/>
            <w:shd w:val="clear" w:color="auto" w:fill="D9EEF3"/>
            <w:hideMark/>
          </w:tcPr>
          <w:p w14:paraId="47AFA680"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2014</w:t>
            </w:r>
          </w:p>
        </w:tc>
        <w:tc>
          <w:tcPr>
            <w:tcW w:w="767" w:type="dxa"/>
            <w:shd w:val="clear" w:color="auto" w:fill="D9EEF3"/>
            <w:hideMark/>
          </w:tcPr>
          <w:p w14:paraId="38936626"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2015</w:t>
            </w:r>
          </w:p>
        </w:tc>
        <w:tc>
          <w:tcPr>
            <w:tcW w:w="867" w:type="dxa"/>
            <w:shd w:val="clear" w:color="auto" w:fill="D9EEF3"/>
            <w:hideMark/>
          </w:tcPr>
          <w:p w14:paraId="09C29DFE"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2016</w:t>
            </w:r>
          </w:p>
        </w:tc>
        <w:tc>
          <w:tcPr>
            <w:tcW w:w="767" w:type="dxa"/>
            <w:shd w:val="clear" w:color="auto" w:fill="D9EEF3"/>
            <w:hideMark/>
          </w:tcPr>
          <w:p w14:paraId="0A33D91E"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2017</w:t>
            </w:r>
          </w:p>
        </w:tc>
        <w:tc>
          <w:tcPr>
            <w:tcW w:w="767" w:type="dxa"/>
            <w:shd w:val="clear" w:color="auto" w:fill="D9EEF3"/>
            <w:hideMark/>
          </w:tcPr>
          <w:p w14:paraId="021CFE16" w14:textId="77777777" w:rsidR="001E6A32" w:rsidRPr="006A09AF" w:rsidRDefault="001E6A32" w:rsidP="001E6A32">
            <w:pPr>
              <w:keepNext/>
              <w:keepLines/>
              <w:rPr>
                <w:rFonts w:eastAsia="Times New Roman"/>
                <w:b/>
                <w:sz w:val="20"/>
                <w:lang w:eastAsia="sl-SI"/>
              </w:rPr>
            </w:pPr>
            <w:r w:rsidRPr="006A09AF">
              <w:rPr>
                <w:rFonts w:eastAsia="Times New Roman"/>
                <w:b/>
                <w:sz w:val="20"/>
                <w:lang w:eastAsia="sl-SI"/>
              </w:rPr>
              <w:t>2018</w:t>
            </w:r>
          </w:p>
        </w:tc>
      </w:tr>
      <w:tr w:rsidR="001E6A32" w:rsidRPr="006A09AF" w14:paraId="57198B36" w14:textId="77777777" w:rsidTr="007601E4">
        <w:trPr>
          <w:trHeight w:val="301"/>
        </w:trPr>
        <w:tc>
          <w:tcPr>
            <w:tcW w:w="2978" w:type="dxa"/>
            <w:hideMark/>
          </w:tcPr>
          <w:p w14:paraId="6395ECCF"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Kmetijstvo, vrtnarstvo, ribogojstvo, gozdarstvo, lov in ribištvo</w:t>
            </w:r>
          </w:p>
        </w:tc>
        <w:tc>
          <w:tcPr>
            <w:tcW w:w="1293" w:type="dxa"/>
            <w:hideMark/>
          </w:tcPr>
          <w:p w14:paraId="09AA9E57"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02 01</w:t>
            </w:r>
          </w:p>
        </w:tc>
        <w:tc>
          <w:tcPr>
            <w:tcW w:w="766" w:type="dxa"/>
            <w:noWrap/>
            <w:hideMark/>
          </w:tcPr>
          <w:p w14:paraId="71891A9D"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55.123</w:t>
            </w:r>
          </w:p>
        </w:tc>
        <w:tc>
          <w:tcPr>
            <w:tcW w:w="867" w:type="dxa"/>
            <w:noWrap/>
            <w:hideMark/>
          </w:tcPr>
          <w:p w14:paraId="33CEDCEA"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85.228</w:t>
            </w:r>
          </w:p>
        </w:tc>
        <w:tc>
          <w:tcPr>
            <w:tcW w:w="767" w:type="dxa"/>
            <w:noWrap/>
            <w:hideMark/>
          </w:tcPr>
          <w:p w14:paraId="21FDDBCB"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52.547</w:t>
            </w:r>
          </w:p>
        </w:tc>
        <w:tc>
          <w:tcPr>
            <w:tcW w:w="867" w:type="dxa"/>
            <w:noWrap/>
            <w:hideMark/>
          </w:tcPr>
          <w:p w14:paraId="22E5CBF8"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67.071</w:t>
            </w:r>
          </w:p>
        </w:tc>
        <w:tc>
          <w:tcPr>
            <w:tcW w:w="767" w:type="dxa"/>
            <w:noWrap/>
            <w:hideMark/>
          </w:tcPr>
          <w:p w14:paraId="64CEBF09"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55.489</w:t>
            </w:r>
          </w:p>
        </w:tc>
        <w:tc>
          <w:tcPr>
            <w:tcW w:w="767" w:type="dxa"/>
            <w:noWrap/>
            <w:hideMark/>
          </w:tcPr>
          <w:p w14:paraId="6A83A338"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67.320</w:t>
            </w:r>
          </w:p>
        </w:tc>
      </w:tr>
      <w:tr w:rsidR="001E6A32" w:rsidRPr="006A09AF" w14:paraId="6456AD0B" w14:textId="77777777" w:rsidTr="007601E4">
        <w:trPr>
          <w:trHeight w:val="301"/>
        </w:trPr>
        <w:tc>
          <w:tcPr>
            <w:tcW w:w="2978" w:type="dxa"/>
            <w:hideMark/>
          </w:tcPr>
          <w:p w14:paraId="09FE77BA"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Priprava in predelava mesa, rib in drugih živil živalskega izvora</w:t>
            </w:r>
          </w:p>
        </w:tc>
        <w:tc>
          <w:tcPr>
            <w:tcW w:w="1293" w:type="dxa"/>
            <w:hideMark/>
          </w:tcPr>
          <w:p w14:paraId="0243DDA3"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02 02</w:t>
            </w:r>
          </w:p>
        </w:tc>
        <w:tc>
          <w:tcPr>
            <w:tcW w:w="766" w:type="dxa"/>
            <w:noWrap/>
            <w:hideMark/>
          </w:tcPr>
          <w:p w14:paraId="009A5923"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20.141</w:t>
            </w:r>
          </w:p>
        </w:tc>
        <w:tc>
          <w:tcPr>
            <w:tcW w:w="867" w:type="dxa"/>
            <w:noWrap/>
            <w:hideMark/>
          </w:tcPr>
          <w:p w14:paraId="3C5A398E"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19.536</w:t>
            </w:r>
          </w:p>
        </w:tc>
        <w:tc>
          <w:tcPr>
            <w:tcW w:w="767" w:type="dxa"/>
            <w:noWrap/>
            <w:hideMark/>
          </w:tcPr>
          <w:p w14:paraId="6C5EE301"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23.316</w:t>
            </w:r>
          </w:p>
        </w:tc>
        <w:tc>
          <w:tcPr>
            <w:tcW w:w="867" w:type="dxa"/>
            <w:noWrap/>
            <w:hideMark/>
          </w:tcPr>
          <w:p w14:paraId="0F379613"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20.882</w:t>
            </w:r>
          </w:p>
        </w:tc>
        <w:tc>
          <w:tcPr>
            <w:tcW w:w="767" w:type="dxa"/>
            <w:noWrap/>
            <w:hideMark/>
          </w:tcPr>
          <w:p w14:paraId="6285225A"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14.137</w:t>
            </w:r>
          </w:p>
        </w:tc>
        <w:tc>
          <w:tcPr>
            <w:tcW w:w="767" w:type="dxa"/>
            <w:noWrap/>
            <w:hideMark/>
          </w:tcPr>
          <w:p w14:paraId="2883D387"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7.513</w:t>
            </w:r>
          </w:p>
        </w:tc>
      </w:tr>
      <w:tr w:rsidR="001E6A32" w:rsidRPr="006A09AF" w14:paraId="79EAB06B" w14:textId="77777777" w:rsidTr="007601E4">
        <w:trPr>
          <w:trHeight w:val="301"/>
        </w:trPr>
        <w:tc>
          <w:tcPr>
            <w:tcW w:w="2978" w:type="dxa"/>
            <w:hideMark/>
          </w:tcPr>
          <w:p w14:paraId="6C397861"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 xml:space="preserve">Priprava in predelava sadja, vrtnin, žitaric, jedilnih olj, </w:t>
            </w:r>
            <w:proofErr w:type="spellStart"/>
            <w:r w:rsidRPr="006A09AF">
              <w:rPr>
                <w:rFonts w:eastAsia="Times New Roman"/>
                <w:sz w:val="20"/>
                <w:lang w:eastAsia="sl-SI"/>
              </w:rPr>
              <w:t>kakva</w:t>
            </w:r>
            <w:proofErr w:type="spellEnd"/>
            <w:r w:rsidRPr="006A09AF">
              <w:rPr>
                <w:rFonts w:eastAsia="Times New Roman"/>
                <w:sz w:val="20"/>
                <w:lang w:eastAsia="sl-SI"/>
              </w:rPr>
              <w:t>, kave, čaja in tobaka; konzerviranja; proizvodnje kvasa in kvasnega ekstrakta, priprave in fermentacije melase</w:t>
            </w:r>
          </w:p>
        </w:tc>
        <w:tc>
          <w:tcPr>
            <w:tcW w:w="1293" w:type="dxa"/>
            <w:hideMark/>
          </w:tcPr>
          <w:p w14:paraId="73CC04F7"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02 03</w:t>
            </w:r>
          </w:p>
        </w:tc>
        <w:tc>
          <w:tcPr>
            <w:tcW w:w="766" w:type="dxa"/>
            <w:noWrap/>
            <w:hideMark/>
          </w:tcPr>
          <w:p w14:paraId="74E76EF0"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1.483</w:t>
            </w:r>
          </w:p>
        </w:tc>
        <w:tc>
          <w:tcPr>
            <w:tcW w:w="867" w:type="dxa"/>
            <w:noWrap/>
            <w:hideMark/>
          </w:tcPr>
          <w:p w14:paraId="6D97ED16"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2.037</w:t>
            </w:r>
          </w:p>
        </w:tc>
        <w:tc>
          <w:tcPr>
            <w:tcW w:w="767" w:type="dxa"/>
            <w:noWrap/>
            <w:hideMark/>
          </w:tcPr>
          <w:p w14:paraId="786F6797"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1.665</w:t>
            </w:r>
          </w:p>
        </w:tc>
        <w:tc>
          <w:tcPr>
            <w:tcW w:w="867" w:type="dxa"/>
            <w:noWrap/>
            <w:hideMark/>
          </w:tcPr>
          <w:p w14:paraId="64E5FCC5"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4.082</w:t>
            </w:r>
          </w:p>
        </w:tc>
        <w:tc>
          <w:tcPr>
            <w:tcW w:w="767" w:type="dxa"/>
            <w:noWrap/>
            <w:hideMark/>
          </w:tcPr>
          <w:p w14:paraId="661F0794"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2.591</w:t>
            </w:r>
          </w:p>
        </w:tc>
        <w:tc>
          <w:tcPr>
            <w:tcW w:w="767" w:type="dxa"/>
            <w:noWrap/>
            <w:hideMark/>
          </w:tcPr>
          <w:p w14:paraId="4F7295D3"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2.507</w:t>
            </w:r>
          </w:p>
        </w:tc>
      </w:tr>
      <w:tr w:rsidR="001E6A32" w:rsidRPr="006A09AF" w14:paraId="2278406B" w14:textId="77777777" w:rsidTr="007601E4">
        <w:trPr>
          <w:trHeight w:val="301"/>
        </w:trPr>
        <w:tc>
          <w:tcPr>
            <w:tcW w:w="2978" w:type="dxa"/>
            <w:hideMark/>
          </w:tcPr>
          <w:p w14:paraId="3B7EE0DF"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Proizvodnja sladkorja</w:t>
            </w:r>
          </w:p>
        </w:tc>
        <w:tc>
          <w:tcPr>
            <w:tcW w:w="1293" w:type="dxa"/>
            <w:hideMark/>
          </w:tcPr>
          <w:p w14:paraId="0D85A95A"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02 04</w:t>
            </w:r>
          </w:p>
        </w:tc>
        <w:tc>
          <w:tcPr>
            <w:tcW w:w="766" w:type="dxa"/>
            <w:noWrap/>
            <w:hideMark/>
          </w:tcPr>
          <w:p w14:paraId="5BBE891B"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0</w:t>
            </w:r>
          </w:p>
        </w:tc>
        <w:tc>
          <w:tcPr>
            <w:tcW w:w="867" w:type="dxa"/>
            <w:noWrap/>
            <w:hideMark/>
          </w:tcPr>
          <w:p w14:paraId="379EBF7B"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185</w:t>
            </w:r>
          </w:p>
        </w:tc>
        <w:tc>
          <w:tcPr>
            <w:tcW w:w="767" w:type="dxa"/>
            <w:noWrap/>
            <w:hideMark/>
          </w:tcPr>
          <w:p w14:paraId="60249006"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0</w:t>
            </w:r>
          </w:p>
        </w:tc>
        <w:tc>
          <w:tcPr>
            <w:tcW w:w="867" w:type="dxa"/>
            <w:noWrap/>
            <w:hideMark/>
          </w:tcPr>
          <w:p w14:paraId="75B614D0"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534</w:t>
            </w:r>
          </w:p>
        </w:tc>
        <w:tc>
          <w:tcPr>
            <w:tcW w:w="767" w:type="dxa"/>
            <w:noWrap/>
            <w:hideMark/>
          </w:tcPr>
          <w:p w14:paraId="65495936"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0</w:t>
            </w:r>
          </w:p>
        </w:tc>
        <w:tc>
          <w:tcPr>
            <w:tcW w:w="767" w:type="dxa"/>
            <w:noWrap/>
            <w:hideMark/>
          </w:tcPr>
          <w:p w14:paraId="49F04AF4"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0</w:t>
            </w:r>
          </w:p>
        </w:tc>
      </w:tr>
      <w:tr w:rsidR="001E6A32" w:rsidRPr="006A09AF" w14:paraId="6B921C31" w14:textId="77777777" w:rsidTr="007601E4">
        <w:trPr>
          <w:trHeight w:val="301"/>
        </w:trPr>
        <w:tc>
          <w:tcPr>
            <w:tcW w:w="2978" w:type="dxa"/>
            <w:hideMark/>
          </w:tcPr>
          <w:p w14:paraId="7A4C112C"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Proizvodnja mlečnih izdelkov</w:t>
            </w:r>
          </w:p>
        </w:tc>
        <w:tc>
          <w:tcPr>
            <w:tcW w:w="1293" w:type="dxa"/>
            <w:hideMark/>
          </w:tcPr>
          <w:p w14:paraId="533BD00D"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02 05</w:t>
            </w:r>
          </w:p>
        </w:tc>
        <w:tc>
          <w:tcPr>
            <w:tcW w:w="766" w:type="dxa"/>
            <w:noWrap/>
            <w:hideMark/>
          </w:tcPr>
          <w:p w14:paraId="38A9615C"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1.870</w:t>
            </w:r>
          </w:p>
        </w:tc>
        <w:tc>
          <w:tcPr>
            <w:tcW w:w="867" w:type="dxa"/>
            <w:noWrap/>
            <w:hideMark/>
          </w:tcPr>
          <w:p w14:paraId="5508C9B5"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1.610</w:t>
            </w:r>
          </w:p>
        </w:tc>
        <w:tc>
          <w:tcPr>
            <w:tcW w:w="767" w:type="dxa"/>
            <w:noWrap/>
            <w:hideMark/>
          </w:tcPr>
          <w:p w14:paraId="4D2F02F0"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1.698</w:t>
            </w:r>
          </w:p>
        </w:tc>
        <w:tc>
          <w:tcPr>
            <w:tcW w:w="867" w:type="dxa"/>
            <w:noWrap/>
            <w:hideMark/>
          </w:tcPr>
          <w:p w14:paraId="1F909764"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1.924</w:t>
            </w:r>
          </w:p>
        </w:tc>
        <w:tc>
          <w:tcPr>
            <w:tcW w:w="767" w:type="dxa"/>
            <w:noWrap/>
            <w:hideMark/>
          </w:tcPr>
          <w:p w14:paraId="090CA7E1"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3.791</w:t>
            </w:r>
          </w:p>
        </w:tc>
        <w:tc>
          <w:tcPr>
            <w:tcW w:w="767" w:type="dxa"/>
            <w:noWrap/>
            <w:hideMark/>
          </w:tcPr>
          <w:p w14:paraId="45912054"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5.310</w:t>
            </w:r>
          </w:p>
        </w:tc>
      </w:tr>
      <w:tr w:rsidR="001E6A32" w:rsidRPr="006A09AF" w14:paraId="4AF78C39" w14:textId="77777777" w:rsidTr="007601E4">
        <w:trPr>
          <w:trHeight w:val="301"/>
        </w:trPr>
        <w:tc>
          <w:tcPr>
            <w:tcW w:w="2978" w:type="dxa"/>
            <w:hideMark/>
          </w:tcPr>
          <w:p w14:paraId="5F50704C"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Pekarne in slaščičarne</w:t>
            </w:r>
          </w:p>
        </w:tc>
        <w:tc>
          <w:tcPr>
            <w:tcW w:w="1293" w:type="dxa"/>
            <w:hideMark/>
          </w:tcPr>
          <w:p w14:paraId="2BF0EE0D"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02 06</w:t>
            </w:r>
          </w:p>
        </w:tc>
        <w:tc>
          <w:tcPr>
            <w:tcW w:w="766" w:type="dxa"/>
            <w:noWrap/>
            <w:hideMark/>
          </w:tcPr>
          <w:p w14:paraId="54E9256A"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1.392</w:t>
            </w:r>
          </w:p>
        </w:tc>
        <w:tc>
          <w:tcPr>
            <w:tcW w:w="867" w:type="dxa"/>
            <w:noWrap/>
            <w:hideMark/>
          </w:tcPr>
          <w:p w14:paraId="0F4D324C"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1.557</w:t>
            </w:r>
          </w:p>
        </w:tc>
        <w:tc>
          <w:tcPr>
            <w:tcW w:w="767" w:type="dxa"/>
            <w:noWrap/>
            <w:hideMark/>
          </w:tcPr>
          <w:p w14:paraId="1F8F3878"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1.825</w:t>
            </w:r>
          </w:p>
        </w:tc>
        <w:tc>
          <w:tcPr>
            <w:tcW w:w="867" w:type="dxa"/>
            <w:noWrap/>
            <w:hideMark/>
          </w:tcPr>
          <w:p w14:paraId="54762989"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2.562</w:t>
            </w:r>
          </w:p>
        </w:tc>
        <w:tc>
          <w:tcPr>
            <w:tcW w:w="767" w:type="dxa"/>
            <w:noWrap/>
            <w:hideMark/>
          </w:tcPr>
          <w:p w14:paraId="542453B8"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1.715</w:t>
            </w:r>
          </w:p>
        </w:tc>
        <w:tc>
          <w:tcPr>
            <w:tcW w:w="767" w:type="dxa"/>
            <w:noWrap/>
            <w:hideMark/>
          </w:tcPr>
          <w:p w14:paraId="10ACA9B7"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2.063</w:t>
            </w:r>
          </w:p>
        </w:tc>
      </w:tr>
      <w:tr w:rsidR="001E6A32" w:rsidRPr="006A09AF" w14:paraId="54C7829F" w14:textId="77777777" w:rsidTr="007601E4">
        <w:trPr>
          <w:trHeight w:val="301"/>
        </w:trPr>
        <w:tc>
          <w:tcPr>
            <w:tcW w:w="2978" w:type="dxa"/>
            <w:hideMark/>
          </w:tcPr>
          <w:p w14:paraId="15CB5022"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Proizvodnja alkoholnih in brezalkoholnih pijač (razen kave, čaja in kakava)</w:t>
            </w:r>
          </w:p>
        </w:tc>
        <w:tc>
          <w:tcPr>
            <w:tcW w:w="1293" w:type="dxa"/>
            <w:hideMark/>
          </w:tcPr>
          <w:p w14:paraId="33CDF1A2"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02 07</w:t>
            </w:r>
          </w:p>
        </w:tc>
        <w:tc>
          <w:tcPr>
            <w:tcW w:w="766" w:type="dxa"/>
            <w:noWrap/>
            <w:hideMark/>
          </w:tcPr>
          <w:p w14:paraId="7EBBA00D"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1.689</w:t>
            </w:r>
          </w:p>
        </w:tc>
        <w:tc>
          <w:tcPr>
            <w:tcW w:w="867" w:type="dxa"/>
            <w:noWrap/>
            <w:hideMark/>
          </w:tcPr>
          <w:p w14:paraId="7EF80882"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2.801</w:t>
            </w:r>
          </w:p>
        </w:tc>
        <w:tc>
          <w:tcPr>
            <w:tcW w:w="767" w:type="dxa"/>
            <w:noWrap/>
            <w:hideMark/>
          </w:tcPr>
          <w:p w14:paraId="0C6B51C0"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2.583</w:t>
            </w:r>
          </w:p>
        </w:tc>
        <w:tc>
          <w:tcPr>
            <w:tcW w:w="867" w:type="dxa"/>
            <w:noWrap/>
            <w:hideMark/>
          </w:tcPr>
          <w:p w14:paraId="0C2BE33B"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2.127</w:t>
            </w:r>
          </w:p>
        </w:tc>
        <w:tc>
          <w:tcPr>
            <w:tcW w:w="767" w:type="dxa"/>
            <w:noWrap/>
            <w:hideMark/>
          </w:tcPr>
          <w:p w14:paraId="0AB915EB"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1.823</w:t>
            </w:r>
          </w:p>
        </w:tc>
        <w:tc>
          <w:tcPr>
            <w:tcW w:w="767" w:type="dxa"/>
            <w:noWrap/>
            <w:hideMark/>
          </w:tcPr>
          <w:p w14:paraId="798A96C8"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4.126</w:t>
            </w:r>
          </w:p>
        </w:tc>
      </w:tr>
      <w:tr w:rsidR="001E6A32" w:rsidRPr="006A09AF" w14:paraId="3C5664BD" w14:textId="77777777" w:rsidTr="007601E4">
        <w:trPr>
          <w:trHeight w:val="301"/>
        </w:trPr>
        <w:tc>
          <w:tcPr>
            <w:tcW w:w="2978" w:type="dxa"/>
            <w:hideMark/>
          </w:tcPr>
          <w:p w14:paraId="04EAF34B" w14:textId="77777777" w:rsidR="001E6A32" w:rsidRPr="006A09AF" w:rsidRDefault="001E6A32" w:rsidP="001E6A32">
            <w:pPr>
              <w:keepNext/>
              <w:keepLines/>
              <w:rPr>
                <w:rFonts w:eastAsia="Times New Roman"/>
                <w:sz w:val="20"/>
                <w:lang w:eastAsia="sl-SI"/>
              </w:rPr>
            </w:pPr>
            <w:r w:rsidRPr="006A09AF">
              <w:rPr>
                <w:rFonts w:eastAsia="Times New Roman"/>
                <w:sz w:val="20"/>
                <w:lang w:eastAsia="sl-SI"/>
              </w:rPr>
              <w:t>Povezani komunalni odpadki</w:t>
            </w:r>
          </w:p>
        </w:tc>
        <w:tc>
          <w:tcPr>
            <w:tcW w:w="1293" w:type="dxa"/>
            <w:hideMark/>
          </w:tcPr>
          <w:p w14:paraId="44843C71" w14:textId="5CB48E06" w:rsidR="001E6A32" w:rsidRPr="006A09AF" w:rsidRDefault="001E6A32" w:rsidP="001E6A32">
            <w:pPr>
              <w:keepNext/>
              <w:keepLines/>
              <w:rPr>
                <w:rFonts w:eastAsia="Times New Roman"/>
                <w:sz w:val="20"/>
                <w:lang w:eastAsia="sl-SI"/>
              </w:rPr>
            </w:pPr>
            <w:r w:rsidRPr="006A09AF">
              <w:rPr>
                <w:rFonts w:eastAsia="Times New Roman"/>
                <w:sz w:val="20"/>
                <w:lang w:eastAsia="sl-SI"/>
              </w:rPr>
              <w:t xml:space="preserve">20 </w:t>
            </w:r>
            <w:r w:rsidR="00C76DA8" w:rsidRPr="006A09AF">
              <w:rPr>
                <w:rFonts w:eastAsia="Times New Roman"/>
                <w:sz w:val="20"/>
                <w:lang w:eastAsia="sl-SI"/>
              </w:rPr>
              <w:t>–</w:t>
            </w:r>
            <w:r w:rsidRPr="006A09AF">
              <w:rPr>
                <w:rFonts w:eastAsia="Times New Roman"/>
                <w:sz w:val="20"/>
                <w:lang w:eastAsia="sl-SI"/>
              </w:rPr>
              <w:t xml:space="preserve"> izbrano</w:t>
            </w:r>
          </w:p>
        </w:tc>
        <w:tc>
          <w:tcPr>
            <w:tcW w:w="766" w:type="dxa"/>
            <w:noWrap/>
            <w:hideMark/>
          </w:tcPr>
          <w:p w14:paraId="200F9DBC"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3.535</w:t>
            </w:r>
          </w:p>
        </w:tc>
        <w:tc>
          <w:tcPr>
            <w:tcW w:w="867" w:type="dxa"/>
            <w:noWrap/>
            <w:hideMark/>
          </w:tcPr>
          <w:p w14:paraId="1222F13E"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2.787</w:t>
            </w:r>
          </w:p>
        </w:tc>
        <w:tc>
          <w:tcPr>
            <w:tcW w:w="767" w:type="dxa"/>
            <w:noWrap/>
            <w:hideMark/>
          </w:tcPr>
          <w:p w14:paraId="618D96FC"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2.987</w:t>
            </w:r>
          </w:p>
        </w:tc>
        <w:tc>
          <w:tcPr>
            <w:tcW w:w="867" w:type="dxa"/>
            <w:noWrap/>
            <w:hideMark/>
          </w:tcPr>
          <w:p w14:paraId="0FE63BFC"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6.684</w:t>
            </w:r>
          </w:p>
        </w:tc>
        <w:tc>
          <w:tcPr>
            <w:tcW w:w="767" w:type="dxa"/>
            <w:noWrap/>
            <w:hideMark/>
          </w:tcPr>
          <w:p w14:paraId="0E97DE62"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2.391</w:t>
            </w:r>
          </w:p>
        </w:tc>
        <w:tc>
          <w:tcPr>
            <w:tcW w:w="767" w:type="dxa"/>
            <w:noWrap/>
            <w:hideMark/>
          </w:tcPr>
          <w:p w14:paraId="733B130A" w14:textId="77777777" w:rsidR="001E6A32" w:rsidRPr="006A09AF" w:rsidRDefault="001E6A32" w:rsidP="001E6A32">
            <w:pPr>
              <w:keepNext/>
              <w:keepLines/>
              <w:jc w:val="right"/>
              <w:rPr>
                <w:rFonts w:eastAsia="Times New Roman"/>
                <w:sz w:val="20"/>
                <w:lang w:eastAsia="sl-SI"/>
              </w:rPr>
            </w:pPr>
            <w:r w:rsidRPr="006A09AF">
              <w:rPr>
                <w:rFonts w:eastAsia="Times New Roman"/>
                <w:sz w:val="20"/>
                <w:lang w:eastAsia="sl-SI"/>
              </w:rPr>
              <w:t>2.983</w:t>
            </w:r>
          </w:p>
        </w:tc>
      </w:tr>
      <w:tr w:rsidR="001E6A32" w:rsidRPr="00CF43DE" w14:paraId="4F6223A7" w14:textId="77777777" w:rsidTr="007601E4">
        <w:trPr>
          <w:trHeight w:val="301"/>
        </w:trPr>
        <w:tc>
          <w:tcPr>
            <w:tcW w:w="2978" w:type="dxa"/>
          </w:tcPr>
          <w:p w14:paraId="5963751C"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Skupaj</w:t>
            </w:r>
          </w:p>
        </w:tc>
        <w:tc>
          <w:tcPr>
            <w:tcW w:w="1293" w:type="dxa"/>
          </w:tcPr>
          <w:p w14:paraId="579093D4" w14:textId="77777777" w:rsidR="001E6A32" w:rsidRPr="00CF43DE" w:rsidRDefault="001E6A32" w:rsidP="001E6A32">
            <w:pPr>
              <w:keepNext/>
              <w:keepLines/>
              <w:rPr>
                <w:rFonts w:eastAsia="Times New Roman"/>
                <w:b/>
                <w:sz w:val="20"/>
                <w:lang w:eastAsia="sl-SI"/>
              </w:rPr>
            </w:pPr>
          </w:p>
        </w:tc>
        <w:tc>
          <w:tcPr>
            <w:tcW w:w="766" w:type="dxa"/>
            <w:noWrap/>
          </w:tcPr>
          <w:p w14:paraId="608411FE"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85.234</w:t>
            </w:r>
          </w:p>
        </w:tc>
        <w:tc>
          <w:tcPr>
            <w:tcW w:w="867" w:type="dxa"/>
            <w:noWrap/>
          </w:tcPr>
          <w:p w14:paraId="45B31F48"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115.741</w:t>
            </w:r>
          </w:p>
        </w:tc>
        <w:tc>
          <w:tcPr>
            <w:tcW w:w="767" w:type="dxa"/>
            <w:noWrap/>
          </w:tcPr>
          <w:p w14:paraId="03C3D71D"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86.622</w:t>
            </w:r>
          </w:p>
        </w:tc>
        <w:tc>
          <w:tcPr>
            <w:tcW w:w="867" w:type="dxa"/>
            <w:noWrap/>
          </w:tcPr>
          <w:p w14:paraId="0B2031BB"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105.867</w:t>
            </w:r>
          </w:p>
        </w:tc>
        <w:tc>
          <w:tcPr>
            <w:tcW w:w="767" w:type="dxa"/>
            <w:noWrap/>
          </w:tcPr>
          <w:p w14:paraId="6D207D44"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81.937</w:t>
            </w:r>
          </w:p>
        </w:tc>
        <w:tc>
          <w:tcPr>
            <w:tcW w:w="767" w:type="dxa"/>
            <w:noWrap/>
          </w:tcPr>
          <w:p w14:paraId="12728B99" w14:textId="77777777" w:rsidR="001E6A32" w:rsidRPr="00CF43DE" w:rsidRDefault="001E6A32" w:rsidP="001E6A32">
            <w:pPr>
              <w:keepNext/>
              <w:keepLines/>
              <w:rPr>
                <w:rFonts w:eastAsia="Times New Roman"/>
                <w:b/>
                <w:sz w:val="20"/>
                <w:lang w:eastAsia="sl-SI"/>
              </w:rPr>
            </w:pPr>
            <w:r w:rsidRPr="00CF43DE">
              <w:rPr>
                <w:rFonts w:eastAsia="Times New Roman"/>
                <w:b/>
                <w:sz w:val="20"/>
                <w:lang w:eastAsia="sl-SI"/>
              </w:rPr>
              <w:t>91.821</w:t>
            </w:r>
          </w:p>
        </w:tc>
      </w:tr>
    </w:tbl>
    <w:p w14:paraId="18CEDFC4" w14:textId="77777777" w:rsidR="007601E4" w:rsidRPr="006A09AF" w:rsidRDefault="001E6A32" w:rsidP="007601E4">
      <w:pPr>
        <w:keepNext/>
        <w:keepLines/>
        <w:spacing w:after="0"/>
        <w:rPr>
          <w:rFonts w:eastAsia="Times New Roman"/>
          <w:sz w:val="16"/>
          <w:szCs w:val="16"/>
          <w:lang w:eastAsia="sl-SI"/>
        </w:rPr>
      </w:pPr>
      <w:r w:rsidRPr="006A09AF">
        <w:rPr>
          <w:rFonts w:eastAsia="Times New Roman"/>
          <w:sz w:val="16"/>
          <w:szCs w:val="16"/>
          <w:lang w:eastAsia="sl-SI"/>
        </w:rPr>
        <w:t>Vir podatkov: Agencija Republike Slovenije za okolje, 01.02.2020</w:t>
      </w:r>
    </w:p>
    <w:p w14:paraId="7EEFA666" w14:textId="44D775CC" w:rsidR="001E6A32" w:rsidRPr="006A09AF" w:rsidRDefault="001E6A32" w:rsidP="007601E4">
      <w:pPr>
        <w:keepNext/>
        <w:keepLines/>
        <w:spacing w:after="0"/>
        <w:rPr>
          <w:rFonts w:eastAsia="Times New Roman"/>
          <w:sz w:val="16"/>
          <w:szCs w:val="16"/>
          <w:lang w:eastAsia="sl-SI"/>
        </w:rPr>
      </w:pPr>
      <w:r w:rsidRPr="006A09AF">
        <w:rPr>
          <w:rFonts w:eastAsia="Times New Roman"/>
          <w:sz w:val="16"/>
          <w:szCs w:val="16"/>
          <w:lang w:eastAsia="sl-SI"/>
        </w:rPr>
        <w:t>*Prikazana je skupna letna količina, vključno z zalogami</w:t>
      </w:r>
    </w:p>
    <w:p w14:paraId="19DEFCBC" w14:textId="21401711" w:rsidR="001E6A32" w:rsidRPr="00B96149" w:rsidRDefault="001E6A32" w:rsidP="001E6A32">
      <w:pPr>
        <w:tabs>
          <w:tab w:val="left" w:pos="0"/>
        </w:tabs>
        <w:spacing w:before="120" w:after="0" w:line="240" w:lineRule="auto"/>
        <w:jc w:val="both"/>
        <w:rPr>
          <w:rFonts w:eastAsia="Times New Roman"/>
          <w:sz w:val="20"/>
          <w:lang w:eastAsia="en-GB"/>
        </w:rPr>
      </w:pPr>
      <w:r w:rsidRPr="00B96149">
        <w:rPr>
          <w:rFonts w:eastAsia="Times New Roman"/>
          <w:sz w:val="20"/>
          <w:lang w:eastAsia="en-GB"/>
        </w:rPr>
        <w:t xml:space="preserve">Kljub rasti </w:t>
      </w:r>
      <w:r w:rsidRPr="00B96149">
        <w:rPr>
          <w:rFonts w:eastAsia="Times New Roman" w:hint="eastAsia"/>
          <w:sz w:val="20"/>
          <w:lang w:eastAsia="en-GB"/>
        </w:rPr>
        <w:t>ž</w:t>
      </w:r>
      <w:r w:rsidRPr="00B96149">
        <w:rPr>
          <w:rFonts w:eastAsia="Times New Roman"/>
          <w:sz w:val="20"/>
          <w:lang w:eastAsia="en-GB"/>
        </w:rPr>
        <w:t>ivilskopredelovalnega sektorja v tem obdobju se koli</w:t>
      </w:r>
      <w:r w:rsidRPr="00B96149">
        <w:rPr>
          <w:rFonts w:eastAsia="Times New Roman" w:hint="eastAsia"/>
          <w:sz w:val="20"/>
          <w:lang w:eastAsia="en-GB"/>
        </w:rPr>
        <w:t>č</w:t>
      </w:r>
      <w:r w:rsidRPr="00B96149">
        <w:rPr>
          <w:rFonts w:eastAsia="Times New Roman"/>
          <w:sz w:val="20"/>
          <w:lang w:eastAsia="en-GB"/>
        </w:rPr>
        <w:t>ina nastalih odpadkov zmanj</w:t>
      </w:r>
      <w:r w:rsidRPr="00B96149">
        <w:rPr>
          <w:rFonts w:eastAsia="Times New Roman" w:hint="eastAsia"/>
          <w:sz w:val="20"/>
          <w:lang w:eastAsia="en-GB"/>
        </w:rPr>
        <w:t>š</w:t>
      </w:r>
      <w:r w:rsidRPr="00B96149">
        <w:rPr>
          <w:rFonts w:eastAsia="Times New Roman"/>
          <w:sz w:val="20"/>
          <w:lang w:eastAsia="en-GB"/>
        </w:rPr>
        <w:t>uje. Podobno kot pri drugih sektorjih gre verjetno za zmanj</w:t>
      </w:r>
      <w:r w:rsidRPr="00B96149">
        <w:rPr>
          <w:rFonts w:eastAsia="Times New Roman" w:hint="eastAsia"/>
          <w:sz w:val="20"/>
          <w:lang w:eastAsia="en-GB"/>
        </w:rPr>
        <w:t>š</w:t>
      </w:r>
      <w:r w:rsidRPr="00B96149">
        <w:rPr>
          <w:rFonts w:eastAsia="Times New Roman"/>
          <w:sz w:val="20"/>
          <w:lang w:eastAsia="en-GB"/>
        </w:rPr>
        <w:t>evanje koli</w:t>
      </w:r>
      <w:r w:rsidRPr="00B96149">
        <w:rPr>
          <w:rFonts w:eastAsia="Times New Roman" w:hint="eastAsia"/>
          <w:sz w:val="20"/>
          <w:lang w:eastAsia="en-GB"/>
        </w:rPr>
        <w:t>č</w:t>
      </w:r>
      <w:r w:rsidRPr="00B96149">
        <w:rPr>
          <w:rFonts w:eastAsia="Times New Roman"/>
          <w:sz w:val="20"/>
          <w:lang w:eastAsia="en-GB"/>
        </w:rPr>
        <w:t>ine na ra</w:t>
      </w:r>
      <w:r w:rsidRPr="00B96149">
        <w:rPr>
          <w:rFonts w:eastAsia="Times New Roman" w:hint="eastAsia"/>
          <w:sz w:val="20"/>
          <w:lang w:eastAsia="en-GB"/>
        </w:rPr>
        <w:t>č</w:t>
      </w:r>
      <w:r w:rsidRPr="00B96149">
        <w:rPr>
          <w:rFonts w:eastAsia="Times New Roman"/>
          <w:sz w:val="20"/>
          <w:lang w:eastAsia="en-GB"/>
        </w:rPr>
        <w:t>un bolj</w:t>
      </w:r>
      <w:r w:rsidRPr="00B96149">
        <w:rPr>
          <w:rFonts w:eastAsia="Times New Roman" w:hint="eastAsia"/>
          <w:sz w:val="20"/>
          <w:lang w:eastAsia="en-GB"/>
        </w:rPr>
        <w:t>š</w:t>
      </w:r>
      <w:r w:rsidRPr="00B96149">
        <w:rPr>
          <w:rFonts w:eastAsia="Times New Roman"/>
          <w:sz w:val="20"/>
          <w:lang w:eastAsia="en-GB"/>
        </w:rPr>
        <w:t>e rabe resursov in pa predvsem na ra</w:t>
      </w:r>
      <w:r w:rsidRPr="00B96149">
        <w:rPr>
          <w:rFonts w:eastAsia="Times New Roman" w:hint="eastAsia"/>
          <w:sz w:val="20"/>
          <w:lang w:eastAsia="en-GB"/>
        </w:rPr>
        <w:t>č</w:t>
      </w:r>
      <w:r w:rsidRPr="00B96149">
        <w:rPr>
          <w:rFonts w:eastAsia="Times New Roman"/>
          <w:sz w:val="20"/>
          <w:lang w:eastAsia="en-GB"/>
        </w:rPr>
        <w:t>un alternativnih na</w:t>
      </w:r>
      <w:r w:rsidRPr="00B96149">
        <w:rPr>
          <w:rFonts w:eastAsia="Times New Roman" w:hint="eastAsia"/>
          <w:sz w:val="20"/>
          <w:lang w:eastAsia="en-GB"/>
        </w:rPr>
        <w:t>č</w:t>
      </w:r>
      <w:r w:rsidRPr="00B96149">
        <w:rPr>
          <w:rFonts w:eastAsia="Times New Roman"/>
          <w:sz w:val="20"/>
          <w:lang w:eastAsia="en-GB"/>
        </w:rPr>
        <w:t xml:space="preserve">inov uporabe ostankov. </w:t>
      </w:r>
      <w:r w:rsidR="00FB28FA">
        <w:rPr>
          <w:rFonts w:eastAsia="Times New Roman"/>
          <w:sz w:val="20"/>
          <w:lang w:eastAsia="en-GB"/>
        </w:rPr>
        <w:t xml:space="preserve">Iz </w:t>
      </w:r>
      <w:r w:rsidR="00237DB1">
        <w:rPr>
          <w:rFonts w:eastAsia="Times New Roman"/>
          <w:sz w:val="20"/>
          <w:lang w:eastAsia="en-GB"/>
        </w:rPr>
        <w:t>Tabel</w:t>
      </w:r>
      <w:r w:rsidR="00FB28FA">
        <w:rPr>
          <w:rFonts w:eastAsia="Times New Roman"/>
          <w:sz w:val="20"/>
          <w:lang w:eastAsia="en-GB"/>
        </w:rPr>
        <w:t xml:space="preserve">e </w:t>
      </w:r>
      <w:r w:rsidR="00CF0FC8">
        <w:rPr>
          <w:rFonts w:eastAsia="Times New Roman"/>
          <w:sz w:val="20"/>
          <w:lang w:eastAsia="en-GB"/>
        </w:rPr>
        <w:t>11</w:t>
      </w:r>
      <w:r w:rsidR="00FB28FA">
        <w:rPr>
          <w:rFonts w:eastAsia="Times New Roman"/>
          <w:sz w:val="20"/>
          <w:lang w:eastAsia="en-GB"/>
        </w:rPr>
        <w:t xml:space="preserve"> je razvidno, da g</w:t>
      </w:r>
      <w:r w:rsidRPr="00B96149">
        <w:rPr>
          <w:rFonts w:eastAsia="Times New Roman"/>
          <w:sz w:val="20"/>
          <w:lang w:eastAsia="en-GB"/>
        </w:rPr>
        <w:t xml:space="preserve">lavnino odpadkov prispeva kmetijski sektor, tretjino (okrog 30.000 ton letno) pa </w:t>
      </w:r>
      <w:r w:rsidRPr="00B96149">
        <w:rPr>
          <w:rFonts w:eastAsia="Times New Roman" w:hint="eastAsia"/>
          <w:sz w:val="20"/>
          <w:lang w:eastAsia="en-GB"/>
        </w:rPr>
        <w:t>ž</w:t>
      </w:r>
      <w:r w:rsidRPr="00B96149">
        <w:rPr>
          <w:rFonts w:eastAsia="Times New Roman"/>
          <w:sz w:val="20"/>
          <w:lang w:eastAsia="en-GB"/>
        </w:rPr>
        <w:t xml:space="preserve">ivilskopredelovalna industrija, kjer je poglavitni vir odpadkov proizvodnja </w:t>
      </w:r>
      <w:r w:rsidRPr="00B96149">
        <w:rPr>
          <w:rFonts w:eastAsia="Times New Roman" w:hint="eastAsia"/>
          <w:sz w:val="20"/>
          <w:lang w:eastAsia="en-GB"/>
        </w:rPr>
        <w:t>ž</w:t>
      </w:r>
      <w:r w:rsidRPr="00B96149">
        <w:rPr>
          <w:rFonts w:eastAsia="Times New Roman"/>
          <w:sz w:val="20"/>
          <w:lang w:eastAsia="en-GB"/>
        </w:rPr>
        <w:t xml:space="preserve">ivil </w:t>
      </w:r>
      <w:r w:rsidRPr="00B96149">
        <w:rPr>
          <w:rFonts w:eastAsia="Times New Roman" w:hint="eastAsia"/>
          <w:sz w:val="20"/>
          <w:lang w:eastAsia="en-GB"/>
        </w:rPr>
        <w:t>ž</w:t>
      </w:r>
      <w:r w:rsidRPr="00B96149">
        <w:rPr>
          <w:rFonts w:eastAsia="Times New Roman"/>
          <w:sz w:val="20"/>
          <w:lang w:eastAsia="en-GB"/>
        </w:rPr>
        <w:t>ivalskega izvora (31 %), proizvodnja mle</w:t>
      </w:r>
      <w:r w:rsidRPr="00B96149">
        <w:rPr>
          <w:rFonts w:eastAsia="Times New Roman" w:hint="eastAsia"/>
          <w:sz w:val="20"/>
          <w:lang w:eastAsia="en-GB"/>
        </w:rPr>
        <w:t>č</w:t>
      </w:r>
      <w:r w:rsidRPr="00B96149">
        <w:rPr>
          <w:rFonts w:eastAsia="Times New Roman"/>
          <w:sz w:val="20"/>
          <w:lang w:eastAsia="en-GB"/>
        </w:rPr>
        <w:t>nih izdelkov (22 %), proizvodnja alkoholnih in brezalkoholnih pija</w:t>
      </w:r>
      <w:r w:rsidRPr="00B96149">
        <w:rPr>
          <w:rFonts w:eastAsia="Times New Roman" w:hint="eastAsia"/>
          <w:sz w:val="20"/>
          <w:lang w:eastAsia="en-GB"/>
        </w:rPr>
        <w:t>č</w:t>
      </w:r>
      <w:r w:rsidRPr="00B96149">
        <w:rPr>
          <w:rFonts w:eastAsia="Times New Roman"/>
          <w:sz w:val="20"/>
          <w:lang w:eastAsia="en-GB"/>
        </w:rPr>
        <w:t xml:space="preserve"> (17 %), ter ostale dejavnosti ki vse prispevajo po okoli 10 %. Poglavitni na</w:t>
      </w:r>
      <w:r w:rsidRPr="00B96149">
        <w:rPr>
          <w:rFonts w:eastAsia="Times New Roman" w:hint="eastAsia"/>
          <w:sz w:val="20"/>
          <w:lang w:eastAsia="en-GB"/>
        </w:rPr>
        <w:t>č</w:t>
      </w:r>
      <w:r w:rsidRPr="00B96149">
        <w:rPr>
          <w:rFonts w:eastAsia="Times New Roman"/>
          <w:sz w:val="20"/>
          <w:lang w:eastAsia="en-GB"/>
        </w:rPr>
        <w:t xml:space="preserve">ini obdelave teh odpadkov so v letu 2018 bili recikliranje (80 %, od teh 76 % predelava v </w:t>
      </w:r>
      <w:proofErr w:type="spellStart"/>
      <w:r w:rsidRPr="00B96149">
        <w:rPr>
          <w:rFonts w:eastAsia="Times New Roman"/>
          <w:sz w:val="20"/>
          <w:lang w:eastAsia="en-GB"/>
        </w:rPr>
        <w:t>bioplinarni</w:t>
      </w:r>
      <w:proofErr w:type="spellEnd"/>
      <w:r w:rsidRPr="00B96149">
        <w:rPr>
          <w:rFonts w:eastAsia="Times New Roman"/>
          <w:sz w:val="20"/>
          <w:lang w:eastAsia="en-GB"/>
        </w:rPr>
        <w:t>), uporaba kot gorivo oziroma za pridobivanje energije (11 %, od teh 10 % za energetsko predelavo), 7,7 % v tem letu je bilo izmenjave oziroma skladi</w:t>
      </w:r>
      <w:r w:rsidRPr="00B96149">
        <w:rPr>
          <w:rFonts w:eastAsia="Times New Roman" w:hint="eastAsia"/>
          <w:sz w:val="20"/>
          <w:lang w:eastAsia="en-GB"/>
        </w:rPr>
        <w:t>šč</w:t>
      </w:r>
      <w:r w:rsidRPr="00B96149">
        <w:rPr>
          <w:rFonts w:eastAsia="Times New Roman"/>
          <w:sz w:val="20"/>
          <w:lang w:eastAsia="en-GB"/>
        </w:rPr>
        <w:t>enje odpadkov za predelavo (ostali na</w:t>
      </w:r>
      <w:r w:rsidRPr="00B96149">
        <w:rPr>
          <w:rFonts w:eastAsia="Times New Roman" w:hint="eastAsia"/>
          <w:sz w:val="20"/>
          <w:lang w:eastAsia="en-GB"/>
        </w:rPr>
        <w:t>č</w:t>
      </w:r>
      <w:r w:rsidRPr="00B96149">
        <w:rPr>
          <w:rFonts w:eastAsia="Times New Roman"/>
          <w:sz w:val="20"/>
          <w:lang w:eastAsia="en-GB"/>
        </w:rPr>
        <w:t>ini obdelave pod 1 %).</w:t>
      </w:r>
    </w:p>
    <w:p w14:paraId="1A928A92" w14:textId="77777777" w:rsidR="001E6A32" w:rsidRPr="00B96149" w:rsidRDefault="001E6A32" w:rsidP="001E6A32">
      <w:pPr>
        <w:tabs>
          <w:tab w:val="left" w:pos="0"/>
        </w:tabs>
        <w:spacing w:before="120" w:after="0" w:line="240" w:lineRule="auto"/>
        <w:jc w:val="both"/>
        <w:rPr>
          <w:rFonts w:eastAsia="Times New Roman"/>
          <w:sz w:val="20"/>
          <w:shd w:val="clear" w:color="auto" w:fill="FFFFFF"/>
          <w:lang w:eastAsia="en-GB"/>
        </w:rPr>
      </w:pPr>
      <w:r w:rsidRPr="00B96149">
        <w:rPr>
          <w:rFonts w:eastAsia="Times New Roman"/>
          <w:sz w:val="20"/>
          <w:shd w:val="clear" w:color="auto" w:fill="FFFFFF"/>
          <w:lang w:eastAsia="en-GB"/>
        </w:rPr>
        <w:t xml:space="preserve">SURS podatke o odpadni hrani izračunava iz podatkov, pridobljenih z obstoječimi rednimi letnimi raziskovanji o nastajanju in ravnanju z odpadki, ki jih po Uredbi o odpadkih zbira ARSO (preko aplikacije IS-Odpadki: </w:t>
      </w:r>
      <w:r w:rsidRPr="00B96149">
        <w:rPr>
          <w:rFonts w:eastAsia="Calibri"/>
        </w:rPr>
        <w:t xml:space="preserve"> </w:t>
      </w:r>
      <w:r w:rsidRPr="00B96149">
        <w:rPr>
          <w:rFonts w:eastAsia="Times New Roman"/>
          <w:sz w:val="20"/>
          <w:shd w:val="clear" w:color="auto" w:fill="FFFFFF"/>
          <w:lang w:eastAsia="en-GB"/>
        </w:rPr>
        <w:t xml:space="preserve">http://okolje.arso.gov.si/odpadki/). SURS poleg podatkov iz rednih letnih raziskovanj o odpadkih, kot podatkovni vir uporablja tudi podatke pridobljene z enkratnim raziskovanjem s strani izvajalcev javnih služb. Na podlagi le-teh izračuna deleže odpadne hrane znotraj mešanih frakcij odpadkov. </w:t>
      </w:r>
    </w:p>
    <w:p w14:paraId="02DAC774" w14:textId="2F14E89A" w:rsidR="001E6A32" w:rsidRDefault="001E6A32" w:rsidP="001E6A32">
      <w:pPr>
        <w:tabs>
          <w:tab w:val="left" w:pos="0"/>
        </w:tabs>
        <w:spacing w:before="120" w:after="0" w:line="240" w:lineRule="auto"/>
        <w:ind w:left="480"/>
        <w:jc w:val="both"/>
        <w:rPr>
          <w:rFonts w:ascii="Times New Roman" w:eastAsia="Times New Roman" w:hAnsi="Times New Roman"/>
          <w:sz w:val="20"/>
          <w:lang w:eastAsia="en-GB"/>
        </w:rPr>
      </w:pPr>
    </w:p>
    <w:p w14:paraId="502C1FD4" w14:textId="47CDF795" w:rsidR="007601E4"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5560CD7A" w14:textId="7DB79742" w:rsidR="007601E4" w:rsidRDefault="007601E4" w:rsidP="007940FC">
      <w:pPr>
        <w:tabs>
          <w:tab w:val="left" w:pos="0"/>
        </w:tabs>
        <w:spacing w:before="120" w:after="0" w:line="240" w:lineRule="auto"/>
        <w:jc w:val="both"/>
        <w:rPr>
          <w:rFonts w:ascii="Times New Roman" w:eastAsia="Times New Roman" w:hAnsi="Times New Roman"/>
          <w:sz w:val="20"/>
          <w:lang w:eastAsia="en-GB"/>
        </w:rPr>
      </w:pPr>
    </w:p>
    <w:p w14:paraId="4FB7082C" w14:textId="77777777" w:rsidR="00237DB1" w:rsidRDefault="00237DB1" w:rsidP="00237DB1">
      <w:pPr>
        <w:pStyle w:val="Napis"/>
        <w:jc w:val="both"/>
      </w:pPr>
    </w:p>
    <w:p w14:paraId="036927C9" w14:textId="77777777" w:rsidR="00237DB1" w:rsidRDefault="00237DB1" w:rsidP="00237DB1">
      <w:pPr>
        <w:pStyle w:val="Napis"/>
        <w:jc w:val="both"/>
      </w:pPr>
    </w:p>
    <w:p w14:paraId="6E28F9FE" w14:textId="77777777" w:rsidR="00237DB1" w:rsidRDefault="00237DB1" w:rsidP="00237DB1">
      <w:pPr>
        <w:pStyle w:val="Napis"/>
        <w:jc w:val="both"/>
      </w:pPr>
    </w:p>
    <w:p w14:paraId="21E746B4" w14:textId="77777777" w:rsidR="006A09AF" w:rsidRPr="006A09AF" w:rsidRDefault="006A09AF" w:rsidP="006A09AF">
      <w:pPr>
        <w:rPr>
          <w:lang w:eastAsia="en-GB"/>
        </w:rPr>
      </w:pPr>
    </w:p>
    <w:p w14:paraId="20D47B10" w14:textId="0958FADF" w:rsidR="00237DB1" w:rsidRPr="006A09AF" w:rsidRDefault="00237DB1" w:rsidP="00237DB1">
      <w:pPr>
        <w:pStyle w:val="Napis"/>
        <w:jc w:val="both"/>
        <w:rPr>
          <w:sz w:val="20"/>
          <w:szCs w:val="20"/>
        </w:rPr>
      </w:pPr>
      <w:bookmarkStart w:id="99" w:name="_Toc55484788"/>
      <w:r w:rsidRPr="006A09AF">
        <w:rPr>
          <w:sz w:val="20"/>
          <w:szCs w:val="20"/>
        </w:rPr>
        <w:lastRenderedPageBreak/>
        <w:t xml:space="preserve">Slika </w:t>
      </w:r>
      <w:r w:rsidR="004270C0" w:rsidRPr="006A09AF">
        <w:rPr>
          <w:sz w:val="20"/>
          <w:szCs w:val="20"/>
        </w:rPr>
        <w:fldChar w:fldCharType="begin"/>
      </w:r>
      <w:r w:rsidR="004270C0" w:rsidRPr="006A09AF">
        <w:rPr>
          <w:sz w:val="20"/>
          <w:szCs w:val="20"/>
        </w:rPr>
        <w:instrText xml:space="preserve"> SEQ Slika \* ARABIC </w:instrText>
      </w:r>
      <w:r w:rsidR="004270C0" w:rsidRPr="006A09AF">
        <w:rPr>
          <w:sz w:val="20"/>
          <w:szCs w:val="20"/>
        </w:rPr>
        <w:fldChar w:fldCharType="separate"/>
      </w:r>
      <w:r w:rsidR="00F810F0" w:rsidRPr="006A09AF">
        <w:rPr>
          <w:noProof/>
          <w:sz w:val="20"/>
          <w:szCs w:val="20"/>
        </w:rPr>
        <w:t>13</w:t>
      </w:r>
      <w:r w:rsidR="004270C0" w:rsidRPr="006A09AF">
        <w:rPr>
          <w:noProof/>
          <w:sz w:val="20"/>
          <w:szCs w:val="20"/>
        </w:rPr>
        <w:fldChar w:fldCharType="end"/>
      </w:r>
      <w:r w:rsidRPr="006A09AF">
        <w:rPr>
          <w:sz w:val="20"/>
          <w:szCs w:val="20"/>
        </w:rPr>
        <w:t>: Odpadna hrana po gospodinjstvih in skupaj  (1000 t) po letih</w:t>
      </w:r>
      <w:bookmarkEnd w:id="99"/>
      <w:r w:rsidRPr="006A09AF">
        <w:rPr>
          <w:sz w:val="20"/>
          <w:szCs w:val="20"/>
        </w:rPr>
        <w:t xml:space="preserve"> </w:t>
      </w:r>
    </w:p>
    <w:p w14:paraId="0732CC4C" w14:textId="77777777" w:rsidR="007601E4" w:rsidRPr="00B96149" w:rsidRDefault="007601E4" w:rsidP="001E6A32">
      <w:pPr>
        <w:tabs>
          <w:tab w:val="left" w:pos="0"/>
        </w:tabs>
        <w:spacing w:before="120" w:after="0" w:line="240" w:lineRule="auto"/>
        <w:ind w:left="480"/>
        <w:jc w:val="both"/>
        <w:rPr>
          <w:rFonts w:ascii="Times New Roman" w:eastAsia="Times New Roman" w:hAnsi="Times New Roman"/>
          <w:sz w:val="20"/>
          <w:lang w:eastAsia="en-GB"/>
        </w:rPr>
      </w:pPr>
    </w:p>
    <w:p w14:paraId="20D1973C" w14:textId="77777777" w:rsidR="006A09AF" w:rsidRDefault="001E6A32" w:rsidP="006A09AF">
      <w:pPr>
        <w:spacing w:before="80" w:after="80" w:line="240" w:lineRule="auto"/>
        <w:jc w:val="center"/>
        <w:rPr>
          <w:rFonts w:eastAsia="Times New Roman"/>
          <w:noProof/>
          <w:sz w:val="20"/>
          <w:szCs w:val="24"/>
          <w:lang w:eastAsia="sl-SI"/>
        </w:rPr>
      </w:pPr>
      <w:r w:rsidRPr="00B96149">
        <w:rPr>
          <w:rFonts w:eastAsia="Times New Roman"/>
          <w:noProof/>
          <w:sz w:val="20"/>
          <w:szCs w:val="24"/>
          <w:lang w:eastAsia="sl-SI"/>
        </w:rPr>
        <w:drawing>
          <wp:inline distT="0" distB="0" distL="0" distR="0" wp14:anchorId="7BC25F2C" wp14:editId="7C3071BF">
            <wp:extent cx="4152900" cy="3130550"/>
            <wp:effectExtent l="0" t="0" r="0" b="0"/>
            <wp:docPr id="17" name="Grafikon 17" descr="Količina odpadne hrane po gospodinjstvih z leti počasi narašč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59D016C" w14:textId="23A38D2C" w:rsidR="006A09AF" w:rsidRPr="006A09AF" w:rsidRDefault="006A09AF" w:rsidP="006A09AF">
      <w:pPr>
        <w:spacing w:before="80" w:after="80" w:line="240" w:lineRule="auto"/>
        <w:jc w:val="center"/>
        <w:rPr>
          <w:rFonts w:eastAsia="Times New Roman"/>
          <w:noProof/>
          <w:sz w:val="20"/>
          <w:szCs w:val="24"/>
          <w:lang w:eastAsia="sl-SI"/>
        </w:rPr>
      </w:pPr>
      <w:r w:rsidRPr="006A09AF">
        <w:rPr>
          <w:sz w:val="16"/>
          <w:szCs w:val="16"/>
        </w:rPr>
        <w:t>VIR: SURS</w:t>
      </w:r>
    </w:p>
    <w:p w14:paraId="4B34D102" w14:textId="2F0C904B" w:rsidR="001E6A32" w:rsidRPr="00B96149" w:rsidRDefault="001E6A32" w:rsidP="001E6A32">
      <w:pPr>
        <w:spacing w:before="120" w:after="0" w:line="240" w:lineRule="auto"/>
        <w:jc w:val="both"/>
        <w:rPr>
          <w:rFonts w:eastAsia="Times New Roman"/>
          <w:sz w:val="20"/>
          <w:lang w:eastAsia="en-GB"/>
        </w:rPr>
      </w:pPr>
      <w:r w:rsidRPr="00B96149">
        <w:rPr>
          <w:rFonts w:eastAsia="Times New Roman"/>
          <w:sz w:val="20"/>
          <w:lang w:eastAsia="en-GB"/>
        </w:rPr>
        <w:t>Po podatkih Statističnega urada Republike Slovenije (SURS)</w:t>
      </w:r>
      <w:r w:rsidR="00237DB1">
        <w:rPr>
          <w:rFonts w:eastAsia="Times New Roman"/>
          <w:sz w:val="20"/>
          <w:lang w:eastAsia="en-GB"/>
        </w:rPr>
        <w:t xml:space="preserve"> </w:t>
      </w:r>
      <w:r w:rsidRPr="00B96149">
        <w:rPr>
          <w:rFonts w:eastAsia="Times New Roman"/>
          <w:sz w:val="20"/>
          <w:lang w:eastAsia="en-GB"/>
        </w:rPr>
        <w:t>se je skupna količina odpadne hrane med leti 2013 in 2018 povečevala</w:t>
      </w:r>
      <w:r w:rsidR="00FB28FA">
        <w:rPr>
          <w:rFonts w:eastAsia="Times New Roman"/>
          <w:sz w:val="20"/>
          <w:lang w:eastAsia="en-GB"/>
        </w:rPr>
        <w:t xml:space="preserve"> (Slika 1</w:t>
      </w:r>
      <w:r w:rsidR="007940FC">
        <w:rPr>
          <w:rFonts w:eastAsia="Times New Roman"/>
          <w:sz w:val="20"/>
          <w:lang w:eastAsia="en-GB"/>
        </w:rPr>
        <w:t>3</w:t>
      </w:r>
      <w:r w:rsidR="00FB28FA">
        <w:rPr>
          <w:rFonts w:eastAsia="Times New Roman"/>
          <w:sz w:val="20"/>
          <w:lang w:eastAsia="en-GB"/>
        </w:rPr>
        <w:t>)</w:t>
      </w:r>
      <w:r w:rsidRPr="00B96149">
        <w:rPr>
          <w:rFonts w:eastAsia="Times New Roman"/>
          <w:sz w:val="20"/>
          <w:lang w:eastAsia="en-GB"/>
        </w:rPr>
        <w:t>. Tako se je iz 118 tisoč ton (leto 2013) povečala za 18 % na 140 tisoč ton (leto 2018). Za 16 % se je v enakem obdobju povečala tudi količina odpadne hrane v gospodinjstvih.</w:t>
      </w:r>
    </w:p>
    <w:p w14:paraId="44430627" w14:textId="77777777" w:rsidR="001E6A32" w:rsidRPr="00B96149" w:rsidRDefault="001E6A32" w:rsidP="001E6A32">
      <w:pPr>
        <w:tabs>
          <w:tab w:val="left" w:pos="0"/>
        </w:tabs>
        <w:spacing w:before="120" w:after="0" w:line="240" w:lineRule="auto"/>
        <w:jc w:val="both"/>
        <w:rPr>
          <w:rFonts w:eastAsia="Times New Roman"/>
          <w:sz w:val="20"/>
          <w:lang w:eastAsia="en-GB"/>
        </w:rPr>
      </w:pPr>
      <w:r w:rsidRPr="00B96149">
        <w:rPr>
          <w:rFonts w:eastAsia="Times New Roman"/>
          <w:sz w:val="20"/>
          <w:lang w:eastAsia="en-GB"/>
        </w:rPr>
        <w:t xml:space="preserve">V letu 2018 je vsak prebivalec Slovenije zavrgel povprečno 68 kg hrane. V povprečju je v obdobju 2013-2018 vsak prebivalec Slovenije zavrgel 65,5 kg hrane. </w:t>
      </w:r>
    </w:p>
    <w:p w14:paraId="5A4FEA7F" w14:textId="77777777" w:rsidR="001E6A32" w:rsidRPr="00B96149" w:rsidRDefault="001E6A32" w:rsidP="001E6A32">
      <w:pPr>
        <w:tabs>
          <w:tab w:val="left" w:pos="0"/>
        </w:tabs>
        <w:spacing w:before="120" w:after="0" w:line="240" w:lineRule="auto"/>
        <w:jc w:val="both"/>
        <w:rPr>
          <w:rFonts w:eastAsia="Times New Roman"/>
          <w:sz w:val="20"/>
          <w:lang w:eastAsia="en-GB"/>
        </w:rPr>
      </w:pPr>
    </w:p>
    <w:p w14:paraId="5F5B26D0" w14:textId="42B18372" w:rsidR="00FB28FA" w:rsidRPr="006A09AF" w:rsidRDefault="00237DB1" w:rsidP="00237DB1">
      <w:pPr>
        <w:pStyle w:val="Napis"/>
        <w:jc w:val="both"/>
        <w:rPr>
          <w:sz w:val="20"/>
          <w:szCs w:val="20"/>
        </w:rPr>
      </w:pPr>
      <w:bookmarkStart w:id="100" w:name="_Toc55484834"/>
      <w:r w:rsidRPr="006A09AF">
        <w:rPr>
          <w:sz w:val="20"/>
          <w:szCs w:val="20"/>
        </w:rPr>
        <w:t xml:space="preserve">Tabela </w:t>
      </w:r>
      <w:r w:rsidR="004270C0" w:rsidRPr="006A09AF">
        <w:rPr>
          <w:sz w:val="20"/>
          <w:szCs w:val="20"/>
        </w:rPr>
        <w:fldChar w:fldCharType="begin"/>
      </w:r>
      <w:r w:rsidR="004270C0" w:rsidRPr="006A09AF">
        <w:rPr>
          <w:sz w:val="20"/>
          <w:szCs w:val="20"/>
        </w:rPr>
        <w:instrText xml:space="preserve"> SEQ Tabela \* ARABIC </w:instrText>
      </w:r>
      <w:r w:rsidR="004270C0" w:rsidRPr="006A09AF">
        <w:rPr>
          <w:sz w:val="20"/>
          <w:szCs w:val="20"/>
        </w:rPr>
        <w:fldChar w:fldCharType="separate"/>
      </w:r>
      <w:r w:rsidR="00CF0FC8" w:rsidRPr="006A09AF">
        <w:rPr>
          <w:noProof/>
          <w:sz w:val="20"/>
          <w:szCs w:val="20"/>
        </w:rPr>
        <w:t>12</w:t>
      </w:r>
      <w:r w:rsidR="004270C0" w:rsidRPr="006A09AF">
        <w:rPr>
          <w:noProof/>
          <w:sz w:val="20"/>
          <w:szCs w:val="20"/>
        </w:rPr>
        <w:fldChar w:fldCharType="end"/>
      </w:r>
      <w:r w:rsidRPr="006A09AF">
        <w:rPr>
          <w:sz w:val="20"/>
          <w:szCs w:val="20"/>
        </w:rPr>
        <w:t>: Nastajanje in ravnanje z odpadno hrano v obdobju 2013 do 2018</w:t>
      </w:r>
      <w:bookmarkEnd w:id="100"/>
    </w:p>
    <w:tbl>
      <w:tblPr>
        <w:tblStyle w:val="Tabelamrea21"/>
        <w:tblW w:w="9072" w:type="dxa"/>
        <w:tblLook w:val="04A0" w:firstRow="1" w:lastRow="0" w:firstColumn="1" w:lastColumn="0" w:noHBand="0" w:noVBand="1"/>
        <w:tblDescription w:val="Nastajanje odpadne hrane po: MERITVE ,  LETO"/>
      </w:tblPr>
      <w:tblGrid>
        <w:gridCol w:w="3438"/>
        <w:gridCol w:w="939"/>
        <w:gridCol w:w="939"/>
        <w:gridCol w:w="939"/>
        <w:gridCol w:w="939"/>
        <w:gridCol w:w="939"/>
        <w:gridCol w:w="939"/>
      </w:tblGrid>
      <w:tr w:rsidR="00767E96" w:rsidRPr="00767E96" w14:paraId="534DA3CD" w14:textId="77777777" w:rsidTr="00CF43DE">
        <w:trPr>
          <w:trHeight w:val="267"/>
        </w:trPr>
        <w:tc>
          <w:tcPr>
            <w:tcW w:w="4698" w:type="dxa"/>
            <w:shd w:val="clear" w:color="auto" w:fill="D9EEF3"/>
            <w:hideMark/>
          </w:tcPr>
          <w:p w14:paraId="7B016965"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 </w:t>
            </w:r>
          </w:p>
        </w:tc>
        <w:tc>
          <w:tcPr>
            <w:tcW w:w="729" w:type="dxa"/>
            <w:shd w:val="clear" w:color="auto" w:fill="D9EEF3"/>
            <w:hideMark/>
          </w:tcPr>
          <w:p w14:paraId="0035528A"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2013</w:t>
            </w:r>
          </w:p>
        </w:tc>
        <w:tc>
          <w:tcPr>
            <w:tcW w:w="0" w:type="auto"/>
            <w:shd w:val="clear" w:color="auto" w:fill="D9EEF3"/>
            <w:hideMark/>
          </w:tcPr>
          <w:p w14:paraId="18AC1B94"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2014</w:t>
            </w:r>
          </w:p>
        </w:tc>
        <w:tc>
          <w:tcPr>
            <w:tcW w:w="0" w:type="auto"/>
            <w:shd w:val="clear" w:color="auto" w:fill="D9EEF3"/>
            <w:hideMark/>
          </w:tcPr>
          <w:p w14:paraId="1DAAAD06"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2015</w:t>
            </w:r>
          </w:p>
        </w:tc>
        <w:tc>
          <w:tcPr>
            <w:tcW w:w="0" w:type="auto"/>
            <w:shd w:val="clear" w:color="auto" w:fill="D9EEF3"/>
            <w:hideMark/>
          </w:tcPr>
          <w:p w14:paraId="37BC8020"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2016</w:t>
            </w:r>
          </w:p>
        </w:tc>
        <w:tc>
          <w:tcPr>
            <w:tcW w:w="0" w:type="auto"/>
            <w:shd w:val="clear" w:color="auto" w:fill="D9EEF3"/>
            <w:hideMark/>
          </w:tcPr>
          <w:p w14:paraId="558C1979"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2017</w:t>
            </w:r>
          </w:p>
        </w:tc>
        <w:tc>
          <w:tcPr>
            <w:tcW w:w="0" w:type="auto"/>
            <w:shd w:val="clear" w:color="auto" w:fill="D9EEF3"/>
            <w:hideMark/>
          </w:tcPr>
          <w:p w14:paraId="7ABA2C97"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2018</w:t>
            </w:r>
          </w:p>
        </w:tc>
      </w:tr>
      <w:tr w:rsidR="00767E96" w:rsidRPr="00767E96" w14:paraId="154EA9AA" w14:textId="77777777" w:rsidTr="0048262F">
        <w:tc>
          <w:tcPr>
            <w:tcW w:w="4698" w:type="dxa"/>
            <w:hideMark/>
          </w:tcPr>
          <w:p w14:paraId="6491CE8E"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Nastala odpadna hrana - SKUPAJ (tone</w:t>
            </w:r>
            <w:r w:rsidRPr="00767E96">
              <w:rPr>
                <w:rFonts w:eastAsia="Times New Roman"/>
                <w:b/>
                <w:bCs/>
                <w:sz w:val="20"/>
                <w:lang w:eastAsia="en-GB"/>
              </w:rPr>
              <w:t>)*</w:t>
            </w:r>
          </w:p>
        </w:tc>
        <w:tc>
          <w:tcPr>
            <w:tcW w:w="729" w:type="dxa"/>
            <w:noWrap/>
            <w:hideMark/>
          </w:tcPr>
          <w:p w14:paraId="48AE0AAE"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118.450</w:t>
            </w:r>
          </w:p>
        </w:tc>
        <w:tc>
          <w:tcPr>
            <w:tcW w:w="0" w:type="auto"/>
            <w:noWrap/>
            <w:hideMark/>
          </w:tcPr>
          <w:p w14:paraId="57DCA108"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125.102</w:t>
            </w:r>
          </w:p>
        </w:tc>
        <w:tc>
          <w:tcPr>
            <w:tcW w:w="0" w:type="auto"/>
            <w:noWrap/>
            <w:hideMark/>
          </w:tcPr>
          <w:p w14:paraId="461A985B"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133.898</w:t>
            </w:r>
          </w:p>
        </w:tc>
        <w:tc>
          <w:tcPr>
            <w:tcW w:w="0" w:type="auto"/>
            <w:noWrap/>
            <w:hideMark/>
          </w:tcPr>
          <w:p w14:paraId="0553BCD8"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137.638</w:t>
            </w:r>
          </w:p>
        </w:tc>
        <w:tc>
          <w:tcPr>
            <w:tcW w:w="0" w:type="auto"/>
            <w:noWrap/>
            <w:hideMark/>
          </w:tcPr>
          <w:p w14:paraId="78805F84"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131.761</w:t>
            </w:r>
          </w:p>
        </w:tc>
        <w:tc>
          <w:tcPr>
            <w:tcW w:w="0" w:type="auto"/>
            <w:noWrap/>
            <w:hideMark/>
          </w:tcPr>
          <w:p w14:paraId="6FDD3BDE"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139.856</w:t>
            </w:r>
          </w:p>
        </w:tc>
      </w:tr>
      <w:tr w:rsidR="00767E96" w:rsidRPr="00767E96" w14:paraId="02C968F3" w14:textId="77777777" w:rsidTr="0048262F">
        <w:tc>
          <w:tcPr>
            <w:tcW w:w="4698" w:type="dxa"/>
            <w:hideMark/>
          </w:tcPr>
          <w:p w14:paraId="05CF9589"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proizvodnji hrane (vključno s primarno) (tone)</w:t>
            </w:r>
          </w:p>
        </w:tc>
        <w:tc>
          <w:tcPr>
            <w:tcW w:w="729" w:type="dxa"/>
            <w:noWrap/>
            <w:hideMark/>
          </w:tcPr>
          <w:p w14:paraId="07A853C8"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7.950</w:t>
            </w:r>
          </w:p>
        </w:tc>
        <w:tc>
          <w:tcPr>
            <w:tcW w:w="0" w:type="auto"/>
            <w:noWrap/>
            <w:hideMark/>
          </w:tcPr>
          <w:p w14:paraId="5FA2DD2C"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9.516</w:t>
            </w:r>
          </w:p>
        </w:tc>
        <w:tc>
          <w:tcPr>
            <w:tcW w:w="0" w:type="auto"/>
            <w:noWrap/>
            <w:hideMark/>
          </w:tcPr>
          <w:p w14:paraId="060BBFB3"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10.001</w:t>
            </w:r>
          </w:p>
        </w:tc>
        <w:tc>
          <w:tcPr>
            <w:tcW w:w="0" w:type="auto"/>
            <w:noWrap/>
            <w:hideMark/>
          </w:tcPr>
          <w:p w14:paraId="0BC5D9EC"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10.726</w:t>
            </w:r>
          </w:p>
        </w:tc>
        <w:tc>
          <w:tcPr>
            <w:tcW w:w="0" w:type="auto"/>
            <w:noWrap/>
            <w:hideMark/>
          </w:tcPr>
          <w:p w14:paraId="4045E66F"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10.485</w:t>
            </w:r>
          </w:p>
        </w:tc>
        <w:tc>
          <w:tcPr>
            <w:tcW w:w="0" w:type="auto"/>
            <w:noWrap/>
            <w:hideMark/>
          </w:tcPr>
          <w:p w14:paraId="54A616E6"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10.839</w:t>
            </w:r>
          </w:p>
        </w:tc>
      </w:tr>
      <w:tr w:rsidR="00767E96" w:rsidRPr="00767E96" w14:paraId="3F5BB3B8" w14:textId="77777777" w:rsidTr="0048262F">
        <w:tc>
          <w:tcPr>
            <w:tcW w:w="4698" w:type="dxa"/>
            <w:hideMark/>
          </w:tcPr>
          <w:p w14:paraId="03CBDB44"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distribuciji in trgovini z živili (tone)</w:t>
            </w:r>
          </w:p>
        </w:tc>
        <w:tc>
          <w:tcPr>
            <w:tcW w:w="729" w:type="dxa"/>
            <w:noWrap/>
            <w:hideMark/>
          </w:tcPr>
          <w:p w14:paraId="3EA780E5"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9.165</w:t>
            </w:r>
          </w:p>
        </w:tc>
        <w:tc>
          <w:tcPr>
            <w:tcW w:w="0" w:type="auto"/>
            <w:noWrap/>
            <w:hideMark/>
          </w:tcPr>
          <w:p w14:paraId="3B089CB7"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9.478</w:t>
            </w:r>
          </w:p>
        </w:tc>
        <w:tc>
          <w:tcPr>
            <w:tcW w:w="0" w:type="auto"/>
            <w:noWrap/>
            <w:hideMark/>
          </w:tcPr>
          <w:p w14:paraId="5470EE46"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12.933</w:t>
            </w:r>
          </w:p>
        </w:tc>
        <w:tc>
          <w:tcPr>
            <w:tcW w:w="0" w:type="auto"/>
            <w:noWrap/>
            <w:hideMark/>
          </w:tcPr>
          <w:p w14:paraId="0B71CC73"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14.492</w:t>
            </w:r>
          </w:p>
        </w:tc>
        <w:tc>
          <w:tcPr>
            <w:tcW w:w="0" w:type="auto"/>
            <w:noWrap/>
            <w:hideMark/>
          </w:tcPr>
          <w:p w14:paraId="27BD032A"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13.115</w:t>
            </w:r>
          </w:p>
        </w:tc>
        <w:tc>
          <w:tcPr>
            <w:tcW w:w="0" w:type="auto"/>
            <w:noWrap/>
            <w:hideMark/>
          </w:tcPr>
          <w:p w14:paraId="192F1C41"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13.763</w:t>
            </w:r>
          </w:p>
        </w:tc>
      </w:tr>
      <w:tr w:rsidR="00767E96" w:rsidRPr="00767E96" w14:paraId="36CA0ED6" w14:textId="77777777" w:rsidTr="0048262F">
        <w:tc>
          <w:tcPr>
            <w:tcW w:w="4698" w:type="dxa"/>
            <w:hideMark/>
          </w:tcPr>
          <w:p w14:paraId="3C0A65F9"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gostinstvu in strežbi hrane (tone)</w:t>
            </w:r>
          </w:p>
        </w:tc>
        <w:tc>
          <w:tcPr>
            <w:tcW w:w="729" w:type="dxa"/>
            <w:noWrap/>
            <w:hideMark/>
          </w:tcPr>
          <w:p w14:paraId="75F6C9E9"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38.313</w:t>
            </w:r>
          </w:p>
        </w:tc>
        <w:tc>
          <w:tcPr>
            <w:tcW w:w="0" w:type="auto"/>
            <w:noWrap/>
            <w:hideMark/>
          </w:tcPr>
          <w:p w14:paraId="17ACE24A"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41.348</w:t>
            </w:r>
          </w:p>
        </w:tc>
        <w:tc>
          <w:tcPr>
            <w:tcW w:w="0" w:type="auto"/>
            <w:noWrap/>
            <w:hideMark/>
          </w:tcPr>
          <w:p w14:paraId="5E71E0E9"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44.824</w:t>
            </w:r>
          </w:p>
        </w:tc>
        <w:tc>
          <w:tcPr>
            <w:tcW w:w="0" w:type="auto"/>
            <w:noWrap/>
            <w:hideMark/>
          </w:tcPr>
          <w:p w14:paraId="51CE350B"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43.899</w:t>
            </w:r>
          </w:p>
        </w:tc>
        <w:tc>
          <w:tcPr>
            <w:tcW w:w="0" w:type="auto"/>
            <w:noWrap/>
            <w:hideMark/>
          </w:tcPr>
          <w:p w14:paraId="6ED5BE23"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40.568</w:t>
            </w:r>
          </w:p>
        </w:tc>
        <w:tc>
          <w:tcPr>
            <w:tcW w:w="0" w:type="auto"/>
            <w:noWrap/>
            <w:hideMark/>
          </w:tcPr>
          <w:p w14:paraId="18EC2813"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42.071</w:t>
            </w:r>
          </w:p>
        </w:tc>
      </w:tr>
      <w:tr w:rsidR="00767E96" w:rsidRPr="00767E96" w14:paraId="2452B7EC" w14:textId="77777777" w:rsidTr="0048262F">
        <w:tc>
          <w:tcPr>
            <w:tcW w:w="4698" w:type="dxa"/>
            <w:hideMark/>
          </w:tcPr>
          <w:p w14:paraId="00A7E87C"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gospodinjstvih (tone)</w:t>
            </w:r>
          </w:p>
        </w:tc>
        <w:tc>
          <w:tcPr>
            <w:tcW w:w="729" w:type="dxa"/>
            <w:noWrap/>
            <w:hideMark/>
          </w:tcPr>
          <w:p w14:paraId="448E8E20"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63.023</w:t>
            </w:r>
          </w:p>
        </w:tc>
        <w:tc>
          <w:tcPr>
            <w:tcW w:w="0" w:type="auto"/>
            <w:noWrap/>
            <w:hideMark/>
          </w:tcPr>
          <w:p w14:paraId="2BEF3A7E"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64.761</w:t>
            </w:r>
          </w:p>
        </w:tc>
        <w:tc>
          <w:tcPr>
            <w:tcW w:w="0" w:type="auto"/>
            <w:noWrap/>
            <w:hideMark/>
          </w:tcPr>
          <w:p w14:paraId="13A3C30D"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66.141</w:t>
            </w:r>
          </w:p>
        </w:tc>
        <w:tc>
          <w:tcPr>
            <w:tcW w:w="0" w:type="auto"/>
            <w:noWrap/>
            <w:hideMark/>
          </w:tcPr>
          <w:p w14:paraId="0C7E83F2"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68.521</w:t>
            </w:r>
          </w:p>
        </w:tc>
        <w:tc>
          <w:tcPr>
            <w:tcW w:w="0" w:type="auto"/>
            <w:noWrap/>
            <w:hideMark/>
          </w:tcPr>
          <w:p w14:paraId="6C98938F"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67.594</w:t>
            </w:r>
          </w:p>
        </w:tc>
        <w:tc>
          <w:tcPr>
            <w:tcW w:w="0" w:type="auto"/>
            <w:noWrap/>
            <w:hideMark/>
          </w:tcPr>
          <w:p w14:paraId="3461BB14"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73.182</w:t>
            </w:r>
          </w:p>
        </w:tc>
      </w:tr>
      <w:tr w:rsidR="00767E96" w:rsidRPr="00767E96" w14:paraId="404B40B1" w14:textId="77777777" w:rsidTr="0048262F">
        <w:tc>
          <w:tcPr>
            <w:tcW w:w="9072" w:type="dxa"/>
            <w:gridSpan w:val="7"/>
          </w:tcPr>
          <w:p w14:paraId="1466A16B" w14:textId="77777777" w:rsidR="00767E96" w:rsidRPr="00767E96" w:rsidRDefault="00767E96" w:rsidP="00767E96">
            <w:pPr>
              <w:spacing w:before="120"/>
              <w:jc w:val="both"/>
              <w:rPr>
                <w:rFonts w:eastAsia="Times New Roman"/>
                <w:sz w:val="20"/>
                <w:lang w:eastAsia="en-GB"/>
              </w:rPr>
            </w:pPr>
            <w:r w:rsidRPr="00767E96">
              <w:rPr>
                <w:rFonts w:eastAsia="Times New Roman"/>
                <w:b/>
                <w:bCs/>
                <w:sz w:val="20"/>
                <w:lang w:eastAsia="en-GB"/>
              </w:rPr>
              <w:t>Ravnanje z odpadno hrano</w:t>
            </w:r>
          </w:p>
        </w:tc>
      </w:tr>
      <w:tr w:rsidR="00767E96" w:rsidRPr="00767E96" w14:paraId="6040C574" w14:textId="77777777" w:rsidTr="0048262F">
        <w:tc>
          <w:tcPr>
            <w:tcW w:w="4698" w:type="dxa"/>
            <w:hideMark/>
          </w:tcPr>
          <w:p w14:paraId="21FD9055"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 xml:space="preserve">- predelava v </w:t>
            </w:r>
            <w:proofErr w:type="spellStart"/>
            <w:r w:rsidRPr="00767E96">
              <w:rPr>
                <w:rFonts w:eastAsia="Times New Roman"/>
                <w:b/>
                <w:sz w:val="20"/>
                <w:lang w:eastAsia="en-GB"/>
              </w:rPr>
              <w:t>bioplinarnah</w:t>
            </w:r>
            <w:proofErr w:type="spellEnd"/>
            <w:r w:rsidRPr="00767E96">
              <w:rPr>
                <w:rFonts w:eastAsia="Times New Roman"/>
                <w:b/>
                <w:sz w:val="20"/>
                <w:lang w:eastAsia="en-GB"/>
              </w:rPr>
              <w:t xml:space="preserve"> (tone)</w:t>
            </w:r>
          </w:p>
        </w:tc>
        <w:tc>
          <w:tcPr>
            <w:tcW w:w="729" w:type="dxa"/>
            <w:noWrap/>
            <w:hideMark/>
          </w:tcPr>
          <w:p w14:paraId="1796D20A"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41.616</w:t>
            </w:r>
          </w:p>
        </w:tc>
        <w:tc>
          <w:tcPr>
            <w:tcW w:w="0" w:type="auto"/>
            <w:noWrap/>
            <w:hideMark/>
          </w:tcPr>
          <w:p w14:paraId="10049636"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45.116</w:t>
            </w:r>
          </w:p>
        </w:tc>
        <w:tc>
          <w:tcPr>
            <w:tcW w:w="0" w:type="auto"/>
            <w:noWrap/>
            <w:hideMark/>
          </w:tcPr>
          <w:p w14:paraId="1B036186"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52.418</w:t>
            </w:r>
          </w:p>
        </w:tc>
        <w:tc>
          <w:tcPr>
            <w:tcW w:w="0" w:type="auto"/>
            <w:noWrap/>
            <w:hideMark/>
          </w:tcPr>
          <w:p w14:paraId="6BC1053A"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66.336</w:t>
            </w:r>
          </w:p>
        </w:tc>
        <w:tc>
          <w:tcPr>
            <w:tcW w:w="0" w:type="auto"/>
            <w:noWrap/>
            <w:hideMark/>
          </w:tcPr>
          <w:p w14:paraId="66F28112"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60.083</w:t>
            </w:r>
          </w:p>
        </w:tc>
        <w:tc>
          <w:tcPr>
            <w:tcW w:w="0" w:type="auto"/>
            <w:noWrap/>
            <w:hideMark/>
          </w:tcPr>
          <w:p w14:paraId="004E8B40"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66.255</w:t>
            </w:r>
          </w:p>
        </w:tc>
      </w:tr>
      <w:tr w:rsidR="00767E96" w:rsidRPr="00767E96" w14:paraId="2B898595" w14:textId="77777777" w:rsidTr="0048262F">
        <w:tc>
          <w:tcPr>
            <w:tcW w:w="4698" w:type="dxa"/>
            <w:hideMark/>
          </w:tcPr>
          <w:p w14:paraId="2FE3DD9E"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 predelava v kompostarnah (tone)</w:t>
            </w:r>
          </w:p>
        </w:tc>
        <w:tc>
          <w:tcPr>
            <w:tcW w:w="729" w:type="dxa"/>
            <w:noWrap/>
            <w:hideMark/>
          </w:tcPr>
          <w:p w14:paraId="53B9BC88"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38.957</w:t>
            </w:r>
          </w:p>
        </w:tc>
        <w:tc>
          <w:tcPr>
            <w:tcW w:w="0" w:type="auto"/>
            <w:noWrap/>
            <w:hideMark/>
          </w:tcPr>
          <w:p w14:paraId="178287D9"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42.068</w:t>
            </w:r>
          </w:p>
        </w:tc>
        <w:tc>
          <w:tcPr>
            <w:tcW w:w="0" w:type="auto"/>
            <w:noWrap/>
            <w:hideMark/>
          </w:tcPr>
          <w:p w14:paraId="05A24C87"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45.148</w:t>
            </w:r>
          </w:p>
        </w:tc>
        <w:tc>
          <w:tcPr>
            <w:tcW w:w="0" w:type="auto"/>
            <w:noWrap/>
            <w:hideMark/>
          </w:tcPr>
          <w:p w14:paraId="3E5E8F77"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39.805</w:t>
            </w:r>
          </w:p>
        </w:tc>
        <w:tc>
          <w:tcPr>
            <w:tcW w:w="0" w:type="auto"/>
            <w:noWrap/>
            <w:hideMark/>
          </w:tcPr>
          <w:p w14:paraId="4CB29974"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39.578</w:t>
            </w:r>
          </w:p>
        </w:tc>
        <w:tc>
          <w:tcPr>
            <w:tcW w:w="0" w:type="auto"/>
            <w:noWrap/>
            <w:hideMark/>
          </w:tcPr>
          <w:p w14:paraId="7AB5CD15"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40.878</w:t>
            </w:r>
          </w:p>
        </w:tc>
      </w:tr>
      <w:tr w:rsidR="00767E96" w:rsidRPr="00767E96" w14:paraId="5E5DDE96" w14:textId="77777777" w:rsidTr="0048262F">
        <w:tc>
          <w:tcPr>
            <w:tcW w:w="4698" w:type="dxa"/>
            <w:hideMark/>
          </w:tcPr>
          <w:p w14:paraId="55D66EA2"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 biološka stabilizacija v okviru MBO (tone)</w:t>
            </w:r>
          </w:p>
        </w:tc>
        <w:tc>
          <w:tcPr>
            <w:tcW w:w="729" w:type="dxa"/>
            <w:noWrap/>
            <w:hideMark/>
          </w:tcPr>
          <w:p w14:paraId="1E5F1DF6"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10.890</w:t>
            </w:r>
          </w:p>
        </w:tc>
        <w:tc>
          <w:tcPr>
            <w:tcW w:w="0" w:type="auto"/>
            <w:noWrap/>
            <w:hideMark/>
          </w:tcPr>
          <w:p w14:paraId="420D296E"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26.444</w:t>
            </w:r>
          </w:p>
        </w:tc>
        <w:tc>
          <w:tcPr>
            <w:tcW w:w="0" w:type="auto"/>
            <w:noWrap/>
            <w:hideMark/>
          </w:tcPr>
          <w:p w14:paraId="0DFB2A3F"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28.190</w:t>
            </w:r>
          </w:p>
        </w:tc>
        <w:tc>
          <w:tcPr>
            <w:tcW w:w="0" w:type="auto"/>
            <w:noWrap/>
            <w:hideMark/>
          </w:tcPr>
          <w:p w14:paraId="779058B9"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29.131</w:t>
            </w:r>
          </w:p>
        </w:tc>
        <w:tc>
          <w:tcPr>
            <w:tcW w:w="0" w:type="auto"/>
            <w:noWrap/>
            <w:hideMark/>
          </w:tcPr>
          <w:p w14:paraId="77A8A6FE"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28.976</w:t>
            </w:r>
          </w:p>
        </w:tc>
        <w:tc>
          <w:tcPr>
            <w:tcW w:w="0" w:type="auto"/>
            <w:noWrap/>
            <w:hideMark/>
          </w:tcPr>
          <w:p w14:paraId="1C1B4CCC"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29.859</w:t>
            </w:r>
          </w:p>
        </w:tc>
      </w:tr>
      <w:tr w:rsidR="00767E96" w:rsidRPr="00767E96" w14:paraId="37A105F1" w14:textId="77777777" w:rsidTr="0048262F">
        <w:tc>
          <w:tcPr>
            <w:tcW w:w="4698" w:type="dxa"/>
            <w:hideMark/>
          </w:tcPr>
          <w:p w14:paraId="52310E56" w14:textId="77777777" w:rsidR="00767E96" w:rsidRPr="00767E96" w:rsidRDefault="00767E96" w:rsidP="00767E96">
            <w:pPr>
              <w:spacing w:before="120"/>
              <w:jc w:val="both"/>
              <w:rPr>
                <w:rFonts w:eastAsia="Times New Roman"/>
                <w:b/>
                <w:sz w:val="20"/>
                <w:lang w:eastAsia="en-GB"/>
              </w:rPr>
            </w:pPr>
            <w:r w:rsidRPr="00767E96">
              <w:rPr>
                <w:rFonts w:eastAsia="Times New Roman"/>
                <w:b/>
                <w:sz w:val="20"/>
                <w:lang w:eastAsia="en-GB"/>
              </w:rPr>
              <w:t>- drugo ravnanje (tone)</w:t>
            </w:r>
          </w:p>
        </w:tc>
        <w:tc>
          <w:tcPr>
            <w:tcW w:w="729" w:type="dxa"/>
            <w:noWrap/>
            <w:hideMark/>
          </w:tcPr>
          <w:p w14:paraId="3EFFDE05"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26.987</w:t>
            </w:r>
          </w:p>
        </w:tc>
        <w:tc>
          <w:tcPr>
            <w:tcW w:w="0" w:type="auto"/>
            <w:noWrap/>
            <w:hideMark/>
          </w:tcPr>
          <w:p w14:paraId="78F54B6B"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11.474</w:t>
            </w:r>
          </w:p>
        </w:tc>
        <w:tc>
          <w:tcPr>
            <w:tcW w:w="0" w:type="auto"/>
            <w:noWrap/>
            <w:hideMark/>
          </w:tcPr>
          <w:p w14:paraId="755B2D65"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8.143</w:t>
            </w:r>
          </w:p>
        </w:tc>
        <w:tc>
          <w:tcPr>
            <w:tcW w:w="0" w:type="auto"/>
            <w:noWrap/>
            <w:hideMark/>
          </w:tcPr>
          <w:p w14:paraId="45E980B0"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2.366</w:t>
            </w:r>
          </w:p>
        </w:tc>
        <w:tc>
          <w:tcPr>
            <w:tcW w:w="0" w:type="auto"/>
            <w:noWrap/>
            <w:hideMark/>
          </w:tcPr>
          <w:p w14:paraId="29FAC9AA"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3.124</w:t>
            </w:r>
          </w:p>
        </w:tc>
        <w:tc>
          <w:tcPr>
            <w:tcW w:w="0" w:type="auto"/>
            <w:noWrap/>
            <w:hideMark/>
          </w:tcPr>
          <w:p w14:paraId="15173D8D" w14:textId="77777777" w:rsidR="00767E96" w:rsidRPr="00767E96" w:rsidRDefault="00767E96" w:rsidP="00767E96">
            <w:pPr>
              <w:spacing w:before="120"/>
              <w:jc w:val="both"/>
              <w:rPr>
                <w:rFonts w:eastAsia="Times New Roman"/>
                <w:sz w:val="20"/>
                <w:lang w:eastAsia="en-GB"/>
              </w:rPr>
            </w:pPr>
            <w:r w:rsidRPr="00767E96">
              <w:rPr>
                <w:rFonts w:eastAsia="Times New Roman"/>
                <w:sz w:val="20"/>
                <w:lang w:eastAsia="en-GB"/>
              </w:rPr>
              <w:t>2.864</w:t>
            </w:r>
          </w:p>
        </w:tc>
      </w:tr>
    </w:tbl>
    <w:p w14:paraId="68A00761" w14:textId="77777777" w:rsidR="001E6A32" w:rsidRPr="00B96149"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proofErr w:type="spellStart"/>
      <w:r w:rsidRPr="00B96149">
        <w:rPr>
          <w:rFonts w:eastAsia="Times New Roman"/>
          <w:i/>
          <w:sz w:val="16"/>
          <w:szCs w:val="24"/>
          <w:lang w:val="de-DE" w:eastAsia="en-GB"/>
        </w:rPr>
        <w:t>Vir</w:t>
      </w:r>
      <w:proofErr w:type="spellEnd"/>
      <w:r w:rsidRPr="00B96149">
        <w:rPr>
          <w:rFonts w:eastAsia="Times New Roman"/>
          <w:i/>
          <w:sz w:val="16"/>
          <w:szCs w:val="24"/>
          <w:lang w:val="de-DE" w:eastAsia="en-GB"/>
        </w:rPr>
        <w:t>: SURS</w:t>
      </w:r>
    </w:p>
    <w:p w14:paraId="5E47FC50" w14:textId="77777777" w:rsidR="001E6A32" w:rsidRPr="00B96149" w:rsidRDefault="001E6A32" w:rsidP="001E6A32">
      <w:pPr>
        <w:autoSpaceDE w:val="0"/>
        <w:autoSpaceDN w:val="0"/>
        <w:adjustRightInd w:val="0"/>
        <w:spacing w:before="120" w:after="240" w:line="240" w:lineRule="auto"/>
        <w:contextualSpacing/>
        <w:jc w:val="both"/>
        <w:rPr>
          <w:rFonts w:eastAsia="Times New Roman"/>
          <w:i/>
          <w:sz w:val="16"/>
          <w:szCs w:val="24"/>
          <w:lang w:val="de-DE" w:eastAsia="en-GB"/>
        </w:rPr>
      </w:pPr>
      <w:r w:rsidRPr="00B96149">
        <w:rPr>
          <w:rFonts w:eastAsia="Times New Roman"/>
          <w:i/>
          <w:sz w:val="16"/>
          <w:szCs w:val="24"/>
          <w:lang w:val="de-DE" w:eastAsia="en-GB"/>
        </w:rPr>
        <w:t>*</w:t>
      </w:r>
      <w:proofErr w:type="spellStart"/>
      <w:r w:rsidRPr="00B96149">
        <w:rPr>
          <w:rFonts w:eastAsia="Times New Roman"/>
          <w:i/>
          <w:sz w:val="16"/>
          <w:szCs w:val="24"/>
          <w:lang w:val="de-DE" w:eastAsia="en-GB"/>
        </w:rPr>
        <w:t>seštevki</w:t>
      </w:r>
      <w:proofErr w:type="spellEnd"/>
      <w:r w:rsidRPr="00B96149">
        <w:rPr>
          <w:rFonts w:eastAsia="Times New Roman"/>
          <w:i/>
          <w:sz w:val="16"/>
          <w:szCs w:val="24"/>
          <w:lang w:val="de-DE" w:eastAsia="en-GB"/>
        </w:rPr>
        <w:t xml:space="preserve"> se </w:t>
      </w:r>
      <w:proofErr w:type="spellStart"/>
      <w:r w:rsidRPr="00B96149">
        <w:rPr>
          <w:rFonts w:eastAsia="Times New Roman"/>
          <w:i/>
          <w:sz w:val="16"/>
          <w:szCs w:val="24"/>
          <w:lang w:val="de-DE" w:eastAsia="en-GB"/>
        </w:rPr>
        <w:t>zaradi</w:t>
      </w:r>
      <w:proofErr w:type="spellEnd"/>
      <w:r w:rsidRPr="00B96149">
        <w:rPr>
          <w:rFonts w:eastAsia="Times New Roman"/>
          <w:i/>
          <w:sz w:val="16"/>
          <w:szCs w:val="24"/>
          <w:lang w:val="de-DE" w:eastAsia="en-GB"/>
        </w:rPr>
        <w:t xml:space="preserve"> </w:t>
      </w:r>
      <w:proofErr w:type="spellStart"/>
      <w:r w:rsidRPr="00B96149">
        <w:rPr>
          <w:rFonts w:eastAsia="Times New Roman"/>
          <w:i/>
          <w:sz w:val="16"/>
          <w:szCs w:val="24"/>
          <w:lang w:val="de-DE" w:eastAsia="en-GB"/>
        </w:rPr>
        <w:t>zaokroževanja</w:t>
      </w:r>
      <w:proofErr w:type="spellEnd"/>
      <w:r w:rsidRPr="00B96149">
        <w:rPr>
          <w:rFonts w:eastAsia="Times New Roman"/>
          <w:i/>
          <w:sz w:val="16"/>
          <w:szCs w:val="24"/>
          <w:lang w:val="de-DE" w:eastAsia="en-GB"/>
        </w:rPr>
        <w:t xml:space="preserve"> ne </w:t>
      </w:r>
      <w:proofErr w:type="spellStart"/>
      <w:r w:rsidRPr="00B96149">
        <w:rPr>
          <w:rFonts w:eastAsia="Times New Roman"/>
          <w:i/>
          <w:sz w:val="16"/>
          <w:szCs w:val="24"/>
          <w:lang w:val="de-DE" w:eastAsia="en-GB"/>
        </w:rPr>
        <w:t>ujemajo</w:t>
      </w:r>
      <w:proofErr w:type="spellEnd"/>
    </w:p>
    <w:p w14:paraId="0AA76E5E" w14:textId="77777777" w:rsidR="001E6A32" w:rsidRPr="00B96149" w:rsidRDefault="001E6A32" w:rsidP="001E6A32">
      <w:pPr>
        <w:autoSpaceDE w:val="0"/>
        <w:autoSpaceDN w:val="0"/>
        <w:adjustRightInd w:val="0"/>
        <w:spacing w:before="120" w:after="240" w:line="240" w:lineRule="auto"/>
        <w:contextualSpacing/>
        <w:jc w:val="both"/>
        <w:rPr>
          <w:rFonts w:eastAsia="Times New Roman"/>
          <w:i/>
          <w:sz w:val="16"/>
          <w:szCs w:val="24"/>
          <w:lang w:eastAsia="en-GB"/>
        </w:rPr>
      </w:pPr>
    </w:p>
    <w:p w14:paraId="5441D5CD" w14:textId="74DC1F6D" w:rsidR="001E6A32" w:rsidRPr="00B96149" w:rsidRDefault="00237DB1" w:rsidP="001E6A32">
      <w:pPr>
        <w:spacing w:before="120" w:after="0" w:line="240" w:lineRule="auto"/>
        <w:jc w:val="both"/>
        <w:rPr>
          <w:rFonts w:eastAsia="Times New Roman"/>
          <w:sz w:val="20"/>
          <w:lang w:eastAsia="en-GB"/>
        </w:rPr>
      </w:pPr>
      <w:r>
        <w:rPr>
          <w:rFonts w:eastAsia="Times New Roman"/>
          <w:sz w:val="20"/>
          <w:lang w:eastAsia="en-GB"/>
        </w:rPr>
        <w:lastRenderedPageBreak/>
        <w:t>Z</w:t>
      </w:r>
      <w:r w:rsidR="001E6A32" w:rsidRPr="00B96149">
        <w:rPr>
          <w:rFonts w:eastAsia="Times New Roman"/>
          <w:sz w:val="20"/>
          <w:lang w:eastAsia="en-GB"/>
        </w:rPr>
        <w:t xml:space="preserve">a obdobje 2013-2018 </w:t>
      </w:r>
      <w:r>
        <w:rPr>
          <w:rFonts w:eastAsia="Times New Roman"/>
          <w:sz w:val="20"/>
          <w:lang w:eastAsia="en-GB"/>
        </w:rPr>
        <w:t xml:space="preserve">je </w:t>
      </w:r>
      <w:r w:rsidR="001E6A32" w:rsidRPr="00B96149">
        <w:rPr>
          <w:rFonts w:eastAsia="Times New Roman"/>
          <w:sz w:val="20"/>
          <w:lang w:eastAsia="en-GB"/>
        </w:rPr>
        <w:t xml:space="preserve">razviden trend povečevanja količin odpadne hrane v vseh členih verige. </w:t>
      </w:r>
      <w:r w:rsidR="001E6A32">
        <w:rPr>
          <w:rFonts w:eastAsia="Times New Roman"/>
          <w:sz w:val="20"/>
          <w:lang w:eastAsia="en-GB"/>
        </w:rPr>
        <w:t>Povprečni letni i</w:t>
      </w:r>
      <w:r w:rsidR="001E6A32" w:rsidRPr="00B96149">
        <w:rPr>
          <w:rFonts w:eastAsia="Times New Roman"/>
          <w:sz w:val="20"/>
          <w:lang w:eastAsia="en-GB"/>
        </w:rPr>
        <w:t>ndeks rasti skupnih količin odpadne hrane je 18 %, količin odpadne hrane v gospodinjstvih pa 16 %, medtem ko v Sloveniji ne beležimo bistvenega povečanja števila prebivalcev. Zaskrbljujoč je tudi indeks rasti v gostinstvu in strežbi (10 %), kar lahko pripisujemo tudi intenzivnemu porastu turistične dejavnosti v obravnavanem obdobju. Pri proizvodnji hrane (vključno s primarno) je za omenjeno obdobje indeks rasti kar 36 %, medtem ko med leti predstavlja med 7 % in 8 % glede na celokupno količino odpadne hrane.</w:t>
      </w:r>
    </w:p>
    <w:p w14:paraId="7CB40883" w14:textId="4D057469" w:rsidR="001E6A32" w:rsidRPr="00B96149" w:rsidRDefault="001E6A32" w:rsidP="001E6A32">
      <w:pPr>
        <w:keepNext/>
        <w:spacing w:before="120" w:after="0" w:line="240" w:lineRule="auto"/>
        <w:jc w:val="both"/>
        <w:rPr>
          <w:rFonts w:eastAsia="Times New Roman"/>
          <w:sz w:val="20"/>
          <w:lang w:eastAsia="en-GB"/>
        </w:rPr>
      </w:pPr>
      <w:r w:rsidRPr="00B96149">
        <w:rPr>
          <w:rFonts w:eastAsia="Times New Roman"/>
          <w:sz w:val="20"/>
          <w:lang w:eastAsia="en-GB"/>
        </w:rPr>
        <w:t>V  2018 je nastalo količinsko več odpadne hrane kot v 2017: v gospodinjstvih za 8 %, v gostinstvu in drugih dejavnostih, kjer se streže hrana, skoraj za 4 %, v distribuciji in trgovini z živili skoraj za 5 % in v proizvodnji hrane (vključno s primarno proizvodnjo) za 3 %. Količina odpadne hrane v 2018 glede na 2017 je bila večja predvsem zato, ker je bila tudi količina v 2018 zbranih biorazgradljivih odpadkov v okviru javnega odvoza večja kot v 2017 (</w:t>
      </w:r>
      <w:r w:rsidR="00237DB1">
        <w:rPr>
          <w:rFonts w:eastAsia="Times New Roman"/>
          <w:sz w:val="20"/>
          <w:lang w:eastAsia="en-GB"/>
        </w:rPr>
        <w:t>Tabela</w:t>
      </w:r>
      <w:r w:rsidRPr="00B96149">
        <w:rPr>
          <w:rFonts w:eastAsia="Times New Roman"/>
          <w:sz w:val="20"/>
          <w:lang w:eastAsia="en-GB"/>
        </w:rPr>
        <w:t xml:space="preserve"> 1</w:t>
      </w:r>
      <w:r w:rsidR="00CF0FC8">
        <w:rPr>
          <w:rFonts w:eastAsia="Times New Roman"/>
          <w:sz w:val="20"/>
          <w:lang w:eastAsia="en-GB"/>
        </w:rPr>
        <w:t>2</w:t>
      </w:r>
      <w:r w:rsidRPr="00B96149">
        <w:rPr>
          <w:rFonts w:eastAsia="Times New Roman"/>
          <w:sz w:val="20"/>
          <w:lang w:eastAsia="en-GB"/>
        </w:rPr>
        <w:t>).</w:t>
      </w:r>
    </w:p>
    <w:p w14:paraId="21B79123" w14:textId="77777777" w:rsidR="001E6A32" w:rsidRPr="00B96149" w:rsidRDefault="001E6A32" w:rsidP="001E6A32">
      <w:pPr>
        <w:keepNext/>
        <w:spacing w:before="120" w:after="0" w:line="240" w:lineRule="auto"/>
        <w:jc w:val="both"/>
        <w:rPr>
          <w:rFonts w:eastAsia="Times New Roman"/>
          <w:sz w:val="20"/>
          <w:lang w:eastAsia="en-GB"/>
        </w:rPr>
      </w:pPr>
      <w:r w:rsidRPr="00B96149">
        <w:rPr>
          <w:rFonts w:eastAsia="Calibri"/>
          <w:sz w:val="20"/>
        </w:rPr>
        <w:t xml:space="preserve">Največkrat prihaja do večanja količin odpadne hrane zaradi napačnega organiziranja potreb in prevelikega nakupa hrane, ki se nato zaradi pretečenega roka ali pa zmanjšanja kakovosti (predvsem sadje in zelenjava, ki počasi začneta propadati in gniti) zavrže. Pri tem pa je nepoznavanje rokov trajanja (porabiti do, porabiti najmanj do) </w:t>
      </w:r>
      <w:r>
        <w:rPr>
          <w:rFonts w:eastAsia="Calibri"/>
          <w:sz w:val="20"/>
        </w:rPr>
        <w:t xml:space="preserve">s strani proizvajalcev (nepoznavanje možnih načinov trženja in slabo dodatno/ pregledno označevanje na mestu prodaje) in potrošnikov (slabo razlikovanje med oznakami) </w:t>
      </w:r>
      <w:r w:rsidRPr="00B96149">
        <w:rPr>
          <w:rFonts w:eastAsia="Calibri"/>
          <w:sz w:val="20"/>
        </w:rPr>
        <w:t>pogosto vzrok, da se hrana zavrže.</w:t>
      </w:r>
    </w:p>
    <w:p w14:paraId="1A47B5D2" w14:textId="24A5D3A7" w:rsidR="001E6A32" w:rsidRPr="00B96149" w:rsidRDefault="001E6A32" w:rsidP="001E6A32">
      <w:pPr>
        <w:keepNext/>
        <w:spacing w:before="120" w:after="0" w:line="240" w:lineRule="auto"/>
        <w:jc w:val="both"/>
        <w:rPr>
          <w:rFonts w:eastAsia="Times New Roman"/>
          <w:sz w:val="20"/>
          <w:lang w:eastAsia="en-GB"/>
        </w:rPr>
      </w:pPr>
      <w:r w:rsidRPr="00B96149">
        <w:rPr>
          <w:rFonts w:eastAsia="Times New Roman"/>
          <w:sz w:val="20"/>
          <w:lang w:eastAsia="en-GB"/>
        </w:rPr>
        <w:t xml:space="preserve">V obdobju 2013 – 2018 se je največja količina odpadne hrane, ki je končala v sistemu ravnanja z odpadki, predelala v </w:t>
      </w:r>
      <w:proofErr w:type="spellStart"/>
      <w:r w:rsidRPr="00B96149">
        <w:rPr>
          <w:rFonts w:eastAsia="Times New Roman"/>
          <w:sz w:val="20"/>
          <w:lang w:eastAsia="en-GB"/>
        </w:rPr>
        <w:t>bioplinarnah</w:t>
      </w:r>
      <w:proofErr w:type="spellEnd"/>
      <w:r w:rsidRPr="00B96149">
        <w:rPr>
          <w:rFonts w:eastAsia="Times New Roman"/>
          <w:sz w:val="20"/>
          <w:lang w:eastAsia="en-GB"/>
        </w:rPr>
        <w:t xml:space="preserve"> (več kot 42 %), več kot 31 % je bilo predelane v kompostarnah, skoraj 20 % hrane je bilo pred odlaganjem biološko stabilizirano in 7 % se je obdelalo po drugih postopkih (Preglednica </w:t>
      </w:r>
      <w:r w:rsidR="007940FC">
        <w:rPr>
          <w:rFonts w:eastAsia="Times New Roman"/>
          <w:sz w:val="20"/>
          <w:lang w:eastAsia="en-GB"/>
        </w:rPr>
        <w:t>11</w:t>
      </w:r>
      <w:r w:rsidRPr="00B96149">
        <w:rPr>
          <w:rFonts w:eastAsia="Times New Roman"/>
          <w:sz w:val="20"/>
          <w:lang w:eastAsia="en-GB"/>
        </w:rPr>
        <w:t xml:space="preserve">). </w:t>
      </w:r>
    </w:p>
    <w:p w14:paraId="4C17056A" w14:textId="77777777" w:rsidR="001E6A32" w:rsidRPr="00B96149" w:rsidRDefault="001E6A32" w:rsidP="001E6A32">
      <w:pPr>
        <w:keepNext/>
        <w:spacing w:before="120" w:after="0" w:line="240" w:lineRule="auto"/>
        <w:jc w:val="both"/>
        <w:rPr>
          <w:rFonts w:eastAsia="Times New Roman"/>
          <w:sz w:val="20"/>
          <w:lang w:eastAsia="en-GB"/>
        </w:rPr>
      </w:pPr>
      <w:r w:rsidRPr="00B96149">
        <w:rPr>
          <w:rFonts w:eastAsia="Times New Roman"/>
          <w:sz w:val="20"/>
          <w:lang w:eastAsia="en-GB"/>
        </w:rPr>
        <w:t xml:space="preserve">Kljub temu, da v Sloveniji spremljamo količine odpadne hrane, bo metodologijo potrebno prilagoditi poenoteni dopolnjeni EU metodologiji (Delegiran sklep Komisije (EU) 2019/1597 z dne 3. maja 2019 o dopolnitvi Direktive 2008/98/ES Evropskega parlamenta in Sveta v zvezi s skupno metodologijo in minimalnimi zahtevami glede kakovosti, da se zagotovi enotno merjenje stopenj odpadne hrane, </w:t>
      </w:r>
      <w:proofErr w:type="spellStart"/>
      <w:r w:rsidRPr="00B96149">
        <w:rPr>
          <w:rFonts w:eastAsia="Times New Roman"/>
          <w:sz w:val="20"/>
          <w:lang w:eastAsia="en-GB"/>
        </w:rPr>
        <w:t>Ur.L</w:t>
      </w:r>
      <w:proofErr w:type="spellEnd"/>
      <w:r w:rsidRPr="00B96149">
        <w:rPr>
          <w:rFonts w:eastAsia="Times New Roman"/>
          <w:sz w:val="20"/>
          <w:lang w:eastAsia="en-GB"/>
        </w:rPr>
        <w:t xml:space="preserve"> EU 248, </w:t>
      </w:r>
      <w:proofErr w:type="spellStart"/>
      <w:r w:rsidRPr="00B96149">
        <w:rPr>
          <w:rFonts w:eastAsia="Times New Roman"/>
          <w:sz w:val="20"/>
          <w:lang w:eastAsia="en-GB"/>
        </w:rPr>
        <w:t>str</w:t>
      </w:r>
      <w:proofErr w:type="spellEnd"/>
      <w:r w:rsidRPr="00B96149">
        <w:rPr>
          <w:rFonts w:eastAsia="Times New Roman"/>
          <w:sz w:val="20"/>
          <w:lang w:eastAsia="en-GB"/>
        </w:rPr>
        <w:t xml:space="preserve"> 77).</w:t>
      </w:r>
    </w:p>
    <w:p w14:paraId="2A37A254" w14:textId="77777777" w:rsidR="001E6A32" w:rsidRPr="00B96149" w:rsidRDefault="001E6A32" w:rsidP="001E6A32">
      <w:pPr>
        <w:keepNext/>
        <w:spacing w:before="120" w:after="0" w:line="240" w:lineRule="auto"/>
        <w:jc w:val="both"/>
        <w:rPr>
          <w:rFonts w:eastAsia="Times New Roman"/>
          <w:sz w:val="20"/>
          <w:lang w:eastAsia="en-GB"/>
        </w:rPr>
      </w:pPr>
      <w:r w:rsidRPr="00FB28FA">
        <w:rPr>
          <w:rFonts w:eastAsia="Times New Roman"/>
          <w:sz w:val="20"/>
          <w:lang w:eastAsia="en-GB"/>
        </w:rPr>
        <w:t>MKGP osvešča in vzpodbuja javne zavode, da v okviru zelenega javnega naročanja dajejo pozornost lokalni in trajnostno pridelani hrani, saj s tem lahko prispevajo k trajnostni porabi.</w:t>
      </w:r>
      <w:r w:rsidRPr="00FB28FA">
        <w:rPr>
          <w:sz w:val="20"/>
        </w:rPr>
        <w:t xml:space="preserve"> Kratka transportna pot je pogoj za visoko kakovost z ohranjanjem hranilnih snovi in svežine pridelkov in živil ter v osnovi močno zmanjša potencial za nastajanje odpadkov zaradi transportnih izgub in zavrnjenih serij.</w:t>
      </w:r>
      <w:r w:rsidRPr="00FB28FA">
        <w:rPr>
          <w:rFonts w:eastAsia="Times New Roman"/>
          <w:sz w:val="20"/>
          <w:lang w:eastAsia="en-GB"/>
        </w:rPr>
        <w:t xml:space="preserve"> V okviru Šolske sheme sadja in mleka ter projekta Tradicionalni slovenski zajtrk, je izobraževalna tema za</w:t>
      </w:r>
      <w:r w:rsidRPr="00B96149">
        <w:rPr>
          <w:rFonts w:eastAsia="Times New Roman"/>
          <w:sz w:val="20"/>
          <w:lang w:eastAsia="en-GB"/>
        </w:rPr>
        <w:t xml:space="preserve"> otroke in organizatorje prehrane tudi zmanjševanje izgub in odpadne hrane. Potrošnike skozi različne informativne digitalne kanale platforme - Naša super hrana - osveščamo o rokih trajanja hrane (uporabno do/porabiti najmanj do), ter kako lahko v vsakdanjem življenju zmanjšajo količino odpadne</w:t>
      </w:r>
      <w:r>
        <w:rPr>
          <w:rFonts w:eastAsia="Times New Roman"/>
          <w:sz w:val="20"/>
          <w:lang w:eastAsia="en-GB"/>
        </w:rPr>
        <w:t xml:space="preserve"> hrane</w:t>
      </w:r>
      <w:r w:rsidRPr="00B96149">
        <w:rPr>
          <w:rFonts w:eastAsia="Times New Roman"/>
          <w:sz w:val="20"/>
          <w:lang w:eastAsia="en-GB"/>
        </w:rPr>
        <w:t>.</w:t>
      </w:r>
    </w:p>
    <w:p w14:paraId="335B3CCB" w14:textId="77777777" w:rsidR="001E6A32" w:rsidRPr="00B96149" w:rsidRDefault="001E6A32" w:rsidP="001E6A32">
      <w:pPr>
        <w:keepNext/>
        <w:spacing w:before="120" w:after="0" w:line="240" w:lineRule="auto"/>
        <w:jc w:val="both"/>
        <w:rPr>
          <w:rFonts w:eastAsia="Times New Roman"/>
          <w:sz w:val="20"/>
          <w:lang w:eastAsia="en-GB"/>
        </w:rPr>
      </w:pPr>
      <w:r w:rsidRPr="00B96149">
        <w:rPr>
          <w:rFonts w:eastAsia="Times New Roman"/>
          <w:sz w:val="20"/>
          <w:lang w:eastAsia="en-GB"/>
        </w:rPr>
        <w:t>S strategijo o manj izgubah in odpadni hrani, ki je v pripravi, se naslavlja vse člene verige preskrbe s hrano.</w:t>
      </w:r>
    </w:p>
    <w:p w14:paraId="4E380E23" w14:textId="77777777" w:rsidR="001E6A32" w:rsidRPr="00B96149" w:rsidRDefault="001E6A32" w:rsidP="001E6A32">
      <w:pPr>
        <w:spacing w:before="120" w:after="0" w:line="240" w:lineRule="auto"/>
        <w:jc w:val="both"/>
        <w:rPr>
          <w:rFonts w:eastAsia="Times New Roman"/>
          <w:sz w:val="20"/>
          <w:shd w:val="clear" w:color="auto" w:fill="FFFFFF"/>
          <w:lang w:eastAsia="en-GB"/>
        </w:rPr>
      </w:pPr>
      <w:r w:rsidRPr="00B96149">
        <w:rPr>
          <w:rFonts w:eastAsia="Times New Roman"/>
          <w:sz w:val="20"/>
          <w:shd w:val="clear" w:color="auto" w:fill="FFFFFF"/>
          <w:lang w:eastAsia="en-GB"/>
        </w:rPr>
        <w:t xml:space="preserve">Z namenom preprečevanja nastajanja živil, ki bi postala odpadek velja od 2017 davčna olajšava za </w:t>
      </w:r>
      <w:r>
        <w:rPr>
          <w:rFonts w:eastAsia="Times New Roman"/>
          <w:sz w:val="20"/>
          <w:shd w:val="clear" w:color="auto" w:fill="FFFFFF"/>
          <w:lang w:eastAsia="en-GB"/>
        </w:rPr>
        <w:t xml:space="preserve">podjetja, ki </w:t>
      </w:r>
      <w:proofErr w:type="spellStart"/>
      <w:r>
        <w:rPr>
          <w:rFonts w:eastAsia="Times New Roman"/>
          <w:sz w:val="20"/>
          <w:shd w:val="clear" w:color="auto" w:fill="FFFFFF"/>
          <w:lang w:eastAsia="en-GB"/>
        </w:rPr>
        <w:t>donirajo</w:t>
      </w:r>
      <w:proofErr w:type="spellEnd"/>
      <w:r>
        <w:rPr>
          <w:rFonts w:eastAsia="Times New Roman"/>
          <w:sz w:val="20"/>
          <w:shd w:val="clear" w:color="auto" w:fill="FFFFFF"/>
          <w:lang w:eastAsia="en-GB"/>
        </w:rPr>
        <w:t xml:space="preserve"> hrano</w:t>
      </w:r>
      <w:r w:rsidRPr="00B96149">
        <w:rPr>
          <w:rFonts w:eastAsia="Times New Roman"/>
          <w:sz w:val="20"/>
          <w:shd w:val="clear" w:color="auto" w:fill="FFFFFF"/>
          <w:lang w:eastAsia="en-GB"/>
        </w:rPr>
        <w:t xml:space="preserve">, ki izpolnjuje pogoje za </w:t>
      </w:r>
      <w:proofErr w:type="spellStart"/>
      <w:r w:rsidRPr="00B96149">
        <w:rPr>
          <w:rFonts w:eastAsia="Times New Roman"/>
          <w:sz w:val="20"/>
          <w:shd w:val="clear" w:color="auto" w:fill="FFFFFF"/>
          <w:lang w:eastAsia="en-GB"/>
        </w:rPr>
        <w:t>doniranje</w:t>
      </w:r>
      <w:proofErr w:type="spellEnd"/>
      <w:r w:rsidRPr="00B96149">
        <w:rPr>
          <w:rFonts w:eastAsia="Times New Roman"/>
          <w:sz w:val="20"/>
          <w:shd w:val="clear" w:color="auto" w:fill="FFFFFF"/>
          <w:lang w:eastAsia="en-GB"/>
        </w:rPr>
        <w:t xml:space="preserve"> hrane (Pravilnik o izvajanju Zakona o davku na dodano vrednost (Uradni list RS, št. 141/06, 52/07, 120/07, 21/08, 123/08, 105/09, 27/10, 104/10, 110/10, 82/11, 106/11, 108/11, 102/12, 54/13, 85/14, 95/14, 39/16, 45/16, 86/16, 50/17, 84/18 in 77/19)</w:t>
      </w:r>
      <w:r>
        <w:rPr>
          <w:rFonts w:eastAsia="Times New Roman"/>
          <w:sz w:val="20"/>
          <w:shd w:val="clear" w:color="auto" w:fill="FFFFFF"/>
          <w:lang w:eastAsia="en-GB"/>
        </w:rPr>
        <w:t xml:space="preserve">. </w:t>
      </w:r>
      <w:r w:rsidRPr="00B96149">
        <w:rPr>
          <w:rFonts w:eastAsia="Times New Roman"/>
          <w:sz w:val="20"/>
          <w:shd w:val="clear" w:color="auto" w:fill="FFFFFF"/>
          <w:lang w:eastAsia="en-GB"/>
        </w:rPr>
        <w:t xml:space="preserve">Pravilnik navaja, da  je lastna cena oziroma nabavna cena blaga za </w:t>
      </w:r>
      <w:proofErr w:type="spellStart"/>
      <w:r w:rsidRPr="00B96149">
        <w:rPr>
          <w:rFonts w:eastAsia="Times New Roman"/>
          <w:sz w:val="20"/>
          <w:shd w:val="clear" w:color="auto" w:fill="FFFFFF"/>
          <w:lang w:eastAsia="en-GB"/>
        </w:rPr>
        <w:t>donirano</w:t>
      </w:r>
      <w:proofErr w:type="spellEnd"/>
      <w:r w:rsidRPr="00B96149">
        <w:rPr>
          <w:rFonts w:eastAsia="Times New Roman"/>
          <w:sz w:val="20"/>
          <w:shd w:val="clear" w:color="auto" w:fill="FFFFFF"/>
          <w:lang w:eastAsia="en-GB"/>
        </w:rPr>
        <w:t xml:space="preserve"> hrano, ki izpolnjuje pogoje za </w:t>
      </w:r>
      <w:proofErr w:type="spellStart"/>
      <w:r w:rsidRPr="00B96149">
        <w:rPr>
          <w:rFonts w:eastAsia="Times New Roman"/>
          <w:sz w:val="20"/>
          <w:shd w:val="clear" w:color="auto" w:fill="FFFFFF"/>
          <w:lang w:eastAsia="en-GB"/>
        </w:rPr>
        <w:t>doniranje</w:t>
      </w:r>
      <w:proofErr w:type="spellEnd"/>
      <w:r w:rsidRPr="00B96149">
        <w:rPr>
          <w:rFonts w:eastAsia="Times New Roman"/>
          <w:sz w:val="20"/>
          <w:shd w:val="clear" w:color="auto" w:fill="FFFFFF"/>
          <w:lang w:eastAsia="en-GB"/>
        </w:rPr>
        <w:t xml:space="preserve"> hrane po predpisih, ki urejajo kmetijstvo, enaka 0, če skupna vrednost </w:t>
      </w:r>
      <w:proofErr w:type="spellStart"/>
      <w:r w:rsidRPr="00B96149">
        <w:rPr>
          <w:rFonts w:eastAsia="Times New Roman"/>
          <w:sz w:val="20"/>
          <w:shd w:val="clear" w:color="auto" w:fill="FFFFFF"/>
          <w:lang w:eastAsia="en-GB"/>
        </w:rPr>
        <w:t>donirane</w:t>
      </w:r>
      <w:proofErr w:type="spellEnd"/>
      <w:r w:rsidRPr="00B96149">
        <w:rPr>
          <w:rFonts w:eastAsia="Times New Roman"/>
          <w:sz w:val="20"/>
          <w:shd w:val="clear" w:color="auto" w:fill="FFFFFF"/>
          <w:lang w:eastAsia="en-GB"/>
        </w:rPr>
        <w:t xml:space="preserve"> hrane davčnega zavezanca, ki </w:t>
      </w:r>
      <w:proofErr w:type="spellStart"/>
      <w:r w:rsidRPr="00B96149">
        <w:rPr>
          <w:rFonts w:eastAsia="Times New Roman"/>
          <w:sz w:val="20"/>
          <w:shd w:val="clear" w:color="auto" w:fill="FFFFFF"/>
          <w:lang w:eastAsia="en-GB"/>
        </w:rPr>
        <w:t>donira</w:t>
      </w:r>
      <w:proofErr w:type="spellEnd"/>
      <w:r w:rsidRPr="00B96149">
        <w:rPr>
          <w:rFonts w:eastAsia="Times New Roman"/>
          <w:sz w:val="20"/>
          <w:shd w:val="clear" w:color="auto" w:fill="FFFFFF"/>
          <w:lang w:eastAsia="en-GB"/>
        </w:rPr>
        <w:t xml:space="preserve"> hrano v tekočem letu, ne presega 2 % prihodkov, ugotovljenih po računovodskih predpisih za zadnje poslovno leto, zaključeno pred tekočim letom. Pri davčnem zavezancu, ki šele začne poslovati, ali davčnem zavezancu, ki v zadnjem poslovnem letu ni imel prihodkov, skupna vrednost </w:t>
      </w:r>
      <w:proofErr w:type="spellStart"/>
      <w:r w:rsidRPr="00B96149">
        <w:rPr>
          <w:rFonts w:eastAsia="Times New Roman"/>
          <w:sz w:val="20"/>
          <w:shd w:val="clear" w:color="auto" w:fill="FFFFFF"/>
          <w:lang w:eastAsia="en-GB"/>
        </w:rPr>
        <w:t>donirane</w:t>
      </w:r>
      <w:proofErr w:type="spellEnd"/>
      <w:r w:rsidRPr="00B96149">
        <w:rPr>
          <w:rFonts w:eastAsia="Times New Roman"/>
          <w:sz w:val="20"/>
          <w:shd w:val="clear" w:color="auto" w:fill="FFFFFF"/>
          <w:lang w:eastAsia="en-GB"/>
        </w:rPr>
        <w:t xml:space="preserve"> hrane tega davčnega zavezanca v tekočem letu ne sme presegati 2 % prihodkov, ki jih izračuna v odvisnosti od obsega pričakovanih poslov v tekočem poslovnem letu.</w:t>
      </w:r>
    </w:p>
    <w:p w14:paraId="6A6C69A0" w14:textId="24FC82F9" w:rsidR="00C76DA8" w:rsidRDefault="001E6A32" w:rsidP="00C76DA8">
      <w:pPr>
        <w:spacing w:before="120" w:after="0" w:line="240" w:lineRule="auto"/>
        <w:jc w:val="both"/>
        <w:rPr>
          <w:rFonts w:eastAsia="Times New Roman"/>
          <w:sz w:val="20"/>
          <w:shd w:val="clear" w:color="auto" w:fill="FFFFFF"/>
          <w:lang w:eastAsia="en-GB"/>
        </w:rPr>
      </w:pPr>
      <w:r w:rsidRPr="00B96149">
        <w:rPr>
          <w:rFonts w:eastAsia="Times New Roman"/>
          <w:sz w:val="20"/>
          <w:shd w:val="clear" w:color="auto" w:fill="FFFFFF"/>
          <w:lang w:eastAsia="en-GB"/>
        </w:rPr>
        <w:t>Prav tako je od 2017 v skladu z Zakonom o kmetijstvu</w:t>
      </w:r>
      <w:r w:rsidRPr="00B96149">
        <w:rPr>
          <w:rFonts w:eastAsia="Calibri"/>
          <w:b/>
          <w:bCs/>
          <w:color w:val="626060"/>
          <w:sz w:val="18"/>
          <w:szCs w:val="18"/>
          <w:shd w:val="clear" w:color="auto" w:fill="FFFFFF"/>
        </w:rPr>
        <w:t xml:space="preserve"> </w:t>
      </w:r>
      <w:r w:rsidRPr="00B96149">
        <w:rPr>
          <w:rFonts w:eastAsia="Times New Roman"/>
          <w:sz w:val="20"/>
          <w:shd w:val="clear" w:color="auto" w:fill="FFFFFF"/>
          <w:lang w:eastAsia="en-GB"/>
        </w:rPr>
        <w:t>(Uradni list RS, št. </w:t>
      </w:r>
      <w:hyperlink r:id="rId38" w:tgtFrame="_blank" w:tooltip="Zakon o kmetijstvu (ZKme-1)" w:history="1">
        <w:r w:rsidRPr="00B96149">
          <w:rPr>
            <w:rFonts w:eastAsia="Times New Roman"/>
            <w:color w:val="0000FF"/>
            <w:sz w:val="20"/>
            <w:u w:val="single"/>
            <w:shd w:val="clear" w:color="auto" w:fill="FFFFFF"/>
            <w:lang w:eastAsia="en-GB"/>
          </w:rPr>
          <w:t>45/08</w:t>
        </w:r>
      </w:hyperlink>
      <w:r w:rsidRPr="00B96149">
        <w:rPr>
          <w:rFonts w:eastAsia="Times New Roman"/>
          <w:sz w:val="20"/>
          <w:shd w:val="clear" w:color="auto" w:fill="FFFFFF"/>
          <w:lang w:eastAsia="en-GB"/>
        </w:rPr>
        <w:t>, </w:t>
      </w:r>
      <w:hyperlink r:id="rId39" w:tgtFrame="_blank" w:tooltip="Zakon o spremembah in dopolnitvah Zakona o kmetijstvu" w:history="1">
        <w:r w:rsidRPr="00B96149">
          <w:rPr>
            <w:rFonts w:eastAsia="Times New Roman"/>
            <w:color w:val="0000FF"/>
            <w:sz w:val="20"/>
            <w:u w:val="single"/>
            <w:shd w:val="clear" w:color="auto" w:fill="FFFFFF"/>
            <w:lang w:eastAsia="en-GB"/>
          </w:rPr>
          <w:t>57/12</w:t>
        </w:r>
      </w:hyperlink>
      <w:r w:rsidRPr="00B96149">
        <w:rPr>
          <w:rFonts w:eastAsia="Times New Roman"/>
          <w:sz w:val="20"/>
          <w:shd w:val="clear" w:color="auto" w:fill="FFFFFF"/>
          <w:lang w:eastAsia="en-GB"/>
        </w:rPr>
        <w:t>, </w:t>
      </w:r>
      <w:hyperlink r:id="rId40" w:tgtFrame="_blank" w:tooltip="Zakon o spremembah in dopolnitvah določenih zakonov na področju varne hrane, veterinarstva in varstva rastlin" w:history="1">
        <w:r w:rsidRPr="00B96149">
          <w:rPr>
            <w:rFonts w:eastAsia="Times New Roman"/>
            <w:color w:val="0000FF"/>
            <w:sz w:val="20"/>
            <w:u w:val="single"/>
            <w:shd w:val="clear" w:color="auto" w:fill="FFFFFF"/>
            <w:lang w:eastAsia="en-GB"/>
          </w:rPr>
          <w:t>90/12</w:t>
        </w:r>
      </w:hyperlink>
      <w:r w:rsidRPr="00B96149">
        <w:rPr>
          <w:rFonts w:eastAsia="Times New Roman"/>
          <w:sz w:val="20"/>
          <w:shd w:val="clear" w:color="auto" w:fill="FFFFFF"/>
          <w:lang w:eastAsia="en-GB"/>
        </w:rPr>
        <w:t xml:space="preserve"> – </w:t>
      </w:r>
      <w:proofErr w:type="spellStart"/>
      <w:r w:rsidRPr="00B96149">
        <w:rPr>
          <w:rFonts w:eastAsia="Times New Roman"/>
          <w:sz w:val="20"/>
          <w:shd w:val="clear" w:color="auto" w:fill="FFFFFF"/>
          <w:lang w:eastAsia="en-GB"/>
        </w:rPr>
        <w:t>ZdZPVHVVR</w:t>
      </w:r>
      <w:proofErr w:type="spellEnd"/>
      <w:r w:rsidRPr="00B96149">
        <w:rPr>
          <w:rFonts w:eastAsia="Times New Roman"/>
          <w:sz w:val="20"/>
          <w:shd w:val="clear" w:color="auto" w:fill="FFFFFF"/>
          <w:lang w:eastAsia="en-GB"/>
        </w:rPr>
        <w:t>, </w:t>
      </w:r>
      <w:hyperlink r:id="rId41" w:tgtFrame="_blank" w:tooltip="Zakon o spremembah in dopolnitvah Zakona o kmetijstvu" w:history="1">
        <w:r w:rsidRPr="00B96149">
          <w:rPr>
            <w:rFonts w:eastAsia="Times New Roman"/>
            <w:color w:val="0000FF"/>
            <w:sz w:val="20"/>
            <w:u w:val="single"/>
            <w:shd w:val="clear" w:color="auto" w:fill="FFFFFF"/>
            <w:lang w:eastAsia="en-GB"/>
          </w:rPr>
          <w:t>26/14</w:t>
        </w:r>
      </w:hyperlink>
      <w:r w:rsidRPr="00B96149">
        <w:rPr>
          <w:rFonts w:eastAsia="Times New Roman"/>
          <w:sz w:val="20"/>
          <w:shd w:val="clear" w:color="auto" w:fill="FFFFFF"/>
          <w:lang w:eastAsia="en-GB"/>
        </w:rPr>
        <w:t>, </w:t>
      </w:r>
      <w:hyperlink r:id="rId42" w:tgtFrame="_blank" w:tooltip="Zakon o spremembi Zakona o kmetijstvu" w:history="1">
        <w:r w:rsidRPr="00B96149">
          <w:rPr>
            <w:rFonts w:eastAsia="Times New Roman"/>
            <w:color w:val="0000FF"/>
            <w:sz w:val="20"/>
            <w:u w:val="single"/>
            <w:shd w:val="clear" w:color="auto" w:fill="FFFFFF"/>
            <w:lang w:eastAsia="en-GB"/>
          </w:rPr>
          <w:t>32/15</w:t>
        </w:r>
      </w:hyperlink>
      <w:r w:rsidRPr="00B96149">
        <w:rPr>
          <w:rFonts w:eastAsia="Times New Roman"/>
          <w:sz w:val="20"/>
          <w:shd w:val="clear" w:color="auto" w:fill="FFFFFF"/>
          <w:lang w:eastAsia="en-GB"/>
        </w:rPr>
        <w:t>, </w:t>
      </w:r>
      <w:hyperlink r:id="rId43" w:tgtFrame="_blank" w:tooltip="Zakon o spremembah in dopolnitvah Zakona o kmetijstvu" w:history="1">
        <w:r w:rsidRPr="00B96149">
          <w:rPr>
            <w:rFonts w:eastAsia="Times New Roman"/>
            <w:color w:val="0000FF"/>
            <w:sz w:val="20"/>
            <w:u w:val="single"/>
            <w:shd w:val="clear" w:color="auto" w:fill="FFFFFF"/>
            <w:lang w:eastAsia="en-GB"/>
          </w:rPr>
          <w:t>27/17</w:t>
        </w:r>
      </w:hyperlink>
      <w:r w:rsidRPr="00B96149">
        <w:rPr>
          <w:rFonts w:eastAsia="Times New Roman"/>
          <w:sz w:val="20"/>
          <w:shd w:val="clear" w:color="auto" w:fill="FFFFFF"/>
          <w:lang w:eastAsia="en-GB"/>
        </w:rPr>
        <w:t> in </w:t>
      </w:r>
      <w:hyperlink r:id="rId44" w:tgtFrame="_blank" w:tooltip="Zakon o spremembah in dopolnitvah Zakona o kmetijstvu" w:history="1">
        <w:r w:rsidRPr="00B96149">
          <w:rPr>
            <w:rFonts w:eastAsia="Times New Roman"/>
            <w:color w:val="0000FF"/>
            <w:sz w:val="20"/>
            <w:u w:val="single"/>
            <w:shd w:val="clear" w:color="auto" w:fill="FFFFFF"/>
            <w:lang w:eastAsia="en-GB"/>
          </w:rPr>
          <w:t>22/18</w:t>
        </w:r>
      </w:hyperlink>
      <w:r w:rsidRPr="00B96149">
        <w:rPr>
          <w:rFonts w:eastAsia="Times New Roman"/>
          <w:sz w:val="20"/>
          <w:shd w:val="clear" w:color="auto" w:fill="FFFFFF"/>
          <w:lang w:eastAsia="en-GB"/>
        </w:rPr>
        <w:t>)</w:t>
      </w:r>
      <w:r w:rsidRPr="00B96149">
        <w:rPr>
          <w:rFonts w:eastAsia="Times New Roman"/>
          <w:b/>
          <w:bCs/>
          <w:sz w:val="20"/>
          <w:shd w:val="clear" w:color="auto" w:fill="FFFFFF"/>
          <w:lang w:eastAsia="en-GB"/>
        </w:rPr>
        <w:t xml:space="preserve"> </w:t>
      </w:r>
      <w:r w:rsidRPr="00B96149">
        <w:rPr>
          <w:rFonts w:eastAsia="Times New Roman"/>
          <w:sz w:val="20"/>
          <w:shd w:val="clear" w:color="auto" w:fill="FFFFFF"/>
          <w:lang w:eastAsia="en-GB"/>
        </w:rPr>
        <w:t xml:space="preserve">možno sofinancirati nabavo tehnične opreme za potrebe </w:t>
      </w:r>
      <w:proofErr w:type="spellStart"/>
      <w:r w:rsidRPr="00B96149">
        <w:rPr>
          <w:rFonts w:eastAsia="Times New Roman"/>
          <w:sz w:val="20"/>
          <w:shd w:val="clear" w:color="auto" w:fill="FFFFFF"/>
          <w:lang w:eastAsia="en-GB"/>
        </w:rPr>
        <w:t>donirane</w:t>
      </w:r>
      <w:proofErr w:type="spellEnd"/>
      <w:r w:rsidRPr="00B96149">
        <w:rPr>
          <w:rFonts w:eastAsia="Times New Roman"/>
          <w:sz w:val="20"/>
          <w:shd w:val="clear" w:color="auto" w:fill="FFFFFF"/>
          <w:lang w:eastAsia="en-GB"/>
        </w:rPr>
        <w:t xml:space="preserve"> hrane. V Sloveniji se po podatkih Slovenske Karitas, Zveze </w:t>
      </w:r>
      <w:proofErr w:type="spellStart"/>
      <w:r w:rsidRPr="00B96149">
        <w:rPr>
          <w:rFonts w:eastAsia="Times New Roman"/>
          <w:sz w:val="20"/>
          <w:shd w:val="clear" w:color="auto" w:fill="FFFFFF"/>
          <w:lang w:eastAsia="en-GB"/>
        </w:rPr>
        <w:t>Lions</w:t>
      </w:r>
      <w:proofErr w:type="spellEnd"/>
      <w:r w:rsidRPr="00B96149">
        <w:rPr>
          <w:rFonts w:eastAsia="Times New Roman"/>
          <w:sz w:val="20"/>
          <w:shd w:val="clear" w:color="auto" w:fill="FFFFFF"/>
          <w:lang w:eastAsia="en-GB"/>
        </w:rPr>
        <w:t xml:space="preserve"> klubov D-129 Slovenija, Rdečega križa Slovenije in Slovenske filantropije na leto razdeli okoli 1.500 ton hrane, ki jo </w:t>
      </w:r>
      <w:proofErr w:type="spellStart"/>
      <w:r w:rsidRPr="00B96149">
        <w:rPr>
          <w:rFonts w:eastAsia="Times New Roman"/>
          <w:sz w:val="20"/>
          <w:shd w:val="clear" w:color="auto" w:fill="FFFFFF"/>
          <w:lang w:eastAsia="en-GB"/>
        </w:rPr>
        <w:t>donirajo</w:t>
      </w:r>
      <w:proofErr w:type="spellEnd"/>
      <w:r w:rsidRPr="00B96149">
        <w:rPr>
          <w:rFonts w:eastAsia="Times New Roman"/>
          <w:sz w:val="20"/>
          <w:shd w:val="clear" w:color="auto" w:fill="FFFFFF"/>
          <w:lang w:eastAsia="en-GB"/>
        </w:rPr>
        <w:t xml:space="preserve"> trgovske družbe in gostišča, restavracije. </w:t>
      </w:r>
    </w:p>
    <w:p w14:paraId="06395E9B" w14:textId="61EF131C" w:rsidR="00FB28FA" w:rsidRDefault="00FB28FA" w:rsidP="00C76DA8">
      <w:pPr>
        <w:spacing w:before="120" w:after="0" w:line="240" w:lineRule="auto"/>
        <w:jc w:val="both"/>
        <w:rPr>
          <w:rFonts w:eastAsia="Times New Roman"/>
          <w:sz w:val="20"/>
          <w:shd w:val="clear" w:color="auto" w:fill="FFFFFF"/>
          <w:lang w:eastAsia="en-GB"/>
        </w:rPr>
      </w:pPr>
    </w:p>
    <w:p w14:paraId="2BBCF8DB" w14:textId="77777777" w:rsidR="00FB28FA" w:rsidRDefault="00FB28FA" w:rsidP="00C76DA8">
      <w:pPr>
        <w:spacing w:before="120" w:after="0" w:line="240" w:lineRule="auto"/>
        <w:jc w:val="both"/>
        <w:rPr>
          <w:rFonts w:eastAsia="Times New Roman"/>
          <w:sz w:val="20"/>
          <w:shd w:val="clear" w:color="auto" w:fill="FFFFFF"/>
          <w:lang w:eastAsia="en-GB"/>
        </w:rPr>
      </w:pPr>
    </w:p>
    <w:p w14:paraId="19EE5A35" w14:textId="35420D3D" w:rsidR="001E6A32" w:rsidRPr="007940FC" w:rsidRDefault="007940FC" w:rsidP="007940FC">
      <w:pPr>
        <w:pStyle w:val="Naslov2"/>
        <w:ind w:firstLine="708"/>
        <w:rPr>
          <w:rFonts w:ascii="Arial" w:eastAsia="Times New Roman" w:hAnsi="Arial" w:cs="Arial"/>
          <w:shd w:val="clear" w:color="auto" w:fill="FFFFFF"/>
          <w:lang w:eastAsia="en-GB"/>
        </w:rPr>
      </w:pPr>
      <w:bookmarkStart w:id="101" w:name="_Toc55547454"/>
      <w:r w:rsidRPr="007940FC">
        <w:rPr>
          <w:rFonts w:ascii="Arial" w:eastAsia="Times New Roman" w:hAnsi="Arial" w:cs="Arial"/>
          <w:shd w:val="clear" w:color="auto" w:fill="FFFFFF"/>
          <w:lang w:eastAsia="en-GB"/>
        </w:rPr>
        <w:t>5</w:t>
      </w:r>
      <w:r w:rsidR="00FB28FA" w:rsidRPr="007940FC">
        <w:rPr>
          <w:rFonts w:ascii="Arial" w:eastAsia="Times New Roman" w:hAnsi="Arial" w:cs="Arial"/>
          <w:shd w:val="clear" w:color="auto" w:fill="FFFFFF"/>
          <w:lang w:eastAsia="en-GB"/>
        </w:rPr>
        <w:t>.</w:t>
      </w:r>
      <w:r w:rsidR="00C76DA8" w:rsidRPr="007940FC">
        <w:rPr>
          <w:rFonts w:ascii="Arial" w:eastAsia="Times New Roman" w:hAnsi="Arial" w:cs="Arial"/>
          <w:shd w:val="clear" w:color="auto" w:fill="FFFFFF"/>
          <w:lang w:eastAsia="en-GB"/>
        </w:rPr>
        <w:t xml:space="preserve">1 </w:t>
      </w:r>
      <w:r w:rsidR="001E6A32" w:rsidRPr="007940FC">
        <w:rPr>
          <w:rFonts w:ascii="Arial" w:eastAsia="Times New Roman" w:hAnsi="Arial" w:cs="Arial"/>
          <w:shd w:val="clear" w:color="auto" w:fill="FFFFFF"/>
          <w:lang w:eastAsia="en-GB"/>
        </w:rPr>
        <w:t>Ključne ugotovitve</w:t>
      </w:r>
      <w:bookmarkEnd w:id="101"/>
    </w:p>
    <w:p w14:paraId="2FB9E237" w14:textId="77777777" w:rsidR="00291D2D" w:rsidRPr="00C76DA8" w:rsidRDefault="00291D2D" w:rsidP="00C76DA8">
      <w:pPr>
        <w:spacing w:before="120" w:after="0" w:line="240" w:lineRule="auto"/>
        <w:jc w:val="both"/>
        <w:rPr>
          <w:rFonts w:eastAsia="Times New Roman"/>
          <w:sz w:val="20"/>
          <w:shd w:val="clear" w:color="auto" w:fill="FFFFFF"/>
          <w:lang w:eastAsia="en-GB"/>
        </w:rPr>
      </w:pPr>
    </w:p>
    <w:p w14:paraId="65877038" w14:textId="77777777" w:rsidR="00291D2D" w:rsidRDefault="001E6A32" w:rsidP="00291D2D">
      <w:pPr>
        <w:jc w:val="both"/>
        <w:rPr>
          <w:rFonts w:eastAsia="Calibri"/>
          <w:bCs/>
          <w:sz w:val="20"/>
          <w:shd w:val="clear" w:color="auto" w:fill="FFFFFF"/>
          <w:lang w:bidi="sl-SI"/>
        </w:rPr>
      </w:pPr>
      <w:r w:rsidRPr="00B96149">
        <w:rPr>
          <w:rFonts w:eastAsia="Times New Roman"/>
          <w:bCs/>
          <w:sz w:val="20"/>
          <w:shd w:val="clear" w:color="auto" w:fill="FFFFFF"/>
          <w:lang w:eastAsia="en-GB"/>
        </w:rPr>
        <w:t xml:space="preserve">Kljub temu, da </w:t>
      </w:r>
      <w:r w:rsidRPr="00B96149">
        <w:rPr>
          <w:rFonts w:eastAsia="Times New Roman"/>
          <w:bCs/>
          <w:sz w:val="20"/>
          <w:lang w:eastAsia="en-GB"/>
        </w:rPr>
        <w:t xml:space="preserve">prebivalec Slovenije </w:t>
      </w:r>
      <w:r>
        <w:rPr>
          <w:rFonts w:eastAsia="Times New Roman"/>
          <w:bCs/>
          <w:sz w:val="20"/>
          <w:lang w:eastAsia="en-GB"/>
        </w:rPr>
        <w:t xml:space="preserve">na podlagi obstoječega načina beleženja podatkov </w:t>
      </w:r>
      <w:r w:rsidRPr="00B96149">
        <w:rPr>
          <w:rFonts w:eastAsia="Times New Roman"/>
          <w:bCs/>
          <w:sz w:val="20"/>
          <w:lang w:eastAsia="en-GB"/>
        </w:rPr>
        <w:t xml:space="preserve">zavrže povprečno 65,5 kg hrane vsako leto, kar je sicer manj od EU povprečja, ki je 173 kg na prebivalca (EU-28, FUSIONS, 2016), so izgube hrane in odpadna hrana </w:t>
      </w:r>
      <w:r w:rsidRPr="00B96149">
        <w:rPr>
          <w:rFonts w:eastAsia="Calibri"/>
          <w:bCs/>
          <w:sz w:val="20"/>
          <w:shd w:val="clear" w:color="auto" w:fill="FFFFFF"/>
          <w:lang w:bidi="sl-SI"/>
        </w:rPr>
        <w:t>naraščajoča težava</w:t>
      </w:r>
      <w:r w:rsidRPr="00B96149">
        <w:rPr>
          <w:rFonts w:eastAsia="Times New Roman"/>
          <w:bCs/>
          <w:sz w:val="20"/>
          <w:lang w:eastAsia="en-GB"/>
        </w:rPr>
        <w:t xml:space="preserve"> v celotni verigi preskrbe s hrano. </w:t>
      </w:r>
      <w:r w:rsidRPr="00B96149">
        <w:rPr>
          <w:rFonts w:eastAsia="Calibri"/>
          <w:bCs/>
          <w:sz w:val="20"/>
          <w:shd w:val="clear" w:color="auto" w:fill="FFFFFF"/>
          <w:lang w:bidi="sl-SI"/>
        </w:rPr>
        <w:t xml:space="preserve">Odpadna hrana povečuje negativne učinke na okolje in potrošnika ter gospodarstvu povzroča finančne izgube. Zato je učinkovit način informiranja, osveščanja in spodbujanja o trajnostni potrošnji in pridelavi vseh členov verige s prehrano eden od pomembnih ukrepov. Delno se informiranje in izobraževanje že izvaja preko Sheme šolsko sadje, zelenjava in mleko ter Tradicionalni slovenski zajtrk ter preko platforme Naša super hrana. Za pravilno ukrepanje je potrebno nadgraditi in prilagoditi tudi metodologijo spremljanja izgub in odpadne hrane. Glede na raziskovalno vrzel in </w:t>
      </w:r>
      <w:proofErr w:type="spellStart"/>
      <w:r w:rsidRPr="00B96149">
        <w:rPr>
          <w:rFonts w:eastAsia="Calibri"/>
          <w:bCs/>
          <w:sz w:val="20"/>
          <w:shd w:val="clear" w:color="auto" w:fill="FFFFFF"/>
          <w:lang w:bidi="sl-SI"/>
        </w:rPr>
        <w:t>biogospodarski</w:t>
      </w:r>
      <w:proofErr w:type="spellEnd"/>
      <w:r w:rsidRPr="00B96149">
        <w:rPr>
          <w:rFonts w:eastAsia="Calibri"/>
          <w:bCs/>
          <w:sz w:val="20"/>
          <w:shd w:val="clear" w:color="auto" w:fill="FFFFFF"/>
          <w:lang w:bidi="sl-SI"/>
        </w:rPr>
        <w:t xml:space="preserve"> potencial so pomembne raziskave in inovacije za preprečevanje nastajanja izgub in odpadne hrane kakor tudi predelavo odpadne hrane.</w:t>
      </w:r>
    </w:p>
    <w:p w14:paraId="17948577" w14:textId="1C29D80B" w:rsidR="002948DD" w:rsidRDefault="002948DD" w:rsidP="009B695E">
      <w:pPr>
        <w:pStyle w:val="Naslov1"/>
        <w:numPr>
          <w:ilvl w:val="0"/>
          <w:numId w:val="14"/>
        </w:numPr>
        <w:rPr>
          <w:rFonts w:ascii="Arial" w:hAnsi="Arial" w:cs="Arial"/>
          <w:b/>
          <w:bCs/>
        </w:rPr>
      </w:pPr>
      <w:bookmarkStart w:id="102" w:name="_Toc55547455"/>
      <w:r w:rsidRPr="000D589E">
        <w:rPr>
          <w:rFonts w:ascii="Arial" w:hAnsi="Arial" w:cs="Arial"/>
          <w:b/>
          <w:bCs/>
        </w:rPr>
        <w:t>ANALIZA SWOT</w:t>
      </w:r>
      <w:bookmarkEnd w:id="102"/>
    </w:p>
    <w:p w14:paraId="25DEA269" w14:textId="77777777" w:rsidR="00C07901" w:rsidRDefault="00C07901" w:rsidP="00C07901">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C07901" w:rsidRPr="00CF43DE" w14:paraId="2732317F"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251DA1A4" w14:textId="77777777" w:rsidR="00C07901" w:rsidRPr="00CF43DE" w:rsidRDefault="00C07901" w:rsidP="006A09AF">
            <w:pPr>
              <w:jc w:val="center"/>
              <w:rPr>
                <w:b/>
                <w:sz w:val="20"/>
              </w:rPr>
            </w:pPr>
            <w:r w:rsidRPr="00CF43DE">
              <w:rPr>
                <w:b/>
                <w:sz w:val="20"/>
              </w:rPr>
              <w:t>PREDNOSTI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CCEDE46" w14:textId="77777777" w:rsidR="00C07901" w:rsidRPr="00CF43DE" w:rsidRDefault="00C07901" w:rsidP="006A09AF">
            <w:pPr>
              <w:jc w:val="center"/>
              <w:rPr>
                <w:b/>
                <w:sz w:val="20"/>
              </w:rPr>
            </w:pPr>
            <w:r w:rsidRPr="00CF43DE">
              <w:rPr>
                <w:b/>
                <w:sz w:val="20"/>
              </w:rPr>
              <w:t>SLABOSTI</w:t>
            </w:r>
          </w:p>
        </w:tc>
      </w:tr>
      <w:tr w:rsidR="00C07901" w:rsidRPr="00CF43DE" w14:paraId="58F17100" w14:textId="77777777" w:rsidTr="006A09AF">
        <w:trPr>
          <w:trHeight w:val="1119"/>
        </w:trPr>
        <w:tc>
          <w:tcPr>
            <w:tcW w:w="2500" w:type="pct"/>
            <w:tcBorders>
              <w:top w:val="single" w:sz="4" w:space="0" w:color="auto"/>
              <w:left w:val="single" w:sz="4" w:space="0" w:color="auto"/>
              <w:bottom w:val="single" w:sz="4" w:space="0" w:color="auto"/>
              <w:right w:val="single" w:sz="4" w:space="0" w:color="auto"/>
            </w:tcBorders>
          </w:tcPr>
          <w:p w14:paraId="546BA98C" w14:textId="77777777" w:rsidR="006A09AF" w:rsidRPr="00CF43DE" w:rsidRDefault="006A09AF" w:rsidP="00C07901">
            <w:pPr>
              <w:rPr>
                <w:b/>
                <w:sz w:val="20"/>
              </w:rPr>
            </w:pPr>
          </w:p>
          <w:p w14:paraId="4BA19799" w14:textId="77777777" w:rsidR="00C07901" w:rsidRPr="00CF43DE" w:rsidRDefault="00C07901" w:rsidP="00C07901">
            <w:pPr>
              <w:rPr>
                <w:b/>
                <w:sz w:val="20"/>
              </w:rPr>
            </w:pPr>
            <w:r w:rsidRPr="00CF43DE">
              <w:rPr>
                <w:b/>
                <w:sz w:val="20"/>
              </w:rPr>
              <w:t>Zdravila za živali</w:t>
            </w:r>
          </w:p>
          <w:p w14:paraId="34871B60" w14:textId="6608E00C" w:rsidR="00191201" w:rsidRPr="00733973" w:rsidRDefault="00C07901" w:rsidP="00C07901">
            <w:pPr>
              <w:numPr>
                <w:ilvl w:val="0"/>
                <w:numId w:val="3"/>
              </w:numPr>
              <w:rPr>
                <w:b/>
                <w:bCs/>
                <w:sz w:val="20"/>
              </w:rPr>
            </w:pPr>
            <w:r w:rsidRPr="00733973">
              <w:rPr>
                <w:sz w:val="20"/>
              </w:rPr>
              <w:t>prodaja protimikrobnih zdravil antibiotikov za živali za proizvodnjo živil je v Sloveniji nizka, je pod povprečjem EU/EGP</w:t>
            </w:r>
          </w:p>
          <w:p w14:paraId="1C794BE2" w14:textId="77777777" w:rsidR="00C07901" w:rsidRPr="00CF43DE" w:rsidRDefault="00C07901" w:rsidP="00C07901">
            <w:pPr>
              <w:rPr>
                <w:b/>
                <w:bCs/>
                <w:sz w:val="20"/>
              </w:rPr>
            </w:pPr>
            <w:r w:rsidRPr="00CF43DE">
              <w:rPr>
                <w:b/>
                <w:bCs/>
                <w:sz w:val="20"/>
              </w:rPr>
              <w:t>Pesticidi</w:t>
            </w:r>
          </w:p>
          <w:p w14:paraId="7460DCB6" w14:textId="77777777" w:rsidR="00C07901" w:rsidRPr="00CF43DE" w:rsidRDefault="00C07901" w:rsidP="00C07901">
            <w:pPr>
              <w:numPr>
                <w:ilvl w:val="0"/>
                <w:numId w:val="8"/>
              </w:numPr>
              <w:rPr>
                <w:sz w:val="20"/>
              </w:rPr>
            </w:pPr>
            <w:r w:rsidRPr="00CF43DE">
              <w:rPr>
                <w:sz w:val="20"/>
              </w:rPr>
              <w:t>dober sistem usposabljanja uporabnikov in distributerjev s FFS ter pregleda naprav za nanašanje FFS</w:t>
            </w:r>
          </w:p>
          <w:p w14:paraId="43003A7D" w14:textId="77777777" w:rsidR="00C07901" w:rsidRPr="00CF43DE" w:rsidRDefault="00C07901" w:rsidP="00C07901">
            <w:pPr>
              <w:numPr>
                <w:ilvl w:val="0"/>
                <w:numId w:val="8"/>
              </w:numPr>
              <w:rPr>
                <w:sz w:val="20"/>
              </w:rPr>
            </w:pPr>
            <w:r w:rsidRPr="00CF43DE">
              <w:rPr>
                <w:sz w:val="20"/>
              </w:rPr>
              <w:t>prepoved uporabe herbicidov na javnih površinah</w:t>
            </w:r>
          </w:p>
          <w:p w14:paraId="7AD0975C" w14:textId="77777777" w:rsidR="00C07901" w:rsidRPr="00CF43DE" w:rsidRDefault="00C07901" w:rsidP="00C07901">
            <w:pPr>
              <w:numPr>
                <w:ilvl w:val="0"/>
                <w:numId w:val="8"/>
              </w:numPr>
              <w:rPr>
                <w:sz w:val="20"/>
              </w:rPr>
            </w:pPr>
            <w:r w:rsidRPr="00CF43DE">
              <w:rPr>
                <w:sz w:val="20"/>
              </w:rPr>
              <w:t xml:space="preserve">spodbujanje registracije FFS z manjšim tveganjem </w:t>
            </w:r>
          </w:p>
          <w:p w14:paraId="2F4BAF57" w14:textId="77777777" w:rsidR="00C07901" w:rsidRPr="00CF43DE" w:rsidRDefault="00C07901" w:rsidP="00C07901">
            <w:pPr>
              <w:numPr>
                <w:ilvl w:val="0"/>
                <w:numId w:val="8"/>
              </w:numPr>
              <w:rPr>
                <w:sz w:val="20"/>
              </w:rPr>
            </w:pPr>
            <w:r w:rsidRPr="00CF43DE">
              <w:rPr>
                <w:sz w:val="20"/>
              </w:rPr>
              <w:t xml:space="preserve">prepoved prometa s FFS, ki jim je potekel rok uporabnosti, ter prometa in uporabe FFS, ki vsebujejo aktivne snovi, varovala, </w:t>
            </w:r>
            <w:proofErr w:type="spellStart"/>
            <w:r w:rsidRPr="00CF43DE">
              <w:rPr>
                <w:sz w:val="20"/>
              </w:rPr>
              <w:t>sinergiste</w:t>
            </w:r>
            <w:proofErr w:type="spellEnd"/>
            <w:r w:rsidRPr="00CF43DE">
              <w:rPr>
                <w:sz w:val="20"/>
              </w:rPr>
              <w:t xml:space="preserve"> ali dodatke, ki niso odobreni </w:t>
            </w:r>
          </w:p>
          <w:p w14:paraId="05926D4F" w14:textId="77777777" w:rsidR="00C07901" w:rsidRPr="00CF43DE" w:rsidRDefault="00C07901" w:rsidP="00C07901">
            <w:pPr>
              <w:numPr>
                <w:ilvl w:val="0"/>
                <w:numId w:val="15"/>
              </w:numPr>
              <w:rPr>
                <w:sz w:val="20"/>
              </w:rPr>
            </w:pPr>
            <w:r w:rsidRPr="00CF43DE">
              <w:rPr>
                <w:sz w:val="20"/>
              </w:rPr>
              <w:t>izvajanje programov preiskav za ugotavljanje navzočnosti karantenskih škodljivih organizmov</w:t>
            </w:r>
          </w:p>
          <w:p w14:paraId="5D7814DD" w14:textId="77777777" w:rsidR="00C07901" w:rsidRPr="00CF43DE" w:rsidRDefault="00C07901" w:rsidP="00C07901">
            <w:pPr>
              <w:numPr>
                <w:ilvl w:val="0"/>
                <w:numId w:val="15"/>
              </w:numPr>
              <w:rPr>
                <w:sz w:val="20"/>
              </w:rPr>
            </w:pPr>
            <w:r w:rsidRPr="00CF43DE">
              <w:rPr>
                <w:sz w:val="20"/>
              </w:rPr>
              <w:t>izvajanje lastne diagnostike karantenskih škodljivih organizmov</w:t>
            </w:r>
          </w:p>
          <w:p w14:paraId="62C53FB8" w14:textId="77777777" w:rsidR="00C07901" w:rsidRPr="00CF43DE" w:rsidRDefault="00C07901" w:rsidP="00C07901">
            <w:pPr>
              <w:numPr>
                <w:ilvl w:val="0"/>
                <w:numId w:val="15"/>
              </w:numPr>
              <w:rPr>
                <w:sz w:val="20"/>
              </w:rPr>
            </w:pPr>
            <w:r w:rsidRPr="00CF43DE">
              <w:rPr>
                <w:sz w:val="20"/>
              </w:rPr>
              <w:t xml:space="preserve">delovanje javne službe zdravstvenega </w:t>
            </w:r>
            <w:r w:rsidRPr="00CF43DE">
              <w:rPr>
                <w:sz w:val="20"/>
              </w:rPr>
              <w:lastRenderedPageBreak/>
              <w:t>varstva rastlin in prognostične dejavnosti</w:t>
            </w:r>
          </w:p>
          <w:p w14:paraId="442A6317" w14:textId="77777777" w:rsidR="00C07901" w:rsidRPr="00CF43DE" w:rsidRDefault="00C07901" w:rsidP="00C07901">
            <w:pPr>
              <w:numPr>
                <w:ilvl w:val="0"/>
                <w:numId w:val="15"/>
              </w:numPr>
              <w:rPr>
                <w:sz w:val="20"/>
              </w:rPr>
            </w:pPr>
            <w:r w:rsidRPr="00CF43DE">
              <w:rPr>
                <w:sz w:val="20"/>
              </w:rPr>
              <w:t xml:space="preserve">vzpostavljen sistem prognostičnih obvestil za bolezni in škodljivce za pridelovalce </w:t>
            </w:r>
          </w:p>
          <w:p w14:paraId="29283CC1" w14:textId="77777777" w:rsidR="00C07901" w:rsidRPr="00CF43DE" w:rsidRDefault="00C07901" w:rsidP="00C07901">
            <w:pPr>
              <w:numPr>
                <w:ilvl w:val="0"/>
                <w:numId w:val="15"/>
              </w:numPr>
              <w:rPr>
                <w:sz w:val="20"/>
              </w:rPr>
            </w:pPr>
            <w:r w:rsidRPr="00CF43DE">
              <w:rPr>
                <w:sz w:val="20"/>
              </w:rPr>
              <w:t>smernice za integrirano varstvo rastlin</w:t>
            </w:r>
          </w:p>
          <w:p w14:paraId="07AF71F6" w14:textId="77777777" w:rsidR="00C07901" w:rsidRPr="00CF43DE" w:rsidRDefault="00C07901" w:rsidP="00C07901">
            <w:pPr>
              <w:numPr>
                <w:ilvl w:val="0"/>
                <w:numId w:val="15"/>
              </w:numPr>
              <w:rPr>
                <w:sz w:val="20"/>
              </w:rPr>
            </w:pPr>
            <w:r w:rsidRPr="00CF43DE">
              <w:rPr>
                <w:sz w:val="20"/>
              </w:rPr>
              <w:t>biotično varstvo rastlin</w:t>
            </w:r>
          </w:p>
          <w:p w14:paraId="6273EEC8" w14:textId="5DFDB20C" w:rsidR="00C07901" w:rsidRPr="00CF43DE" w:rsidRDefault="00C07901" w:rsidP="00C07901">
            <w:pPr>
              <w:numPr>
                <w:ilvl w:val="0"/>
                <w:numId w:val="15"/>
              </w:numPr>
              <w:rPr>
                <w:sz w:val="20"/>
              </w:rPr>
            </w:pPr>
            <w:r w:rsidRPr="00CF43DE">
              <w:rPr>
                <w:sz w:val="20"/>
              </w:rPr>
              <w:t>sprejem nove strategije od ''vil do vilic''</w:t>
            </w:r>
          </w:p>
          <w:p w14:paraId="149C6858" w14:textId="77777777" w:rsidR="00C07901" w:rsidRPr="00CF43DE" w:rsidRDefault="00C07901" w:rsidP="00C07901">
            <w:pPr>
              <w:rPr>
                <w:b/>
                <w:bCs/>
                <w:sz w:val="20"/>
              </w:rPr>
            </w:pPr>
            <w:r w:rsidRPr="00CF43DE">
              <w:rPr>
                <w:b/>
                <w:bCs/>
                <w:sz w:val="20"/>
              </w:rPr>
              <w:t>Dobrobit živali</w:t>
            </w:r>
          </w:p>
          <w:p w14:paraId="4F5BAAD8" w14:textId="77777777" w:rsidR="00C07901" w:rsidRPr="00CF43DE" w:rsidRDefault="00C07901" w:rsidP="00C07901">
            <w:pPr>
              <w:numPr>
                <w:ilvl w:val="0"/>
                <w:numId w:val="3"/>
              </w:numPr>
              <w:rPr>
                <w:sz w:val="20"/>
              </w:rPr>
            </w:pPr>
            <w:r w:rsidRPr="00CF43DE">
              <w:rPr>
                <w:sz w:val="20"/>
              </w:rPr>
              <w:t xml:space="preserve">dviganje zavesti potrošnikov o pomembnosti upoštevanja dobrobiti živali pri prireji proizvodov živalskega izvora </w:t>
            </w:r>
          </w:p>
          <w:p w14:paraId="0AB60720" w14:textId="77777777" w:rsidR="00C07901" w:rsidRPr="00CF43DE" w:rsidRDefault="00C07901" w:rsidP="00C07901">
            <w:pPr>
              <w:numPr>
                <w:ilvl w:val="0"/>
                <w:numId w:val="3"/>
              </w:numPr>
              <w:rPr>
                <w:sz w:val="20"/>
              </w:rPr>
            </w:pPr>
            <w:r w:rsidRPr="00CF43DE">
              <w:rPr>
                <w:sz w:val="20"/>
              </w:rPr>
              <w:t xml:space="preserve">ni množičnih sistemov rej, zato je tveganje za pojav bolezni in slabšo dobrobiti živali manjše </w:t>
            </w:r>
          </w:p>
          <w:p w14:paraId="0D7C2335" w14:textId="271FC781" w:rsidR="00C07901" w:rsidRPr="00733973" w:rsidRDefault="00C07901" w:rsidP="00C07901">
            <w:pPr>
              <w:numPr>
                <w:ilvl w:val="0"/>
                <w:numId w:val="3"/>
              </w:numPr>
              <w:rPr>
                <w:sz w:val="20"/>
              </w:rPr>
            </w:pPr>
            <w:r w:rsidRPr="00CF43DE">
              <w:rPr>
                <w:sz w:val="20"/>
              </w:rPr>
              <w:t xml:space="preserve">transportne poti pa so kratke – manj težav pri prevozu živih živali </w:t>
            </w:r>
          </w:p>
          <w:p w14:paraId="6E5F69D0" w14:textId="77777777" w:rsidR="00C07901" w:rsidRPr="00CF43DE" w:rsidRDefault="00C07901" w:rsidP="00C07901">
            <w:pPr>
              <w:rPr>
                <w:b/>
                <w:bCs/>
                <w:sz w:val="20"/>
              </w:rPr>
            </w:pPr>
            <w:r w:rsidRPr="00CF43DE">
              <w:rPr>
                <w:b/>
                <w:bCs/>
                <w:sz w:val="20"/>
              </w:rPr>
              <w:t>Odpadna hrana</w:t>
            </w:r>
          </w:p>
          <w:p w14:paraId="5D6B4E4A" w14:textId="77777777" w:rsidR="00C07901" w:rsidRPr="00CF43DE" w:rsidRDefault="00C07901" w:rsidP="00C07901">
            <w:pPr>
              <w:numPr>
                <w:ilvl w:val="0"/>
                <w:numId w:val="6"/>
              </w:numPr>
              <w:rPr>
                <w:sz w:val="20"/>
              </w:rPr>
            </w:pPr>
            <w:r w:rsidRPr="00CF43DE">
              <w:rPr>
                <w:sz w:val="20"/>
              </w:rPr>
              <w:t xml:space="preserve">Delno so vzpostavljene aktivnosti osveščanja javnosti o preprečevanju količin odpadne hrane. </w:t>
            </w:r>
          </w:p>
          <w:p w14:paraId="78A76524" w14:textId="77777777" w:rsidR="00C07901" w:rsidRPr="00CF43DE" w:rsidRDefault="00C07901" w:rsidP="00C07901">
            <w:pPr>
              <w:numPr>
                <w:ilvl w:val="0"/>
                <w:numId w:val="6"/>
              </w:numPr>
              <w:rPr>
                <w:sz w:val="20"/>
              </w:rPr>
            </w:pPr>
            <w:r w:rsidRPr="00CF43DE">
              <w:rPr>
                <w:sz w:val="20"/>
              </w:rPr>
              <w:t>Visoka senzibilnost vseh členov verigi preskrbe s hrano do te teme, tudi zaradi relativno dobrega poznavanja domačih dobrih praks ravnanja z odpadki.</w:t>
            </w:r>
          </w:p>
          <w:p w14:paraId="48E0045F" w14:textId="77777777" w:rsidR="00C07901" w:rsidRPr="00CF43DE" w:rsidRDefault="00C07901" w:rsidP="00C07901">
            <w:pPr>
              <w:numPr>
                <w:ilvl w:val="0"/>
                <w:numId w:val="6"/>
              </w:numPr>
              <w:rPr>
                <w:sz w:val="20"/>
              </w:rPr>
            </w:pPr>
            <w:r w:rsidRPr="00CF43DE">
              <w:rPr>
                <w:sz w:val="20"/>
              </w:rPr>
              <w:t>Raznolikost in obseg pobud na terenu.</w:t>
            </w:r>
          </w:p>
          <w:p w14:paraId="551498BC" w14:textId="77777777" w:rsidR="00C07901" w:rsidRPr="00CF43DE" w:rsidRDefault="00C07901" w:rsidP="00C07901">
            <w:pPr>
              <w:numPr>
                <w:ilvl w:val="0"/>
                <w:numId w:val="6"/>
              </w:numPr>
              <w:rPr>
                <w:sz w:val="20"/>
              </w:rPr>
            </w:pPr>
            <w:r w:rsidRPr="00CF43DE">
              <w:rPr>
                <w:sz w:val="20"/>
              </w:rPr>
              <w:t>Inovativna sposobnost gospodarskih subjektov.</w:t>
            </w:r>
          </w:p>
          <w:p w14:paraId="1234578A" w14:textId="77777777" w:rsidR="00C07901" w:rsidRPr="00CF43DE" w:rsidRDefault="00C07901" w:rsidP="00C07901">
            <w:pPr>
              <w:numPr>
                <w:ilvl w:val="0"/>
                <w:numId w:val="6"/>
              </w:numPr>
              <w:rPr>
                <w:sz w:val="20"/>
              </w:rPr>
            </w:pPr>
            <w:r w:rsidRPr="00CF43DE">
              <w:rPr>
                <w:sz w:val="20"/>
              </w:rPr>
              <w:t xml:space="preserve">Pozitivne izkušnje s projektom </w:t>
            </w:r>
            <w:proofErr w:type="spellStart"/>
            <w:r w:rsidRPr="00CF43DE">
              <w:rPr>
                <w:sz w:val="20"/>
              </w:rPr>
              <w:t>Donirana</w:t>
            </w:r>
            <w:proofErr w:type="spellEnd"/>
            <w:r w:rsidRPr="00CF43DE">
              <w:rPr>
                <w:sz w:val="20"/>
              </w:rPr>
              <w:t xml:space="preserve"> hrana.</w:t>
            </w:r>
          </w:p>
          <w:p w14:paraId="7D0F0A8B" w14:textId="77777777" w:rsidR="00C07901" w:rsidRPr="00CF43DE" w:rsidRDefault="00C07901" w:rsidP="00C07901">
            <w:pPr>
              <w:numPr>
                <w:ilvl w:val="0"/>
                <w:numId w:val="6"/>
              </w:numPr>
              <w:rPr>
                <w:sz w:val="20"/>
              </w:rPr>
            </w:pPr>
            <w:r w:rsidRPr="00CF43DE">
              <w:rPr>
                <w:sz w:val="20"/>
              </w:rPr>
              <w:t>Dobra in enakomerna razpršenost vseh členov preskrbe verige s hrano (zlasti lokalnih pridelovalcev in predelovalcev).</w:t>
            </w:r>
          </w:p>
          <w:p w14:paraId="4514664A" w14:textId="77777777" w:rsidR="00C07901" w:rsidRPr="00CF43DE" w:rsidRDefault="00C07901" w:rsidP="00C07901">
            <w:pPr>
              <w:numPr>
                <w:ilvl w:val="0"/>
                <w:numId w:val="6"/>
              </w:numPr>
              <w:rPr>
                <w:sz w:val="20"/>
              </w:rPr>
            </w:pPr>
            <w:r w:rsidRPr="00CF43DE">
              <w:rPr>
                <w:sz w:val="20"/>
              </w:rPr>
              <w:t>Bližina pridelovalcev, predelovalcev in porabnikov hrane zagotavlja dobro povezanost in kratke in hitre verige za varno porabo in ohranjanje kvalitete hrane in uporabo viškov hrane.</w:t>
            </w:r>
          </w:p>
          <w:p w14:paraId="3AA4FF06" w14:textId="77777777" w:rsidR="00C07901" w:rsidRPr="00CF43DE" w:rsidRDefault="00C07901" w:rsidP="00C07901">
            <w:pPr>
              <w:rPr>
                <w:sz w:val="20"/>
              </w:rPr>
            </w:pPr>
          </w:p>
        </w:tc>
        <w:tc>
          <w:tcPr>
            <w:tcW w:w="2500" w:type="pct"/>
            <w:tcBorders>
              <w:top w:val="single" w:sz="4" w:space="0" w:color="auto"/>
              <w:left w:val="single" w:sz="4" w:space="0" w:color="auto"/>
              <w:bottom w:val="single" w:sz="4" w:space="0" w:color="auto"/>
              <w:right w:val="single" w:sz="4" w:space="0" w:color="auto"/>
            </w:tcBorders>
            <w:hideMark/>
          </w:tcPr>
          <w:p w14:paraId="049A74FF" w14:textId="77777777" w:rsidR="00191201" w:rsidRPr="00CF43DE" w:rsidRDefault="00191201" w:rsidP="00C07901">
            <w:pPr>
              <w:rPr>
                <w:b/>
                <w:sz w:val="20"/>
              </w:rPr>
            </w:pPr>
          </w:p>
          <w:p w14:paraId="66D8505C" w14:textId="77777777" w:rsidR="00C07901" w:rsidRPr="00CF43DE" w:rsidRDefault="00C07901" w:rsidP="00C07901">
            <w:pPr>
              <w:rPr>
                <w:b/>
                <w:sz w:val="20"/>
              </w:rPr>
            </w:pPr>
            <w:r w:rsidRPr="00CF43DE">
              <w:rPr>
                <w:b/>
                <w:sz w:val="20"/>
              </w:rPr>
              <w:t>Zdravila za živali</w:t>
            </w:r>
          </w:p>
          <w:p w14:paraId="138FC8B2" w14:textId="77777777" w:rsidR="00C07901" w:rsidRPr="00CF43DE" w:rsidRDefault="00C07901" w:rsidP="00C07901">
            <w:pPr>
              <w:numPr>
                <w:ilvl w:val="0"/>
                <w:numId w:val="3"/>
              </w:numPr>
              <w:rPr>
                <w:sz w:val="20"/>
              </w:rPr>
            </w:pPr>
            <w:r w:rsidRPr="00CF43DE">
              <w:rPr>
                <w:sz w:val="20"/>
              </w:rPr>
              <w:t>prodajni podatki kažejo, da je kljub ozaveščanju rejcev in veterinarjev raba nekaterih protimikrobnih zdravil na nekaterih gospodarstvih zlasti intenzivne perutninske proizvodnje v zadnjih letih v porastu</w:t>
            </w:r>
          </w:p>
          <w:p w14:paraId="54692BB7" w14:textId="77777777" w:rsidR="006A09AF" w:rsidRPr="00CF43DE" w:rsidRDefault="00C07901" w:rsidP="00C07901">
            <w:pPr>
              <w:numPr>
                <w:ilvl w:val="0"/>
                <w:numId w:val="3"/>
              </w:numPr>
              <w:rPr>
                <w:sz w:val="20"/>
              </w:rPr>
            </w:pPr>
            <w:r w:rsidRPr="00CF43DE">
              <w:rPr>
                <w:sz w:val="20"/>
              </w:rPr>
              <w:t>ozaveščanja rejcev in veterinarjev za zmanjševanje potreb po predpisovanju in uporabi protimikrobnih zdravil za zdravljenje živali v zadnjih letih izgublja na učinkovitosti, kar ima negativni vpliv na obvladovanje mikrobne odpornosti in povečuje tveganja za širjenje mikrobne odpornosti</w:t>
            </w:r>
          </w:p>
          <w:p w14:paraId="0F82ADE7" w14:textId="132C6595" w:rsidR="00C07901" w:rsidRPr="00733973" w:rsidRDefault="00C07901" w:rsidP="006A09AF">
            <w:pPr>
              <w:numPr>
                <w:ilvl w:val="0"/>
                <w:numId w:val="3"/>
              </w:numPr>
              <w:rPr>
                <w:sz w:val="20"/>
              </w:rPr>
            </w:pPr>
            <w:r w:rsidRPr="00CF43DE">
              <w:rPr>
                <w:sz w:val="20"/>
              </w:rPr>
              <w:t>pomanjkanje stabilnih virov financiranja z izvajanje  aktivnosti in ukrepov iz Državne strategije „Eno zdravje" za obvladovanje odpornosti mikrobov (2019-2024), s triletnim nacionalnim akcijskim načrtom (2019-2021) za zmanjševanje porabe antibiotikov za zdravljenje živali</w:t>
            </w:r>
          </w:p>
          <w:p w14:paraId="235638EF" w14:textId="77777777" w:rsidR="00C07901" w:rsidRPr="00CF43DE" w:rsidRDefault="00C07901" w:rsidP="00C07901">
            <w:pPr>
              <w:rPr>
                <w:b/>
                <w:sz w:val="20"/>
              </w:rPr>
            </w:pPr>
            <w:r w:rsidRPr="00CF43DE">
              <w:rPr>
                <w:b/>
                <w:sz w:val="20"/>
              </w:rPr>
              <w:t>Pesticidi</w:t>
            </w:r>
          </w:p>
          <w:p w14:paraId="3DD2DD46" w14:textId="77777777" w:rsidR="00C07901" w:rsidRPr="00CF43DE" w:rsidRDefault="00C07901" w:rsidP="00C07901">
            <w:pPr>
              <w:numPr>
                <w:ilvl w:val="0"/>
                <w:numId w:val="3"/>
              </w:numPr>
              <w:rPr>
                <w:sz w:val="20"/>
              </w:rPr>
            </w:pPr>
            <w:r w:rsidRPr="00CF43DE">
              <w:rPr>
                <w:sz w:val="20"/>
              </w:rPr>
              <w:t xml:space="preserve">večina rabe FFS je vezana na trajne nasade, število </w:t>
            </w:r>
            <w:proofErr w:type="spellStart"/>
            <w:r w:rsidRPr="00CF43DE">
              <w:rPr>
                <w:sz w:val="20"/>
              </w:rPr>
              <w:t>tretiranj</w:t>
            </w:r>
            <w:proofErr w:type="spellEnd"/>
            <w:r w:rsidRPr="00CF43DE">
              <w:rPr>
                <w:sz w:val="20"/>
              </w:rPr>
              <w:t xml:space="preserve"> v rastni sezoni je zelo odvisno od vremena, kar povzroča velika nihanja v </w:t>
            </w:r>
            <w:r w:rsidRPr="00CF43DE">
              <w:rPr>
                <w:sz w:val="20"/>
              </w:rPr>
              <w:lastRenderedPageBreak/>
              <w:t>rabi FFS</w:t>
            </w:r>
          </w:p>
          <w:p w14:paraId="5D7FA5F6" w14:textId="77777777" w:rsidR="00C07901" w:rsidRPr="00CF43DE" w:rsidRDefault="00C07901" w:rsidP="00C07901">
            <w:pPr>
              <w:numPr>
                <w:ilvl w:val="0"/>
                <w:numId w:val="3"/>
              </w:numPr>
              <w:rPr>
                <w:sz w:val="20"/>
              </w:rPr>
            </w:pPr>
            <w:r w:rsidRPr="00CF43DE">
              <w:rPr>
                <w:sz w:val="20"/>
              </w:rPr>
              <w:t>premalo znanja glede rabe FFS z manjšim tveganjem na osnovi mikroorganizmov</w:t>
            </w:r>
          </w:p>
          <w:p w14:paraId="050EBEEA" w14:textId="209C414B" w:rsidR="00C07901" w:rsidRPr="00CF43DE" w:rsidRDefault="00C07901" w:rsidP="00191201">
            <w:pPr>
              <w:pStyle w:val="Odstavekseznama"/>
              <w:numPr>
                <w:ilvl w:val="0"/>
                <w:numId w:val="5"/>
              </w:numPr>
              <w:rPr>
                <w:sz w:val="20"/>
              </w:rPr>
            </w:pPr>
            <w:r w:rsidRPr="00CF43DE">
              <w:rPr>
                <w:sz w:val="20"/>
              </w:rPr>
              <w:t>omejeno število alternativnih metod v trajnih nasadih za nadzor glivičnih bolezni in insektov</w:t>
            </w:r>
          </w:p>
          <w:p w14:paraId="21BEC3BE" w14:textId="77777777" w:rsidR="00C07901" w:rsidRPr="00CF43DE" w:rsidRDefault="00C07901" w:rsidP="00C07901">
            <w:pPr>
              <w:numPr>
                <w:ilvl w:val="0"/>
                <w:numId w:val="3"/>
              </w:numPr>
              <w:rPr>
                <w:sz w:val="20"/>
              </w:rPr>
            </w:pPr>
            <w:r w:rsidRPr="00CF43DE">
              <w:rPr>
                <w:sz w:val="20"/>
              </w:rPr>
              <w:t>pomanjkanje potrebnih strojev in opreme za alternativne metode</w:t>
            </w:r>
          </w:p>
          <w:p w14:paraId="2E68145C" w14:textId="77777777" w:rsidR="00C07901" w:rsidRPr="00CF43DE" w:rsidRDefault="00C07901" w:rsidP="00C07901">
            <w:pPr>
              <w:numPr>
                <w:ilvl w:val="0"/>
                <w:numId w:val="3"/>
              </w:numPr>
              <w:rPr>
                <w:sz w:val="20"/>
              </w:rPr>
            </w:pPr>
            <w:r w:rsidRPr="00CF43DE">
              <w:rPr>
                <w:sz w:val="20"/>
              </w:rPr>
              <w:t>omejena  uporaba biotičnega zatiranja škodljivih organizmov zaradi stroge okoljske zakonodaje</w:t>
            </w:r>
          </w:p>
          <w:p w14:paraId="69E1DA12" w14:textId="77777777" w:rsidR="00C07901" w:rsidRPr="00CF43DE" w:rsidRDefault="00C07901" w:rsidP="00C07901">
            <w:pPr>
              <w:numPr>
                <w:ilvl w:val="0"/>
                <w:numId w:val="3"/>
              </w:numPr>
              <w:rPr>
                <w:sz w:val="20"/>
              </w:rPr>
            </w:pPr>
            <w:r w:rsidRPr="00CF43DE">
              <w:rPr>
                <w:sz w:val="20"/>
              </w:rPr>
              <w:t>pomanjkanje potrebnih virov za izvajanje kampanj obveščanja in ozaveščanja o karantenskih škodljivih organizmih</w:t>
            </w:r>
          </w:p>
          <w:p w14:paraId="1877DDC7" w14:textId="77777777" w:rsidR="00C07901" w:rsidRPr="00CF43DE" w:rsidRDefault="00C07901" w:rsidP="00C07901">
            <w:pPr>
              <w:numPr>
                <w:ilvl w:val="0"/>
                <w:numId w:val="3"/>
              </w:numPr>
              <w:rPr>
                <w:sz w:val="20"/>
              </w:rPr>
            </w:pPr>
            <w:r w:rsidRPr="00CF43DE">
              <w:rPr>
                <w:sz w:val="20"/>
              </w:rPr>
              <w:t>pomanjkanje potrebnih virov za izvajanje aktivnosti in ukrepov iz integriranega varstva rastlin ter prenos znanja na pridelovalce</w:t>
            </w:r>
          </w:p>
          <w:p w14:paraId="4983CAB9" w14:textId="77777777" w:rsidR="00C07901" w:rsidRPr="00CF43DE" w:rsidRDefault="00C07901" w:rsidP="00C07901">
            <w:pPr>
              <w:numPr>
                <w:ilvl w:val="0"/>
                <w:numId w:val="3"/>
              </w:numPr>
              <w:rPr>
                <w:sz w:val="20"/>
              </w:rPr>
            </w:pPr>
            <w:r w:rsidRPr="00CF43DE">
              <w:rPr>
                <w:sz w:val="20"/>
              </w:rPr>
              <w:t>vsi diagnostični laboratoriji za škodljive organizme niso akreditirani, tudi ohranjanje in glede na širok seznam karantenskih škodljivih organizmov zahteva dodatna sredstva</w:t>
            </w:r>
          </w:p>
          <w:p w14:paraId="391A0074" w14:textId="72CCC22B" w:rsidR="00C07901" w:rsidRPr="00733973" w:rsidRDefault="00C07901" w:rsidP="00C07901">
            <w:pPr>
              <w:numPr>
                <w:ilvl w:val="0"/>
                <w:numId w:val="3"/>
              </w:numPr>
              <w:rPr>
                <w:sz w:val="20"/>
              </w:rPr>
            </w:pPr>
            <w:r w:rsidRPr="00CF43DE">
              <w:rPr>
                <w:sz w:val="20"/>
              </w:rPr>
              <w:t xml:space="preserve">majhno število akreditiranih in </w:t>
            </w:r>
            <w:proofErr w:type="spellStart"/>
            <w:r w:rsidRPr="00CF43DE">
              <w:rPr>
                <w:sz w:val="20"/>
              </w:rPr>
              <w:t>validiranih</w:t>
            </w:r>
            <w:proofErr w:type="spellEnd"/>
            <w:r w:rsidRPr="00CF43DE">
              <w:rPr>
                <w:sz w:val="20"/>
              </w:rPr>
              <w:t xml:space="preserve"> metod za škodljive organizme.</w:t>
            </w:r>
          </w:p>
          <w:p w14:paraId="35904280" w14:textId="77777777" w:rsidR="00C07901" w:rsidRPr="00CF43DE" w:rsidRDefault="00C07901" w:rsidP="00C07901">
            <w:pPr>
              <w:rPr>
                <w:b/>
                <w:bCs/>
                <w:sz w:val="20"/>
              </w:rPr>
            </w:pPr>
            <w:r w:rsidRPr="00CF43DE">
              <w:rPr>
                <w:b/>
                <w:bCs/>
                <w:sz w:val="20"/>
              </w:rPr>
              <w:t>Dobrobit živali</w:t>
            </w:r>
          </w:p>
          <w:p w14:paraId="7A53F29A" w14:textId="77777777" w:rsidR="00C07901" w:rsidRPr="00CF43DE" w:rsidRDefault="00C07901" w:rsidP="00C07901">
            <w:pPr>
              <w:numPr>
                <w:ilvl w:val="0"/>
                <w:numId w:val="5"/>
              </w:numPr>
              <w:rPr>
                <w:bCs/>
                <w:sz w:val="20"/>
              </w:rPr>
            </w:pPr>
            <w:r w:rsidRPr="00CF43DE">
              <w:rPr>
                <w:bCs/>
                <w:sz w:val="20"/>
              </w:rPr>
              <w:t xml:space="preserve">rejci ne vidijo </w:t>
            </w:r>
            <w:r w:rsidRPr="00CF43DE">
              <w:rPr>
                <w:sz w:val="20"/>
              </w:rPr>
              <w:t>tržne priložnosti v okviru shem kakovosti</w:t>
            </w:r>
          </w:p>
          <w:p w14:paraId="63AAC124" w14:textId="006C32CE" w:rsidR="00C07901" w:rsidRPr="00733973" w:rsidRDefault="00C07901" w:rsidP="00C07901">
            <w:pPr>
              <w:numPr>
                <w:ilvl w:val="0"/>
                <w:numId w:val="5"/>
              </w:numPr>
              <w:rPr>
                <w:bCs/>
                <w:sz w:val="20"/>
              </w:rPr>
            </w:pPr>
            <w:r w:rsidRPr="00CF43DE">
              <w:rPr>
                <w:sz w:val="20"/>
              </w:rPr>
              <w:t>ni standardiziranih načinov reje oziroma običajne rejske prakse za določanje nadstandardov</w:t>
            </w:r>
          </w:p>
          <w:p w14:paraId="28C074B9" w14:textId="77777777" w:rsidR="00C07901" w:rsidRPr="00CF43DE" w:rsidRDefault="00C07901" w:rsidP="00C07901">
            <w:pPr>
              <w:rPr>
                <w:b/>
                <w:bCs/>
                <w:sz w:val="20"/>
              </w:rPr>
            </w:pPr>
            <w:r w:rsidRPr="00CF43DE">
              <w:rPr>
                <w:b/>
                <w:bCs/>
                <w:sz w:val="20"/>
              </w:rPr>
              <w:t>Odpadna hrana</w:t>
            </w:r>
          </w:p>
          <w:p w14:paraId="7A4A98B2" w14:textId="77777777" w:rsidR="00C07901" w:rsidRPr="00CF43DE" w:rsidRDefault="00C07901" w:rsidP="00C07901">
            <w:pPr>
              <w:numPr>
                <w:ilvl w:val="0"/>
                <w:numId w:val="7"/>
              </w:numPr>
              <w:rPr>
                <w:sz w:val="20"/>
              </w:rPr>
            </w:pPr>
            <w:r w:rsidRPr="00CF43DE">
              <w:rPr>
                <w:sz w:val="20"/>
              </w:rPr>
              <w:t>Povečevanje količin odpadne hrane.</w:t>
            </w:r>
          </w:p>
          <w:p w14:paraId="1AD0ED69" w14:textId="77777777" w:rsidR="00C07901" w:rsidRPr="00CF43DE" w:rsidRDefault="00C07901" w:rsidP="00C07901">
            <w:pPr>
              <w:numPr>
                <w:ilvl w:val="0"/>
                <w:numId w:val="7"/>
              </w:numPr>
              <w:rPr>
                <w:sz w:val="20"/>
              </w:rPr>
            </w:pPr>
            <w:r w:rsidRPr="00CF43DE">
              <w:rPr>
                <w:sz w:val="20"/>
              </w:rPr>
              <w:t xml:space="preserve">Nizka dodana vrednost in slabo </w:t>
            </w:r>
            <w:proofErr w:type="spellStart"/>
            <w:r w:rsidRPr="00CF43DE">
              <w:rPr>
                <w:sz w:val="20"/>
              </w:rPr>
              <w:t>diverzificirana</w:t>
            </w:r>
            <w:proofErr w:type="spellEnd"/>
            <w:r w:rsidRPr="00CF43DE">
              <w:rPr>
                <w:sz w:val="20"/>
              </w:rPr>
              <w:t xml:space="preserve"> uporaba neužitnega dela odpadne hrane. Pomanjkljiva metodologija spremljanja odpadne hrane. Cenovno dostopnejša hrana, kar vpliva na manj odgovoren odnos potrošnikov do hrane.</w:t>
            </w:r>
          </w:p>
          <w:p w14:paraId="5C309BA7" w14:textId="77777777" w:rsidR="00C07901" w:rsidRPr="00CF43DE" w:rsidRDefault="00C07901" w:rsidP="00C07901">
            <w:pPr>
              <w:numPr>
                <w:ilvl w:val="0"/>
                <w:numId w:val="7"/>
              </w:numPr>
              <w:rPr>
                <w:sz w:val="20"/>
              </w:rPr>
            </w:pPr>
            <w:r w:rsidRPr="00CF43DE">
              <w:rPr>
                <w:sz w:val="20"/>
              </w:rPr>
              <w:t>Premajhna ozaveščenost potrošnikov o roku uporabnosti hrane (razlika med »porabiti do« in »uporabno najmanj do«.</w:t>
            </w:r>
          </w:p>
          <w:p w14:paraId="4FD02C96" w14:textId="77777777" w:rsidR="00C07901" w:rsidRPr="00CF43DE" w:rsidRDefault="00C07901" w:rsidP="00C07901">
            <w:pPr>
              <w:numPr>
                <w:ilvl w:val="0"/>
                <w:numId w:val="7"/>
              </w:numPr>
              <w:rPr>
                <w:sz w:val="20"/>
              </w:rPr>
            </w:pPr>
            <w:r w:rsidRPr="00CF43DE">
              <w:rPr>
                <w:sz w:val="20"/>
              </w:rPr>
              <w:lastRenderedPageBreak/>
              <w:t>Premajhna povezanost akterjev v verigi preskrbe s hrano, pa tudi premalo dvostranskega usklajevanja s področjem varne uporabe hrane in področjem ravnanja z odpadki.</w:t>
            </w:r>
          </w:p>
          <w:p w14:paraId="004B44F2" w14:textId="77777777" w:rsidR="00C07901" w:rsidRPr="00CF43DE" w:rsidRDefault="00C07901" w:rsidP="00C07901">
            <w:pPr>
              <w:numPr>
                <w:ilvl w:val="0"/>
                <w:numId w:val="7"/>
              </w:numPr>
              <w:rPr>
                <w:sz w:val="20"/>
              </w:rPr>
            </w:pPr>
            <w:r w:rsidRPr="00CF43DE">
              <w:rPr>
                <w:sz w:val="20"/>
              </w:rPr>
              <w:t>Premalo znanja, usposobljenosti in ozaveščenosti vseh členov verige preskrbe s hrano glede možnosti zmanjševanja izgub hrane in odpadne hrane.</w:t>
            </w:r>
          </w:p>
          <w:p w14:paraId="62A0B235" w14:textId="77777777" w:rsidR="00C07901" w:rsidRPr="00CF43DE" w:rsidRDefault="00C07901" w:rsidP="00C07901">
            <w:pPr>
              <w:numPr>
                <w:ilvl w:val="0"/>
                <w:numId w:val="7"/>
              </w:numPr>
              <w:rPr>
                <w:sz w:val="20"/>
              </w:rPr>
            </w:pPr>
            <w:r w:rsidRPr="00CF43DE">
              <w:rPr>
                <w:sz w:val="20"/>
              </w:rPr>
              <w:t xml:space="preserve">Premalo raziskav na področju </w:t>
            </w:r>
            <w:proofErr w:type="spellStart"/>
            <w:r w:rsidRPr="00CF43DE">
              <w:rPr>
                <w:sz w:val="20"/>
              </w:rPr>
              <w:t>biogospodarstva</w:t>
            </w:r>
            <w:proofErr w:type="spellEnd"/>
            <w:r w:rsidRPr="00CF43DE">
              <w:rPr>
                <w:sz w:val="20"/>
              </w:rPr>
              <w:t xml:space="preserve"> primarne kmetijske proizvodnje in proizvodnje živil.</w:t>
            </w:r>
          </w:p>
          <w:p w14:paraId="49E1813C" w14:textId="77777777" w:rsidR="00C07901" w:rsidRPr="00CF43DE" w:rsidRDefault="00C07901" w:rsidP="00C07901">
            <w:pPr>
              <w:numPr>
                <w:ilvl w:val="0"/>
                <w:numId w:val="7"/>
              </w:numPr>
              <w:rPr>
                <w:sz w:val="20"/>
              </w:rPr>
            </w:pPr>
            <w:r w:rsidRPr="00CF43DE">
              <w:rPr>
                <w:sz w:val="20"/>
              </w:rPr>
              <w:t>Odsotnost formalnih nosilcev na področju distribucije viškov hrane in razvoja materialov za različne uporabe.</w:t>
            </w:r>
          </w:p>
          <w:p w14:paraId="6B27A4D3" w14:textId="77777777" w:rsidR="00C07901" w:rsidRPr="00CF43DE" w:rsidRDefault="00C07901" w:rsidP="00C07901">
            <w:pPr>
              <w:numPr>
                <w:ilvl w:val="0"/>
                <w:numId w:val="7"/>
              </w:numPr>
              <w:rPr>
                <w:sz w:val="20"/>
              </w:rPr>
            </w:pPr>
            <w:proofErr w:type="spellStart"/>
            <w:r w:rsidRPr="00CF43DE">
              <w:rPr>
                <w:sz w:val="20"/>
              </w:rPr>
              <w:t>Volatilnost</w:t>
            </w:r>
            <w:proofErr w:type="spellEnd"/>
            <w:r w:rsidRPr="00CF43DE">
              <w:rPr>
                <w:sz w:val="20"/>
              </w:rPr>
              <w:t xml:space="preserve"> kmetijstva in živilstva na trgu kar povzroča odpadno hrano.</w:t>
            </w:r>
          </w:p>
          <w:p w14:paraId="6AEB1E2C" w14:textId="77777777" w:rsidR="00C07901" w:rsidRPr="00CF43DE" w:rsidRDefault="00C07901" w:rsidP="00C07901">
            <w:pPr>
              <w:rPr>
                <w:sz w:val="20"/>
              </w:rPr>
            </w:pPr>
          </w:p>
        </w:tc>
      </w:tr>
      <w:tr w:rsidR="00C07901" w:rsidRPr="00CF43DE" w14:paraId="28D978BE" w14:textId="77777777" w:rsidTr="006A09AF">
        <w:tc>
          <w:tcPr>
            <w:tcW w:w="2500" w:type="pct"/>
            <w:tcBorders>
              <w:top w:val="single" w:sz="4" w:space="0" w:color="auto"/>
              <w:left w:val="single" w:sz="4" w:space="0" w:color="auto"/>
              <w:bottom w:val="single" w:sz="4" w:space="0" w:color="auto"/>
              <w:right w:val="single" w:sz="4" w:space="0" w:color="auto"/>
            </w:tcBorders>
            <w:shd w:val="clear" w:color="auto" w:fill="00B050"/>
            <w:vAlign w:val="center"/>
            <w:hideMark/>
          </w:tcPr>
          <w:p w14:paraId="4188DFF2" w14:textId="77777777" w:rsidR="00C07901" w:rsidRPr="00CF43DE" w:rsidRDefault="00C07901" w:rsidP="006A09AF">
            <w:pPr>
              <w:jc w:val="center"/>
              <w:rPr>
                <w:b/>
                <w:sz w:val="20"/>
              </w:rPr>
            </w:pPr>
            <w:r w:rsidRPr="00CF43DE">
              <w:rPr>
                <w:b/>
                <w:sz w:val="20"/>
              </w:rPr>
              <w:lastRenderedPageBreak/>
              <w:t>PRILOŽNOSTI</w:t>
            </w:r>
          </w:p>
        </w:tc>
        <w:tc>
          <w:tcPr>
            <w:tcW w:w="2500"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B0423AD" w14:textId="77777777" w:rsidR="00C07901" w:rsidRPr="00CF43DE" w:rsidRDefault="00C07901" w:rsidP="006A09AF">
            <w:pPr>
              <w:jc w:val="center"/>
              <w:rPr>
                <w:b/>
                <w:sz w:val="20"/>
              </w:rPr>
            </w:pPr>
            <w:r w:rsidRPr="00CF43DE">
              <w:rPr>
                <w:b/>
                <w:sz w:val="20"/>
              </w:rPr>
              <w:t>NEVARNOSTI</w:t>
            </w:r>
          </w:p>
        </w:tc>
      </w:tr>
      <w:tr w:rsidR="00C07901" w:rsidRPr="00CF43DE" w14:paraId="7810DDDD" w14:textId="77777777" w:rsidTr="006A09AF">
        <w:tc>
          <w:tcPr>
            <w:tcW w:w="2500" w:type="pct"/>
            <w:tcBorders>
              <w:top w:val="single" w:sz="4" w:space="0" w:color="auto"/>
              <w:left w:val="single" w:sz="4" w:space="0" w:color="auto"/>
              <w:bottom w:val="single" w:sz="4" w:space="0" w:color="auto"/>
              <w:right w:val="single" w:sz="4" w:space="0" w:color="auto"/>
            </w:tcBorders>
            <w:hideMark/>
          </w:tcPr>
          <w:p w14:paraId="39F9E325" w14:textId="77777777" w:rsidR="00C07901" w:rsidRPr="00CF43DE" w:rsidRDefault="00C07901" w:rsidP="00C07901">
            <w:pPr>
              <w:rPr>
                <w:b/>
                <w:sz w:val="20"/>
              </w:rPr>
            </w:pPr>
          </w:p>
          <w:p w14:paraId="428BDF47" w14:textId="77777777" w:rsidR="00C07901" w:rsidRPr="00CF43DE" w:rsidRDefault="00C07901" w:rsidP="00C07901">
            <w:pPr>
              <w:rPr>
                <w:b/>
                <w:sz w:val="20"/>
              </w:rPr>
            </w:pPr>
            <w:r w:rsidRPr="00CF43DE">
              <w:rPr>
                <w:b/>
                <w:sz w:val="20"/>
              </w:rPr>
              <w:t>Zdravila za živali</w:t>
            </w:r>
          </w:p>
          <w:p w14:paraId="0B0182A9" w14:textId="77777777" w:rsidR="00C07901" w:rsidRPr="00CF43DE" w:rsidRDefault="00C07901" w:rsidP="00C07901">
            <w:pPr>
              <w:numPr>
                <w:ilvl w:val="0"/>
                <w:numId w:val="10"/>
              </w:numPr>
              <w:rPr>
                <w:sz w:val="20"/>
              </w:rPr>
            </w:pPr>
            <w:r w:rsidRPr="00CF43DE">
              <w:rPr>
                <w:sz w:val="20"/>
              </w:rPr>
              <w:t xml:space="preserve">okrepitev ozaveščanja razumevanja ter motiviranosti rejcev in veterinarjev glede potrebnega  zmanjševanja porabe protimikrobnih zdravil (usposabljanja, izobraževanja, različne publikacije, smernice, protokoli zdravljenja ipd.) </w:t>
            </w:r>
          </w:p>
          <w:p w14:paraId="53FE3508" w14:textId="77777777" w:rsidR="00C07901" w:rsidRPr="00CF43DE" w:rsidRDefault="00C07901" w:rsidP="00C07901">
            <w:pPr>
              <w:numPr>
                <w:ilvl w:val="0"/>
                <w:numId w:val="10"/>
              </w:numPr>
              <w:rPr>
                <w:sz w:val="20"/>
              </w:rPr>
            </w:pPr>
            <w:r w:rsidRPr="00CF43DE">
              <w:rPr>
                <w:sz w:val="20"/>
              </w:rPr>
              <w:t xml:space="preserve">izvajanje dobre oskrbe </w:t>
            </w:r>
            <w:proofErr w:type="spellStart"/>
            <w:r w:rsidRPr="00CF43DE">
              <w:rPr>
                <w:sz w:val="20"/>
              </w:rPr>
              <w:t>rejnih</w:t>
            </w:r>
            <w:proofErr w:type="spellEnd"/>
            <w:r w:rsidRPr="00CF43DE">
              <w:rPr>
                <w:sz w:val="20"/>
              </w:rPr>
              <w:t xml:space="preserve"> živali, dobre higienske prakse in ostalih </w:t>
            </w:r>
            <w:proofErr w:type="spellStart"/>
            <w:r w:rsidRPr="00CF43DE">
              <w:rPr>
                <w:sz w:val="20"/>
              </w:rPr>
              <w:t>biovarnostnih</w:t>
            </w:r>
            <w:proofErr w:type="spellEnd"/>
            <w:r w:rsidRPr="00CF43DE">
              <w:rPr>
                <w:sz w:val="20"/>
              </w:rPr>
              <w:t xml:space="preserve"> ukrepov v rejah živali, za bolj odgovorno in preudarno rabo protimikrobnih zdravil, za </w:t>
            </w:r>
            <w:proofErr w:type="spellStart"/>
            <w:r w:rsidRPr="00CF43DE">
              <w:rPr>
                <w:sz w:val="20"/>
              </w:rPr>
              <w:t>za</w:t>
            </w:r>
            <w:proofErr w:type="spellEnd"/>
            <w:r w:rsidRPr="00CF43DE">
              <w:rPr>
                <w:sz w:val="20"/>
              </w:rPr>
              <w:t xml:space="preserve"> znižanje porabe na gospodarstvih z visoko (nadpovprečno) splošno porabo in visoko porabo protimikrobnih zdravil iz skupine CIA</w:t>
            </w:r>
          </w:p>
          <w:p w14:paraId="5A45511E" w14:textId="77777777" w:rsidR="00C07901" w:rsidRPr="00CF43DE" w:rsidRDefault="00C07901" w:rsidP="00C07901">
            <w:pPr>
              <w:numPr>
                <w:ilvl w:val="0"/>
                <w:numId w:val="10"/>
              </w:numPr>
              <w:rPr>
                <w:sz w:val="20"/>
              </w:rPr>
            </w:pPr>
            <w:r w:rsidRPr="00CF43DE">
              <w:rPr>
                <w:sz w:val="20"/>
              </w:rPr>
              <w:t xml:space="preserve">zagotavljanje stabilnih virov potrebnih za izvajanje  aktivnosti iz nacionalnega  akcijskega načrta za izvajanje državne strategije »eno zdravje« za obvladovanje odpornosti mikrobov </w:t>
            </w:r>
          </w:p>
          <w:p w14:paraId="3045C43D" w14:textId="77777777" w:rsidR="00C07901" w:rsidRPr="00CF43DE" w:rsidRDefault="00C07901" w:rsidP="00C07901">
            <w:pPr>
              <w:numPr>
                <w:ilvl w:val="0"/>
                <w:numId w:val="10"/>
              </w:numPr>
              <w:rPr>
                <w:sz w:val="20"/>
              </w:rPr>
            </w:pPr>
            <w:r w:rsidRPr="00CF43DE">
              <w:rPr>
                <w:sz w:val="20"/>
              </w:rPr>
              <w:t xml:space="preserve">uvedba spremljanja porabe protimikrobnih zdravil po živalskih vrstah na gospodarstvih </w:t>
            </w:r>
          </w:p>
          <w:p w14:paraId="7F8637EA" w14:textId="77777777" w:rsidR="00C07901" w:rsidRPr="00CF43DE" w:rsidRDefault="00C07901" w:rsidP="00C07901">
            <w:pPr>
              <w:numPr>
                <w:ilvl w:val="0"/>
                <w:numId w:val="10"/>
              </w:numPr>
              <w:rPr>
                <w:sz w:val="20"/>
              </w:rPr>
            </w:pPr>
            <w:r w:rsidRPr="00CF43DE">
              <w:rPr>
                <w:sz w:val="20"/>
              </w:rPr>
              <w:t>seznanjanje veterinarjev in rejcev z najnovejšimi dognanji</w:t>
            </w:r>
          </w:p>
          <w:p w14:paraId="5B1C1174" w14:textId="77777777" w:rsidR="00C07901" w:rsidRPr="00CF43DE" w:rsidRDefault="00C07901" w:rsidP="00C07901">
            <w:pPr>
              <w:numPr>
                <w:ilvl w:val="0"/>
                <w:numId w:val="10"/>
              </w:numPr>
              <w:rPr>
                <w:sz w:val="20"/>
              </w:rPr>
            </w:pPr>
            <w:r w:rsidRPr="00CF43DE">
              <w:rPr>
                <w:sz w:val="20"/>
              </w:rPr>
              <w:lastRenderedPageBreak/>
              <w:t xml:space="preserve">ohranitev nizke skupne porabe protimikrobnih zdravil, da ostane pod EU povprečjem ob </w:t>
            </w:r>
            <w:proofErr w:type="spellStart"/>
            <w:r w:rsidRPr="00CF43DE">
              <w:rPr>
                <w:sz w:val="20"/>
              </w:rPr>
              <w:t>ohranjaju</w:t>
            </w:r>
            <w:proofErr w:type="spellEnd"/>
            <w:r w:rsidRPr="00CF43DE">
              <w:rPr>
                <w:sz w:val="20"/>
              </w:rPr>
              <w:t xml:space="preserve"> konkurenčnosti rejcev živali, ki so namenjene hrani za ljudi, na trgu</w:t>
            </w:r>
          </w:p>
          <w:p w14:paraId="5ED67C4F" w14:textId="77777777" w:rsidR="00C07901" w:rsidRPr="00CF43DE" w:rsidRDefault="00C07901" w:rsidP="00C07901">
            <w:pPr>
              <w:numPr>
                <w:ilvl w:val="0"/>
                <w:numId w:val="10"/>
              </w:numPr>
              <w:rPr>
                <w:sz w:val="20"/>
              </w:rPr>
            </w:pPr>
            <w:r w:rsidRPr="00CF43DE">
              <w:rPr>
                <w:sz w:val="20"/>
              </w:rPr>
              <w:t>digitalizacija sistema predpisovanja in vodenja evidenc in uporabe zdravil pri živalih</w:t>
            </w:r>
          </w:p>
          <w:p w14:paraId="656BD57D" w14:textId="77777777" w:rsidR="00C07901" w:rsidRPr="00CF43DE" w:rsidRDefault="00C07901" w:rsidP="00C07901">
            <w:pPr>
              <w:numPr>
                <w:ilvl w:val="0"/>
                <w:numId w:val="10"/>
              </w:numPr>
              <w:rPr>
                <w:sz w:val="20"/>
              </w:rPr>
            </w:pPr>
            <w:r w:rsidRPr="00CF43DE">
              <w:rPr>
                <w:sz w:val="20"/>
              </w:rPr>
              <w:t>za bolj skrbno »upravljanje« z protimikrobnimi zdravili in njihovo nadzorovano uporabo pri zdravljenju živali kot doprinos k obvladovanju odpornosti mikrobov in ohranjanju njihove učinkovitosti</w:t>
            </w:r>
          </w:p>
          <w:p w14:paraId="74EA00BC" w14:textId="77777777" w:rsidR="00C07901" w:rsidRPr="00CF43DE" w:rsidRDefault="00C07901" w:rsidP="00C07901">
            <w:pPr>
              <w:numPr>
                <w:ilvl w:val="0"/>
                <w:numId w:val="10"/>
              </w:numPr>
              <w:rPr>
                <w:sz w:val="20"/>
              </w:rPr>
            </w:pPr>
            <w:r w:rsidRPr="00CF43DE">
              <w:rPr>
                <w:sz w:val="20"/>
              </w:rPr>
              <w:t>vključevanje novih sektorjev reje živali v nacionalno shemo kakovosti »izbrana kakovost« kot npr., z omejeno rabo oz. neuporabo nekaterih protimikrobnih zdravil, ki so najvišjega kritičnega pomena za zdravljenje ljudi</w:t>
            </w:r>
          </w:p>
          <w:p w14:paraId="502B34D1" w14:textId="77777777" w:rsidR="00C07901" w:rsidRPr="00CF43DE" w:rsidRDefault="00C07901" w:rsidP="00C07901">
            <w:pPr>
              <w:numPr>
                <w:ilvl w:val="0"/>
                <w:numId w:val="10"/>
              </w:numPr>
              <w:rPr>
                <w:sz w:val="20"/>
              </w:rPr>
            </w:pPr>
            <w:r w:rsidRPr="00CF43DE">
              <w:rPr>
                <w:sz w:val="20"/>
              </w:rPr>
              <w:t>uporaba finančnih virov skupne kmetijske politike in informacijskih virov EU za spodbujanje višjih standardov dobrobiti živali</w:t>
            </w:r>
          </w:p>
          <w:p w14:paraId="24960DD2" w14:textId="77777777" w:rsidR="00C07901" w:rsidRPr="00CF43DE" w:rsidRDefault="00C07901" w:rsidP="00C07901">
            <w:pPr>
              <w:numPr>
                <w:ilvl w:val="0"/>
                <w:numId w:val="10"/>
              </w:numPr>
              <w:rPr>
                <w:sz w:val="20"/>
              </w:rPr>
            </w:pPr>
            <w:r w:rsidRPr="00CF43DE">
              <w:rPr>
                <w:sz w:val="20"/>
              </w:rPr>
              <w:t>krepitev ozaveščanja in več razumevanja rejcev in veterinarjev glede razlogov za zmanjševanje porabe protimikrobnih zdravil-antibiotikov (še zlasti za znižanje porabe antibiotikov na gospodarstvih z nadpovprečno visoko  celokupno rabo oziroma in pri tistih z visoko porabo antibiotikov  iz skupine CIA)</w:t>
            </w:r>
          </w:p>
          <w:p w14:paraId="3D5FE09C" w14:textId="3B8D867B" w:rsidR="00C07901" w:rsidRPr="00733973" w:rsidRDefault="00C07901" w:rsidP="00C07901">
            <w:pPr>
              <w:numPr>
                <w:ilvl w:val="0"/>
                <w:numId w:val="10"/>
              </w:numPr>
              <w:rPr>
                <w:sz w:val="20"/>
              </w:rPr>
            </w:pPr>
            <w:r w:rsidRPr="00CF43DE">
              <w:rPr>
                <w:sz w:val="20"/>
              </w:rPr>
              <w:t>odgovoren pristop deležnikov s področja kmetijstva k izvajanju nalog oz. ukrepov opredeljenih s triletnim nacionalnim akcijskim načrtom (2019-2021) v okviru Državne strategije „Eno zdravje" za obvladovanje odpornosti mikrobov (2019-2024)</w:t>
            </w:r>
          </w:p>
          <w:p w14:paraId="22388529" w14:textId="77777777" w:rsidR="00C07901" w:rsidRPr="00CF43DE" w:rsidRDefault="00C07901" w:rsidP="00C07901">
            <w:pPr>
              <w:rPr>
                <w:b/>
                <w:sz w:val="20"/>
              </w:rPr>
            </w:pPr>
            <w:r w:rsidRPr="00CF43DE">
              <w:rPr>
                <w:b/>
                <w:sz w:val="20"/>
              </w:rPr>
              <w:t>Pesticidi</w:t>
            </w:r>
          </w:p>
          <w:p w14:paraId="6D592A1E" w14:textId="77777777" w:rsidR="00C07901" w:rsidRPr="00CF43DE" w:rsidRDefault="00C07901" w:rsidP="00C07901">
            <w:pPr>
              <w:numPr>
                <w:ilvl w:val="0"/>
                <w:numId w:val="10"/>
              </w:numPr>
              <w:rPr>
                <w:sz w:val="20"/>
              </w:rPr>
            </w:pPr>
            <w:r w:rsidRPr="00CF43DE">
              <w:rPr>
                <w:sz w:val="20"/>
              </w:rPr>
              <w:t xml:space="preserve">Vzpostavitev digitalne evidence prodanih FFS </w:t>
            </w:r>
            <w:proofErr w:type="spellStart"/>
            <w:r w:rsidRPr="00CF43DE">
              <w:rPr>
                <w:sz w:val="20"/>
              </w:rPr>
              <w:t>over-the-counteri</w:t>
            </w:r>
            <w:proofErr w:type="spellEnd"/>
            <w:r w:rsidRPr="00CF43DE">
              <w:rPr>
                <w:sz w:val="20"/>
              </w:rPr>
              <w:t xml:space="preserve"> </w:t>
            </w:r>
            <w:proofErr w:type="spellStart"/>
            <w:r w:rsidRPr="00CF43DE">
              <w:rPr>
                <w:sz w:val="20"/>
              </w:rPr>
              <w:t>zobraževanje</w:t>
            </w:r>
            <w:proofErr w:type="spellEnd"/>
            <w:r w:rsidRPr="00CF43DE">
              <w:rPr>
                <w:sz w:val="20"/>
              </w:rPr>
              <w:t xml:space="preserve"> uporabnikov FFS glede uporabe mikroorganizmov za zaščito pridelkov</w:t>
            </w:r>
          </w:p>
          <w:p w14:paraId="10B1B1E5" w14:textId="77777777" w:rsidR="00C07901" w:rsidRPr="00CF43DE" w:rsidRDefault="00C07901" w:rsidP="00C07901">
            <w:pPr>
              <w:numPr>
                <w:ilvl w:val="0"/>
                <w:numId w:val="10"/>
              </w:numPr>
              <w:rPr>
                <w:sz w:val="20"/>
              </w:rPr>
            </w:pPr>
            <w:r w:rsidRPr="00CF43DE">
              <w:rPr>
                <w:sz w:val="20"/>
              </w:rPr>
              <w:t xml:space="preserve">vlaganje v raziskave in razvoj za vpeljavo alternativnih metod, ki bodo omogočile zmanjšanje odvisnosti od rabe FFS </w:t>
            </w:r>
          </w:p>
          <w:p w14:paraId="0C024E60" w14:textId="77777777" w:rsidR="00C07901" w:rsidRPr="00CF43DE" w:rsidRDefault="00C07901" w:rsidP="00C07901">
            <w:pPr>
              <w:numPr>
                <w:ilvl w:val="0"/>
                <w:numId w:val="10"/>
              </w:numPr>
              <w:rPr>
                <w:sz w:val="20"/>
              </w:rPr>
            </w:pPr>
            <w:r w:rsidRPr="00CF43DE">
              <w:rPr>
                <w:sz w:val="20"/>
              </w:rPr>
              <w:t>vlaganje v stroje in opremo za izvajanje alternativnih metod</w:t>
            </w:r>
          </w:p>
          <w:p w14:paraId="4F85647C" w14:textId="77777777" w:rsidR="00C07901" w:rsidRPr="00CF43DE" w:rsidRDefault="00C07901" w:rsidP="00C07901">
            <w:pPr>
              <w:numPr>
                <w:ilvl w:val="0"/>
                <w:numId w:val="10"/>
              </w:numPr>
              <w:rPr>
                <w:sz w:val="20"/>
              </w:rPr>
            </w:pPr>
            <w:r w:rsidRPr="00CF43DE">
              <w:rPr>
                <w:sz w:val="20"/>
              </w:rPr>
              <w:lastRenderedPageBreak/>
              <w:t>razvoj novih odpornih sort na bolezni in škodljivce</w:t>
            </w:r>
          </w:p>
          <w:p w14:paraId="4B6CB7F2" w14:textId="77777777" w:rsidR="00C07901" w:rsidRPr="00CF43DE" w:rsidRDefault="00C07901" w:rsidP="00C07901">
            <w:pPr>
              <w:numPr>
                <w:ilvl w:val="0"/>
                <w:numId w:val="10"/>
              </w:numPr>
              <w:rPr>
                <w:sz w:val="20"/>
              </w:rPr>
            </w:pPr>
            <w:r w:rsidRPr="00CF43DE">
              <w:rPr>
                <w:sz w:val="20"/>
              </w:rPr>
              <w:t>krepitev  javne službe zdravstvenega varstva rastlin za izvajanje prognoze in svetovanja glede alternativnih metod v okviru IVR</w:t>
            </w:r>
          </w:p>
          <w:p w14:paraId="24D9A305" w14:textId="77777777" w:rsidR="00C07901" w:rsidRPr="00CF43DE" w:rsidRDefault="00C07901" w:rsidP="00C07901">
            <w:pPr>
              <w:numPr>
                <w:ilvl w:val="0"/>
                <w:numId w:val="10"/>
              </w:numPr>
              <w:rPr>
                <w:sz w:val="20"/>
              </w:rPr>
            </w:pPr>
            <w:r w:rsidRPr="00CF43DE">
              <w:rPr>
                <w:sz w:val="20"/>
              </w:rPr>
              <w:t>razvoj novih metod izvajanja programov preiskav, ki bi omogočali zgodnejše odkrivanje novih žarišč in racionalizirali preglede ter s tem povečali njihov obseg (</w:t>
            </w:r>
            <w:proofErr w:type="spellStart"/>
            <w:r w:rsidRPr="00CF43DE">
              <w:rPr>
                <w:sz w:val="20"/>
              </w:rPr>
              <w:t>droni</w:t>
            </w:r>
            <w:proofErr w:type="spellEnd"/>
            <w:r w:rsidRPr="00CF43DE">
              <w:rPr>
                <w:sz w:val="20"/>
              </w:rPr>
              <w:t>, pasti za daljinsko zaznavanje, …)</w:t>
            </w:r>
          </w:p>
          <w:p w14:paraId="4C4FC411" w14:textId="77777777" w:rsidR="00C07901" w:rsidRPr="00CF43DE" w:rsidRDefault="00C07901" w:rsidP="00C07901">
            <w:pPr>
              <w:numPr>
                <w:ilvl w:val="0"/>
                <w:numId w:val="10"/>
              </w:numPr>
              <w:rPr>
                <w:sz w:val="20"/>
              </w:rPr>
            </w:pPr>
            <w:r w:rsidRPr="00CF43DE">
              <w:rPr>
                <w:sz w:val="20"/>
              </w:rPr>
              <w:t>okrepitev laboratorijske dejavnosti na področju določanja bolezni in škodljivcev rastlin</w:t>
            </w:r>
          </w:p>
          <w:p w14:paraId="2B21A46E" w14:textId="77777777" w:rsidR="00C07901" w:rsidRPr="00CF43DE" w:rsidRDefault="00C07901" w:rsidP="00C07901">
            <w:pPr>
              <w:rPr>
                <w:sz w:val="20"/>
              </w:rPr>
            </w:pPr>
          </w:p>
          <w:p w14:paraId="44ADEB26" w14:textId="77777777" w:rsidR="00C07901" w:rsidRPr="00CF43DE" w:rsidRDefault="00C07901" w:rsidP="00C07901">
            <w:pPr>
              <w:rPr>
                <w:b/>
                <w:sz w:val="20"/>
              </w:rPr>
            </w:pPr>
            <w:r w:rsidRPr="00CF43DE">
              <w:rPr>
                <w:b/>
                <w:sz w:val="20"/>
              </w:rPr>
              <w:t>Dobrobit živali</w:t>
            </w:r>
          </w:p>
          <w:p w14:paraId="5F22ECD1" w14:textId="77777777" w:rsidR="00C07901" w:rsidRPr="00CF43DE" w:rsidRDefault="00C07901" w:rsidP="00C07901">
            <w:pPr>
              <w:numPr>
                <w:ilvl w:val="0"/>
                <w:numId w:val="10"/>
              </w:numPr>
              <w:rPr>
                <w:sz w:val="20"/>
              </w:rPr>
            </w:pPr>
            <w:r w:rsidRPr="00CF43DE">
              <w:rPr>
                <w:sz w:val="20"/>
              </w:rPr>
              <w:t>usposobljenost in motiviranost KMG, da prevzamejo trajnostne kmetijske prakse</w:t>
            </w:r>
          </w:p>
          <w:p w14:paraId="59E3E9DD" w14:textId="77777777" w:rsidR="00C07901" w:rsidRPr="00CF43DE" w:rsidRDefault="00C07901" w:rsidP="00C07901">
            <w:pPr>
              <w:numPr>
                <w:ilvl w:val="0"/>
                <w:numId w:val="10"/>
              </w:numPr>
              <w:rPr>
                <w:sz w:val="20"/>
              </w:rPr>
            </w:pPr>
            <w:r w:rsidRPr="00CF43DE">
              <w:rPr>
                <w:sz w:val="20"/>
              </w:rPr>
              <w:t xml:space="preserve">osveščanje rejcev in potrošnikov o vplivu dobrobiti živali na zmanjšanje protimikrobne odpornosti </w:t>
            </w:r>
          </w:p>
          <w:p w14:paraId="178F9842" w14:textId="77777777" w:rsidR="00C07901" w:rsidRPr="00CF43DE" w:rsidRDefault="00C07901" w:rsidP="00C07901">
            <w:pPr>
              <w:numPr>
                <w:ilvl w:val="0"/>
                <w:numId w:val="10"/>
              </w:numPr>
              <w:rPr>
                <w:sz w:val="20"/>
              </w:rPr>
            </w:pPr>
            <w:r w:rsidRPr="00CF43DE">
              <w:rPr>
                <w:sz w:val="20"/>
              </w:rPr>
              <w:t>komuniciranje s potrošniki o dobrobiti živali v reji na način, da se vpelje enotne oznake za označevanje dobrobiti živali na izdelkih</w:t>
            </w:r>
          </w:p>
          <w:p w14:paraId="7AD0CEB3" w14:textId="77777777" w:rsidR="00C07901" w:rsidRPr="00CF43DE" w:rsidRDefault="00C07901" w:rsidP="00C07901">
            <w:pPr>
              <w:numPr>
                <w:ilvl w:val="0"/>
                <w:numId w:val="10"/>
              </w:numPr>
              <w:rPr>
                <w:sz w:val="20"/>
              </w:rPr>
            </w:pPr>
            <w:r w:rsidRPr="00CF43DE">
              <w:rPr>
                <w:sz w:val="20"/>
              </w:rPr>
              <w:t>vključevanje proizvodov iz nadstandardnih, živalim prilagojenih sistemov reje v sheme kakovosti je priložnost za izboljšanje dodane vrednosti in s tem boljši dohodkovni položaj kmetij</w:t>
            </w:r>
          </w:p>
          <w:p w14:paraId="3796A81B" w14:textId="77777777" w:rsidR="00C07901" w:rsidRPr="00CF43DE" w:rsidRDefault="00C07901" w:rsidP="00C07901">
            <w:pPr>
              <w:numPr>
                <w:ilvl w:val="0"/>
                <w:numId w:val="10"/>
              </w:numPr>
              <w:rPr>
                <w:sz w:val="20"/>
              </w:rPr>
            </w:pPr>
            <w:r w:rsidRPr="00CF43DE">
              <w:rPr>
                <w:sz w:val="20"/>
              </w:rPr>
              <w:t>uporaba finančnih virov skupne kmetijske politike in informacijskih virov EU za spodbujanje višjih standardov dobrobiti živali</w:t>
            </w:r>
          </w:p>
          <w:p w14:paraId="29BBF00C" w14:textId="77777777" w:rsidR="00C07901" w:rsidRPr="00CF43DE" w:rsidRDefault="00C07901" w:rsidP="00C07901">
            <w:pPr>
              <w:rPr>
                <w:b/>
                <w:bCs/>
                <w:sz w:val="20"/>
              </w:rPr>
            </w:pPr>
          </w:p>
          <w:p w14:paraId="29F4C6D7" w14:textId="77777777" w:rsidR="00C07901" w:rsidRPr="00CF43DE" w:rsidRDefault="00C07901" w:rsidP="00C07901">
            <w:pPr>
              <w:rPr>
                <w:b/>
                <w:bCs/>
                <w:sz w:val="20"/>
              </w:rPr>
            </w:pPr>
            <w:r w:rsidRPr="00CF43DE">
              <w:rPr>
                <w:b/>
                <w:bCs/>
                <w:sz w:val="20"/>
              </w:rPr>
              <w:t>Odpadna hrana</w:t>
            </w:r>
          </w:p>
          <w:p w14:paraId="2E7CEEB6" w14:textId="77777777" w:rsidR="00C07901" w:rsidRPr="00CF43DE" w:rsidRDefault="00C07901" w:rsidP="00C07901">
            <w:pPr>
              <w:numPr>
                <w:ilvl w:val="0"/>
                <w:numId w:val="10"/>
              </w:numPr>
              <w:rPr>
                <w:sz w:val="20"/>
              </w:rPr>
            </w:pPr>
            <w:r w:rsidRPr="00CF43DE">
              <w:rPr>
                <w:sz w:val="20"/>
              </w:rPr>
              <w:t>Inovacije in raziskave v kmetijstvu in živilstvu na temo preprečevanja izgub in odpadne hrane (nova in funkcionalna živila in sestavine, precizno kmetijstvo, da je pridelek zdrav, količinski in ustreza tržnim standardom, pametna embalaža,…).</w:t>
            </w:r>
          </w:p>
          <w:p w14:paraId="09DE9656" w14:textId="77777777" w:rsidR="00C07901" w:rsidRPr="00CF43DE" w:rsidRDefault="00C07901" w:rsidP="00C07901">
            <w:pPr>
              <w:numPr>
                <w:ilvl w:val="0"/>
                <w:numId w:val="10"/>
              </w:numPr>
              <w:rPr>
                <w:sz w:val="20"/>
              </w:rPr>
            </w:pPr>
            <w:r w:rsidRPr="00CF43DE">
              <w:rPr>
                <w:sz w:val="20"/>
              </w:rPr>
              <w:t xml:space="preserve">Digitalizacija proizvodnje in predelave, </w:t>
            </w:r>
            <w:r w:rsidRPr="00CF43DE">
              <w:rPr>
                <w:sz w:val="20"/>
              </w:rPr>
              <w:lastRenderedPageBreak/>
              <w:t>logistike, prodaje.</w:t>
            </w:r>
          </w:p>
          <w:p w14:paraId="3B3A0908" w14:textId="77777777" w:rsidR="00C07901" w:rsidRPr="00CF43DE" w:rsidRDefault="00C07901" w:rsidP="00C07901">
            <w:pPr>
              <w:numPr>
                <w:ilvl w:val="0"/>
                <w:numId w:val="10"/>
              </w:numPr>
              <w:rPr>
                <w:sz w:val="20"/>
              </w:rPr>
            </w:pPr>
            <w:r w:rsidRPr="00CF43DE">
              <w:rPr>
                <w:sz w:val="20"/>
              </w:rPr>
              <w:t>Veriga preskrbe s hrano je senzibilizirana za to temo.</w:t>
            </w:r>
          </w:p>
          <w:p w14:paraId="3C793CB1" w14:textId="77777777" w:rsidR="00C07901" w:rsidRPr="00CF43DE" w:rsidRDefault="00C07901" w:rsidP="00C07901">
            <w:pPr>
              <w:numPr>
                <w:ilvl w:val="0"/>
                <w:numId w:val="10"/>
              </w:numPr>
              <w:rPr>
                <w:sz w:val="20"/>
              </w:rPr>
            </w:pPr>
            <w:r w:rsidRPr="00CF43DE">
              <w:rPr>
                <w:sz w:val="20"/>
              </w:rPr>
              <w:t>Številne možnosti ukrepanja na nivoju lokalne pridelave in lokalno naravnanih ukrepov za preprečevanje, zmanjševanje in uporabo.</w:t>
            </w:r>
          </w:p>
          <w:p w14:paraId="121A2267" w14:textId="77777777" w:rsidR="00C07901" w:rsidRPr="00CF43DE" w:rsidRDefault="00C07901" w:rsidP="00C07901">
            <w:pPr>
              <w:numPr>
                <w:ilvl w:val="0"/>
                <w:numId w:val="10"/>
              </w:numPr>
              <w:rPr>
                <w:sz w:val="20"/>
              </w:rPr>
            </w:pPr>
            <w:r w:rsidRPr="00CF43DE">
              <w:rPr>
                <w:sz w:val="20"/>
              </w:rPr>
              <w:t>Novi trendi zauživanja hrane, ki upoštevajo trajnostne in prehranske smernice (nove sheme,…).</w:t>
            </w:r>
          </w:p>
          <w:p w14:paraId="0FA68391" w14:textId="77777777" w:rsidR="00C07901" w:rsidRPr="00CF43DE" w:rsidRDefault="00C07901" w:rsidP="00C07901">
            <w:pPr>
              <w:numPr>
                <w:ilvl w:val="0"/>
                <w:numId w:val="10"/>
              </w:numPr>
              <w:rPr>
                <w:sz w:val="20"/>
              </w:rPr>
            </w:pPr>
            <w:r w:rsidRPr="00CF43DE">
              <w:rPr>
                <w:sz w:val="20"/>
              </w:rPr>
              <w:t>Različne oblike davčnih razbremenitev v celotni verigi.</w:t>
            </w:r>
          </w:p>
          <w:p w14:paraId="0212035B" w14:textId="77777777" w:rsidR="00C07901" w:rsidRPr="00CF43DE" w:rsidRDefault="00C07901" w:rsidP="00C07901">
            <w:pPr>
              <w:numPr>
                <w:ilvl w:val="0"/>
                <w:numId w:val="10"/>
              </w:numPr>
              <w:rPr>
                <w:sz w:val="20"/>
              </w:rPr>
            </w:pPr>
            <w:proofErr w:type="spellStart"/>
            <w:r w:rsidRPr="00CF43DE">
              <w:rPr>
                <w:sz w:val="20"/>
              </w:rPr>
              <w:t>Biogospodarski</w:t>
            </w:r>
            <w:proofErr w:type="spellEnd"/>
            <w:r w:rsidRPr="00CF43DE">
              <w:rPr>
                <w:sz w:val="20"/>
              </w:rPr>
              <w:t xml:space="preserve"> potencial primarne kmetijske pridelave in </w:t>
            </w:r>
            <w:proofErr w:type="spellStart"/>
            <w:r w:rsidRPr="00CF43DE">
              <w:rPr>
                <w:sz w:val="20"/>
              </w:rPr>
              <w:t>živilskopredelovlne</w:t>
            </w:r>
            <w:proofErr w:type="spellEnd"/>
            <w:r w:rsidRPr="00CF43DE">
              <w:rPr>
                <w:sz w:val="20"/>
              </w:rPr>
              <w:t xml:space="preserve"> industrije.</w:t>
            </w:r>
          </w:p>
          <w:p w14:paraId="08177DF3" w14:textId="77777777" w:rsidR="00C07901" w:rsidRPr="00CF43DE" w:rsidRDefault="00C07901" w:rsidP="00C07901">
            <w:pPr>
              <w:numPr>
                <w:ilvl w:val="0"/>
                <w:numId w:val="10"/>
              </w:numPr>
              <w:rPr>
                <w:sz w:val="20"/>
              </w:rPr>
            </w:pPr>
            <w:r w:rsidRPr="00CF43DE">
              <w:rPr>
                <w:sz w:val="20"/>
              </w:rPr>
              <w:t>Možnost novih inovativnih proizvodov in trženje ter promoviranje le-teh (z ustvarjanjem manj odpadkov, ponovna uporaba, uporaba ostankov,  proizvodnje za stranske produkte, uporaba nepopolnih proizvodov/</w:t>
            </w:r>
            <w:proofErr w:type="spellStart"/>
            <w:r w:rsidRPr="00CF43DE">
              <w:rPr>
                <w:sz w:val="20"/>
              </w:rPr>
              <w:t>ugly</w:t>
            </w:r>
            <w:proofErr w:type="spellEnd"/>
            <w:r w:rsidRPr="00CF43DE">
              <w:rPr>
                <w:sz w:val="20"/>
              </w:rPr>
              <w:t xml:space="preserve"> </w:t>
            </w:r>
            <w:proofErr w:type="spellStart"/>
            <w:r w:rsidRPr="00CF43DE">
              <w:rPr>
                <w:sz w:val="20"/>
              </w:rPr>
              <w:t>food</w:t>
            </w:r>
            <w:proofErr w:type="spellEnd"/>
            <w:r w:rsidRPr="00CF43DE">
              <w:rPr>
                <w:sz w:val="20"/>
              </w:rPr>
              <w:t>…).</w:t>
            </w:r>
          </w:p>
          <w:p w14:paraId="08477620" w14:textId="77777777" w:rsidR="00C07901" w:rsidRPr="00CF43DE" w:rsidRDefault="00C07901" w:rsidP="00C07901">
            <w:pPr>
              <w:numPr>
                <w:ilvl w:val="0"/>
                <w:numId w:val="10"/>
              </w:numPr>
              <w:rPr>
                <w:sz w:val="20"/>
              </w:rPr>
            </w:pPr>
            <w:r w:rsidRPr="00CF43DE">
              <w:rPr>
                <w:sz w:val="20"/>
              </w:rPr>
              <w:t>Razdrobljeni a sicer aktivni proizvajalci, zakonodajne inštitucije. raziskovalne in strokovne ekipe, akterji na terenu so v trenutnem stanju razvoja tudi ena izmed najbolj kompetentnih skupin za poznavanje področja odpadne hrane, katerih kompetence je mogoče povezati v kakovostno strateško telo.</w:t>
            </w:r>
          </w:p>
          <w:p w14:paraId="388B5F7D" w14:textId="77777777" w:rsidR="00C07901" w:rsidRPr="00CF43DE" w:rsidRDefault="00C07901" w:rsidP="00C07901">
            <w:pPr>
              <w:numPr>
                <w:ilvl w:val="0"/>
                <w:numId w:val="10"/>
              </w:numPr>
              <w:rPr>
                <w:sz w:val="20"/>
              </w:rPr>
            </w:pPr>
            <w:r w:rsidRPr="00CF43DE">
              <w:rPr>
                <w:sz w:val="20"/>
              </w:rPr>
              <w:t>Krepitev primarnih proizvajalcev v verigi preskrbe s hrano (OP, povezovanje, prilagajanje sistema javnih naročil…).</w:t>
            </w:r>
          </w:p>
          <w:p w14:paraId="55DB1FFE" w14:textId="77777777" w:rsidR="00C07901" w:rsidRPr="00CF43DE" w:rsidRDefault="00C07901" w:rsidP="00C07901">
            <w:pPr>
              <w:numPr>
                <w:ilvl w:val="0"/>
                <w:numId w:val="10"/>
              </w:numPr>
              <w:rPr>
                <w:sz w:val="20"/>
              </w:rPr>
            </w:pPr>
            <w:r w:rsidRPr="00CF43DE">
              <w:rPr>
                <w:sz w:val="20"/>
              </w:rPr>
              <w:t>Izobraževanje v šolah in vrtcih o preprečevanju nastajanja odpadne hrane.</w:t>
            </w:r>
          </w:p>
          <w:p w14:paraId="779FC7B3" w14:textId="77777777" w:rsidR="00C07901" w:rsidRPr="00CF43DE" w:rsidRDefault="00C07901" w:rsidP="00C07901">
            <w:pPr>
              <w:rPr>
                <w:sz w:val="20"/>
              </w:rPr>
            </w:pPr>
          </w:p>
        </w:tc>
        <w:tc>
          <w:tcPr>
            <w:tcW w:w="2500" w:type="pct"/>
            <w:tcBorders>
              <w:top w:val="single" w:sz="4" w:space="0" w:color="auto"/>
              <w:left w:val="single" w:sz="4" w:space="0" w:color="auto"/>
              <w:bottom w:val="single" w:sz="4" w:space="0" w:color="auto"/>
              <w:right w:val="single" w:sz="4" w:space="0" w:color="auto"/>
            </w:tcBorders>
          </w:tcPr>
          <w:p w14:paraId="47BD26B2" w14:textId="77777777" w:rsidR="00C07901" w:rsidRPr="00CF43DE" w:rsidRDefault="00C07901" w:rsidP="00C07901">
            <w:pPr>
              <w:rPr>
                <w:b/>
                <w:bCs/>
                <w:sz w:val="20"/>
              </w:rPr>
            </w:pPr>
          </w:p>
          <w:p w14:paraId="3E82607E" w14:textId="77777777" w:rsidR="00C07901" w:rsidRPr="00CF43DE" w:rsidRDefault="00C07901" w:rsidP="00C07901">
            <w:pPr>
              <w:rPr>
                <w:b/>
                <w:sz w:val="20"/>
              </w:rPr>
            </w:pPr>
            <w:r w:rsidRPr="00CF43DE">
              <w:rPr>
                <w:b/>
                <w:sz w:val="20"/>
              </w:rPr>
              <w:t>Zdravila za živali</w:t>
            </w:r>
          </w:p>
          <w:p w14:paraId="2ABC95D8" w14:textId="77777777" w:rsidR="00C07901" w:rsidRPr="00CF43DE" w:rsidRDefault="00C07901" w:rsidP="00C07901">
            <w:pPr>
              <w:numPr>
                <w:ilvl w:val="0"/>
                <w:numId w:val="3"/>
              </w:numPr>
              <w:rPr>
                <w:sz w:val="20"/>
              </w:rPr>
            </w:pPr>
            <w:r w:rsidRPr="00CF43DE">
              <w:rPr>
                <w:sz w:val="20"/>
              </w:rPr>
              <w:t xml:space="preserve">nespoštovanje dobrih rejskih praks izvajanja potrebnih  higienskih in drugih </w:t>
            </w:r>
            <w:proofErr w:type="spellStart"/>
            <w:r w:rsidRPr="00CF43DE">
              <w:rPr>
                <w:sz w:val="20"/>
              </w:rPr>
              <w:t>biovarnostnih</w:t>
            </w:r>
            <w:proofErr w:type="spellEnd"/>
            <w:r w:rsidRPr="00CF43DE">
              <w:rPr>
                <w:sz w:val="20"/>
              </w:rPr>
              <w:t xml:space="preserve"> ukrepov v rejah živali za preprečevanje vnosa kužnih bolezni in prenosa odpornosti mikrobov vodi v večjo porabo protimikrobnih zdravil in povečuje tveganje za pojav in širjenje mikrobne odpornosti</w:t>
            </w:r>
          </w:p>
          <w:p w14:paraId="1FCD51AB" w14:textId="77777777" w:rsidR="00C07901" w:rsidRPr="00CF43DE" w:rsidRDefault="00C07901" w:rsidP="00C07901">
            <w:pPr>
              <w:numPr>
                <w:ilvl w:val="0"/>
                <w:numId w:val="3"/>
              </w:numPr>
              <w:rPr>
                <w:sz w:val="20"/>
              </w:rPr>
            </w:pPr>
            <w:r w:rsidRPr="00CF43DE">
              <w:rPr>
                <w:sz w:val="20"/>
              </w:rPr>
              <w:t xml:space="preserve">nepoznavanje in nerazumevanja rejcev ter veterinarjev zvišuje tveganja, ki jih za zdravje ljudi in živali lahko prinaša  raba antibiotikov (zlasti, če je ta neprimerna, neustrezna, prekomerna, iz nelegalne nabave, nekontrolirana ipd.) </w:t>
            </w:r>
          </w:p>
          <w:p w14:paraId="22C2CA90" w14:textId="77777777" w:rsidR="00C07901" w:rsidRPr="00CF43DE" w:rsidRDefault="00C07901" w:rsidP="00C07901">
            <w:pPr>
              <w:numPr>
                <w:ilvl w:val="0"/>
                <w:numId w:val="3"/>
              </w:numPr>
              <w:rPr>
                <w:sz w:val="20"/>
              </w:rPr>
            </w:pPr>
            <w:r w:rsidRPr="00CF43DE">
              <w:rPr>
                <w:sz w:val="20"/>
              </w:rPr>
              <w:t>vprašljiv dostop do kreditnih linij</w:t>
            </w:r>
          </w:p>
          <w:p w14:paraId="25E1CE0E" w14:textId="77777777" w:rsidR="00C07901" w:rsidRPr="00CF43DE" w:rsidRDefault="00C07901" w:rsidP="00C07901">
            <w:pPr>
              <w:numPr>
                <w:ilvl w:val="0"/>
                <w:numId w:val="3"/>
              </w:numPr>
              <w:rPr>
                <w:sz w:val="20"/>
              </w:rPr>
            </w:pPr>
            <w:r w:rsidRPr="00CF43DE">
              <w:rPr>
                <w:sz w:val="20"/>
              </w:rPr>
              <w:t xml:space="preserve">nespoštovanje izvajanja potrebnih  higienskih in drugih </w:t>
            </w:r>
            <w:proofErr w:type="spellStart"/>
            <w:r w:rsidRPr="00CF43DE">
              <w:rPr>
                <w:sz w:val="20"/>
              </w:rPr>
              <w:t>biovarnostnih</w:t>
            </w:r>
            <w:proofErr w:type="spellEnd"/>
            <w:r w:rsidRPr="00CF43DE">
              <w:rPr>
                <w:sz w:val="20"/>
              </w:rPr>
              <w:t xml:space="preserve"> ukrepov v rejah živali za preprečevanje vnosa in prenosa povzročiteljev kužnih bolezni vodi v večjo porabo antibiotikov in povečuje tveganje za pojav in širjenje mikrobne odpornosti</w:t>
            </w:r>
          </w:p>
          <w:p w14:paraId="62AABD76" w14:textId="77777777" w:rsidR="00C07901" w:rsidRPr="00CF43DE" w:rsidRDefault="00C07901" w:rsidP="00C07901">
            <w:pPr>
              <w:numPr>
                <w:ilvl w:val="0"/>
                <w:numId w:val="3"/>
              </w:numPr>
              <w:rPr>
                <w:sz w:val="20"/>
              </w:rPr>
            </w:pPr>
            <w:r w:rsidRPr="00CF43DE">
              <w:rPr>
                <w:sz w:val="20"/>
              </w:rPr>
              <w:t xml:space="preserve">nepoznavanje in nerazumevanja rejcev ter veterinarjev zvišuje tveganja, ki jih za zdravje ljudi in živali lahko prinaša  raba antibiotikov </w:t>
            </w:r>
            <w:r w:rsidRPr="00CF43DE">
              <w:rPr>
                <w:sz w:val="20"/>
              </w:rPr>
              <w:lastRenderedPageBreak/>
              <w:t xml:space="preserve">(zlasti, če je ta neprimerna, neustrezna, prekomerna, iz nelegalne nabave, nekontrolirana ipd.) </w:t>
            </w:r>
          </w:p>
          <w:p w14:paraId="4285F9BE" w14:textId="77777777" w:rsidR="00C07901" w:rsidRPr="00CF43DE" w:rsidRDefault="00C07901" w:rsidP="00C07901">
            <w:pPr>
              <w:rPr>
                <w:b/>
                <w:sz w:val="20"/>
              </w:rPr>
            </w:pPr>
            <w:r w:rsidRPr="00CF43DE">
              <w:rPr>
                <w:b/>
                <w:sz w:val="20"/>
              </w:rPr>
              <w:t>Pesticidi</w:t>
            </w:r>
          </w:p>
          <w:p w14:paraId="28CAD158" w14:textId="77777777" w:rsidR="00C07901" w:rsidRPr="00CF43DE" w:rsidRDefault="00C07901" w:rsidP="00C07901">
            <w:pPr>
              <w:numPr>
                <w:ilvl w:val="0"/>
                <w:numId w:val="3"/>
              </w:numPr>
              <w:rPr>
                <w:sz w:val="20"/>
              </w:rPr>
            </w:pPr>
            <w:r w:rsidRPr="00CF43DE">
              <w:rPr>
                <w:sz w:val="20"/>
              </w:rPr>
              <w:t xml:space="preserve">določenih bolezni ali škodljivcev ne bo mogoče ustrezno zatirati zaradi zmanjšane dostopnosti FFS ter nezadostne razpoložljivosti </w:t>
            </w:r>
            <w:proofErr w:type="spellStart"/>
            <w:r w:rsidRPr="00CF43DE">
              <w:rPr>
                <w:sz w:val="20"/>
              </w:rPr>
              <w:t>nekemičnih</w:t>
            </w:r>
            <w:proofErr w:type="spellEnd"/>
            <w:r w:rsidRPr="00CF43DE">
              <w:rPr>
                <w:sz w:val="20"/>
              </w:rPr>
              <w:t xml:space="preserve"> metod</w:t>
            </w:r>
          </w:p>
          <w:p w14:paraId="07CDDAA3" w14:textId="77777777" w:rsidR="00C07901" w:rsidRPr="00CF43DE" w:rsidRDefault="00C07901" w:rsidP="00C07901">
            <w:pPr>
              <w:numPr>
                <w:ilvl w:val="0"/>
                <w:numId w:val="3"/>
              </w:numPr>
              <w:rPr>
                <w:sz w:val="20"/>
              </w:rPr>
            </w:pPr>
            <w:r w:rsidRPr="00CF43DE">
              <w:rPr>
                <w:sz w:val="20"/>
              </w:rPr>
              <w:t>določene sorte v sadjarstvu in vinogradništvu bodo ekonomsko nezanimive zaradi majhne odpornosti na škodljive organizme</w:t>
            </w:r>
          </w:p>
          <w:p w14:paraId="7F49657E" w14:textId="77777777" w:rsidR="00C07901" w:rsidRPr="00CF43DE" w:rsidRDefault="00C07901" w:rsidP="00C07901">
            <w:pPr>
              <w:numPr>
                <w:ilvl w:val="0"/>
                <w:numId w:val="3"/>
              </w:numPr>
              <w:rPr>
                <w:sz w:val="20"/>
              </w:rPr>
            </w:pPr>
            <w:r w:rsidRPr="00CF43DE">
              <w:rPr>
                <w:sz w:val="20"/>
              </w:rPr>
              <w:t>propad določenih kmetijskih gospodarstev zaradi nezmožnosti konkuriranja novim tehnologijam (alternativne metode)</w:t>
            </w:r>
          </w:p>
          <w:p w14:paraId="3DC7A183" w14:textId="77777777" w:rsidR="00C07901" w:rsidRPr="00CF43DE" w:rsidRDefault="00C07901" w:rsidP="00C07901">
            <w:pPr>
              <w:numPr>
                <w:ilvl w:val="0"/>
                <w:numId w:val="3"/>
              </w:numPr>
              <w:rPr>
                <w:sz w:val="20"/>
              </w:rPr>
            </w:pPr>
            <w:r w:rsidRPr="00CF43DE">
              <w:rPr>
                <w:sz w:val="20"/>
              </w:rPr>
              <w:t xml:space="preserve">slabo poznavanje in nerazumevanje pridelovalcev glede izvajanja nujnih ukrepov za izkoreninjenje karantenskih škodljivih </w:t>
            </w:r>
          </w:p>
          <w:p w14:paraId="2E8BF97B" w14:textId="77777777" w:rsidR="00C07901" w:rsidRPr="00CF43DE" w:rsidRDefault="00C07901" w:rsidP="00C07901">
            <w:pPr>
              <w:numPr>
                <w:ilvl w:val="0"/>
                <w:numId w:val="3"/>
              </w:numPr>
              <w:rPr>
                <w:sz w:val="20"/>
              </w:rPr>
            </w:pPr>
            <w:r w:rsidRPr="00CF43DE">
              <w:rPr>
                <w:sz w:val="20"/>
              </w:rPr>
              <w:t>organizmov,.dvig stroškov pridelave zaradi dragih strojev in opreme za izvajanje alternativnih metod</w:t>
            </w:r>
          </w:p>
          <w:p w14:paraId="4AEEA3D2" w14:textId="77777777" w:rsidR="00C07901" w:rsidRPr="00CF43DE" w:rsidRDefault="00C07901" w:rsidP="00C07901">
            <w:pPr>
              <w:numPr>
                <w:ilvl w:val="0"/>
                <w:numId w:val="3"/>
              </w:numPr>
              <w:rPr>
                <w:sz w:val="20"/>
              </w:rPr>
            </w:pPr>
            <w:r w:rsidRPr="00CF43DE">
              <w:rPr>
                <w:sz w:val="20"/>
              </w:rPr>
              <w:t>pomanjkljivo poznavanje ukrepov IVR</w:t>
            </w:r>
          </w:p>
          <w:p w14:paraId="65A02D26" w14:textId="62CB3789" w:rsidR="00C07901" w:rsidRPr="00CF43DE" w:rsidRDefault="00733973" w:rsidP="00C07901">
            <w:pPr>
              <w:rPr>
                <w:b/>
                <w:sz w:val="20"/>
              </w:rPr>
            </w:pPr>
            <w:r>
              <w:rPr>
                <w:b/>
                <w:sz w:val="20"/>
              </w:rPr>
              <w:t>D</w:t>
            </w:r>
            <w:r w:rsidR="00C07901" w:rsidRPr="00CF43DE">
              <w:rPr>
                <w:b/>
                <w:sz w:val="20"/>
              </w:rPr>
              <w:t>obrobit živali</w:t>
            </w:r>
          </w:p>
          <w:p w14:paraId="530442A5" w14:textId="55988ECB" w:rsidR="00C07901" w:rsidRDefault="00C07901" w:rsidP="00C07901">
            <w:pPr>
              <w:numPr>
                <w:ilvl w:val="0"/>
                <w:numId w:val="3"/>
              </w:numPr>
              <w:rPr>
                <w:sz w:val="20"/>
              </w:rPr>
            </w:pPr>
            <w:r w:rsidRPr="00CF43DE">
              <w:rPr>
                <w:sz w:val="20"/>
              </w:rPr>
              <w:t>pojav novih kužnih bolezni</w:t>
            </w:r>
          </w:p>
          <w:p w14:paraId="2616EE92" w14:textId="432B6892" w:rsidR="00C07901" w:rsidRPr="00CF43DE" w:rsidRDefault="00733973" w:rsidP="00C07901">
            <w:pPr>
              <w:rPr>
                <w:b/>
                <w:bCs/>
                <w:sz w:val="20"/>
              </w:rPr>
            </w:pPr>
            <w:r>
              <w:rPr>
                <w:b/>
                <w:bCs/>
                <w:sz w:val="20"/>
              </w:rPr>
              <w:t>O</w:t>
            </w:r>
            <w:r w:rsidR="00C07901" w:rsidRPr="00CF43DE">
              <w:rPr>
                <w:b/>
                <w:bCs/>
                <w:sz w:val="20"/>
              </w:rPr>
              <w:t>dpadna hrana</w:t>
            </w:r>
          </w:p>
          <w:p w14:paraId="58CB2B1C" w14:textId="77777777" w:rsidR="00C07901" w:rsidRPr="00CF43DE" w:rsidRDefault="00C07901" w:rsidP="00C07901">
            <w:pPr>
              <w:numPr>
                <w:ilvl w:val="0"/>
                <w:numId w:val="13"/>
              </w:numPr>
              <w:rPr>
                <w:sz w:val="20"/>
              </w:rPr>
            </w:pPr>
            <w:r w:rsidRPr="00CF43DE">
              <w:rPr>
                <w:sz w:val="20"/>
              </w:rPr>
              <w:t>Sodobne hitro spreminjajoče potrošniške navade in okusi, ki jim kmetijska in živilska proizvodnja ne morejo slediti</w:t>
            </w:r>
          </w:p>
          <w:p w14:paraId="0541BA60" w14:textId="77777777" w:rsidR="00C07901" w:rsidRPr="00CF43DE" w:rsidRDefault="00C07901" w:rsidP="00C07901">
            <w:pPr>
              <w:numPr>
                <w:ilvl w:val="0"/>
                <w:numId w:val="13"/>
              </w:numPr>
              <w:rPr>
                <w:sz w:val="20"/>
              </w:rPr>
            </w:pPr>
            <w:r w:rsidRPr="00CF43DE">
              <w:rPr>
                <w:sz w:val="20"/>
              </w:rPr>
              <w:t>Pomanjkanje ozaveščenosti in pripravljenosti na zmanjševanje izgub in odpadne hrane, ko je potrebno dejansko ukrepanje</w:t>
            </w:r>
          </w:p>
          <w:p w14:paraId="4597A940" w14:textId="77777777" w:rsidR="00C07901" w:rsidRPr="00CF43DE" w:rsidRDefault="00C07901" w:rsidP="00C07901">
            <w:pPr>
              <w:numPr>
                <w:ilvl w:val="0"/>
                <w:numId w:val="13"/>
              </w:numPr>
              <w:rPr>
                <w:sz w:val="20"/>
              </w:rPr>
            </w:pPr>
            <w:r w:rsidRPr="00CF43DE">
              <w:rPr>
                <w:sz w:val="20"/>
              </w:rPr>
              <w:t>Premalo ozaveščanja in razlag zakonodaje o kakovosti in varnosti hrane</w:t>
            </w:r>
          </w:p>
          <w:p w14:paraId="6644D4D0" w14:textId="77777777" w:rsidR="00C07901" w:rsidRPr="00CF43DE" w:rsidRDefault="00C07901" w:rsidP="00C07901">
            <w:pPr>
              <w:numPr>
                <w:ilvl w:val="0"/>
                <w:numId w:val="13"/>
              </w:numPr>
              <w:rPr>
                <w:sz w:val="20"/>
              </w:rPr>
            </w:pPr>
            <w:r w:rsidRPr="00CF43DE">
              <w:rPr>
                <w:sz w:val="20"/>
              </w:rPr>
              <w:t>Prekomerno medijsko poročanje o tej temi in negativne medijske kampanje</w:t>
            </w:r>
          </w:p>
          <w:p w14:paraId="79A52439" w14:textId="77777777" w:rsidR="00C07901" w:rsidRPr="00CF43DE" w:rsidRDefault="00C07901" w:rsidP="00C07901">
            <w:pPr>
              <w:numPr>
                <w:ilvl w:val="0"/>
                <w:numId w:val="13"/>
              </w:numPr>
              <w:rPr>
                <w:sz w:val="20"/>
              </w:rPr>
            </w:pPr>
            <w:r w:rsidRPr="00CF43DE">
              <w:rPr>
                <w:sz w:val="20"/>
              </w:rPr>
              <w:t>Neusklajenost in nefleksibilnost področne zakonodaje</w:t>
            </w:r>
          </w:p>
          <w:p w14:paraId="4F6B97CA" w14:textId="77777777" w:rsidR="00C07901" w:rsidRPr="00CF43DE" w:rsidRDefault="00C07901" w:rsidP="00C07901">
            <w:pPr>
              <w:numPr>
                <w:ilvl w:val="0"/>
                <w:numId w:val="13"/>
              </w:numPr>
              <w:rPr>
                <w:sz w:val="20"/>
              </w:rPr>
            </w:pPr>
            <w:r w:rsidRPr="00CF43DE">
              <w:rPr>
                <w:sz w:val="20"/>
              </w:rPr>
              <w:t>Vrstni red prioritet politike in posameznikov/subjektov</w:t>
            </w:r>
          </w:p>
          <w:p w14:paraId="6DAB0E9A" w14:textId="77777777" w:rsidR="00C07901" w:rsidRPr="00CF43DE" w:rsidRDefault="00C07901" w:rsidP="00C07901">
            <w:pPr>
              <w:rPr>
                <w:sz w:val="20"/>
              </w:rPr>
            </w:pPr>
          </w:p>
          <w:p w14:paraId="565C0B34" w14:textId="77777777" w:rsidR="00C07901" w:rsidRPr="00CF43DE" w:rsidRDefault="00C07901" w:rsidP="00C07901">
            <w:pPr>
              <w:rPr>
                <w:sz w:val="20"/>
              </w:rPr>
            </w:pPr>
          </w:p>
          <w:p w14:paraId="24269AE4" w14:textId="77777777" w:rsidR="00C07901" w:rsidRPr="00CF43DE" w:rsidRDefault="00C07901" w:rsidP="00C07901">
            <w:pPr>
              <w:rPr>
                <w:sz w:val="20"/>
              </w:rPr>
            </w:pPr>
          </w:p>
        </w:tc>
      </w:tr>
    </w:tbl>
    <w:p w14:paraId="73578CB1" w14:textId="77777777" w:rsidR="00733973" w:rsidRDefault="00733973" w:rsidP="00733973">
      <w:pPr>
        <w:pStyle w:val="Naslov1"/>
        <w:ind w:left="720"/>
        <w:rPr>
          <w:rFonts w:ascii="Arial" w:hAnsi="Arial" w:cs="Arial"/>
          <w:b/>
          <w:bCs/>
        </w:rPr>
      </w:pPr>
    </w:p>
    <w:p w14:paraId="00BD5279" w14:textId="77777777" w:rsidR="00733973" w:rsidRDefault="00733973" w:rsidP="00733973"/>
    <w:p w14:paraId="7A119C48" w14:textId="77777777" w:rsidR="00733973" w:rsidRDefault="00733973" w:rsidP="00733973"/>
    <w:p w14:paraId="10A57C6F" w14:textId="77777777" w:rsidR="00733973" w:rsidRPr="00733973" w:rsidRDefault="00733973" w:rsidP="00733973"/>
    <w:p w14:paraId="302DBF4A" w14:textId="223658B0" w:rsidR="0059195F" w:rsidRDefault="0059195F" w:rsidP="009B695E">
      <w:pPr>
        <w:pStyle w:val="Naslov1"/>
        <w:numPr>
          <w:ilvl w:val="0"/>
          <w:numId w:val="14"/>
        </w:numPr>
        <w:rPr>
          <w:rFonts w:ascii="Arial" w:hAnsi="Arial" w:cs="Arial"/>
          <w:b/>
          <w:bCs/>
        </w:rPr>
      </w:pPr>
      <w:bookmarkStart w:id="103" w:name="_Toc55547456"/>
      <w:r w:rsidRPr="000D589E">
        <w:rPr>
          <w:rFonts w:ascii="Arial" w:hAnsi="Arial" w:cs="Arial"/>
          <w:b/>
          <w:bCs/>
        </w:rPr>
        <w:t>OPREDELITEV POTREB</w:t>
      </w:r>
      <w:bookmarkEnd w:id="103"/>
    </w:p>
    <w:p w14:paraId="6BE56AA6" w14:textId="77777777" w:rsidR="0068702F" w:rsidRPr="0068702F" w:rsidRDefault="0068702F" w:rsidP="0068702F"/>
    <w:tbl>
      <w:tblPr>
        <w:tblStyle w:val="Svetelseznampoudarek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533"/>
        <w:gridCol w:w="1843"/>
        <w:gridCol w:w="6912"/>
      </w:tblGrid>
      <w:tr w:rsidR="009667F2" w:rsidRPr="00CF43DE" w14:paraId="0CF52A85" w14:textId="77777777" w:rsidTr="009667F2">
        <w:trPr>
          <w:cnfStyle w:val="100000000000" w:firstRow="1" w:lastRow="0" w:firstColumn="0" w:lastColumn="0" w:oddVBand="0" w:evenVBand="0" w:oddHBand="0" w:evenHBand="0" w:firstRowFirstColumn="0" w:firstRowLastColumn="0" w:lastRowFirstColumn="0" w:lastRowLastColumn="0"/>
        </w:trPr>
        <w:tc>
          <w:tcPr>
            <w:tcW w:w="287" w:type="pct"/>
            <w:shd w:val="clear" w:color="auto" w:fill="92D050"/>
          </w:tcPr>
          <w:p w14:paraId="5FF801CE" w14:textId="77777777" w:rsidR="009667F2" w:rsidRPr="00CF43DE" w:rsidRDefault="009667F2" w:rsidP="004270C0">
            <w:pPr>
              <w:jc w:val="center"/>
              <w:rPr>
                <w:rFonts w:eastAsia="Times New Roman"/>
                <w:color w:val="000000" w:themeColor="text1"/>
                <w:sz w:val="20"/>
                <w:lang w:val="sl-SI" w:eastAsia="en-GB"/>
              </w:rPr>
            </w:pPr>
            <w:r w:rsidRPr="00CF43DE">
              <w:rPr>
                <w:rFonts w:eastAsia="Times New Roman"/>
                <w:color w:val="000000" w:themeColor="text1"/>
                <w:sz w:val="20"/>
                <w:lang w:val="sl-SI" w:eastAsia="en-GB"/>
              </w:rPr>
              <w:lastRenderedPageBreak/>
              <w:t>Št.</w:t>
            </w:r>
          </w:p>
        </w:tc>
        <w:tc>
          <w:tcPr>
            <w:tcW w:w="992" w:type="pct"/>
            <w:shd w:val="clear" w:color="auto" w:fill="92D050"/>
          </w:tcPr>
          <w:p w14:paraId="486A1C7E" w14:textId="77777777" w:rsidR="009667F2" w:rsidRPr="00CF43DE" w:rsidRDefault="009667F2" w:rsidP="004270C0">
            <w:pPr>
              <w:jc w:val="center"/>
              <w:rPr>
                <w:rFonts w:eastAsia="Times New Roman"/>
                <w:color w:val="000000" w:themeColor="text1"/>
                <w:sz w:val="20"/>
                <w:lang w:val="sl-SI" w:eastAsia="en-GB"/>
              </w:rPr>
            </w:pPr>
            <w:r w:rsidRPr="00CF43DE">
              <w:rPr>
                <w:rFonts w:eastAsia="Times New Roman"/>
                <w:color w:val="000000" w:themeColor="text1"/>
                <w:sz w:val="20"/>
                <w:lang w:val="sl-SI" w:eastAsia="en-GB"/>
              </w:rPr>
              <w:t>POTREBA</w:t>
            </w:r>
          </w:p>
        </w:tc>
        <w:tc>
          <w:tcPr>
            <w:tcW w:w="3720" w:type="pct"/>
            <w:shd w:val="clear" w:color="auto" w:fill="92D050"/>
          </w:tcPr>
          <w:p w14:paraId="46E6526E" w14:textId="6891AB07" w:rsidR="009667F2" w:rsidRPr="00CF43DE" w:rsidRDefault="009667F2" w:rsidP="004270C0">
            <w:pPr>
              <w:jc w:val="center"/>
              <w:rPr>
                <w:rFonts w:eastAsia="Times New Roman"/>
                <w:color w:val="000000" w:themeColor="text1"/>
                <w:sz w:val="20"/>
                <w:lang w:eastAsia="en-GB"/>
              </w:rPr>
            </w:pPr>
            <w:r w:rsidRPr="00CF43DE">
              <w:rPr>
                <w:rFonts w:eastAsia="Times New Roman"/>
                <w:color w:val="000000" w:themeColor="text1"/>
                <w:sz w:val="20"/>
                <w:lang w:val="sl-SI" w:eastAsia="en-GB"/>
              </w:rPr>
              <w:t xml:space="preserve">UTEMELJITEV IZ ANALIZE STANJA in ANALIZE SWOT </w:t>
            </w:r>
          </w:p>
        </w:tc>
      </w:tr>
      <w:tr w:rsidR="009667F2" w:rsidRPr="00CF43DE" w14:paraId="3F2845B8" w14:textId="77777777" w:rsidTr="009667F2">
        <w:trPr>
          <w:trHeight w:val="625"/>
        </w:trPr>
        <w:tc>
          <w:tcPr>
            <w:tcW w:w="287" w:type="pct"/>
          </w:tcPr>
          <w:p w14:paraId="346CDAA7" w14:textId="77777777" w:rsidR="009667F2" w:rsidRPr="00CF43DE" w:rsidRDefault="009667F2" w:rsidP="004270C0">
            <w:pPr>
              <w:jc w:val="both"/>
              <w:rPr>
                <w:rFonts w:eastAsia="Times New Roman"/>
                <w:b/>
                <w:sz w:val="20"/>
                <w:lang w:eastAsia="en-GB"/>
              </w:rPr>
            </w:pPr>
            <w:r w:rsidRPr="00CF43DE">
              <w:rPr>
                <w:rFonts w:eastAsia="Times New Roman"/>
                <w:b/>
                <w:sz w:val="20"/>
                <w:lang w:eastAsia="en-GB"/>
              </w:rPr>
              <w:t>1</w:t>
            </w:r>
          </w:p>
        </w:tc>
        <w:tc>
          <w:tcPr>
            <w:tcW w:w="992" w:type="pct"/>
          </w:tcPr>
          <w:p w14:paraId="4F0D0432" w14:textId="77777777" w:rsidR="009667F2" w:rsidRPr="00CF43DE" w:rsidRDefault="009667F2" w:rsidP="004270C0">
            <w:pPr>
              <w:spacing w:before="120" w:after="120"/>
              <w:jc w:val="both"/>
              <w:rPr>
                <w:rFonts w:eastAsia="Times New Roman"/>
                <w:b/>
                <w:sz w:val="20"/>
                <w:lang w:eastAsia="en-GB"/>
              </w:rPr>
            </w:pPr>
            <w:r w:rsidRPr="00CF43DE">
              <w:rPr>
                <w:b/>
                <w:sz w:val="20"/>
                <w:lang w:val="sl-SI"/>
              </w:rPr>
              <w:t xml:space="preserve">Za </w:t>
            </w:r>
            <w:r w:rsidRPr="00CF43DE">
              <w:rPr>
                <w:rFonts w:eastAsia="Calibri"/>
                <w:b/>
                <w:sz w:val="20"/>
                <w:lang w:val="sl-SI"/>
              </w:rPr>
              <w:t>bolj skrbno</w:t>
            </w:r>
            <w:r w:rsidRPr="00CF43DE">
              <w:rPr>
                <w:b/>
                <w:sz w:val="20"/>
                <w:lang w:val="sl-SI"/>
              </w:rPr>
              <w:t xml:space="preserve"> »upravljanje« s protimikrobnimi zdravili/antibiotiki za zdravljenje živali</w:t>
            </w:r>
          </w:p>
        </w:tc>
        <w:tc>
          <w:tcPr>
            <w:tcW w:w="3720" w:type="pct"/>
          </w:tcPr>
          <w:p w14:paraId="341A688F" w14:textId="77777777" w:rsidR="009667F2" w:rsidRPr="00CF43DE" w:rsidRDefault="009667F2" w:rsidP="004270C0">
            <w:pPr>
              <w:tabs>
                <w:tab w:val="left" w:pos="2160"/>
              </w:tabs>
              <w:spacing w:after="240"/>
              <w:jc w:val="both"/>
              <w:rPr>
                <w:rFonts w:eastAsia="Calibri"/>
                <w:sz w:val="20"/>
                <w:lang w:eastAsia="en-GB"/>
              </w:rPr>
            </w:pPr>
            <w:proofErr w:type="spellStart"/>
            <w:r w:rsidRPr="00CF43DE">
              <w:rPr>
                <w:rFonts w:eastAsia="Calibri"/>
                <w:sz w:val="20"/>
                <w:lang w:eastAsia="en-GB"/>
              </w:rPr>
              <w:t>Cilj</w:t>
            </w:r>
            <w:proofErr w:type="spellEnd"/>
            <w:r w:rsidRPr="00CF43DE">
              <w:rPr>
                <w:rFonts w:eastAsia="Calibri"/>
                <w:sz w:val="20"/>
                <w:lang w:eastAsia="en-GB"/>
              </w:rPr>
              <w:t xml:space="preserve"> je z </w:t>
            </w:r>
            <w:proofErr w:type="spellStart"/>
            <w:r w:rsidRPr="00CF43DE">
              <w:rPr>
                <w:rFonts w:eastAsia="Calibri"/>
                <w:sz w:val="20"/>
                <w:lang w:eastAsia="en-GB"/>
              </w:rPr>
              <w:t>aktivnostmi</w:t>
            </w:r>
            <w:proofErr w:type="spellEnd"/>
            <w:r w:rsidRPr="00CF43DE">
              <w:rPr>
                <w:rFonts w:eastAsia="Calibri"/>
                <w:sz w:val="20"/>
                <w:lang w:eastAsia="en-GB"/>
              </w:rPr>
              <w:t xml:space="preserve"> in </w:t>
            </w:r>
            <w:proofErr w:type="spellStart"/>
            <w:r w:rsidRPr="00CF43DE">
              <w:rPr>
                <w:rFonts w:eastAsia="Calibri"/>
                <w:sz w:val="20"/>
                <w:lang w:eastAsia="en-GB"/>
              </w:rPr>
              <w:t>ukrepi</w:t>
            </w:r>
            <w:proofErr w:type="spellEnd"/>
            <w:r w:rsidRPr="00CF43DE">
              <w:rPr>
                <w:rFonts w:eastAsia="Calibri"/>
                <w:sz w:val="20"/>
                <w:lang w:eastAsia="en-GB"/>
              </w:rPr>
              <w:t xml:space="preserve"> </w:t>
            </w:r>
            <w:proofErr w:type="spellStart"/>
            <w:r w:rsidRPr="00CF43DE">
              <w:rPr>
                <w:rFonts w:eastAsia="Calibri"/>
                <w:sz w:val="20"/>
                <w:lang w:eastAsia="en-GB"/>
              </w:rPr>
              <w:t>ohraniti</w:t>
            </w:r>
            <w:proofErr w:type="spellEnd"/>
            <w:r w:rsidRPr="00CF43DE">
              <w:rPr>
                <w:rFonts w:eastAsia="Calibri"/>
                <w:sz w:val="20"/>
                <w:lang w:eastAsia="en-GB"/>
              </w:rPr>
              <w:t xml:space="preserve"> </w:t>
            </w:r>
            <w:proofErr w:type="spellStart"/>
            <w:r w:rsidRPr="00CF43DE">
              <w:rPr>
                <w:rFonts w:eastAsia="Calibri"/>
                <w:sz w:val="20"/>
                <w:lang w:eastAsia="en-GB"/>
              </w:rPr>
              <w:t>možnosti</w:t>
            </w:r>
            <w:proofErr w:type="spellEnd"/>
            <w:r w:rsidRPr="00CF43DE">
              <w:rPr>
                <w:rFonts w:eastAsia="Calibri"/>
                <w:sz w:val="20"/>
                <w:lang w:eastAsia="en-GB"/>
              </w:rPr>
              <w:t xml:space="preserve"> </w:t>
            </w:r>
            <w:proofErr w:type="spellStart"/>
            <w:r w:rsidRPr="00CF43DE">
              <w:rPr>
                <w:rFonts w:eastAsia="Calibri"/>
                <w:sz w:val="20"/>
                <w:lang w:eastAsia="en-GB"/>
              </w:rPr>
              <w:t>učinkovitega</w:t>
            </w:r>
            <w:proofErr w:type="spellEnd"/>
            <w:r w:rsidRPr="00CF43DE">
              <w:rPr>
                <w:rFonts w:eastAsia="Calibri"/>
                <w:sz w:val="20"/>
                <w:lang w:eastAsia="en-GB"/>
              </w:rPr>
              <w:t xml:space="preserve"> </w:t>
            </w:r>
            <w:proofErr w:type="spellStart"/>
            <w:r w:rsidRPr="00CF43DE">
              <w:rPr>
                <w:rFonts w:eastAsia="Calibri"/>
                <w:sz w:val="20"/>
                <w:lang w:eastAsia="en-GB"/>
              </w:rPr>
              <w:t>zdravljenja</w:t>
            </w:r>
            <w:proofErr w:type="spellEnd"/>
            <w:r w:rsidRPr="00CF43DE">
              <w:rPr>
                <w:rFonts w:eastAsia="Calibri"/>
                <w:sz w:val="20"/>
                <w:lang w:eastAsia="en-GB"/>
              </w:rPr>
              <w:t xml:space="preserve"> </w:t>
            </w:r>
            <w:proofErr w:type="spellStart"/>
            <w:r w:rsidRPr="00CF43DE">
              <w:rPr>
                <w:rFonts w:eastAsia="Calibri"/>
                <w:sz w:val="20"/>
                <w:lang w:eastAsia="en-GB"/>
              </w:rPr>
              <w:t>okužb</w:t>
            </w:r>
            <w:proofErr w:type="spellEnd"/>
            <w:r w:rsidRPr="00CF43DE">
              <w:rPr>
                <w:rFonts w:eastAsia="Calibri"/>
                <w:sz w:val="20"/>
                <w:lang w:eastAsia="en-GB"/>
              </w:rPr>
              <w:t xml:space="preserve"> </w:t>
            </w:r>
            <w:proofErr w:type="spellStart"/>
            <w:r w:rsidRPr="00CF43DE">
              <w:rPr>
                <w:rFonts w:eastAsia="Calibri"/>
                <w:sz w:val="20"/>
                <w:lang w:eastAsia="en-GB"/>
              </w:rPr>
              <w:t>pri</w:t>
            </w:r>
            <w:proofErr w:type="spellEnd"/>
            <w:r w:rsidRPr="00CF43DE">
              <w:rPr>
                <w:rFonts w:eastAsia="Calibri"/>
                <w:sz w:val="20"/>
                <w:lang w:eastAsia="en-GB"/>
              </w:rPr>
              <w:t xml:space="preserve"> </w:t>
            </w:r>
            <w:proofErr w:type="spellStart"/>
            <w:r w:rsidRPr="00CF43DE">
              <w:rPr>
                <w:rFonts w:eastAsia="Calibri"/>
                <w:sz w:val="20"/>
                <w:lang w:eastAsia="en-GB"/>
              </w:rPr>
              <w:t>ljudeh</w:t>
            </w:r>
            <w:proofErr w:type="spellEnd"/>
            <w:r w:rsidRPr="00CF43DE">
              <w:rPr>
                <w:rFonts w:eastAsia="Calibri"/>
                <w:sz w:val="20"/>
                <w:lang w:eastAsia="en-GB"/>
              </w:rPr>
              <w:t xml:space="preserve"> in </w:t>
            </w:r>
            <w:proofErr w:type="spellStart"/>
            <w:r w:rsidRPr="00CF43DE">
              <w:rPr>
                <w:rFonts w:eastAsia="Calibri"/>
                <w:sz w:val="20"/>
                <w:lang w:eastAsia="en-GB"/>
              </w:rPr>
              <w:t>živalih</w:t>
            </w:r>
            <w:proofErr w:type="spellEnd"/>
            <w:r w:rsidRPr="00CF43DE">
              <w:rPr>
                <w:rFonts w:eastAsia="Calibri"/>
                <w:sz w:val="20"/>
                <w:lang w:eastAsia="en-GB"/>
              </w:rPr>
              <w:t xml:space="preserve"> v </w:t>
            </w:r>
            <w:proofErr w:type="spellStart"/>
            <w:r w:rsidRPr="00CF43DE">
              <w:rPr>
                <w:rFonts w:eastAsia="Calibri"/>
                <w:sz w:val="20"/>
                <w:lang w:eastAsia="en-GB"/>
              </w:rPr>
              <w:t>okviru</w:t>
            </w:r>
            <w:proofErr w:type="spellEnd"/>
            <w:r w:rsidRPr="00CF43DE">
              <w:rPr>
                <w:rFonts w:eastAsia="Calibri"/>
                <w:sz w:val="20"/>
                <w:lang w:eastAsia="en-GB"/>
              </w:rPr>
              <w:t xml:space="preserve"> </w:t>
            </w:r>
            <w:proofErr w:type="spellStart"/>
            <w:r w:rsidRPr="00CF43DE">
              <w:rPr>
                <w:rFonts w:eastAsia="Calibri"/>
                <w:sz w:val="20"/>
                <w:lang w:eastAsia="en-GB"/>
              </w:rPr>
              <w:t>neprekinjenih</w:t>
            </w:r>
            <w:proofErr w:type="spellEnd"/>
            <w:r w:rsidRPr="00CF43DE">
              <w:rPr>
                <w:rFonts w:eastAsia="Calibri"/>
                <w:sz w:val="20"/>
                <w:lang w:eastAsia="en-GB"/>
              </w:rPr>
              <w:t xml:space="preserve">, </w:t>
            </w:r>
            <w:proofErr w:type="spellStart"/>
            <w:r w:rsidRPr="00CF43DE">
              <w:rPr>
                <w:rFonts w:eastAsia="Calibri"/>
                <w:sz w:val="20"/>
                <w:lang w:eastAsia="en-GB"/>
              </w:rPr>
              <w:t>razširjenih</w:t>
            </w:r>
            <w:proofErr w:type="spellEnd"/>
            <w:r w:rsidRPr="00CF43DE">
              <w:rPr>
                <w:rFonts w:eastAsia="Calibri"/>
                <w:sz w:val="20"/>
                <w:lang w:eastAsia="en-GB"/>
              </w:rPr>
              <w:t xml:space="preserve"> </w:t>
            </w:r>
            <w:proofErr w:type="spellStart"/>
            <w:r w:rsidRPr="00CF43DE">
              <w:rPr>
                <w:rFonts w:eastAsia="Calibri"/>
                <w:sz w:val="20"/>
                <w:lang w:eastAsia="en-GB"/>
              </w:rPr>
              <w:t>ukrepov</w:t>
            </w:r>
            <w:proofErr w:type="spellEnd"/>
            <w:r w:rsidRPr="00CF43DE">
              <w:rPr>
                <w:rFonts w:eastAsia="Calibri"/>
                <w:sz w:val="20"/>
                <w:lang w:eastAsia="en-GB"/>
              </w:rPr>
              <w:t xml:space="preserve"> za </w:t>
            </w:r>
            <w:proofErr w:type="spellStart"/>
            <w:r w:rsidRPr="00CF43DE">
              <w:rPr>
                <w:rFonts w:eastAsia="Calibri"/>
                <w:sz w:val="20"/>
                <w:lang w:eastAsia="en-GB"/>
              </w:rPr>
              <w:t>zmanjšanje</w:t>
            </w:r>
            <w:proofErr w:type="spellEnd"/>
            <w:r w:rsidRPr="00CF43DE">
              <w:rPr>
                <w:rFonts w:eastAsia="Calibri"/>
                <w:sz w:val="20"/>
                <w:lang w:eastAsia="en-GB"/>
              </w:rPr>
              <w:t xml:space="preserve"> </w:t>
            </w:r>
            <w:proofErr w:type="spellStart"/>
            <w:r w:rsidRPr="00CF43DE">
              <w:rPr>
                <w:rFonts w:eastAsia="Calibri"/>
                <w:sz w:val="20"/>
                <w:lang w:eastAsia="en-GB"/>
              </w:rPr>
              <w:t>pojavnosti</w:t>
            </w:r>
            <w:proofErr w:type="spellEnd"/>
            <w:r w:rsidRPr="00CF43DE">
              <w:rPr>
                <w:rFonts w:eastAsia="Calibri"/>
                <w:sz w:val="20"/>
                <w:lang w:eastAsia="en-GB"/>
              </w:rPr>
              <w:t xml:space="preserve"> in </w:t>
            </w:r>
            <w:proofErr w:type="spellStart"/>
            <w:r w:rsidRPr="00CF43DE">
              <w:rPr>
                <w:rFonts w:eastAsia="Calibri"/>
                <w:sz w:val="20"/>
                <w:lang w:eastAsia="en-GB"/>
              </w:rPr>
              <w:t>širjenja</w:t>
            </w:r>
            <w:proofErr w:type="spellEnd"/>
            <w:r w:rsidRPr="00CF43DE">
              <w:rPr>
                <w:rFonts w:eastAsia="Calibri"/>
                <w:sz w:val="20"/>
                <w:lang w:eastAsia="en-GB"/>
              </w:rPr>
              <w:t xml:space="preserve"> </w:t>
            </w:r>
            <w:proofErr w:type="spellStart"/>
            <w:r w:rsidRPr="00CF43DE">
              <w:rPr>
                <w:rFonts w:eastAsia="Calibri"/>
                <w:sz w:val="20"/>
                <w:lang w:eastAsia="en-GB"/>
              </w:rPr>
              <w:t>odpornosti</w:t>
            </w:r>
            <w:proofErr w:type="spellEnd"/>
            <w:r w:rsidRPr="00CF43DE">
              <w:rPr>
                <w:rFonts w:eastAsia="Calibri"/>
                <w:sz w:val="20"/>
                <w:lang w:eastAsia="en-GB"/>
              </w:rPr>
              <w:t xml:space="preserve"> </w:t>
            </w:r>
            <w:proofErr w:type="spellStart"/>
            <w:r w:rsidRPr="00CF43DE">
              <w:rPr>
                <w:rFonts w:eastAsia="Calibri"/>
                <w:sz w:val="20"/>
                <w:lang w:eastAsia="en-GB"/>
              </w:rPr>
              <w:t>mikrobov</w:t>
            </w:r>
            <w:proofErr w:type="spellEnd"/>
            <w:r w:rsidRPr="00CF43DE">
              <w:rPr>
                <w:rFonts w:eastAsia="Calibri"/>
                <w:sz w:val="20"/>
                <w:lang w:eastAsia="en-GB"/>
              </w:rPr>
              <w:t>.</w:t>
            </w:r>
          </w:p>
          <w:p w14:paraId="7429F316" w14:textId="77777777" w:rsidR="009667F2" w:rsidRPr="00CF43DE" w:rsidRDefault="009667F2" w:rsidP="004270C0">
            <w:pPr>
              <w:tabs>
                <w:tab w:val="left" w:pos="2160"/>
              </w:tabs>
              <w:spacing w:after="240"/>
              <w:jc w:val="both"/>
              <w:rPr>
                <w:rFonts w:eastAsia="Calibri"/>
                <w:sz w:val="20"/>
                <w:lang w:val="sl-SI" w:eastAsia="en-GB"/>
              </w:rPr>
            </w:pPr>
            <w:r w:rsidRPr="00CF43DE">
              <w:rPr>
                <w:rFonts w:eastAsia="Calibri"/>
                <w:sz w:val="20"/>
                <w:lang w:val="sl-SI" w:eastAsia="en-GB"/>
              </w:rPr>
              <w:t xml:space="preserve">Z drugimi ustreznimi ukrepi (primerna oskrba, dobrobit, higiena, ostali </w:t>
            </w:r>
            <w:proofErr w:type="spellStart"/>
            <w:r w:rsidRPr="00CF43DE">
              <w:rPr>
                <w:rFonts w:eastAsia="Calibri"/>
                <w:sz w:val="20"/>
                <w:lang w:val="sl-SI" w:eastAsia="en-GB"/>
              </w:rPr>
              <w:t>bivarnostni</w:t>
            </w:r>
            <w:proofErr w:type="spellEnd"/>
            <w:r w:rsidRPr="00CF43DE">
              <w:rPr>
                <w:rFonts w:eastAsia="Calibri"/>
                <w:sz w:val="20"/>
                <w:lang w:val="sl-SI" w:eastAsia="en-GB"/>
              </w:rPr>
              <w:t xml:space="preserve"> ukrepi) je treba skrbeti, da bo potreb po predpisovanju in uporabi protimikrobnih zdravil za zdravljenje živali čim manj.</w:t>
            </w:r>
          </w:p>
          <w:p w14:paraId="085F9B97" w14:textId="77777777" w:rsidR="009667F2" w:rsidRPr="00CF43DE" w:rsidRDefault="009667F2" w:rsidP="004270C0">
            <w:pPr>
              <w:tabs>
                <w:tab w:val="left" w:pos="2160"/>
              </w:tabs>
              <w:spacing w:after="240"/>
              <w:jc w:val="both"/>
              <w:rPr>
                <w:rFonts w:eastAsia="Times New Roman"/>
                <w:sz w:val="20"/>
                <w:lang w:val="sl-SI" w:eastAsia="en-GB"/>
              </w:rPr>
            </w:pPr>
            <w:r w:rsidRPr="00CF43DE">
              <w:rPr>
                <w:rFonts w:eastAsia="Calibri"/>
                <w:sz w:val="20"/>
                <w:lang w:val="sl-SI" w:eastAsia="en-GB"/>
              </w:rPr>
              <w:t xml:space="preserve"> – </w:t>
            </w:r>
            <w:r w:rsidRPr="00CF43DE">
              <w:rPr>
                <w:rFonts w:eastAsia="Times New Roman"/>
                <w:sz w:val="20"/>
                <w:lang w:val="sl-SI" w:eastAsia="en-GB"/>
              </w:rPr>
              <w:t xml:space="preserve">izvajanje  aktivnosti </w:t>
            </w:r>
            <w:r w:rsidRPr="00CF43DE">
              <w:rPr>
                <w:rFonts w:eastAsia="Calibri"/>
                <w:sz w:val="20"/>
                <w:lang w:val="sl-SI" w:eastAsia="en-GB"/>
              </w:rPr>
              <w:t>opredeljenih s triletnim nacionalnim akcijskim načrtom (2019-2021) v okviru Državne</w:t>
            </w:r>
            <w:r w:rsidRPr="00CF43DE">
              <w:rPr>
                <w:rFonts w:eastAsia="Times New Roman"/>
                <w:sz w:val="20"/>
                <w:lang w:val="sl-SI" w:eastAsia="en-GB"/>
              </w:rPr>
              <w:t xml:space="preserve"> strategije </w:t>
            </w:r>
            <w:r w:rsidRPr="00CF43DE">
              <w:rPr>
                <w:rFonts w:eastAsia="Calibri"/>
                <w:sz w:val="20"/>
                <w:lang w:val="sl-SI" w:eastAsia="en-GB"/>
              </w:rPr>
              <w:t>„Eno</w:t>
            </w:r>
            <w:r w:rsidRPr="00CF43DE">
              <w:rPr>
                <w:rFonts w:eastAsia="Times New Roman"/>
                <w:sz w:val="20"/>
                <w:lang w:val="sl-SI" w:eastAsia="en-GB"/>
              </w:rPr>
              <w:t xml:space="preserve"> zdravje</w:t>
            </w:r>
            <w:r w:rsidRPr="00CF43DE">
              <w:rPr>
                <w:rFonts w:eastAsia="Calibri"/>
                <w:sz w:val="20"/>
                <w:lang w:val="sl-SI" w:eastAsia="en-GB"/>
              </w:rPr>
              <w:t>"</w:t>
            </w:r>
            <w:r w:rsidRPr="00CF43DE">
              <w:rPr>
                <w:rFonts w:eastAsia="Times New Roman"/>
                <w:sz w:val="20"/>
                <w:lang w:val="sl-SI" w:eastAsia="en-GB"/>
              </w:rPr>
              <w:t xml:space="preserve"> za obvladovanje odpornosti mikrobov (</w:t>
            </w:r>
            <w:r w:rsidRPr="00CF43DE">
              <w:rPr>
                <w:rFonts w:eastAsia="Calibri"/>
                <w:sz w:val="20"/>
                <w:lang w:val="sl-SI" w:eastAsia="en-GB"/>
              </w:rPr>
              <w:t xml:space="preserve">2019-2024) </w:t>
            </w:r>
            <w:r w:rsidRPr="00CF43DE">
              <w:rPr>
                <w:rFonts w:eastAsia="Times New Roman"/>
                <w:sz w:val="20"/>
                <w:lang w:val="sl-SI" w:eastAsia="en-GB"/>
              </w:rPr>
              <w:t>za področje kmetijstva oz. veterinarstva</w:t>
            </w:r>
          </w:p>
          <w:p w14:paraId="56E0A86D" w14:textId="77777777" w:rsidR="009667F2" w:rsidRPr="00CF43DE" w:rsidRDefault="009667F2" w:rsidP="004270C0">
            <w:pPr>
              <w:tabs>
                <w:tab w:val="left" w:pos="2160"/>
              </w:tabs>
              <w:spacing w:before="120" w:after="240"/>
              <w:jc w:val="both"/>
              <w:rPr>
                <w:rFonts w:eastAsia="Times New Roman"/>
                <w:sz w:val="20"/>
                <w:lang w:val="sl-SI" w:eastAsia="en-GB"/>
              </w:rPr>
            </w:pPr>
            <w:r w:rsidRPr="00CF43DE">
              <w:rPr>
                <w:rFonts w:eastAsia="Times New Roman"/>
                <w:sz w:val="20"/>
                <w:lang w:val="sl-SI" w:eastAsia="en-GB"/>
              </w:rPr>
              <w:t xml:space="preserve">- Vzpostavitev  spremljanja porabe protimikrobnih zdravil/antibiotikov po živalskih vrstah na gospodarstvih. </w:t>
            </w:r>
          </w:p>
          <w:p w14:paraId="03AA3CC3" w14:textId="77777777" w:rsidR="009667F2" w:rsidRPr="00CF43DE" w:rsidRDefault="009667F2" w:rsidP="004270C0">
            <w:pPr>
              <w:spacing w:before="120"/>
              <w:jc w:val="both"/>
              <w:rPr>
                <w:sz w:val="20"/>
                <w:lang w:val="sl-SI"/>
              </w:rPr>
            </w:pPr>
            <w:r w:rsidRPr="00CF43DE">
              <w:rPr>
                <w:sz w:val="20"/>
                <w:lang w:val="sl-SI"/>
              </w:rPr>
              <w:t>- Uvedba strokovnih nadzorov, kjer je v rejah živali raba protimikrobnih zdravil/antibiotikov prekomerno visoka</w:t>
            </w:r>
          </w:p>
          <w:p w14:paraId="34E9AC2E" w14:textId="77777777" w:rsidR="009667F2" w:rsidRPr="00CF43DE" w:rsidRDefault="009667F2" w:rsidP="004270C0">
            <w:pPr>
              <w:spacing w:before="120"/>
              <w:jc w:val="both"/>
              <w:rPr>
                <w:sz w:val="20"/>
                <w:lang w:val="sl-SI"/>
              </w:rPr>
            </w:pPr>
            <w:r w:rsidRPr="00CF43DE">
              <w:rPr>
                <w:sz w:val="20"/>
                <w:lang w:val="sl-SI"/>
              </w:rPr>
              <w:t>- Zagotavljanje stabilnih potrebnih virov za izvajanje  aktivnosti predvidenih v Državni strategiji „Eno zdravje" za obvladovanje odpornosti mikrobov (2019-2024), s triletnim nacionalnim akcijskim načrtom (2019-2021) za področje kmetijstva in veterinarstva</w:t>
            </w:r>
          </w:p>
          <w:p w14:paraId="679E4E21" w14:textId="4B8D1599" w:rsidR="009667F2" w:rsidRPr="009667F2" w:rsidRDefault="009667F2" w:rsidP="009667F2">
            <w:pPr>
              <w:spacing w:before="120"/>
              <w:jc w:val="both"/>
              <w:rPr>
                <w:sz w:val="20"/>
                <w:lang w:val="sl-SI"/>
              </w:rPr>
            </w:pPr>
            <w:r w:rsidRPr="00CF43DE">
              <w:rPr>
                <w:sz w:val="20"/>
                <w:lang w:val="sl-SI"/>
              </w:rPr>
              <w:t xml:space="preserve">- Ozaveščanja, izobraževanja in usposabljanja za rejce in veterinarje z </w:t>
            </w:r>
            <w:proofErr w:type="spellStart"/>
            <w:r w:rsidRPr="00CF43DE">
              <w:rPr>
                <w:sz w:val="20"/>
                <w:lang w:val="sl-SI"/>
              </w:rPr>
              <w:t>najnovešimi</w:t>
            </w:r>
            <w:proofErr w:type="spellEnd"/>
            <w:r w:rsidRPr="00CF43DE">
              <w:rPr>
                <w:sz w:val="20"/>
                <w:lang w:val="sl-SI"/>
              </w:rPr>
              <w:t xml:space="preserve"> dognanji.</w:t>
            </w:r>
          </w:p>
        </w:tc>
      </w:tr>
      <w:tr w:rsidR="009667F2" w:rsidRPr="00CF43DE" w14:paraId="580776C9" w14:textId="77777777" w:rsidTr="009667F2">
        <w:trPr>
          <w:trHeight w:val="64"/>
        </w:trPr>
        <w:tc>
          <w:tcPr>
            <w:tcW w:w="287" w:type="pct"/>
            <w:tcBorders>
              <w:bottom w:val="single" w:sz="4" w:space="0" w:color="auto"/>
            </w:tcBorders>
          </w:tcPr>
          <w:p w14:paraId="070775BF" w14:textId="77777777" w:rsidR="009667F2" w:rsidRPr="00CF43DE" w:rsidRDefault="009667F2" w:rsidP="004270C0">
            <w:pPr>
              <w:jc w:val="both"/>
              <w:rPr>
                <w:rFonts w:eastAsia="Times New Roman"/>
                <w:b/>
                <w:sz w:val="20"/>
                <w:lang w:eastAsia="en-GB"/>
              </w:rPr>
            </w:pPr>
            <w:r w:rsidRPr="00CF43DE">
              <w:rPr>
                <w:rFonts w:eastAsia="Times New Roman"/>
                <w:b/>
                <w:sz w:val="20"/>
                <w:lang w:eastAsia="en-GB"/>
              </w:rPr>
              <w:t>2</w:t>
            </w:r>
          </w:p>
        </w:tc>
        <w:tc>
          <w:tcPr>
            <w:tcW w:w="992" w:type="pct"/>
            <w:tcBorders>
              <w:bottom w:val="single" w:sz="4" w:space="0" w:color="auto"/>
            </w:tcBorders>
          </w:tcPr>
          <w:p w14:paraId="443CC1F4" w14:textId="77777777" w:rsidR="009667F2" w:rsidRPr="00CF43DE" w:rsidRDefault="009667F2" w:rsidP="004270C0">
            <w:pPr>
              <w:spacing w:before="120" w:after="120"/>
              <w:jc w:val="both"/>
              <w:rPr>
                <w:rFonts w:eastAsia="Times New Roman"/>
                <w:b/>
                <w:sz w:val="20"/>
                <w:lang w:eastAsia="en-GB"/>
              </w:rPr>
            </w:pPr>
            <w:proofErr w:type="spellStart"/>
            <w:proofErr w:type="gramStart"/>
            <w:r w:rsidRPr="00CF43DE">
              <w:rPr>
                <w:rFonts w:eastAsia="Times New Roman"/>
                <w:b/>
                <w:sz w:val="20"/>
                <w:lang w:eastAsia="en-GB"/>
              </w:rPr>
              <w:t>Zmanjšati</w:t>
            </w:r>
            <w:proofErr w:type="spellEnd"/>
            <w:r w:rsidRPr="00CF43DE">
              <w:rPr>
                <w:rFonts w:eastAsia="Times New Roman"/>
                <w:b/>
                <w:sz w:val="20"/>
                <w:lang w:eastAsia="en-GB"/>
              </w:rPr>
              <w:t xml:space="preserve">  </w:t>
            </w:r>
            <w:proofErr w:type="spellStart"/>
            <w:r w:rsidRPr="00CF43DE">
              <w:rPr>
                <w:rFonts w:eastAsia="Times New Roman"/>
                <w:b/>
                <w:sz w:val="20"/>
                <w:lang w:eastAsia="en-GB"/>
              </w:rPr>
              <w:t>rabo</w:t>
            </w:r>
            <w:proofErr w:type="spellEnd"/>
            <w:proofErr w:type="gramEnd"/>
            <w:r w:rsidRPr="00CF43DE">
              <w:rPr>
                <w:rFonts w:eastAsia="Times New Roman"/>
                <w:b/>
                <w:sz w:val="20"/>
                <w:lang w:eastAsia="en-GB"/>
              </w:rPr>
              <w:t xml:space="preserve"> FFS</w:t>
            </w:r>
          </w:p>
        </w:tc>
        <w:tc>
          <w:tcPr>
            <w:tcW w:w="3720" w:type="pct"/>
            <w:tcBorders>
              <w:bottom w:val="single" w:sz="4" w:space="0" w:color="auto"/>
            </w:tcBorders>
          </w:tcPr>
          <w:p w14:paraId="275B3F23" w14:textId="77777777" w:rsidR="009667F2" w:rsidRPr="00CF43DE" w:rsidRDefault="009667F2" w:rsidP="004270C0">
            <w:pPr>
              <w:spacing w:beforeLines="60" w:before="144" w:afterLines="60" w:after="144"/>
              <w:jc w:val="both"/>
              <w:rPr>
                <w:rFonts w:eastAsia="Times New Roman"/>
                <w:bCs/>
                <w:sz w:val="20"/>
                <w:lang w:eastAsia="en-GB"/>
              </w:rPr>
            </w:pPr>
            <w:r w:rsidRPr="00CF43DE">
              <w:rPr>
                <w:rFonts w:eastAsia="Times New Roman"/>
                <w:bCs/>
                <w:sz w:val="20"/>
                <w:lang w:eastAsia="en-GB"/>
              </w:rPr>
              <w:t xml:space="preserve">- </w:t>
            </w:r>
            <w:proofErr w:type="spellStart"/>
            <w:r w:rsidRPr="00CF43DE">
              <w:rPr>
                <w:rFonts w:eastAsia="Times New Roman"/>
                <w:bCs/>
                <w:sz w:val="20"/>
                <w:lang w:eastAsia="en-GB"/>
              </w:rPr>
              <w:t>Intenzivno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vlaganje</w:t>
            </w:r>
            <w:proofErr w:type="spellEnd"/>
            <w:r w:rsidRPr="00CF43DE">
              <w:rPr>
                <w:rFonts w:eastAsia="Times New Roman"/>
                <w:bCs/>
                <w:sz w:val="20"/>
                <w:lang w:eastAsia="en-GB"/>
              </w:rPr>
              <w:t xml:space="preserve"> v </w:t>
            </w:r>
            <w:proofErr w:type="spellStart"/>
            <w:r w:rsidRPr="00CF43DE">
              <w:rPr>
                <w:rFonts w:eastAsia="Times New Roman"/>
                <w:bCs/>
                <w:sz w:val="20"/>
                <w:lang w:eastAsia="en-GB"/>
              </w:rPr>
              <w:t>raziskave</w:t>
            </w:r>
            <w:proofErr w:type="spellEnd"/>
            <w:r w:rsidRPr="00CF43DE">
              <w:rPr>
                <w:rFonts w:eastAsia="Times New Roman"/>
                <w:bCs/>
                <w:sz w:val="20"/>
                <w:lang w:eastAsia="en-GB"/>
              </w:rPr>
              <w:t xml:space="preserve"> in </w:t>
            </w:r>
            <w:proofErr w:type="spellStart"/>
            <w:r w:rsidRPr="00CF43DE">
              <w:rPr>
                <w:rFonts w:eastAsia="Times New Roman"/>
                <w:bCs/>
                <w:sz w:val="20"/>
                <w:lang w:eastAsia="en-GB"/>
              </w:rPr>
              <w:t>razvoj</w:t>
            </w:r>
            <w:proofErr w:type="spellEnd"/>
            <w:r w:rsidRPr="00CF43DE">
              <w:rPr>
                <w:rFonts w:eastAsia="Times New Roman"/>
                <w:bCs/>
                <w:sz w:val="20"/>
                <w:lang w:eastAsia="en-GB"/>
              </w:rPr>
              <w:t xml:space="preserve"> za </w:t>
            </w:r>
            <w:proofErr w:type="spellStart"/>
            <w:r w:rsidRPr="00CF43DE">
              <w:rPr>
                <w:rFonts w:eastAsia="Times New Roman"/>
                <w:bCs/>
                <w:sz w:val="20"/>
                <w:lang w:eastAsia="en-GB"/>
              </w:rPr>
              <w:t>vpeljavo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alternativnih</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metod</w:t>
            </w:r>
            <w:proofErr w:type="spellEnd"/>
            <w:r w:rsidRPr="00CF43DE">
              <w:rPr>
                <w:rFonts w:eastAsia="Times New Roman"/>
                <w:bCs/>
                <w:sz w:val="20"/>
                <w:lang w:eastAsia="en-GB"/>
              </w:rPr>
              <w:t xml:space="preserve">, ki </w:t>
            </w:r>
            <w:proofErr w:type="spellStart"/>
            <w:r w:rsidRPr="00CF43DE">
              <w:rPr>
                <w:rFonts w:eastAsia="Times New Roman"/>
                <w:bCs/>
                <w:sz w:val="20"/>
                <w:lang w:eastAsia="en-GB"/>
              </w:rPr>
              <w:t>bodo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omogočile</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zmanjšanje</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odvisnosti</w:t>
            </w:r>
            <w:proofErr w:type="spellEnd"/>
            <w:r w:rsidRPr="00CF43DE">
              <w:rPr>
                <w:rFonts w:eastAsia="Times New Roman"/>
                <w:bCs/>
                <w:sz w:val="20"/>
                <w:lang w:eastAsia="en-GB"/>
              </w:rPr>
              <w:t xml:space="preserve"> od rabe FFS. </w:t>
            </w:r>
          </w:p>
          <w:p w14:paraId="7291DD81" w14:textId="77777777" w:rsidR="009667F2" w:rsidRPr="00CF43DE" w:rsidRDefault="009667F2" w:rsidP="004270C0">
            <w:pPr>
              <w:spacing w:beforeLines="60" w:before="144" w:afterLines="60" w:after="144"/>
              <w:jc w:val="both"/>
              <w:rPr>
                <w:rFonts w:eastAsia="Times New Roman"/>
                <w:bCs/>
                <w:sz w:val="20"/>
                <w:lang w:eastAsia="en-GB"/>
              </w:rPr>
            </w:pPr>
            <w:r w:rsidRPr="00CF43DE">
              <w:rPr>
                <w:rFonts w:eastAsia="Times New Roman"/>
                <w:bCs/>
                <w:sz w:val="20"/>
                <w:lang w:eastAsia="en-GB"/>
              </w:rPr>
              <w:t xml:space="preserve">- </w:t>
            </w:r>
            <w:proofErr w:type="spellStart"/>
            <w:r w:rsidRPr="00CF43DE">
              <w:rPr>
                <w:rFonts w:eastAsia="Times New Roman"/>
                <w:bCs/>
                <w:sz w:val="20"/>
                <w:lang w:eastAsia="en-GB"/>
              </w:rPr>
              <w:t>Razvoj</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novih</w:t>
            </w:r>
            <w:proofErr w:type="spellEnd"/>
            <w:r w:rsidRPr="00CF43DE">
              <w:rPr>
                <w:rFonts w:eastAsia="Times New Roman"/>
                <w:bCs/>
                <w:sz w:val="20"/>
                <w:lang w:eastAsia="en-GB"/>
              </w:rPr>
              <w:t xml:space="preserve"> sort, ki </w:t>
            </w:r>
            <w:proofErr w:type="spellStart"/>
            <w:r w:rsidRPr="00CF43DE">
              <w:rPr>
                <w:rFonts w:eastAsia="Times New Roman"/>
                <w:bCs/>
                <w:sz w:val="20"/>
                <w:lang w:eastAsia="en-GB"/>
              </w:rPr>
              <w:t>bodo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odporne</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na</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bolezni</w:t>
            </w:r>
            <w:proofErr w:type="spellEnd"/>
            <w:r w:rsidRPr="00CF43DE">
              <w:rPr>
                <w:rFonts w:eastAsia="Times New Roman"/>
                <w:bCs/>
                <w:sz w:val="20"/>
                <w:lang w:eastAsia="en-GB"/>
              </w:rPr>
              <w:t xml:space="preserve"> in </w:t>
            </w:r>
            <w:proofErr w:type="spellStart"/>
            <w:r w:rsidRPr="00CF43DE">
              <w:rPr>
                <w:rFonts w:eastAsia="Times New Roman"/>
                <w:bCs/>
                <w:sz w:val="20"/>
                <w:lang w:eastAsia="en-GB"/>
              </w:rPr>
              <w:t>škodljivce</w:t>
            </w:r>
            <w:proofErr w:type="spellEnd"/>
            <w:r w:rsidRPr="00CF43DE">
              <w:rPr>
                <w:rFonts w:eastAsia="Times New Roman"/>
                <w:bCs/>
                <w:sz w:val="20"/>
                <w:lang w:eastAsia="en-GB"/>
              </w:rPr>
              <w:t xml:space="preserve"> </w:t>
            </w:r>
          </w:p>
          <w:p w14:paraId="60EB9C1E" w14:textId="77777777" w:rsidR="009667F2" w:rsidRPr="00CF43DE" w:rsidRDefault="009667F2" w:rsidP="004270C0">
            <w:pPr>
              <w:spacing w:beforeLines="60" w:before="144" w:afterLines="60" w:after="144"/>
              <w:jc w:val="both"/>
              <w:rPr>
                <w:rFonts w:eastAsia="Times New Roman"/>
                <w:bCs/>
                <w:sz w:val="20"/>
                <w:lang w:eastAsia="en-GB"/>
              </w:rPr>
            </w:pPr>
            <w:r w:rsidRPr="00CF43DE">
              <w:rPr>
                <w:rFonts w:eastAsia="Times New Roman"/>
                <w:bCs/>
                <w:sz w:val="20"/>
                <w:lang w:eastAsia="en-GB"/>
              </w:rPr>
              <w:t xml:space="preserve">- </w:t>
            </w:r>
            <w:proofErr w:type="spellStart"/>
            <w:r w:rsidRPr="00CF43DE">
              <w:rPr>
                <w:rFonts w:eastAsia="Times New Roman"/>
                <w:bCs/>
                <w:sz w:val="20"/>
                <w:lang w:eastAsia="en-GB"/>
              </w:rPr>
              <w:t>Okrepiti</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službo</w:t>
            </w:r>
            <w:proofErr w:type="spellEnd"/>
            <w:r w:rsidRPr="00CF43DE">
              <w:rPr>
                <w:rFonts w:eastAsia="Times New Roman"/>
                <w:bCs/>
                <w:sz w:val="20"/>
                <w:lang w:eastAsia="en-GB"/>
              </w:rPr>
              <w:t xml:space="preserve"> za </w:t>
            </w:r>
            <w:proofErr w:type="spellStart"/>
            <w:r w:rsidRPr="00CF43DE">
              <w:rPr>
                <w:rFonts w:eastAsia="Times New Roman"/>
                <w:bCs/>
                <w:sz w:val="20"/>
                <w:lang w:eastAsia="en-GB"/>
              </w:rPr>
              <w:t>zdravstveno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varstvo</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raslin</w:t>
            </w:r>
            <w:proofErr w:type="spellEnd"/>
            <w:r w:rsidRPr="00CF43DE">
              <w:rPr>
                <w:rFonts w:eastAsia="Times New Roman"/>
                <w:bCs/>
                <w:sz w:val="20"/>
                <w:lang w:eastAsia="en-GB"/>
              </w:rPr>
              <w:t xml:space="preserve"> v </w:t>
            </w:r>
            <w:proofErr w:type="spellStart"/>
            <w:r w:rsidRPr="00CF43DE">
              <w:rPr>
                <w:rFonts w:eastAsia="Times New Roman"/>
                <w:bCs/>
                <w:sz w:val="20"/>
                <w:lang w:eastAsia="en-GB"/>
              </w:rPr>
              <w:t>smislu</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svetovanja</w:t>
            </w:r>
            <w:proofErr w:type="spellEnd"/>
            <w:r w:rsidRPr="00CF43DE">
              <w:rPr>
                <w:rFonts w:eastAsia="Times New Roman"/>
                <w:bCs/>
                <w:sz w:val="20"/>
                <w:lang w:eastAsia="en-GB"/>
              </w:rPr>
              <w:t xml:space="preserve"> glede </w:t>
            </w:r>
            <w:proofErr w:type="spellStart"/>
            <w:r w:rsidRPr="00CF43DE">
              <w:rPr>
                <w:rFonts w:eastAsia="Times New Roman"/>
                <w:bCs/>
                <w:sz w:val="20"/>
                <w:lang w:eastAsia="en-GB"/>
              </w:rPr>
              <w:t>alternativnih</w:t>
            </w:r>
            <w:proofErr w:type="spellEnd"/>
            <w:r w:rsidRPr="00CF43DE">
              <w:rPr>
                <w:rFonts w:eastAsia="Times New Roman"/>
                <w:bCs/>
                <w:sz w:val="20"/>
                <w:lang w:eastAsia="en-GB"/>
              </w:rPr>
              <w:t xml:space="preserve"> </w:t>
            </w:r>
            <w:proofErr w:type="spellStart"/>
            <w:r w:rsidRPr="00CF43DE">
              <w:rPr>
                <w:rFonts w:eastAsia="Times New Roman"/>
                <w:bCs/>
                <w:sz w:val="20"/>
                <w:lang w:eastAsia="en-GB"/>
              </w:rPr>
              <w:t>metod</w:t>
            </w:r>
            <w:proofErr w:type="spellEnd"/>
            <w:r w:rsidRPr="00CF43DE">
              <w:rPr>
                <w:rFonts w:eastAsia="Times New Roman"/>
                <w:bCs/>
                <w:sz w:val="20"/>
                <w:lang w:eastAsia="en-GB"/>
              </w:rPr>
              <w:t xml:space="preserve"> v </w:t>
            </w:r>
            <w:proofErr w:type="spellStart"/>
            <w:r w:rsidRPr="00CF43DE">
              <w:rPr>
                <w:rFonts w:eastAsia="Times New Roman"/>
                <w:bCs/>
                <w:sz w:val="20"/>
                <w:lang w:eastAsia="en-GB"/>
              </w:rPr>
              <w:t>okviru</w:t>
            </w:r>
            <w:proofErr w:type="spellEnd"/>
            <w:r w:rsidRPr="00CF43DE">
              <w:rPr>
                <w:rFonts w:eastAsia="Times New Roman"/>
                <w:bCs/>
                <w:sz w:val="20"/>
                <w:lang w:eastAsia="en-GB"/>
              </w:rPr>
              <w:t xml:space="preserve"> IVR.</w:t>
            </w:r>
          </w:p>
          <w:p w14:paraId="49D10749" w14:textId="77777777" w:rsidR="009667F2" w:rsidRPr="00CF43DE" w:rsidRDefault="009667F2" w:rsidP="004270C0">
            <w:pPr>
              <w:tabs>
                <w:tab w:val="left" w:pos="2160"/>
              </w:tabs>
              <w:spacing w:after="240"/>
              <w:jc w:val="both"/>
              <w:rPr>
                <w:rFonts w:eastAsia="Times New Roman"/>
                <w:sz w:val="20"/>
                <w:lang w:val="sl-SI" w:eastAsia="en-GB"/>
              </w:rPr>
            </w:pPr>
            <w:r w:rsidRPr="00CF43DE">
              <w:rPr>
                <w:rFonts w:eastAsia="Times New Roman"/>
                <w:sz w:val="20"/>
                <w:lang w:val="sl-SI" w:eastAsia="en-GB"/>
              </w:rPr>
              <w:t xml:space="preserve">- Investicije v naložbe, kot so sofinanciranje nakupa specialnih naprav za nanašanje FFS (manjše zanašanje vodi v manjšo porabo FFS), naprav in opreme za </w:t>
            </w:r>
            <w:proofErr w:type="spellStart"/>
            <w:r w:rsidRPr="00CF43DE">
              <w:rPr>
                <w:rFonts w:eastAsia="Times New Roman"/>
                <w:sz w:val="20"/>
                <w:lang w:val="sl-SI" w:eastAsia="en-GB"/>
              </w:rPr>
              <w:t>nekemično</w:t>
            </w:r>
            <w:proofErr w:type="spellEnd"/>
            <w:r w:rsidRPr="00CF43DE">
              <w:rPr>
                <w:rFonts w:eastAsia="Times New Roman"/>
                <w:sz w:val="20"/>
                <w:lang w:val="sl-SI" w:eastAsia="en-GB"/>
              </w:rPr>
              <w:t xml:space="preserve"> zatiranje plevelov ter ostalih naprav, ki zmanjšujejo rabo FFS.</w:t>
            </w:r>
          </w:p>
          <w:p w14:paraId="731153EF"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V okviru Skupne kmetijske politike (SKP) bi bilo potrebno vpeljati naslednje ukrepe:</w:t>
            </w:r>
          </w:p>
          <w:p w14:paraId="7ACDDE8C"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v vinogradništvu, sadjarstvu ter hmeljarstvu se finančno podpre uporabo FFS na osnovi mikroorganizmov (biološka sredstva)</w:t>
            </w:r>
          </w:p>
          <w:p w14:paraId="46DFA243"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 finančna podpora za biotično zatiranja škodljivcev</w:t>
            </w:r>
          </w:p>
          <w:p w14:paraId="0C60B27E"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 xml:space="preserve">- </w:t>
            </w:r>
            <w:proofErr w:type="spellStart"/>
            <w:r w:rsidRPr="00CF43DE">
              <w:rPr>
                <w:bCs/>
                <w:sz w:val="20"/>
                <w:lang w:val="sl-SI" w:eastAsia="en-GB"/>
              </w:rPr>
              <w:t>vzpodbujenje</w:t>
            </w:r>
            <w:proofErr w:type="spellEnd"/>
            <w:r w:rsidRPr="00CF43DE">
              <w:rPr>
                <w:bCs/>
                <w:sz w:val="20"/>
                <w:lang w:val="sl-SI" w:eastAsia="en-GB"/>
              </w:rPr>
              <w:t xml:space="preserve"> uporabe </w:t>
            </w:r>
            <w:proofErr w:type="spellStart"/>
            <w:r w:rsidRPr="00CF43DE">
              <w:rPr>
                <w:bCs/>
                <w:sz w:val="20"/>
                <w:lang w:val="sl-SI" w:eastAsia="en-GB"/>
              </w:rPr>
              <w:t>protiinsektnih</w:t>
            </w:r>
            <w:proofErr w:type="spellEnd"/>
            <w:r w:rsidRPr="00CF43DE">
              <w:rPr>
                <w:bCs/>
                <w:sz w:val="20"/>
                <w:lang w:val="sl-SI" w:eastAsia="en-GB"/>
              </w:rPr>
              <w:t xml:space="preserve"> mrež ter vab</w:t>
            </w:r>
          </w:p>
          <w:p w14:paraId="74AC508E"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 v poljedelstvu se finančno podpre sajenje sort , ki so odporne na bolezni in škodljivce</w:t>
            </w:r>
          </w:p>
          <w:p w14:paraId="119B4E0D"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 določitev kvot glede porabe FFS po posamezni kmetijski proizvodnji. Kdor porabi manj od te kvote, je finančno nagrajen.</w:t>
            </w:r>
          </w:p>
          <w:p w14:paraId="0E0E02F2" w14:textId="77777777" w:rsidR="009667F2" w:rsidRPr="00CF43DE" w:rsidRDefault="009667F2" w:rsidP="004270C0">
            <w:pPr>
              <w:spacing w:beforeLines="60" w:before="144" w:afterLines="60" w:after="144"/>
              <w:jc w:val="both"/>
              <w:rPr>
                <w:bCs/>
                <w:sz w:val="20"/>
                <w:lang w:val="sl-SI" w:eastAsia="en-GB"/>
              </w:rPr>
            </w:pPr>
            <w:r w:rsidRPr="00CF43DE">
              <w:rPr>
                <w:bCs/>
                <w:sz w:val="20"/>
                <w:lang w:val="sl-SI" w:eastAsia="en-GB"/>
              </w:rPr>
              <w:t>Na zmanjšanje rabe FFS bi lahko pozitivno vplivali tudi z naslednjimi ukrepi:</w:t>
            </w:r>
          </w:p>
          <w:p w14:paraId="5DEC9470" w14:textId="1AA1C847" w:rsidR="009667F2" w:rsidRPr="009667F2" w:rsidRDefault="009667F2" w:rsidP="004270C0">
            <w:pPr>
              <w:spacing w:beforeLines="60" w:before="144" w:afterLines="60" w:after="144"/>
              <w:jc w:val="both"/>
              <w:rPr>
                <w:bCs/>
                <w:sz w:val="20"/>
                <w:lang w:val="sl-SI" w:eastAsia="en-GB"/>
              </w:rPr>
            </w:pPr>
            <w:r w:rsidRPr="00CF43DE">
              <w:rPr>
                <w:bCs/>
                <w:sz w:val="20"/>
                <w:lang w:val="sl-SI" w:eastAsia="en-GB"/>
              </w:rPr>
              <w:t xml:space="preserve">- s finančno podporo za rabo alternativnih metod namesto rabe herbicidov, kjer obstajajo </w:t>
            </w:r>
            <w:proofErr w:type="spellStart"/>
            <w:r w:rsidRPr="00CF43DE">
              <w:rPr>
                <w:bCs/>
                <w:sz w:val="20"/>
                <w:lang w:val="sl-SI" w:eastAsia="en-GB"/>
              </w:rPr>
              <w:t>nekemične</w:t>
            </w:r>
            <w:proofErr w:type="spellEnd"/>
            <w:r w:rsidRPr="00CF43DE">
              <w:rPr>
                <w:bCs/>
                <w:sz w:val="20"/>
                <w:lang w:val="sl-SI" w:eastAsia="en-GB"/>
              </w:rPr>
              <w:t xml:space="preserve"> metode zatiranja plevelov</w:t>
            </w:r>
          </w:p>
        </w:tc>
      </w:tr>
      <w:tr w:rsidR="009667F2" w:rsidRPr="00CF43DE" w14:paraId="4F9363B2" w14:textId="77777777" w:rsidTr="009667F2">
        <w:trPr>
          <w:trHeight w:val="625"/>
        </w:trPr>
        <w:tc>
          <w:tcPr>
            <w:tcW w:w="287" w:type="pct"/>
          </w:tcPr>
          <w:p w14:paraId="3164DEA7" w14:textId="77777777" w:rsidR="009667F2" w:rsidRPr="00CF43DE" w:rsidRDefault="009667F2" w:rsidP="004270C0">
            <w:pPr>
              <w:jc w:val="both"/>
              <w:rPr>
                <w:rFonts w:eastAsia="Times New Roman"/>
                <w:b/>
                <w:sz w:val="20"/>
                <w:lang w:val="sl-SI" w:eastAsia="en-GB"/>
              </w:rPr>
            </w:pPr>
            <w:r w:rsidRPr="00CF43DE">
              <w:rPr>
                <w:rFonts w:eastAsia="Times New Roman"/>
                <w:b/>
                <w:sz w:val="20"/>
                <w:lang w:val="sl-SI" w:eastAsia="en-GB"/>
              </w:rPr>
              <w:t>3</w:t>
            </w:r>
          </w:p>
        </w:tc>
        <w:tc>
          <w:tcPr>
            <w:tcW w:w="992" w:type="pct"/>
          </w:tcPr>
          <w:p w14:paraId="05BE7A26" w14:textId="77777777" w:rsidR="009667F2" w:rsidRPr="00CF43DE" w:rsidRDefault="009667F2" w:rsidP="004270C0">
            <w:pPr>
              <w:spacing w:before="120" w:after="120"/>
              <w:jc w:val="both"/>
              <w:rPr>
                <w:rFonts w:eastAsia="Times New Roman"/>
                <w:b/>
                <w:sz w:val="20"/>
                <w:lang w:eastAsia="en-GB"/>
              </w:rPr>
            </w:pPr>
            <w:proofErr w:type="spellStart"/>
            <w:r w:rsidRPr="00CF43DE">
              <w:rPr>
                <w:rFonts w:eastAsia="Times New Roman"/>
                <w:b/>
                <w:sz w:val="20"/>
                <w:lang w:eastAsia="en-GB"/>
              </w:rPr>
              <w:t>Zagotavljanje</w:t>
            </w:r>
            <w:proofErr w:type="spellEnd"/>
            <w:r w:rsidRPr="00CF43DE">
              <w:rPr>
                <w:rFonts w:eastAsia="Times New Roman"/>
                <w:b/>
                <w:sz w:val="20"/>
                <w:lang w:eastAsia="en-GB"/>
              </w:rPr>
              <w:t xml:space="preserve"> </w:t>
            </w:r>
            <w:proofErr w:type="spellStart"/>
            <w:r w:rsidRPr="00CF43DE">
              <w:rPr>
                <w:rFonts w:eastAsia="Times New Roman"/>
                <w:b/>
                <w:sz w:val="20"/>
                <w:lang w:eastAsia="en-GB"/>
              </w:rPr>
              <w:t>živalim</w:t>
            </w:r>
            <w:proofErr w:type="spellEnd"/>
            <w:r w:rsidRPr="00CF43DE">
              <w:rPr>
                <w:rFonts w:eastAsia="Times New Roman"/>
                <w:b/>
                <w:sz w:val="20"/>
                <w:lang w:eastAsia="en-GB"/>
              </w:rPr>
              <w:t xml:space="preserve"> </w:t>
            </w:r>
            <w:proofErr w:type="spellStart"/>
            <w:r w:rsidRPr="00CF43DE">
              <w:rPr>
                <w:rFonts w:eastAsia="Times New Roman"/>
                <w:b/>
                <w:sz w:val="20"/>
                <w:lang w:eastAsia="en-GB"/>
              </w:rPr>
              <w:lastRenderedPageBreak/>
              <w:t>prilagojenih</w:t>
            </w:r>
            <w:proofErr w:type="spellEnd"/>
            <w:r w:rsidRPr="00CF43DE">
              <w:rPr>
                <w:rFonts w:eastAsia="Times New Roman"/>
                <w:b/>
                <w:sz w:val="20"/>
                <w:lang w:eastAsia="en-GB"/>
              </w:rPr>
              <w:t xml:space="preserve"> </w:t>
            </w:r>
            <w:proofErr w:type="spellStart"/>
            <w:r w:rsidRPr="00CF43DE">
              <w:rPr>
                <w:rFonts w:eastAsia="Times New Roman"/>
                <w:b/>
                <w:sz w:val="20"/>
                <w:lang w:eastAsia="en-GB"/>
              </w:rPr>
              <w:t>načinov</w:t>
            </w:r>
            <w:proofErr w:type="spellEnd"/>
            <w:r w:rsidRPr="00CF43DE">
              <w:rPr>
                <w:rFonts w:eastAsia="Times New Roman"/>
                <w:b/>
                <w:sz w:val="20"/>
                <w:lang w:eastAsia="en-GB"/>
              </w:rPr>
              <w:t xml:space="preserve"> </w:t>
            </w:r>
            <w:proofErr w:type="spellStart"/>
            <w:r w:rsidRPr="00CF43DE">
              <w:rPr>
                <w:rFonts w:eastAsia="Times New Roman"/>
                <w:b/>
                <w:sz w:val="20"/>
                <w:lang w:eastAsia="en-GB"/>
              </w:rPr>
              <w:t>reje</w:t>
            </w:r>
            <w:proofErr w:type="spellEnd"/>
          </w:p>
          <w:p w14:paraId="7760B03C" w14:textId="77777777" w:rsidR="009667F2" w:rsidRPr="00CF43DE" w:rsidRDefault="009667F2" w:rsidP="004270C0">
            <w:pPr>
              <w:jc w:val="both"/>
              <w:rPr>
                <w:rFonts w:eastAsia="Times New Roman"/>
                <w:b/>
                <w:sz w:val="20"/>
                <w:lang w:val="sl-SI" w:eastAsia="en-GB"/>
              </w:rPr>
            </w:pPr>
          </w:p>
        </w:tc>
        <w:tc>
          <w:tcPr>
            <w:tcW w:w="3720" w:type="pct"/>
          </w:tcPr>
          <w:p w14:paraId="6835AF81" w14:textId="77777777" w:rsidR="009667F2" w:rsidRPr="00CF43DE" w:rsidRDefault="009667F2" w:rsidP="004270C0">
            <w:pPr>
              <w:jc w:val="both"/>
              <w:rPr>
                <w:rFonts w:eastAsia="Times New Roman"/>
                <w:sz w:val="20"/>
                <w:lang w:val="sl-SI" w:eastAsia="en-GB"/>
              </w:rPr>
            </w:pPr>
            <w:r w:rsidRPr="00CF43DE">
              <w:rPr>
                <w:rFonts w:eastAsia="Times New Roman"/>
                <w:sz w:val="20"/>
                <w:lang w:val="sl-SI" w:eastAsia="en-GB"/>
              </w:rPr>
              <w:lastRenderedPageBreak/>
              <w:t xml:space="preserve">Trajnostni razvoj, ki vključuje okoljske in podnebne razmere ter poudarja dobrobit živali, pridobiva čedalje večji pomen pri razvoju kmetijstva in </w:t>
            </w:r>
            <w:r w:rsidRPr="00CF43DE">
              <w:rPr>
                <w:rFonts w:eastAsia="Times New Roman"/>
                <w:sz w:val="20"/>
                <w:lang w:val="sl-SI" w:eastAsia="en-GB"/>
              </w:rPr>
              <w:lastRenderedPageBreak/>
              <w:t xml:space="preserve">živinoreje. Obenem potrošniki pri odločitvi o nakupu živalskih proizvodov vse večjo pozornost namenjajo temu, v kakšnih pogojih reje so bile živali vzrejene. Tudi Resolucija »Naša hrana, podeželje in naravni viri po letu 2021« opredeljuje dobrobit živali kot področje rastočega zanimanja javnosti. Prihodnji razvoj živinoreje mora zato temeljiti na izboljšani dobrobiti živali in na zagotavljanju visokih standardov zdravstvenega varstva živali. </w:t>
            </w:r>
          </w:p>
          <w:p w14:paraId="1F2E5584" w14:textId="6E9ACC44" w:rsidR="009667F2" w:rsidRPr="00CF43DE" w:rsidRDefault="009667F2" w:rsidP="004270C0">
            <w:pPr>
              <w:jc w:val="both"/>
              <w:rPr>
                <w:rFonts w:eastAsia="Times New Roman"/>
                <w:sz w:val="20"/>
                <w:lang w:val="sl-SI" w:eastAsia="en-GB"/>
              </w:rPr>
            </w:pPr>
            <w:r w:rsidRPr="00CF43DE">
              <w:rPr>
                <w:rFonts w:eastAsia="Times New Roman"/>
                <w:sz w:val="20"/>
                <w:lang w:val="sl-SI" w:eastAsia="en-GB"/>
              </w:rPr>
              <w:t xml:space="preserve">Različni pogoji reje v konvencionalnih ali alternativnih sistemih, še posebno pri skupinsko </w:t>
            </w:r>
            <w:proofErr w:type="spellStart"/>
            <w:r w:rsidRPr="00CF43DE">
              <w:rPr>
                <w:rFonts w:eastAsia="Times New Roman"/>
                <w:sz w:val="20"/>
                <w:lang w:val="sl-SI" w:eastAsia="en-GB"/>
              </w:rPr>
              <w:t>uhlevljenih</w:t>
            </w:r>
            <w:proofErr w:type="spellEnd"/>
            <w:r w:rsidRPr="00CF43DE">
              <w:rPr>
                <w:rFonts w:eastAsia="Times New Roman"/>
                <w:sz w:val="20"/>
                <w:lang w:val="sl-SI" w:eastAsia="en-GB"/>
              </w:rPr>
              <w:t xml:space="preserve"> živalih, različno vplivajo na pojav stresa, anomalij v obnašanju, telesnih poškodb, bolezni in drugih odstopanj z vidika dobrobiti živali. Zato bodo intervencije za dobrobiti živali usmerjene v neposredne podpore za izvajanje živalim prilagojenih (nadstandardnih) načinov reje, ob tem pa bodo tudi podpore naložbam v živinoreji usmerjene v izboljšanje razmer za rejo živali.  in prilagoditev kmetijskih gospodarstev nadstandardnim zahtevam dobrobiti </w:t>
            </w:r>
            <w:proofErr w:type="spellStart"/>
            <w:r w:rsidRPr="00CF43DE">
              <w:rPr>
                <w:rFonts w:eastAsia="Times New Roman"/>
                <w:sz w:val="20"/>
                <w:lang w:val="sl-SI" w:eastAsia="en-GB"/>
              </w:rPr>
              <w:t>rejnih</w:t>
            </w:r>
            <w:proofErr w:type="spellEnd"/>
            <w:r w:rsidRPr="00CF43DE">
              <w:rPr>
                <w:rFonts w:eastAsia="Times New Roman"/>
                <w:sz w:val="20"/>
                <w:lang w:val="sl-SI" w:eastAsia="en-GB"/>
              </w:rPr>
              <w:t xml:space="preserve"> živali. Potreba po intervencijah za dobrobit živali je izražena v vseh gospodarsko pomembnih panogah živinoreje.</w:t>
            </w:r>
          </w:p>
        </w:tc>
      </w:tr>
      <w:tr w:rsidR="009667F2" w:rsidRPr="00CF43DE" w14:paraId="4C8B3F39" w14:textId="77777777" w:rsidTr="009667F2">
        <w:trPr>
          <w:trHeight w:val="625"/>
        </w:trPr>
        <w:tc>
          <w:tcPr>
            <w:tcW w:w="287" w:type="pct"/>
          </w:tcPr>
          <w:p w14:paraId="64648D16" w14:textId="77777777" w:rsidR="009667F2" w:rsidRPr="00CF43DE" w:rsidRDefault="009667F2" w:rsidP="004270C0">
            <w:pPr>
              <w:spacing w:after="100" w:line="276" w:lineRule="auto"/>
              <w:ind w:left="1100"/>
              <w:jc w:val="both"/>
              <w:rPr>
                <w:rFonts w:eastAsia="Times New Roman"/>
                <w:b/>
                <w:sz w:val="20"/>
                <w:lang w:val="sl-SI" w:eastAsia="en-GB"/>
              </w:rPr>
            </w:pPr>
            <w:r w:rsidRPr="00CF43DE">
              <w:rPr>
                <w:rFonts w:eastAsia="Times New Roman"/>
                <w:b/>
                <w:sz w:val="20"/>
                <w:lang w:eastAsia="en-GB"/>
              </w:rPr>
              <w:lastRenderedPageBreak/>
              <w:t>4</w:t>
            </w:r>
          </w:p>
          <w:p w14:paraId="008574A4" w14:textId="77777777" w:rsidR="009667F2" w:rsidRPr="00CF43DE" w:rsidRDefault="009667F2" w:rsidP="004270C0">
            <w:pPr>
              <w:rPr>
                <w:rFonts w:eastAsia="Times New Roman"/>
                <w:sz w:val="20"/>
                <w:lang w:eastAsia="en-GB"/>
              </w:rPr>
            </w:pPr>
            <w:r w:rsidRPr="00CF43DE">
              <w:rPr>
                <w:rFonts w:eastAsia="Times New Roman"/>
                <w:sz w:val="20"/>
                <w:lang w:eastAsia="en-GB"/>
              </w:rPr>
              <w:t>4</w:t>
            </w:r>
          </w:p>
        </w:tc>
        <w:tc>
          <w:tcPr>
            <w:tcW w:w="992" w:type="pct"/>
          </w:tcPr>
          <w:p w14:paraId="1AD85D6B" w14:textId="77777777" w:rsidR="009667F2" w:rsidRPr="00CF43DE" w:rsidRDefault="009667F2" w:rsidP="004270C0">
            <w:pPr>
              <w:spacing w:before="120" w:after="120" w:line="276" w:lineRule="auto"/>
              <w:jc w:val="both"/>
              <w:rPr>
                <w:b/>
                <w:sz w:val="20"/>
                <w:lang w:val="sl-SI"/>
              </w:rPr>
            </w:pPr>
            <w:r w:rsidRPr="00CF43DE">
              <w:rPr>
                <w:b/>
                <w:sz w:val="20"/>
                <w:lang w:val="sl-SI"/>
              </w:rPr>
              <w:t>Zmanjševanje izgub in odpadkov hrane</w:t>
            </w:r>
          </w:p>
        </w:tc>
        <w:tc>
          <w:tcPr>
            <w:tcW w:w="3720" w:type="pct"/>
          </w:tcPr>
          <w:p w14:paraId="28D8A2A8" w14:textId="77777777" w:rsidR="009667F2" w:rsidRPr="00CF43DE" w:rsidRDefault="009667F2" w:rsidP="004270C0">
            <w:pPr>
              <w:spacing w:after="100" w:line="276" w:lineRule="auto"/>
              <w:jc w:val="both"/>
              <w:rPr>
                <w:sz w:val="20"/>
                <w:lang w:val="sl-SI"/>
              </w:rPr>
            </w:pPr>
            <w:r w:rsidRPr="00CF43DE">
              <w:rPr>
                <w:sz w:val="20"/>
                <w:shd w:val="clear" w:color="auto" w:fill="FFFFFF"/>
                <w:lang w:val="sl-SI"/>
              </w:rPr>
              <w:t xml:space="preserve">Z ukrepi in vzpodbudami skupne kmetijske politike že sedaj uvajamo ukrepe, ki prispevajo k zmanjšanju odpadne hrane v verigi preskrbe s hrano. Ti ukrepi so preko investicij v sodobne hladilnice, pakirnice, skladišča, </w:t>
            </w:r>
            <w:r w:rsidRPr="00CF43DE">
              <w:rPr>
                <w:sz w:val="20"/>
                <w:lang w:val="sl-SI"/>
              </w:rPr>
              <w:t xml:space="preserve">povezovanje primarnih proizvajalcev, digitalizacijo proizvodnih procesov, novimi tehnologijami proizvodnje in preciznim kmetijstvom. Poleg tega osveščamo in spodbujamo javne zavode, da v okviru zelenega javnega naročanja dajejo pozornost lokalni in trajnostno pridelani hrani, saj s tem lahko prispevajo k manj izpustom in izgubam hrane ter odpadni hrani. V okviru Šolske sheme sadja in mleka ter projekta Tradicionalni slovenski zajtrk, je izobraževalna tema za otroke in organizatorje prehrane tudi zmanjševanje izgub in odpadne hrane.  Potrošnike skozi različne informativne  digitalne kanale osveščamo o rokih trajanja hrane (uporabno do/porabiti najmanj do), ter kako lahko v vsakdanjem življenju zmanjšajo količino odpadne. </w:t>
            </w:r>
          </w:p>
          <w:p w14:paraId="4E3E713E" w14:textId="7C711E3B" w:rsidR="009667F2" w:rsidRPr="009667F2" w:rsidRDefault="009667F2" w:rsidP="009667F2">
            <w:pPr>
              <w:spacing w:before="120" w:after="200" w:line="276" w:lineRule="auto"/>
              <w:jc w:val="both"/>
              <w:rPr>
                <w:rFonts w:eastAsia="Times New Roman"/>
                <w:sz w:val="20"/>
                <w:lang w:val="sl-SI" w:eastAsia="en-GB"/>
              </w:rPr>
            </w:pPr>
            <w:r w:rsidRPr="00CF43DE">
              <w:rPr>
                <w:rFonts w:eastAsia="Times New Roman"/>
                <w:sz w:val="20"/>
                <w:lang w:val="sl-SI" w:eastAsia="en-GB"/>
              </w:rPr>
              <w:t xml:space="preserve">S ciljnimi ukrepi skupne kmetijske politike (verige vrednosti, inovativni tehnološki sistemi v primarni proizvodnji, inovacije v živilski industriji, sodobne tehnologije skladiščenja, učinkovita logistika,  investicije v sodobne industrijske obrate in proizvodne tehnologije, ki ohranjajo vire in zagotavljajo, da se surovine čim bolj izkoristijo (krožno gospodarstvo), osveščanjem in izobraževanjem vseh deležnikov v verigi ter vzpodbujanjem inovacij, je treba nadaljevali tudi v prihodnje. Prav tako je potrebno nameniti pozornost in sredstva za raziskave in prenos znanja za trajnostne proizvodnje in porabe hrane. </w:t>
            </w:r>
            <w:proofErr w:type="spellStart"/>
            <w:r w:rsidRPr="00CF43DE">
              <w:rPr>
                <w:rFonts w:eastAsia="Times New Roman"/>
                <w:sz w:val="20"/>
                <w:lang w:val="it-IT" w:eastAsia="en-GB"/>
              </w:rPr>
              <w:t>Pripravlja</w:t>
            </w:r>
            <w:proofErr w:type="spellEnd"/>
            <w:r w:rsidRPr="00CF43DE">
              <w:rPr>
                <w:rFonts w:eastAsia="Times New Roman"/>
                <w:sz w:val="20"/>
                <w:lang w:val="it-IT" w:eastAsia="en-GB"/>
              </w:rPr>
              <w:t xml:space="preserve"> se </w:t>
            </w:r>
            <w:proofErr w:type="spellStart"/>
            <w:r w:rsidRPr="00CF43DE">
              <w:rPr>
                <w:rFonts w:eastAsia="Times New Roman"/>
                <w:sz w:val="20"/>
                <w:lang w:val="it-IT" w:eastAsia="en-GB"/>
              </w:rPr>
              <w:t>tudi</w:t>
            </w:r>
            <w:proofErr w:type="spellEnd"/>
            <w:r w:rsidRPr="00CF43DE">
              <w:rPr>
                <w:rFonts w:eastAsia="Times New Roman"/>
                <w:sz w:val="20"/>
                <w:lang w:val="it-IT" w:eastAsia="en-GB"/>
              </w:rPr>
              <w:t xml:space="preserve"> </w:t>
            </w:r>
            <w:proofErr w:type="spellStart"/>
            <w:r w:rsidRPr="00CF43DE">
              <w:rPr>
                <w:rFonts w:eastAsia="Times New Roman"/>
                <w:sz w:val="20"/>
                <w:lang w:val="it-IT" w:eastAsia="en-GB"/>
              </w:rPr>
              <w:t>Strategija</w:t>
            </w:r>
            <w:proofErr w:type="spellEnd"/>
            <w:r w:rsidRPr="00CF43DE">
              <w:rPr>
                <w:rFonts w:eastAsia="Times New Roman"/>
                <w:sz w:val="20"/>
                <w:lang w:val="it-IT" w:eastAsia="en-GB"/>
              </w:rPr>
              <w:t xml:space="preserve"> za </w:t>
            </w:r>
            <w:proofErr w:type="spellStart"/>
            <w:r w:rsidRPr="00CF43DE">
              <w:rPr>
                <w:rFonts w:eastAsia="Times New Roman"/>
                <w:sz w:val="20"/>
                <w:lang w:val="it-IT" w:eastAsia="en-GB"/>
              </w:rPr>
              <w:t>manj</w:t>
            </w:r>
            <w:proofErr w:type="spellEnd"/>
            <w:r w:rsidRPr="00CF43DE">
              <w:rPr>
                <w:rFonts w:eastAsia="Times New Roman"/>
                <w:sz w:val="20"/>
                <w:lang w:val="it-IT" w:eastAsia="en-GB"/>
              </w:rPr>
              <w:t xml:space="preserve"> </w:t>
            </w:r>
            <w:proofErr w:type="spellStart"/>
            <w:r w:rsidRPr="00CF43DE">
              <w:rPr>
                <w:rFonts w:eastAsia="Times New Roman"/>
                <w:sz w:val="20"/>
                <w:lang w:val="it-IT" w:eastAsia="en-GB"/>
              </w:rPr>
              <w:t>izgub</w:t>
            </w:r>
            <w:proofErr w:type="spellEnd"/>
            <w:r w:rsidRPr="00CF43DE">
              <w:rPr>
                <w:rFonts w:eastAsia="Times New Roman"/>
                <w:sz w:val="20"/>
                <w:lang w:val="it-IT" w:eastAsia="en-GB"/>
              </w:rPr>
              <w:t xml:space="preserve"> in </w:t>
            </w:r>
            <w:proofErr w:type="spellStart"/>
            <w:r w:rsidRPr="00CF43DE">
              <w:rPr>
                <w:rFonts w:eastAsia="Times New Roman"/>
                <w:sz w:val="20"/>
                <w:lang w:val="it-IT" w:eastAsia="en-GB"/>
              </w:rPr>
              <w:t>odpadne</w:t>
            </w:r>
            <w:proofErr w:type="spellEnd"/>
            <w:r w:rsidRPr="00CF43DE">
              <w:rPr>
                <w:rFonts w:eastAsia="Times New Roman"/>
                <w:sz w:val="20"/>
                <w:lang w:val="it-IT" w:eastAsia="en-GB"/>
              </w:rPr>
              <w:t xml:space="preserve"> </w:t>
            </w:r>
            <w:proofErr w:type="spellStart"/>
            <w:r w:rsidRPr="00CF43DE">
              <w:rPr>
                <w:rFonts w:eastAsia="Times New Roman"/>
                <w:sz w:val="20"/>
                <w:lang w:val="it-IT" w:eastAsia="en-GB"/>
              </w:rPr>
              <w:t>hrane</w:t>
            </w:r>
            <w:proofErr w:type="spellEnd"/>
            <w:r w:rsidRPr="00CF43DE">
              <w:rPr>
                <w:rFonts w:eastAsia="Times New Roman"/>
                <w:sz w:val="20"/>
                <w:lang w:val="it-IT" w:eastAsia="en-GB"/>
              </w:rPr>
              <w:t xml:space="preserve"> v </w:t>
            </w:r>
            <w:proofErr w:type="spellStart"/>
            <w:r w:rsidRPr="00CF43DE">
              <w:rPr>
                <w:rFonts w:eastAsia="Times New Roman"/>
                <w:sz w:val="20"/>
                <w:lang w:val="it-IT" w:eastAsia="en-GB"/>
              </w:rPr>
              <w:t>verigi</w:t>
            </w:r>
            <w:proofErr w:type="spellEnd"/>
            <w:r w:rsidRPr="00CF43DE">
              <w:rPr>
                <w:rFonts w:eastAsia="Times New Roman"/>
                <w:sz w:val="20"/>
                <w:lang w:val="it-IT" w:eastAsia="en-GB"/>
              </w:rPr>
              <w:t xml:space="preserve"> </w:t>
            </w:r>
            <w:proofErr w:type="spellStart"/>
            <w:r w:rsidRPr="00CF43DE">
              <w:rPr>
                <w:rFonts w:eastAsia="Times New Roman"/>
                <w:sz w:val="20"/>
                <w:lang w:val="it-IT" w:eastAsia="en-GB"/>
              </w:rPr>
              <w:t>preskrbe</w:t>
            </w:r>
            <w:proofErr w:type="spellEnd"/>
            <w:r w:rsidRPr="00CF43DE">
              <w:rPr>
                <w:rFonts w:eastAsia="Times New Roman"/>
                <w:sz w:val="20"/>
                <w:lang w:val="it-IT" w:eastAsia="en-GB"/>
              </w:rPr>
              <w:t xml:space="preserve"> s </w:t>
            </w:r>
            <w:proofErr w:type="spellStart"/>
            <w:r w:rsidRPr="00CF43DE">
              <w:rPr>
                <w:rFonts w:eastAsia="Times New Roman"/>
                <w:sz w:val="20"/>
                <w:lang w:val="it-IT" w:eastAsia="en-GB"/>
              </w:rPr>
              <w:t>hrano</w:t>
            </w:r>
            <w:proofErr w:type="spellEnd"/>
            <w:r w:rsidRPr="00CF43DE">
              <w:rPr>
                <w:rFonts w:eastAsia="Times New Roman"/>
                <w:sz w:val="20"/>
                <w:lang w:val="it-IT" w:eastAsia="en-GB"/>
              </w:rPr>
              <w:t>.</w:t>
            </w:r>
          </w:p>
        </w:tc>
      </w:tr>
    </w:tbl>
    <w:p w14:paraId="2468B517" w14:textId="77777777" w:rsidR="00FA4BE0" w:rsidRPr="00F40938" w:rsidRDefault="00FA4BE0" w:rsidP="00FA4BE0">
      <w:pPr>
        <w:rPr>
          <w:sz w:val="16"/>
          <w:szCs w:val="16"/>
        </w:rPr>
      </w:pPr>
    </w:p>
    <w:p w14:paraId="2860BCC3" w14:textId="77777777" w:rsidR="000D589E" w:rsidRDefault="000D589E" w:rsidP="000D589E"/>
    <w:p w14:paraId="0D3C70FD" w14:textId="77777777" w:rsidR="00757F47" w:rsidRDefault="00757F47" w:rsidP="000D589E"/>
    <w:p w14:paraId="62C757B9" w14:textId="77777777" w:rsidR="00757F47" w:rsidRDefault="00757F47" w:rsidP="000D589E"/>
    <w:p w14:paraId="147D4ECB" w14:textId="77777777" w:rsidR="00757F47" w:rsidRDefault="00757F47" w:rsidP="000D589E"/>
    <w:p w14:paraId="26447B85" w14:textId="77777777" w:rsidR="00757F47" w:rsidRDefault="00757F47" w:rsidP="000D589E"/>
    <w:p w14:paraId="2C435284" w14:textId="77777777" w:rsidR="00757F47" w:rsidRDefault="00757F47" w:rsidP="000D589E"/>
    <w:p w14:paraId="2DC16A72" w14:textId="77777777" w:rsidR="00757F47" w:rsidRDefault="00757F47" w:rsidP="000D589E"/>
    <w:p w14:paraId="701D5EBE" w14:textId="77777777" w:rsidR="00757F47" w:rsidRDefault="00757F47" w:rsidP="000D589E"/>
    <w:p w14:paraId="31C89C3B" w14:textId="77777777" w:rsidR="00757F47" w:rsidRDefault="00757F47" w:rsidP="000D589E"/>
    <w:p w14:paraId="781E4AFD" w14:textId="77777777" w:rsidR="00757F47" w:rsidRDefault="00757F47" w:rsidP="000D589E"/>
    <w:p w14:paraId="3D2FB7A8" w14:textId="77777777" w:rsidR="00757F47" w:rsidRPr="000D589E" w:rsidRDefault="00757F47" w:rsidP="000D589E"/>
    <w:p w14:paraId="4BBFB27B" w14:textId="77777777" w:rsidR="00CA6187" w:rsidRPr="00BD20EB" w:rsidRDefault="00CA6187" w:rsidP="003A4E76"/>
    <w:p w14:paraId="142EED0E" w14:textId="075173DA" w:rsidR="00186223" w:rsidRPr="00BD20EB" w:rsidRDefault="00342C52" w:rsidP="006723E3">
      <w:pPr>
        <w:pStyle w:val="Naslov1"/>
        <w:rPr>
          <w:rFonts w:ascii="Arial" w:hAnsi="Arial" w:cs="Arial"/>
          <w:b/>
          <w:bCs/>
        </w:rPr>
      </w:pPr>
      <w:bookmarkStart w:id="104" w:name="_Toc55547457"/>
      <w:r w:rsidRPr="00BD20EB">
        <w:rPr>
          <w:rFonts w:ascii="Arial" w:hAnsi="Arial" w:cs="Arial"/>
          <w:b/>
          <w:bCs/>
        </w:rPr>
        <w:t>8</w:t>
      </w:r>
      <w:r w:rsidR="00291D2D" w:rsidRPr="00BD20EB">
        <w:rPr>
          <w:rFonts w:ascii="Arial" w:hAnsi="Arial" w:cs="Arial"/>
          <w:b/>
          <w:bCs/>
        </w:rPr>
        <w:t xml:space="preserve">. </w:t>
      </w:r>
      <w:r w:rsidR="00186223" w:rsidRPr="00BD20EB">
        <w:rPr>
          <w:rFonts w:ascii="Arial" w:hAnsi="Arial" w:cs="Arial"/>
          <w:b/>
          <w:bCs/>
        </w:rPr>
        <w:t>VIRI IN LIT</w:t>
      </w:r>
      <w:r w:rsidR="00D8676A">
        <w:rPr>
          <w:rFonts w:ascii="Arial" w:hAnsi="Arial" w:cs="Arial"/>
          <w:b/>
          <w:bCs/>
        </w:rPr>
        <w:t>ERAT</w:t>
      </w:r>
      <w:r w:rsidR="00186223" w:rsidRPr="00BD20EB">
        <w:rPr>
          <w:rFonts w:ascii="Arial" w:hAnsi="Arial" w:cs="Arial"/>
          <w:b/>
          <w:bCs/>
        </w:rPr>
        <w:t>URA</w:t>
      </w:r>
      <w:bookmarkEnd w:id="104"/>
    </w:p>
    <w:p w14:paraId="1F9ECD21" w14:textId="2A302296" w:rsidR="00D8676A" w:rsidRPr="00D8676A" w:rsidRDefault="00D8676A" w:rsidP="00757F47">
      <w:pPr>
        <w:pStyle w:val="Pripombabesedilo"/>
        <w:spacing w:line="240" w:lineRule="exact"/>
        <w:rPr>
          <w:rFonts w:ascii="Arial" w:hAnsi="Arial"/>
        </w:rPr>
      </w:pPr>
    </w:p>
    <w:p w14:paraId="2DEA209A" w14:textId="3D81A780" w:rsidR="00757F47" w:rsidRPr="00D8676A" w:rsidRDefault="00C20BCC" w:rsidP="00CF32CC">
      <w:pPr>
        <w:pStyle w:val="Pripombabesedilo"/>
        <w:spacing w:line="240" w:lineRule="exact"/>
        <w:jc w:val="left"/>
        <w:rPr>
          <w:rStyle w:val="Hiperpovezava"/>
          <w:rFonts w:ascii="Arial" w:hAnsi="Arial"/>
        </w:rPr>
      </w:pPr>
      <w:r w:rsidRPr="00D8676A">
        <w:rPr>
          <w:rFonts w:ascii="Arial" w:hAnsi="Arial"/>
        </w:rPr>
        <w:t>SURS.</w:t>
      </w:r>
      <w:r w:rsidR="00757F47" w:rsidRPr="00D8676A">
        <w:rPr>
          <w:rFonts w:ascii="Arial" w:hAnsi="Arial"/>
        </w:rPr>
        <w:t xml:space="preserve"> (2016):  </w:t>
      </w:r>
      <w:hyperlink r:id="rId45" w:history="1">
        <w:r w:rsidR="00757F47" w:rsidRPr="00D8676A">
          <w:rPr>
            <w:rStyle w:val="Hiperpovezava"/>
            <w:rFonts w:ascii="Arial" w:hAnsi="Arial"/>
          </w:rPr>
          <w:t>https://www.jkp-radlje.si/doc2/aktualno/hrana_med_odpadki_2016.pdf</w:t>
        </w:r>
      </w:hyperlink>
    </w:p>
    <w:p w14:paraId="1CB1CDB8" w14:textId="610B7FED" w:rsidR="00757F47" w:rsidRPr="00D8676A" w:rsidRDefault="00C20BCC" w:rsidP="00CF32CC">
      <w:pPr>
        <w:pStyle w:val="Pripombabesedilo"/>
        <w:spacing w:line="240" w:lineRule="exact"/>
        <w:jc w:val="left"/>
        <w:rPr>
          <w:rFonts w:ascii="Arial" w:hAnsi="Arial"/>
          <w:color w:val="0000FF" w:themeColor="hyperlink"/>
          <w:u w:val="single"/>
        </w:rPr>
      </w:pPr>
      <w:r w:rsidRPr="00D8676A">
        <w:rPr>
          <w:rStyle w:val="Hiperpovezava"/>
          <w:rFonts w:ascii="Arial" w:hAnsi="Arial"/>
          <w:color w:val="auto"/>
          <w:u w:val="none"/>
        </w:rPr>
        <w:t>SURS.</w:t>
      </w:r>
      <w:r w:rsidR="00757F47" w:rsidRPr="00D8676A">
        <w:rPr>
          <w:rStyle w:val="Hiperpovezava"/>
          <w:rFonts w:ascii="Arial" w:hAnsi="Arial"/>
          <w:color w:val="auto"/>
          <w:u w:val="none"/>
        </w:rPr>
        <w:t xml:space="preserve"> (2020):</w:t>
      </w:r>
      <w:r w:rsidR="00757F47" w:rsidRPr="00D8676A">
        <w:rPr>
          <w:rStyle w:val="Hiperpovezava"/>
          <w:rFonts w:ascii="Arial" w:hAnsi="Arial"/>
          <w:color w:val="auto"/>
        </w:rPr>
        <w:t xml:space="preserve"> </w:t>
      </w:r>
      <w:hyperlink r:id="rId46" w:history="1">
        <w:r w:rsidR="00757F47" w:rsidRPr="00D8676A">
          <w:rPr>
            <w:rStyle w:val="Hiperpovezava"/>
            <w:rFonts w:ascii="Arial" w:hAnsi="Arial"/>
          </w:rPr>
          <w:t>https://www.jkp-radlje.si/doc2/aktualno/hrana_med_odpadki_2016.pdf</w:t>
        </w:r>
      </w:hyperlink>
    </w:p>
    <w:p w14:paraId="3A384B69" w14:textId="3EA9F808" w:rsidR="00757F47" w:rsidRPr="00D8676A" w:rsidRDefault="00C20BCC" w:rsidP="00CF32CC">
      <w:pPr>
        <w:pStyle w:val="Pripombabesedilo"/>
        <w:spacing w:after="240" w:line="240" w:lineRule="exact"/>
        <w:jc w:val="left"/>
        <w:rPr>
          <w:rStyle w:val="Hiperpovezava"/>
          <w:rFonts w:ascii="Arial" w:hAnsi="Arial"/>
        </w:rPr>
      </w:pPr>
      <w:r w:rsidRPr="00D8676A">
        <w:rPr>
          <w:rFonts w:ascii="Arial" w:hAnsi="Arial"/>
        </w:rPr>
        <w:t>BIOEAST.</w:t>
      </w:r>
      <w:r w:rsidR="00757F47" w:rsidRPr="00D8676A">
        <w:rPr>
          <w:rFonts w:ascii="Arial" w:hAnsi="Arial"/>
        </w:rPr>
        <w:t xml:space="preserve"> (2020): </w:t>
      </w:r>
      <w:hyperlink r:id="rId47" w:history="1">
        <w:r w:rsidR="00757F47" w:rsidRPr="00D8676A">
          <w:rPr>
            <w:rStyle w:val="Hiperpovezava"/>
            <w:rFonts w:ascii="Arial" w:hAnsi="Arial"/>
          </w:rPr>
          <w:t>https://bioeast.eu/wp-content/uploads/2020/03/BIOEAST-food-waste-and-circular-economy-21-Feb-2020.pdf</w:t>
        </w:r>
      </w:hyperlink>
    </w:p>
    <w:p w14:paraId="08E3AD67" w14:textId="2CB5A820" w:rsidR="00757F47" w:rsidRPr="00D8676A" w:rsidRDefault="00757F47" w:rsidP="00CF32CC">
      <w:pPr>
        <w:autoSpaceDE w:val="0"/>
        <w:autoSpaceDN w:val="0"/>
        <w:adjustRightInd w:val="0"/>
        <w:spacing w:line="240" w:lineRule="exact"/>
        <w:rPr>
          <w:rFonts w:eastAsia="CIDFont+F4"/>
          <w:sz w:val="20"/>
        </w:rPr>
      </w:pPr>
      <w:r w:rsidRPr="00D8676A">
        <w:rPr>
          <w:rFonts w:eastAsia="CIDFont+F4"/>
          <w:sz w:val="20"/>
        </w:rPr>
        <w:t xml:space="preserve">Švab N. </w:t>
      </w:r>
      <w:r w:rsidR="00C20BCC" w:rsidRPr="00D8676A">
        <w:rPr>
          <w:rFonts w:eastAsia="CIDFont+F4"/>
          <w:sz w:val="20"/>
        </w:rPr>
        <w:t>(</w:t>
      </w:r>
      <w:r w:rsidRPr="00D8676A">
        <w:rPr>
          <w:rFonts w:eastAsia="CIDFont+F4"/>
          <w:sz w:val="20"/>
        </w:rPr>
        <w:t>2019</w:t>
      </w:r>
      <w:r w:rsidR="00C20BCC" w:rsidRPr="00D8676A">
        <w:rPr>
          <w:rFonts w:eastAsia="CIDFont+F4"/>
          <w:sz w:val="20"/>
        </w:rPr>
        <w:t>)</w:t>
      </w:r>
      <w:r w:rsidRPr="00D8676A">
        <w:rPr>
          <w:rFonts w:eastAsia="CIDFont+F4"/>
          <w:sz w:val="20"/>
        </w:rPr>
        <w:t>. »Neverjeten odziv« Slovencev: rešili 15 ton ekološko pridelanih jabolk; Portal 24 ur: https://www.24ur.com/novice/gospodarstvo/jabolka.html (april, 2020)</w:t>
      </w:r>
    </w:p>
    <w:p w14:paraId="57BD8C0B" w14:textId="1C5E5A8C" w:rsidR="00757F47" w:rsidRPr="00D8676A" w:rsidRDefault="00757F47" w:rsidP="00CF32CC">
      <w:pPr>
        <w:autoSpaceDE w:val="0"/>
        <w:autoSpaceDN w:val="0"/>
        <w:adjustRightInd w:val="0"/>
        <w:spacing w:after="0" w:line="240" w:lineRule="exact"/>
        <w:rPr>
          <w:rFonts w:eastAsia="CIDFont+F4"/>
          <w:sz w:val="20"/>
        </w:rPr>
      </w:pPr>
      <w:r w:rsidRPr="00D8676A">
        <w:rPr>
          <w:rFonts w:eastAsia="CIDFont+F4"/>
          <w:sz w:val="20"/>
        </w:rPr>
        <w:t xml:space="preserve">Zaplotnik C. </w:t>
      </w:r>
      <w:r w:rsidR="00C20BCC" w:rsidRPr="00D8676A">
        <w:rPr>
          <w:rFonts w:eastAsia="CIDFont+F4"/>
          <w:sz w:val="20"/>
        </w:rPr>
        <w:t>(</w:t>
      </w:r>
      <w:r w:rsidRPr="00D8676A">
        <w:rPr>
          <w:rFonts w:eastAsia="CIDFont+F4"/>
          <w:sz w:val="20"/>
        </w:rPr>
        <w:t>2015</w:t>
      </w:r>
      <w:r w:rsidR="00C20BCC" w:rsidRPr="00D8676A">
        <w:rPr>
          <w:rFonts w:eastAsia="CIDFont+F4"/>
          <w:sz w:val="20"/>
        </w:rPr>
        <w:t>)</w:t>
      </w:r>
      <w:r w:rsidRPr="00D8676A">
        <w:rPr>
          <w:rFonts w:eastAsia="CIDFont+F4"/>
          <w:sz w:val="20"/>
        </w:rPr>
        <w:t>. Rešimo slovenske pridelke. Gorenjski Glas: http://arhiv.gorenjskiglas.si/article/20151023/C/151029893/resimo-slovenskepridelke</w:t>
      </w:r>
    </w:p>
    <w:p w14:paraId="1DB25D09" w14:textId="50D7F5F9" w:rsidR="00757F47" w:rsidRPr="00D8676A" w:rsidRDefault="00757F47" w:rsidP="00CF32CC">
      <w:pPr>
        <w:pStyle w:val="Pripombabesedilo"/>
        <w:jc w:val="left"/>
      </w:pPr>
    </w:p>
    <w:p w14:paraId="24D2609A" w14:textId="6523945A" w:rsidR="00D8676A" w:rsidRPr="00C949D4" w:rsidRDefault="00D8676A" w:rsidP="00D8676A">
      <w:pPr>
        <w:spacing w:line="360" w:lineRule="auto"/>
        <w:jc w:val="both"/>
        <w:rPr>
          <w:sz w:val="20"/>
        </w:rPr>
      </w:pPr>
    </w:p>
    <w:sectPr w:rsidR="00D8676A" w:rsidRPr="00C949D4" w:rsidSect="00240F7A">
      <w:footerReference w:type="defaul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C3D5" w14:textId="77777777" w:rsidR="00E90FB9" w:rsidRDefault="00E90FB9" w:rsidP="00240F7A">
      <w:pPr>
        <w:spacing w:after="0" w:line="240" w:lineRule="auto"/>
      </w:pPr>
      <w:r>
        <w:separator/>
      </w:r>
    </w:p>
  </w:endnote>
  <w:endnote w:type="continuationSeparator" w:id="0">
    <w:p w14:paraId="08EB6375" w14:textId="77777777" w:rsidR="00E90FB9" w:rsidRDefault="00E90FB9" w:rsidP="00240F7A">
      <w:pPr>
        <w:spacing w:after="0" w:line="240" w:lineRule="auto"/>
      </w:pPr>
      <w:r>
        <w:continuationSeparator/>
      </w:r>
    </w:p>
  </w:endnote>
  <w:endnote w:type="continuationNotice" w:id="1">
    <w:p w14:paraId="19D18219" w14:textId="77777777" w:rsidR="00E90FB9" w:rsidRDefault="00E90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IDFont+F4">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79606"/>
      <w:docPartObj>
        <w:docPartGallery w:val="Page Numbers (Bottom of Page)"/>
        <w:docPartUnique/>
      </w:docPartObj>
    </w:sdtPr>
    <w:sdtEndPr/>
    <w:sdtContent>
      <w:p w14:paraId="59D14248" w14:textId="6EADDE09" w:rsidR="00757F47" w:rsidRDefault="00757F47">
        <w:pPr>
          <w:pStyle w:val="Noga"/>
          <w:jc w:val="center"/>
        </w:pPr>
        <w:r>
          <w:fldChar w:fldCharType="begin"/>
        </w:r>
        <w:r>
          <w:instrText>PAGE   \* MERGEFORMAT</w:instrText>
        </w:r>
        <w:r>
          <w:fldChar w:fldCharType="separate"/>
        </w:r>
        <w:r w:rsidR="009667F2">
          <w:rPr>
            <w:noProof/>
          </w:rPr>
          <w:t>43</w:t>
        </w:r>
        <w:r>
          <w:fldChar w:fldCharType="end"/>
        </w:r>
      </w:p>
    </w:sdtContent>
  </w:sdt>
  <w:p w14:paraId="4BE8ACAE" w14:textId="77777777" w:rsidR="00757F47" w:rsidRDefault="00757F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25F1" w14:textId="77777777" w:rsidR="00E90FB9" w:rsidRDefault="00E90FB9" w:rsidP="00240F7A">
      <w:pPr>
        <w:spacing w:after="0" w:line="240" w:lineRule="auto"/>
      </w:pPr>
      <w:r>
        <w:separator/>
      </w:r>
    </w:p>
  </w:footnote>
  <w:footnote w:type="continuationSeparator" w:id="0">
    <w:p w14:paraId="54C0991A" w14:textId="77777777" w:rsidR="00E90FB9" w:rsidRDefault="00E90FB9" w:rsidP="00240F7A">
      <w:pPr>
        <w:spacing w:after="0" w:line="240" w:lineRule="auto"/>
      </w:pPr>
      <w:r>
        <w:continuationSeparator/>
      </w:r>
    </w:p>
  </w:footnote>
  <w:footnote w:type="continuationNotice" w:id="1">
    <w:p w14:paraId="52F5E0B0" w14:textId="77777777" w:rsidR="00E90FB9" w:rsidRDefault="00E90FB9">
      <w:pPr>
        <w:spacing w:after="0" w:line="240" w:lineRule="auto"/>
      </w:pPr>
    </w:p>
  </w:footnote>
  <w:footnote w:id="2">
    <w:p w14:paraId="40C1F153" w14:textId="77777777" w:rsidR="00757F47" w:rsidRPr="00837C52" w:rsidRDefault="00757F47" w:rsidP="007F41C6">
      <w:pPr>
        <w:pStyle w:val="Sprotnaopomba-besedilo"/>
        <w:rPr>
          <w:rFonts w:ascii="Arial" w:hAnsi="Arial"/>
          <w:sz w:val="16"/>
          <w:szCs w:val="16"/>
        </w:rPr>
      </w:pPr>
      <w:r w:rsidRPr="008B5C49">
        <w:rPr>
          <w:rStyle w:val="Sprotnaopomba-sklic"/>
          <w:rFonts w:ascii="Arial" w:hAnsi="Arial"/>
        </w:rPr>
        <w:footnoteRef/>
      </w:r>
      <w:r w:rsidRPr="008B5C49">
        <w:rPr>
          <w:rFonts w:ascii="Arial" w:hAnsi="Arial"/>
        </w:rPr>
        <w:t xml:space="preserve"> </w:t>
      </w:r>
      <w:r w:rsidRPr="00837C52">
        <w:rPr>
          <w:rFonts w:ascii="Arial" w:hAnsi="Arial"/>
          <w:sz w:val="16"/>
          <w:szCs w:val="16"/>
        </w:rPr>
        <w:t xml:space="preserve">PCU: </w:t>
      </w:r>
    </w:p>
    <w:p w14:paraId="6B53C934" w14:textId="77777777" w:rsidR="00757F47" w:rsidRPr="00837C52" w:rsidRDefault="00757F47" w:rsidP="007F41C6">
      <w:pPr>
        <w:pStyle w:val="Sprotnaopomba-besedilo"/>
        <w:rPr>
          <w:rFonts w:ascii="Arial" w:hAnsi="Arial"/>
          <w:sz w:val="16"/>
          <w:szCs w:val="16"/>
        </w:rPr>
      </w:pPr>
      <w:r w:rsidRPr="00837C52">
        <w:rPr>
          <w:rFonts w:ascii="Arial" w:hAnsi="Arial"/>
          <w:sz w:val="16"/>
          <w:szCs w:val="16"/>
        </w:rPr>
        <w:t>https://www.ema.europa.eu/en/veterinary-regulatory/overview/antimicrobial-resistance/european-surveillance-veterinary-antimicrobial-consumption-esvac</w:t>
      </w:r>
    </w:p>
    <w:p w14:paraId="085AB7BF" w14:textId="77777777" w:rsidR="00757F47" w:rsidRPr="00837C52" w:rsidRDefault="00757F47" w:rsidP="007F41C6">
      <w:pPr>
        <w:pStyle w:val="Sprotnaopomba-besedilo"/>
        <w:rPr>
          <w:rFonts w:ascii="Arial" w:hAnsi="Arial"/>
          <w:sz w:val="16"/>
          <w:szCs w:val="16"/>
        </w:rPr>
      </w:pPr>
      <w:r w:rsidRPr="00837C52">
        <w:rPr>
          <w:rFonts w:ascii="Arial" w:hAnsi="Arial"/>
          <w:sz w:val="16"/>
          <w:szCs w:val="16"/>
        </w:rPr>
        <w:t>https://www.ema.europa.eu/en/documents/report/trends-sales-veterinary-antimicrobial-agents-nine-european-countries_en.pdf</w:t>
      </w:r>
    </w:p>
  </w:footnote>
  <w:footnote w:id="3">
    <w:p w14:paraId="1B47C493" w14:textId="77777777" w:rsidR="00757F47" w:rsidRPr="008B5C49" w:rsidRDefault="00757F47" w:rsidP="007F41C6">
      <w:pPr>
        <w:pStyle w:val="Sprotnaopomba-besedilo"/>
        <w:rPr>
          <w:rFonts w:ascii="Arial" w:hAnsi="Arial"/>
          <w:sz w:val="16"/>
          <w:szCs w:val="16"/>
        </w:rPr>
      </w:pPr>
      <w:r w:rsidRPr="00837C52">
        <w:rPr>
          <w:rStyle w:val="Sprotnaopomba-sklic"/>
          <w:rFonts w:ascii="Arial" w:hAnsi="Arial"/>
          <w:sz w:val="16"/>
          <w:szCs w:val="16"/>
        </w:rPr>
        <w:footnoteRef/>
      </w:r>
      <w:r w:rsidRPr="00837C52">
        <w:rPr>
          <w:rFonts w:ascii="Arial" w:hAnsi="Arial"/>
          <w:sz w:val="16"/>
          <w:szCs w:val="16"/>
        </w:rPr>
        <w:t xml:space="preserve"> </w:t>
      </w:r>
      <w:r w:rsidRPr="00837C52">
        <w:rPr>
          <w:rFonts w:ascii="Arial" w:hAnsi="Arial"/>
          <w:sz w:val="16"/>
          <w:szCs w:val="16"/>
        </w:rPr>
        <w:t>European Medicines Agency, European Surveillance of Veterinary Antimicrobial Consumption, 2019. Sales of veterinary antimicrobial agents in 31 European countries in 2017:</w:t>
      </w:r>
      <w:r w:rsidRPr="008B5C49">
        <w:rPr>
          <w:rFonts w:ascii="Arial" w:hAnsi="Arial"/>
        </w:rPr>
        <w:t xml:space="preserve"> </w:t>
      </w:r>
      <w:hyperlink r:id="rId1" w:history="1">
        <w:r w:rsidRPr="008B5C49">
          <w:rPr>
            <w:rStyle w:val="Hiperpovezava"/>
            <w:rFonts w:ascii="Arial" w:hAnsi="Arial"/>
          </w:rPr>
          <w:t>https://www.ema.europa.eu/en/documents/report/sales-veterinary-antimicrobial-agents-31-european-countries-2017_en.pdf</w:t>
        </w:r>
      </w:hyperlink>
    </w:p>
  </w:footnote>
  <w:footnote w:id="4">
    <w:p w14:paraId="2B4CF8FF" w14:textId="77777777" w:rsidR="00757F47" w:rsidRDefault="00757F47" w:rsidP="007F41C6">
      <w:pPr>
        <w:pStyle w:val="Sprotnaopomba-besedilo"/>
      </w:pPr>
      <w:r w:rsidRPr="00DE68DF">
        <w:rPr>
          <w:rStyle w:val="Sprotnaopomba-sklic"/>
          <w:rFonts w:ascii="Arial" w:hAnsi="Arial"/>
          <w:sz w:val="16"/>
          <w:szCs w:val="16"/>
        </w:rPr>
        <w:footnoteRef/>
      </w:r>
      <w:r w:rsidRPr="00DE68DF">
        <w:rPr>
          <w:rFonts w:ascii="Arial" w:hAnsi="Arial"/>
          <w:sz w:val="16"/>
          <w:szCs w:val="16"/>
        </w:rPr>
        <w:t xml:space="preserve"> Državna strategija „eno zdravje": https://www.gov.si/novice/nov-vlada-sprejela-drzavno-strategijo-eno-zdravje-za-obvladovanje-odpornosti-mikrobov-2019-2024-z-akcijskim-nacrtom-za-obdobje-2019-2021/.</w:t>
      </w:r>
    </w:p>
  </w:footnote>
  <w:footnote w:id="5">
    <w:p w14:paraId="48337D7D" w14:textId="754B6A7C" w:rsidR="00757F47" w:rsidRPr="00EE1DC0" w:rsidRDefault="00757F47" w:rsidP="00D92E6F">
      <w:pPr>
        <w:pStyle w:val="Sprotnaopomba-besedilo"/>
        <w:ind w:left="0" w:firstLine="0"/>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http://pisrs.si/Pis.web/pregledPredpisa?id=PRAV11541</w:t>
      </w:r>
    </w:p>
  </w:footnote>
  <w:footnote w:id="6">
    <w:p w14:paraId="5B4E3010" w14:textId="0E5B6056" w:rsidR="00757F47" w:rsidRDefault="00757F47">
      <w:pPr>
        <w:pStyle w:val="Sprotnaopomba-besedilo"/>
      </w:pPr>
      <w:r>
        <w:rPr>
          <w:rStyle w:val="Sprotnaopomba-sklic"/>
        </w:rPr>
        <w:footnoteRef/>
      </w:r>
      <w:r>
        <w:t xml:space="preserve"> </w:t>
      </w:r>
      <w:r w:rsidRPr="006A09AF">
        <w:rPr>
          <w:sz w:val="16"/>
          <w:szCs w:val="16"/>
        </w:rPr>
        <w:t>https://www.ivr.si/</w:t>
      </w:r>
    </w:p>
  </w:footnote>
  <w:footnote w:id="7">
    <w:p w14:paraId="34A738EC" w14:textId="77777777" w:rsidR="00757F47" w:rsidRDefault="00757F47" w:rsidP="00CA6808">
      <w:pPr>
        <w:pStyle w:val="Sprotnaopomba-besedilo"/>
      </w:pPr>
      <w:r w:rsidRPr="00EE1DC0">
        <w:rPr>
          <w:rStyle w:val="Sprotnaopomba-sklic"/>
          <w:rFonts w:ascii="Arial" w:hAnsi="Arial"/>
          <w:sz w:val="16"/>
          <w:szCs w:val="16"/>
        </w:rPr>
        <w:footnoteRef/>
      </w:r>
      <w:r w:rsidRPr="00EE1DC0">
        <w:rPr>
          <w:rFonts w:ascii="Arial" w:hAnsi="Arial"/>
          <w:sz w:val="16"/>
          <w:szCs w:val="16"/>
        </w:rPr>
        <w:t xml:space="preserve"> Posebni </w:t>
      </w:r>
      <w:r w:rsidRPr="00EE1DC0">
        <w:rPr>
          <w:rFonts w:ascii="Arial" w:hAnsi="Arial"/>
          <w:sz w:val="16"/>
          <w:szCs w:val="16"/>
        </w:rPr>
        <w:t>Evrobarometer 442, Odnos Evropejcev do dobrobiti živali, November - December 2015</w:t>
      </w:r>
    </w:p>
  </w:footnote>
  <w:footnote w:id="8">
    <w:p w14:paraId="0E3F94E6" w14:textId="1803F471" w:rsidR="00757F47" w:rsidRDefault="00757F47" w:rsidP="00CA6808">
      <w:pPr>
        <w:pStyle w:val="Sprotnaopomba-besedilo"/>
      </w:pPr>
      <w:r>
        <w:rPr>
          <w:rStyle w:val="Sprotnaopomba-sklic"/>
        </w:rPr>
        <w:footnoteRef/>
      </w:r>
      <w:r>
        <w:t xml:space="preserve"> </w:t>
      </w:r>
    </w:p>
    <w:p w14:paraId="383FE2E5" w14:textId="24A79DB1" w:rsidR="00757F47" w:rsidRPr="00EE1DC0" w:rsidRDefault="00757F47" w:rsidP="006A09AF">
      <w:pPr>
        <w:pStyle w:val="Sprotnaopomba-besedilo"/>
        <w:rPr>
          <w:rFonts w:ascii="Arial" w:hAnsi="Arial"/>
          <w:sz w:val="16"/>
          <w:szCs w:val="16"/>
        </w:rPr>
      </w:pPr>
      <w:r w:rsidRPr="00EE1DC0">
        <w:rPr>
          <w:rFonts w:ascii="Arial" w:hAnsi="Arial"/>
          <w:sz w:val="16"/>
          <w:szCs w:val="16"/>
        </w:rPr>
        <w:t>https://www.kis.si/f/docs/Porocila_o_stanju_v_kmetijstvu_OEK/ZP_2018_splosno__priloge_koncna_02.12.pdf</w:t>
      </w:r>
    </w:p>
    <w:p w14:paraId="05F02C88" w14:textId="77777777" w:rsidR="00757F47" w:rsidRDefault="00757F47" w:rsidP="00CA6808">
      <w:pPr>
        <w:pStyle w:val="Sprotnaopomba-besedilo"/>
      </w:pPr>
    </w:p>
  </w:footnote>
  <w:footnote w:id="9">
    <w:p w14:paraId="655EB716" w14:textId="7DA2ABEB" w:rsidR="00757F47" w:rsidRPr="005269E9" w:rsidRDefault="00757F47" w:rsidP="005269E9">
      <w:pPr>
        <w:pStyle w:val="Sprotnaopomba-besedilo"/>
        <w:rPr>
          <w:rFonts w:ascii="Arial" w:hAnsi="Arial"/>
          <w:sz w:val="16"/>
          <w:szCs w:val="16"/>
        </w:rPr>
      </w:pPr>
      <w:r>
        <w:rPr>
          <w:rStyle w:val="Sprotnaopomba-sklic"/>
        </w:rPr>
        <w:footnoteRef/>
      </w:r>
      <w:r>
        <w:t xml:space="preserve"> </w:t>
      </w:r>
      <w:r w:rsidRPr="00760C28">
        <w:rPr>
          <w:rFonts w:ascii="Arial" w:hAnsi="Arial"/>
          <w:sz w:val="16"/>
          <w:szCs w:val="16"/>
        </w:rPr>
        <w:t>Povzeto po predavanju dr. Urška Kos (UVHVVR): Krajšati ali ne krajšati? To ni več vprašanje. AGRA 2019</w:t>
      </w:r>
    </w:p>
  </w:footnote>
  <w:footnote w:id="10">
    <w:p w14:paraId="38EA6274" w14:textId="2331903D" w:rsidR="00757F47" w:rsidRPr="00EE1DC0" w:rsidRDefault="00757F47" w:rsidP="003F0C47">
      <w:pPr>
        <w:pStyle w:val="Sprotnaopomba-besedilo"/>
        <w:ind w:left="357" w:firstLine="0"/>
        <w:rPr>
          <w:rFonts w:ascii="Arial" w:hAnsi="Arial"/>
          <w:color w:val="0000FF" w:themeColor="hyperlink"/>
          <w:sz w:val="16"/>
          <w:szCs w:val="16"/>
          <w:u w:val="single"/>
        </w:rPr>
      </w:pPr>
      <w:r w:rsidRPr="00EE1DC0">
        <w:rPr>
          <w:rStyle w:val="Sprotnaopomba-sklic"/>
          <w:rFonts w:ascii="Arial" w:hAnsi="Arial"/>
          <w:sz w:val="16"/>
          <w:szCs w:val="16"/>
        </w:rPr>
        <w:footnoteRef/>
      </w:r>
      <w:hyperlink r:id="rId2" w:history="1">
        <w:r w:rsidRPr="00EE1DC0">
          <w:rPr>
            <w:rStyle w:val="Hiperpovezava"/>
            <w:rFonts w:ascii="Arial" w:hAnsi="Arial"/>
            <w:sz w:val="16"/>
            <w:szCs w:val="16"/>
          </w:rPr>
          <w:t>http://www.bf.uni-lj.si/oddelek-za-zootehniko/oddelek/raziskovalno-delo/projekti/crp-tehnoloske-resitve-za-izboljsanje-dobrega-pocutja-rejnih-zivali-v-perutninarstvu-in-prasicereji/</w:t>
        </w:r>
      </w:hyperlink>
    </w:p>
  </w:footnote>
  <w:footnote w:id="11">
    <w:p w14:paraId="12CFC892" w14:textId="77777777" w:rsidR="00757F47" w:rsidRPr="00EE1DC0" w:rsidRDefault="00757F47" w:rsidP="00CA6808">
      <w:pPr>
        <w:pStyle w:val="Sprotnaopomba-besedilo"/>
        <w:rPr>
          <w:rFonts w:ascii="Arial" w:hAnsi="Arial"/>
          <w:sz w:val="16"/>
          <w:szCs w:val="16"/>
        </w:rPr>
      </w:pPr>
      <w:r w:rsidRPr="00EE1DC0">
        <w:rPr>
          <w:rStyle w:val="Sprotnaopomba-sklic"/>
          <w:rFonts w:ascii="Arial" w:hAnsi="Arial"/>
          <w:sz w:val="16"/>
          <w:szCs w:val="16"/>
        </w:rPr>
        <w:footnoteRef/>
      </w:r>
      <w:r w:rsidRPr="00EE1DC0">
        <w:rPr>
          <w:rFonts w:ascii="Arial" w:hAnsi="Arial"/>
          <w:sz w:val="16"/>
          <w:szCs w:val="16"/>
        </w:rPr>
        <w:t xml:space="preserve"> https://www.gov.uk/government/groups/farm-animal-welfare-committee-fawc</w:t>
      </w:r>
    </w:p>
  </w:footnote>
  <w:footnote w:id="12">
    <w:p w14:paraId="7E06D384" w14:textId="12E70281" w:rsidR="00757F47" w:rsidRDefault="00757F47" w:rsidP="00637A58">
      <w:pPr>
        <w:pStyle w:val="Sprotnaopomba-besedilo"/>
        <w:ind w:left="709"/>
        <w:rPr>
          <w:lang w:bidi="sl-SI"/>
        </w:rPr>
      </w:pPr>
      <w:r w:rsidRPr="00EE1DC0">
        <w:rPr>
          <w:rStyle w:val="Sprotnaopomba-sklic"/>
          <w:rFonts w:ascii="Arial" w:hAnsi="Arial"/>
          <w:sz w:val="16"/>
          <w:szCs w:val="16"/>
        </w:rPr>
        <w:footnoteRef/>
      </w:r>
      <w:r w:rsidRPr="00EE1DC0">
        <w:rPr>
          <w:rFonts w:ascii="Arial" w:hAnsi="Arial"/>
          <w:sz w:val="16"/>
          <w:szCs w:val="16"/>
          <w:lang w:bidi="sl-SI"/>
        </w:rPr>
        <w:t>http://www.bf.uni-lj.si/oddelek-za-zootehniko/oddelek/raziskovalno-delo/projekti/crp-dobrobit-in-zdravstveno-varstvo-prasicev-in-perutnine/</w:t>
      </w:r>
    </w:p>
  </w:footnote>
  <w:footnote w:id="13">
    <w:p w14:paraId="66ED6D35" w14:textId="77777777" w:rsidR="00757F47" w:rsidRPr="006A09AF" w:rsidRDefault="00757F47" w:rsidP="00CA6808">
      <w:pPr>
        <w:pStyle w:val="Sprotnaopomba-besedilo"/>
        <w:ind w:left="490" w:hanging="206"/>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w:t>
      </w:r>
      <w:r w:rsidRPr="006A09AF">
        <w:rPr>
          <w:rFonts w:ascii="Arial" w:hAnsi="Arial"/>
          <w:sz w:val="16"/>
          <w:szCs w:val="16"/>
        </w:rPr>
        <w:t xml:space="preserve">European Commission. Welfare of cattle on dairy farms: overview report. Luxembourg: Publications Office of the European Union, 2017. </w:t>
      </w:r>
      <w:hyperlink r:id="rId3" w:history="1">
        <w:r w:rsidRPr="006A09AF">
          <w:rPr>
            <w:rStyle w:val="Hiperpovezava"/>
            <w:rFonts w:ascii="Arial" w:hAnsi="Arial"/>
            <w:sz w:val="16"/>
            <w:szCs w:val="16"/>
          </w:rPr>
          <w:t>https://op.europa.eu/en/publication-detail/-/publication/8950fa88-d651-11e7-a506-01aa75ed71a1</w:t>
        </w:r>
      </w:hyperlink>
    </w:p>
  </w:footnote>
  <w:footnote w:id="14">
    <w:p w14:paraId="3D8366A4" w14:textId="77777777" w:rsidR="00757F47" w:rsidRPr="006A09AF" w:rsidRDefault="00757F47"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Sadar M. in sod: Rezultati kontrole prireje mleka in mesa, Slovenija 2019. Kmetijski inštitut Slovenije </w:t>
      </w:r>
      <w:hyperlink r:id="rId4" w:history="1">
        <w:r w:rsidRPr="006A09AF">
          <w:rPr>
            <w:rStyle w:val="Hiperpovezava"/>
            <w:rFonts w:ascii="Arial" w:hAnsi="Arial"/>
            <w:sz w:val="16"/>
            <w:szCs w:val="16"/>
          </w:rPr>
          <w:t>https://www.govedo.si/files/cpzgss/knjiznica/porocila/kontrola_porocila/REZULTATI_KONTROLE_2019.pdf</w:t>
        </w:r>
      </w:hyperlink>
    </w:p>
  </w:footnote>
  <w:footnote w:id="15">
    <w:p w14:paraId="750579FE" w14:textId="77777777" w:rsidR="00757F47" w:rsidRPr="006A09AF" w:rsidRDefault="00757F47" w:rsidP="00CA6808">
      <w:pPr>
        <w:pStyle w:val="Sprotnaopomba-besedilo"/>
        <w:rPr>
          <w:rFonts w:ascii="Arial" w:hAnsi="Arial"/>
          <w:sz w:val="16"/>
          <w:szCs w:val="16"/>
        </w:rPr>
      </w:pPr>
      <w:r w:rsidRPr="006A09AF">
        <w:rPr>
          <w:rStyle w:val="Sprotnaopomba-sklic"/>
          <w:rFonts w:ascii="Arial" w:hAnsi="Arial"/>
          <w:sz w:val="16"/>
          <w:szCs w:val="16"/>
        </w:rPr>
        <w:footnoteRef/>
      </w:r>
      <w:r w:rsidRPr="006A09AF">
        <w:rPr>
          <w:rFonts w:ascii="Arial" w:hAnsi="Arial"/>
          <w:sz w:val="16"/>
          <w:szCs w:val="16"/>
        </w:rPr>
        <w:t xml:space="preserve"> https://www.lasnotranjska.si/upload/editor/file/filef4d37e675312fce.pdf</w:t>
      </w:r>
    </w:p>
  </w:footnote>
  <w:footnote w:id="16">
    <w:p w14:paraId="6E25EBFF" w14:textId="77777777" w:rsidR="00757F47" w:rsidRDefault="00757F47" w:rsidP="00CA6808">
      <w:pPr>
        <w:pStyle w:val="Sprotnaopomba-besedilo"/>
      </w:pPr>
      <w:r w:rsidRPr="006A09AF">
        <w:rPr>
          <w:rStyle w:val="Sprotnaopomba-sklic"/>
          <w:rFonts w:ascii="Arial" w:hAnsi="Arial"/>
          <w:sz w:val="16"/>
          <w:szCs w:val="16"/>
        </w:rPr>
        <w:footnoteRef/>
      </w:r>
      <w:r w:rsidRPr="006A09AF">
        <w:rPr>
          <w:rFonts w:ascii="Arial" w:hAnsi="Arial"/>
          <w:sz w:val="16"/>
          <w:szCs w:val="16"/>
        </w:rPr>
        <w:t xml:space="preserve"> Kodermac P. in Tušar J.: </w:t>
      </w:r>
      <w:r w:rsidRPr="006A09AF">
        <w:rPr>
          <w:rFonts w:ascii="Arial" w:hAnsi="Arial"/>
          <w:sz w:val="16"/>
          <w:szCs w:val="16"/>
        </w:rPr>
        <w:t>Parazitoze in njihovo zdravljenje pri drobnici, Prešernova raziskovalna naloga 2016, Univerza v Ljubljani, Veterinarska fakulteta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4A95E1AB"/>
    <w:lvl w:ilvl="0" w:tplc="31284166">
      <w:start w:val="1"/>
      <w:numFmt w:val="bullet"/>
      <w:pStyle w:val="ListBullet1"/>
      <w:lvlText w:val="·"/>
      <w:lvlJc w:val="left"/>
      <w:pPr>
        <w:tabs>
          <w:tab w:val="left" w:pos="1048"/>
        </w:tabs>
        <w:ind w:left="1331" w:hanging="283"/>
      </w:pPr>
      <w:rPr>
        <w:rFonts w:ascii="Symbol" w:eastAsia="Symbol" w:hAnsi="Symbol"/>
        <w:w w:val="100"/>
        <w:sz w:val="20"/>
        <w:szCs w:val="20"/>
        <w:shd w:val="clear" w:color="auto" w:fill="auto"/>
      </w:rPr>
    </w:lvl>
    <w:lvl w:ilvl="1" w:tplc="4E04828E">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2" w:tplc="238E8172">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3" w:tplc="4F584F90">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4" w:tplc="D8B8A9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5" w:tplc="AA8EA6C6">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6" w:tplc="96CA3FEA">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7" w:tplc="3E362ED8">
      <w:start w:val="1"/>
      <w:numFmt w:val="bullet"/>
      <w:lvlText w:val="·"/>
      <w:lvlJc w:val="left"/>
      <w:pPr>
        <w:tabs>
          <w:tab w:val="left" w:pos="1048"/>
        </w:tabs>
        <w:ind w:left="1331" w:hanging="283"/>
      </w:pPr>
      <w:rPr>
        <w:rFonts w:ascii="Symbol" w:eastAsia="Symbol" w:hAnsi="Symbol"/>
        <w:w w:val="100"/>
        <w:sz w:val="20"/>
        <w:szCs w:val="20"/>
        <w:shd w:val="clear" w:color="auto" w:fill="auto"/>
      </w:rPr>
    </w:lvl>
    <w:lvl w:ilvl="8" w:tplc="76D437B2">
      <w:start w:val="1"/>
      <w:numFmt w:val="bullet"/>
      <w:lvlText w:val="·"/>
      <w:lvlJc w:val="left"/>
      <w:pPr>
        <w:tabs>
          <w:tab w:val="left" w:pos="1048"/>
        </w:tabs>
        <w:ind w:left="1331" w:hanging="283"/>
      </w:pPr>
      <w:rPr>
        <w:rFonts w:ascii="Symbol" w:eastAsia="Symbol" w:hAnsi="Symbol"/>
        <w:w w:val="100"/>
        <w:sz w:val="20"/>
        <w:szCs w:val="20"/>
        <w:shd w:val="clear" w:color="auto" w:fill="auto"/>
      </w:rPr>
    </w:lvl>
  </w:abstractNum>
  <w:abstractNum w:abstractNumId="1" w15:restartNumberingAfterBreak="0">
    <w:nsid w:val="062F5D7C"/>
    <w:multiLevelType w:val="hybridMultilevel"/>
    <w:tmpl w:val="3C9808F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53AE5"/>
    <w:multiLevelType w:val="hybridMultilevel"/>
    <w:tmpl w:val="E3F824F8"/>
    <w:lvl w:ilvl="0" w:tplc="9C8A08CC">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13CF3"/>
    <w:multiLevelType w:val="hybridMultilevel"/>
    <w:tmpl w:val="F99C740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611393"/>
    <w:multiLevelType w:val="hybridMultilevel"/>
    <w:tmpl w:val="2F1A5DB4"/>
    <w:lvl w:ilvl="0" w:tplc="BB2E79D4">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D97EFC"/>
    <w:multiLevelType w:val="hybridMultilevel"/>
    <w:tmpl w:val="BE7AC0F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B50F6D"/>
    <w:multiLevelType w:val="hybridMultilevel"/>
    <w:tmpl w:val="D926FF2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910FBB"/>
    <w:multiLevelType w:val="hybridMultilevel"/>
    <w:tmpl w:val="5EB4781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D57793"/>
    <w:multiLevelType w:val="hybridMultilevel"/>
    <w:tmpl w:val="07468306"/>
    <w:lvl w:ilvl="0" w:tplc="AE70779A">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4D04044"/>
    <w:multiLevelType w:val="multilevel"/>
    <w:tmpl w:val="7108E1EE"/>
    <w:lvl w:ilvl="0">
      <w:start w:val="1"/>
      <w:numFmt w:val="bullet"/>
      <w:lvlText w:val=""/>
      <w:lvlJc w:val="left"/>
      <w:pPr>
        <w:ind w:left="360" w:hanging="360"/>
      </w:pPr>
      <w:rPr>
        <w:rFonts w:ascii="Symbol" w:hAnsi="Symbol"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5656" w:hanging="1800"/>
      </w:pPr>
      <w:rPr>
        <w:rFonts w:hint="default"/>
      </w:rPr>
    </w:lvl>
  </w:abstractNum>
  <w:abstractNum w:abstractNumId="10" w15:restartNumberingAfterBreak="0">
    <w:nsid w:val="37D117B0"/>
    <w:multiLevelType w:val="hybridMultilevel"/>
    <w:tmpl w:val="B1466A6C"/>
    <w:lvl w:ilvl="0" w:tplc="0424000F">
      <w:start w:val="1"/>
      <w:numFmt w:val="decimal"/>
      <w:lvlText w:val="%1."/>
      <w:lvlJc w:val="left"/>
      <w:pPr>
        <w:ind w:left="501" w:hanging="360"/>
      </w:p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1" w15:restartNumberingAfterBreak="0">
    <w:nsid w:val="39EA04D6"/>
    <w:multiLevelType w:val="hybridMultilevel"/>
    <w:tmpl w:val="4CB8AF74"/>
    <w:lvl w:ilvl="0" w:tplc="915AD3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146805"/>
    <w:multiLevelType w:val="hybridMultilevel"/>
    <w:tmpl w:val="9C84257A"/>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5940F73"/>
    <w:multiLevelType w:val="hybridMultilevel"/>
    <w:tmpl w:val="B83A1B12"/>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F1D6161"/>
    <w:multiLevelType w:val="hybridMultilevel"/>
    <w:tmpl w:val="FE9C6D06"/>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8"/>
  </w:num>
  <w:num w:numId="6">
    <w:abstractNumId w:val="9"/>
  </w:num>
  <w:num w:numId="7">
    <w:abstractNumId w:val="13"/>
  </w:num>
  <w:num w:numId="8">
    <w:abstractNumId w:val="1"/>
  </w:num>
  <w:num w:numId="9">
    <w:abstractNumId w:val="7"/>
  </w:num>
  <w:num w:numId="10">
    <w:abstractNumId w:val="5"/>
  </w:num>
  <w:num w:numId="11">
    <w:abstractNumId w:val="14"/>
  </w:num>
  <w:num w:numId="12">
    <w:abstractNumId w:val="11"/>
  </w:num>
  <w:num w:numId="13">
    <w:abstractNumId w:val="6"/>
  </w:num>
  <w:num w:numId="14">
    <w:abstractNumId w:val="3"/>
  </w:num>
  <w:num w:numId="15">
    <w:abstractNumId w:val="15"/>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860"/>
    <w:rsid w:val="0000421B"/>
    <w:rsid w:val="00012542"/>
    <w:rsid w:val="000136C1"/>
    <w:rsid w:val="000139AA"/>
    <w:rsid w:val="000251D2"/>
    <w:rsid w:val="000353F0"/>
    <w:rsid w:val="00042B46"/>
    <w:rsid w:val="00053ED6"/>
    <w:rsid w:val="0006157B"/>
    <w:rsid w:val="00087002"/>
    <w:rsid w:val="00093D25"/>
    <w:rsid w:val="000A0B98"/>
    <w:rsid w:val="000A1A7D"/>
    <w:rsid w:val="000A2846"/>
    <w:rsid w:val="000A3C62"/>
    <w:rsid w:val="000B05DF"/>
    <w:rsid w:val="000B21FA"/>
    <w:rsid w:val="000B6C34"/>
    <w:rsid w:val="000D3D3F"/>
    <w:rsid w:val="000D4A53"/>
    <w:rsid w:val="000D589E"/>
    <w:rsid w:val="000D69FC"/>
    <w:rsid w:val="000E2132"/>
    <w:rsid w:val="000E3110"/>
    <w:rsid w:val="000E431C"/>
    <w:rsid w:val="000E58FE"/>
    <w:rsid w:val="000F0C03"/>
    <w:rsid w:val="000F22E7"/>
    <w:rsid w:val="000F2CF8"/>
    <w:rsid w:val="0011780F"/>
    <w:rsid w:val="0012568F"/>
    <w:rsid w:val="00131404"/>
    <w:rsid w:val="001320CE"/>
    <w:rsid w:val="00137BEF"/>
    <w:rsid w:val="00143037"/>
    <w:rsid w:val="00144752"/>
    <w:rsid w:val="00146B52"/>
    <w:rsid w:val="00146BC4"/>
    <w:rsid w:val="0015477E"/>
    <w:rsid w:val="00155E54"/>
    <w:rsid w:val="00157221"/>
    <w:rsid w:val="00160CE9"/>
    <w:rsid w:val="00166B0F"/>
    <w:rsid w:val="00166EE1"/>
    <w:rsid w:val="001710E8"/>
    <w:rsid w:val="0017616A"/>
    <w:rsid w:val="00177FA4"/>
    <w:rsid w:val="00186223"/>
    <w:rsid w:val="0019030E"/>
    <w:rsid w:val="00191201"/>
    <w:rsid w:val="001968A5"/>
    <w:rsid w:val="00196A84"/>
    <w:rsid w:val="001C0559"/>
    <w:rsid w:val="001C1441"/>
    <w:rsid w:val="001C1462"/>
    <w:rsid w:val="001C4862"/>
    <w:rsid w:val="001C490C"/>
    <w:rsid w:val="001D2F50"/>
    <w:rsid w:val="001D41C6"/>
    <w:rsid w:val="001E4D25"/>
    <w:rsid w:val="001E6A32"/>
    <w:rsid w:val="001F4C1F"/>
    <w:rsid w:val="00214241"/>
    <w:rsid w:val="0021475B"/>
    <w:rsid w:val="00216478"/>
    <w:rsid w:val="00226D62"/>
    <w:rsid w:val="00230BEE"/>
    <w:rsid w:val="00231EAA"/>
    <w:rsid w:val="00232358"/>
    <w:rsid w:val="00232A46"/>
    <w:rsid w:val="00237DB1"/>
    <w:rsid w:val="002402C4"/>
    <w:rsid w:val="00240F7A"/>
    <w:rsid w:val="00247793"/>
    <w:rsid w:val="00251624"/>
    <w:rsid w:val="00253EF0"/>
    <w:rsid w:val="002640BE"/>
    <w:rsid w:val="00265117"/>
    <w:rsid w:val="002653D8"/>
    <w:rsid w:val="00272875"/>
    <w:rsid w:val="002758DB"/>
    <w:rsid w:val="00280407"/>
    <w:rsid w:val="00285183"/>
    <w:rsid w:val="00291D2D"/>
    <w:rsid w:val="002948DD"/>
    <w:rsid w:val="002971A7"/>
    <w:rsid w:val="002A06EA"/>
    <w:rsid w:val="002A22FD"/>
    <w:rsid w:val="002C0B78"/>
    <w:rsid w:val="002C3369"/>
    <w:rsid w:val="002C4536"/>
    <w:rsid w:val="002C560E"/>
    <w:rsid w:val="002D1C27"/>
    <w:rsid w:val="002E1E23"/>
    <w:rsid w:val="002E7CD8"/>
    <w:rsid w:val="002F3979"/>
    <w:rsid w:val="002F4972"/>
    <w:rsid w:val="002F7F76"/>
    <w:rsid w:val="00300A62"/>
    <w:rsid w:val="00305172"/>
    <w:rsid w:val="00316732"/>
    <w:rsid w:val="003250A8"/>
    <w:rsid w:val="0033061E"/>
    <w:rsid w:val="00333DE0"/>
    <w:rsid w:val="00342C52"/>
    <w:rsid w:val="00345C2F"/>
    <w:rsid w:val="00353559"/>
    <w:rsid w:val="003557E8"/>
    <w:rsid w:val="0035746E"/>
    <w:rsid w:val="00384EB4"/>
    <w:rsid w:val="00386015"/>
    <w:rsid w:val="00387994"/>
    <w:rsid w:val="00391136"/>
    <w:rsid w:val="00391DA3"/>
    <w:rsid w:val="003A4E76"/>
    <w:rsid w:val="003B1E93"/>
    <w:rsid w:val="003B727F"/>
    <w:rsid w:val="003C299B"/>
    <w:rsid w:val="003C2BB4"/>
    <w:rsid w:val="003D045B"/>
    <w:rsid w:val="003D11A7"/>
    <w:rsid w:val="003E04F7"/>
    <w:rsid w:val="003E0ED1"/>
    <w:rsid w:val="003F0C47"/>
    <w:rsid w:val="003F690F"/>
    <w:rsid w:val="004013E4"/>
    <w:rsid w:val="00417EDE"/>
    <w:rsid w:val="00422E30"/>
    <w:rsid w:val="004270C0"/>
    <w:rsid w:val="004372F7"/>
    <w:rsid w:val="00445B26"/>
    <w:rsid w:val="004516B6"/>
    <w:rsid w:val="00462EDA"/>
    <w:rsid w:val="00470A71"/>
    <w:rsid w:val="004756D0"/>
    <w:rsid w:val="004821DC"/>
    <w:rsid w:val="0048262F"/>
    <w:rsid w:val="004924D7"/>
    <w:rsid w:val="0049462B"/>
    <w:rsid w:val="004A3131"/>
    <w:rsid w:val="004B2568"/>
    <w:rsid w:val="004B51C6"/>
    <w:rsid w:val="004C5674"/>
    <w:rsid w:val="004D1D9D"/>
    <w:rsid w:val="004E798A"/>
    <w:rsid w:val="004F339D"/>
    <w:rsid w:val="004F6D5C"/>
    <w:rsid w:val="004F70ED"/>
    <w:rsid w:val="0050113A"/>
    <w:rsid w:val="00503E8C"/>
    <w:rsid w:val="00505BA5"/>
    <w:rsid w:val="0051465B"/>
    <w:rsid w:val="005213EF"/>
    <w:rsid w:val="0052485E"/>
    <w:rsid w:val="00525ECE"/>
    <w:rsid w:val="005269E9"/>
    <w:rsid w:val="0053607C"/>
    <w:rsid w:val="00537686"/>
    <w:rsid w:val="0054058B"/>
    <w:rsid w:val="005467D5"/>
    <w:rsid w:val="0055172F"/>
    <w:rsid w:val="0057018D"/>
    <w:rsid w:val="005702A7"/>
    <w:rsid w:val="00571CEB"/>
    <w:rsid w:val="00580AF1"/>
    <w:rsid w:val="005824DA"/>
    <w:rsid w:val="00584B4E"/>
    <w:rsid w:val="00585F5A"/>
    <w:rsid w:val="00587D0F"/>
    <w:rsid w:val="0059195F"/>
    <w:rsid w:val="00593AB8"/>
    <w:rsid w:val="00596C3E"/>
    <w:rsid w:val="005A1386"/>
    <w:rsid w:val="005B4F92"/>
    <w:rsid w:val="005C0653"/>
    <w:rsid w:val="005C627E"/>
    <w:rsid w:val="005D586F"/>
    <w:rsid w:val="005E7FC2"/>
    <w:rsid w:val="005F1729"/>
    <w:rsid w:val="005F4AF3"/>
    <w:rsid w:val="00603B15"/>
    <w:rsid w:val="00610CDD"/>
    <w:rsid w:val="00614BAF"/>
    <w:rsid w:val="00622033"/>
    <w:rsid w:val="00623DF3"/>
    <w:rsid w:val="00637A58"/>
    <w:rsid w:val="00650C68"/>
    <w:rsid w:val="00655CC8"/>
    <w:rsid w:val="006723E3"/>
    <w:rsid w:val="00672EFA"/>
    <w:rsid w:val="00673AB5"/>
    <w:rsid w:val="00674A22"/>
    <w:rsid w:val="006819BA"/>
    <w:rsid w:val="0068322A"/>
    <w:rsid w:val="006860E6"/>
    <w:rsid w:val="00686E1D"/>
    <w:rsid w:val="0068702F"/>
    <w:rsid w:val="00690902"/>
    <w:rsid w:val="006A09AF"/>
    <w:rsid w:val="006A24BC"/>
    <w:rsid w:val="006A4E3B"/>
    <w:rsid w:val="006A5242"/>
    <w:rsid w:val="006D36B0"/>
    <w:rsid w:val="006D479C"/>
    <w:rsid w:val="006D7E43"/>
    <w:rsid w:val="006E169B"/>
    <w:rsid w:val="006E3A51"/>
    <w:rsid w:val="006F1357"/>
    <w:rsid w:val="006F3E8D"/>
    <w:rsid w:val="00713DC4"/>
    <w:rsid w:val="00714078"/>
    <w:rsid w:val="007234E8"/>
    <w:rsid w:val="00723512"/>
    <w:rsid w:val="00733391"/>
    <w:rsid w:val="00733973"/>
    <w:rsid w:val="00733C1D"/>
    <w:rsid w:val="00741238"/>
    <w:rsid w:val="00750868"/>
    <w:rsid w:val="00750B3A"/>
    <w:rsid w:val="00750B72"/>
    <w:rsid w:val="00757F47"/>
    <w:rsid w:val="007601E4"/>
    <w:rsid w:val="007617AD"/>
    <w:rsid w:val="00767E96"/>
    <w:rsid w:val="00771CDF"/>
    <w:rsid w:val="0077435F"/>
    <w:rsid w:val="007940FC"/>
    <w:rsid w:val="007B097E"/>
    <w:rsid w:val="007B2CC8"/>
    <w:rsid w:val="007B3D6D"/>
    <w:rsid w:val="007B75C6"/>
    <w:rsid w:val="007B7B60"/>
    <w:rsid w:val="007C24FA"/>
    <w:rsid w:val="007E0C11"/>
    <w:rsid w:val="007E1E59"/>
    <w:rsid w:val="007F1EBE"/>
    <w:rsid w:val="007F38A7"/>
    <w:rsid w:val="007F41C6"/>
    <w:rsid w:val="007F70EA"/>
    <w:rsid w:val="00803049"/>
    <w:rsid w:val="008037F9"/>
    <w:rsid w:val="00806BED"/>
    <w:rsid w:val="00821F2F"/>
    <w:rsid w:val="00831608"/>
    <w:rsid w:val="00831DB4"/>
    <w:rsid w:val="0083363B"/>
    <w:rsid w:val="00837C52"/>
    <w:rsid w:val="0084501D"/>
    <w:rsid w:val="008579FE"/>
    <w:rsid w:val="00860EF0"/>
    <w:rsid w:val="0086383B"/>
    <w:rsid w:val="00867750"/>
    <w:rsid w:val="008745FD"/>
    <w:rsid w:val="00883D50"/>
    <w:rsid w:val="008875EC"/>
    <w:rsid w:val="00891CE1"/>
    <w:rsid w:val="00896D38"/>
    <w:rsid w:val="008A5261"/>
    <w:rsid w:val="008B2CE7"/>
    <w:rsid w:val="008B5C49"/>
    <w:rsid w:val="008C0FAF"/>
    <w:rsid w:val="008D4DC0"/>
    <w:rsid w:val="008E77BF"/>
    <w:rsid w:val="008F7DD1"/>
    <w:rsid w:val="00900630"/>
    <w:rsid w:val="009030B4"/>
    <w:rsid w:val="0090505F"/>
    <w:rsid w:val="00906E31"/>
    <w:rsid w:val="0093026A"/>
    <w:rsid w:val="009338C0"/>
    <w:rsid w:val="009342D7"/>
    <w:rsid w:val="00961970"/>
    <w:rsid w:val="00962F0D"/>
    <w:rsid w:val="009667F2"/>
    <w:rsid w:val="0096761E"/>
    <w:rsid w:val="0098280C"/>
    <w:rsid w:val="00983F82"/>
    <w:rsid w:val="00987C18"/>
    <w:rsid w:val="00993BFA"/>
    <w:rsid w:val="00996CAF"/>
    <w:rsid w:val="009A295B"/>
    <w:rsid w:val="009A490D"/>
    <w:rsid w:val="009B0C19"/>
    <w:rsid w:val="009B231C"/>
    <w:rsid w:val="009B3AD4"/>
    <w:rsid w:val="009B695E"/>
    <w:rsid w:val="009B7104"/>
    <w:rsid w:val="009C0547"/>
    <w:rsid w:val="009C7DB2"/>
    <w:rsid w:val="009D53F4"/>
    <w:rsid w:val="009D6D0D"/>
    <w:rsid w:val="009E4327"/>
    <w:rsid w:val="009E6283"/>
    <w:rsid w:val="009F3599"/>
    <w:rsid w:val="009F48BB"/>
    <w:rsid w:val="00A0744A"/>
    <w:rsid w:val="00A15219"/>
    <w:rsid w:val="00A20ADF"/>
    <w:rsid w:val="00A211F8"/>
    <w:rsid w:val="00A32B9A"/>
    <w:rsid w:val="00A37957"/>
    <w:rsid w:val="00A41FAF"/>
    <w:rsid w:val="00A43BBE"/>
    <w:rsid w:val="00A5094D"/>
    <w:rsid w:val="00A55860"/>
    <w:rsid w:val="00A64ECF"/>
    <w:rsid w:val="00A66D21"/>
    <w:rsid w:val="00A74788"/>
    <w:rsid w:val="00A80FD0"/>
    <w:rsid w:val="00A8570B"/>
    <w:rsid w:val="00A91E85"/>
    <w:rsid w:val="00A95AC3"/>
    <w:rsid w:val="00AA5278"/>
    <w:rsid w:val="00AA5B80"/>
    <w:rsid w:val="00AB4317"/>
    <w:rsid w:val="00AB5940"/>
    <w:rsid w:val="00AC5261"/>
    <w:rsid w:val="00AD2C21"/>
    <w:rsid w:val="00AD3BEC"/>
    <w:rsid w:val="00AE3B3D"/>
    <w:rsid w:val="00AF7A14"/>
    <w:rsid w:val="00B01AC5"/>
    <w:rsid w:val="00B02B48"/>
    <w:rsid w:val="00B10CA5"/>
    <w:rsid w:val="00B1297E"/>
    <w:rsid w:val="00B21A75"/>
    <w:rsid w:val="00B240F0"/>
    <w:rsid w:val="00B25457"/>
    <w:rsid w:val="00B53E0F"/>
    <w:rsid w:val="00B62560"/>
    <w:rsid w:val="00B627CC"/>
    <w:rsid w:val="00B72C9C"/>
    <w:rsid w:val="00B73A41"/>
    <w:rsid w:val="00B876A3"/>
    <w:rsid w:val="00B91216"/>
    <w:rsid w:val="00B97EB7"/>
    <w:rsid w:val="00BC07A4"/>
    <w:rsid w:val="00BC62B0"/>
    <w:rsid w:val="00BD20EB"/>
    <w:rsid w:val="00BF7180"/>
    <w:rsid w:val="00C03F83"/>
    <w:rsid w:val="00C053D3"/>
    <w:rsid w:val="00C07901"/>
    <w:rsid w:val="00C12575"/>
    <w:rsid w:val="00C12DBC"/>
    <w:rsid w:val="00C20BCC"/>
    <w:rsid w:val="00C40617"/>
    <w:rsid w:val="00C456EC"/>
    <w:rsid w:val="00C46FE6"/>
    <w:rsid w:val="00C50AD1"/>
    <w:rsid w:val="00C60873"/>
    <w:rsid w:val="00C617DB"/>
    <w:rsid w:val="00C666CF"/>
    <w:rsid w:val="00C66E62"/>
    <w:rsid w:val="00C7278A"/>
    <w:rsid w:val="00C72AE6"/>
    <w:rsid w:val="00C74E68"/>
    <w:rsid w:val="00C76DA8"/>
    <w:rsid w:val="00C87C51"/>
    <w:rsid w:val="00C93904"/>
    <w:rsid w:val="00C949D4"/>
    <w:rsid w:val="00CA2047"/>
    <w:rsid w:val="00CA6187"/>
    <w:rsid w:val="00CA65F0"/>
    <w:rsid w:val="00CA6808"/>
    <w:rsid w:val="00CB29B8"/>
    <w:rsid w:val="00CC2082"/>
    <w:rsid w:val="00CE4B1A"/>
    <w:rsid w:val="00CE54C4"/>
    <w:rsid w:val="00CF0FC8"/>
    <w:rsid w:val="00CF32CC"/>
    <w:rsid w:val="00CF43DE"/>
    <w:rsid w:val="00CF4548"/>
    <w:rsid w:val="00CF4D37"/>
    <w:rsid w:val="00CF5644"/>
    <w:rsid w:val="00CF7416"/>
    <w:rsid w:val="00D00389"/>
    <w:rsid w:val="00D03AD9"/>
    <w:rsid w:val="00D10DCC"/>
    <w:rsid w:val="00D145F6"/>
    <w:rsid w:val="00D21986"/>
    <w:rsid w:val="00D22046"/>
    <w:rsid w:val="00D31B31"/>
    <w:rsid w:val="00D44B37"/>
    <w:rsid w:val="00D45CB6"/>
    <w:rsid w:val="00D47126"/>
    <w:rsid w:val="00D621C6"/>
    <w:rsid w:val="00D644AA"/>
    <w:rsid w:val="00D75BC1"/>
    <w:rsid w:val="00D8676A"/>
    <w:rsid w:val="00D91966"/>
    <w:rsid w:val="00D91B10"/>
    <w:rsid w:val="00D92E6F"/>
    <w:rsid w:val="00D9477E"/>
    <w:rsid w:val="00D9540A"/>
    <w:rsid w:val="00D96A4E"/>
    <w:rsid w:val="00DA5EFA"/>
    <w:rsid w:val="00DB23E0"/>
    <w:rsid w:val="00DC56B9"/>
    <w:rsid w:val="00DC6908"/>
    <w:rsid w:val="00DC72BE"/>
    <w:rsid w:val="00DD08CD"/>
    <w:rsid w:val="00DD0AC6"/>
    <w:rsid w:val="00DD3B3F"/>
    <w:rsid w:val="00DD3C5A"/>
    <w:rsid w:val="00DE5002"/>
    <w:rsid w:val="00DF06C8"/>
    <w:rsid w:val="00DF7726"/>
    <w:rsid w:val="00E00373"/>
    <w:rsid w:val="00E03F15"/>
    <w:rsid w:val="00E15A45"/>
    <w:rsid w:val="00E273E7"/>
    <w:rsid w:val="00E41DB6"/>
    <w:rsid w:val="00E617E4"/>
    <w:rsid w:val="00E62BE1"/>
    <w:rsid w:val="00E87D10"/>
    <w:rsid w:val="00E90FB9"/>
    <w:rsid w:val="00E91D83"/>
    <w:rsid w:val="00E92DA3"/>
    <w:rsid w:val="00E94EE3"/>
    <w:rsid w:val="00E96095"/>
    <w:rsid w:val="00EA25D9"/>
    <w:rsid w:val="00EA6147"/>
    <w:rsid w:val="00EC32F7"/>
    <w:rsid w:val="00EC6655"/>
    <w:rsid w:val="00EC6804"/>
    <w:rsid w:val="00ED1B85"/>
    <w:rsid w:val="00ED2434"/>
    <w:rsid w:val="00EE1DC0"/>
    <w:rsid w:val="00EE416E"/>
    <w:rsid w:val="00F01E0D"/>
    <w:rsid w:val="00F023D3"/>
    <w:rsid w:val="00F07AA3"/>
    <w:rsid w:val="00F102E0"/>
    <w:rsid w:val="00F22385"/>
    <w:rsid w:val="00F223FD"/>
    <w:rsid w:val="00F3011A"/>
    <w:rsid w:val="00F30CF9"/>
    <w:rsid w:val="00F37BFE"/>
    <w:rsid w:val="00F40938"/>
    <w:rsid w:val="00F45D4F"/>
    <w:rsid w:val="00F50823"/>
    <w:rsid w:val="00F661AA"/>
    <w:rsid w:val="00F718EC"/>
    <w:rsid w:val="00F80C74"/>
    <w:rsid w:val="00F810F0"/>
    <w:rsid w:val="00F90F88"/>
    <w:rsid w:val="00F93A60"/>
    <w:rsid w:val="00F94EC5"/>
    <w:rsid w:val="00FA4BE0"/>
    <w:rsid w:val="00FA679D"/>
    <w:rsid w:val="00FA7A05"/>
    <w:rsid w:val="00FB28FA"/>
    <w:rsid w:val="00FC231C"/>
    <w:rsid w:val="00FD294F"/>
    <w:rsid w:val="00FE1E32"/>
    <w:rsid w:val="00FE4A5C"/>
    <w:rsid w:val="00FF3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C7326"/>
  <w15:docId w15:val="{7ADBA596-979C-4667-852C-DE3E2FA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160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7F4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slov2"/>
    <w:link w:val="Naslov3Znak"/>
    <w:uiPriority w:val="9"/>
    <w:qFormat/>
    <w:rsid w:val="007F41C6"/>
    <w:pPr>
      <w:keepLines w:val="0"/>
      <w:numPr>
        <w:numId w:val="4"/>
      </w:numPr>
      <w:tabs>
        <w:tab w:val="left" w:pos="0"/>
        <w:tab w:val="left" w:pos="480"/>
        <w:tab w:val="left" w:pos="850"/>
        <w:tab w:val="left" w:pos="1276"/>
      </w:tabs>
      <w:spacing w:before="120" w:after="120" w:line="240" w:lineRule="auto"/>
      <w:jc w:val="both"/>
      <w:outlineLvl w:val="2"/>
    </w:pPr>
    <w:rPr>
      <w:rFonts w:ascii="Arial" w:eastAsia="Times New Roman" w:hAnsi="Arial" w:cs="Arial"/>
      <w:bCs w:val="0"/>
      <w:color w:val="auto"/>
      <w:sz w:val="22"/>
      <w:szCs w:val="22"/>
      <w:lang w:eastAsia="en-GB"/>
    </w:rPr>
  </w:style>
  <w:style w:type="paragraph" w:styleId="Naslov4">
    <w:name w:val="heading 4"/>
    <w:basedOn w:val="Navaden"/>
    <w:link w:val="Naslov4Znak"/>
    <w:uiPriority w:val="10"/>
    <w:qFormat/>
    <w:rsid w:val="007F41C6"/>
    <w:pPr>
      <w:keepNext/>
      <w:tabs>
        <w:tab w:val="left" w:pos="0"/>
        <w:tab w:val="left" w:pos="480"/>
        <w:tab w:val="left" w:pos="906"/>
      </w:tabs>
      <w:spacing w:before="120" w:after="0" w:line="240" w:lineRule="auto"/>
      <w:jc w:val="both"/>
      <w:outlineLvl w:val="3"/>
    </w:pPr>
    <w:rPr>
      <w:rFonts w:ascii="Times New Roman" w:eastAsia="Times New Roman" w:hAnsi="Times New Roman"/>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60CE9"/>
    <w:rPr>
      <w:rFonts w:asciiTheme="majorHAnsi" w:eastAsiaTheme="majorEastAsia" w:hAnsiTheme="majorHAnsi" w:cstheme="majorBidi"/>
      <w:color w:val="365F91" w:themeColor="accent1" w:themeShade="BF"/>
      <w:sz w:val="32"/>
      <w:szCs w:val="32"/>
    </w:rPr>
  </w:style>
  <w:style w:type="paragraph" w:styleId="Odstavekseznama">
    <w:name w:val="List Paragraph"/>
    <w:aliases w:val="Odstavec1"/>
    <w:basedOn w:val="Navaden"/>
    <w:link w:val="OdstavekseznamaZnak"/>
    <w:uiPriority w:val="72"/>
    <w:qFormat/>
    <w:rsid w:val="00CA6187"/>
    <w:pPr>
      <w:ind w:left="720"/>
      <w:contextualSpacing/>
    </w:pPr>
  </w:style>
  <w:style w:type="table" w:styleId="Tabelamrea">
    <w:name w:val="Table Grid"/>
    <w:basedOn w:val="Navadnatabela"/>
    <w:uiPriority w:val="59"/>
    <w:rsid w:val="00C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3">
    <w:name w:val="Light List Accent 3"/>
    <w:basedOn w:val="Navadnatabela"/>
    <w:uiPriority w:val="61"/>
    <w:rsid w:val="003A4E76"/>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SCslika">
    <w:name w:val="SC_slika"/>
    <w:basedOn w:val="Navaden"/>
    <w:qFormat/>
    <w:rsid w:val="000353F0"/>
    <w:pPr>
      <w:spacing w:before="80" w:after="80" w:line="264" w:lineRule="auto"/>
      <w:jc w:val="both"/>
    </w:pPr>
    <w:rPr>
      <w:rFonts w:eastAsia="Times New Roman"/>
      <w:noProof/>
      <w:sz w:val="20"/>
      <w:szCs w:val="24"/>
      <w:lang w:eastAsia="sl-SI"/>
    </w:rPr>
  </w:style>
  <w:style w:type="paragraph" w:customStyle="1" w:styleId="SCPreglednica">
    <w:name w:val="SC Preglednica"/>
    <w:basedOn w:val="Navaden"/>
    <w:next w:val="Navaden"/>
    <w:link w:val="SCPreglednicaZnak"/>
    <w:qFormat/>
    <w:rsid w:val="000353F0"/>
    <w:pPr>
      <w:spacing w:before="240" w:after="120"/>
      <w:jc w:val="both"/>
    </w:pPr>
    <w:rPr>
      <w:sz w:val="20"/>
    </w:rPr>
  </w:style>
  <w:style w:type="character" w:customStyle="1" w:styleId="SCPreglednicaZnak">
    <w:name w:val="SC Preglednica Znak"/>
    <w:basedOn w:val="Privzetapisavaodstavka"/>
    <w:link w:val="SCPreglednica"/>
    <w:rsid w:val="000353F0"/>
    <w:rPr>
      <w:rFonts w:ascii="Arial" w:hAnsi="Arial"/>
      <w:sz w:val="20"/>
    </w:rPr>
  </w:style>
  <w:style w:type="character" w:styleId="Hiperpovezava">
    <w:name w:val="Hyperlink"/>
    <w:basedOn w:val="Privzetapisavaodstavka"/>
    <w:uiPriority w:val="99"/>
    <w:unhideWhenUsed/>
    <w:rsid w:val="00993BFA"/>
    <w:rPr>
      <w:color w:val="0000FF" w:themeColor="hyperlink"/>
      <w:u w:val="single"/>
    </w:rPr>
  </w:style>
  <w:style w:type="paragraph" w:styleId="Glava">
    <w:name w:val="header"/>
    <w:basedOn w:val="Navaden"/>
    <w:link w:val="GlavaZnak"/>
    <w:uiPriority w:val="99"/>
    <w:unhideWhenUsed/>
    <w:rsid w:val="00240F7A"/>
    <w:pPr>
      <w:tabs>
        <w:tab w:val="center" w:pos="4536"/>
        <w:tab w:val="right" w:pos="9072"/>
      </w:tabs>
      <w:spacing w:after="0" w:line="240" w:lineRule="auto"/>
    </w:pPr>
  </w:style>
  <w:style w:type="character" w:customStyle="1" w:styleId="GlavaZnak">
    <w:name w:val="Glava Znak"/>
    <w:basedOn w:val="Privzetapisavaodstavka"/>
    <w:link w:val="Glava"/>
    <w:uiPriority w:val="99"/>
    <w:rsid w:val="00240F7A"/>
  </w:style>
  <w:style w:type="paragraph" w:styleId="Noga">
    <w:name w:val="footer"/>
    <w:basedOn w:val="Navaden"/>
    <w:link w:val="NogaZnak"/>
    <w:uiPriority w:val="99"/>
    <w:unhideWhenUsed/>
    <w:rsid w:val="00240F7A"/>
    <w:pPr>
      <w:tabs>
        <w:tab w:val="center" w:pos="4536"/>
        <w:tab w:val="right" w:pos="9072"/>
      </w:tabs>
      <w:spacing w:after="0" w:line="240" w:lineRule="auto"/>
    </w:pPr>
  </w:style>
  <w:style w:type="character" w:customStyle="1" w:styleId="NogaZnak">
    <w:name w:val="Noga Znak"/>
    <w:basedOn w:val="Privzetapisavaodstavka"/>
    <w:link w:val="Noga"/>
    <w:uiPriority w:val="99"/>
    <w:rsid w:val="00240F7A"/>
  </w:style>
  <w:style w:type="paragraph" w:styleId="Napis">
    <w:name w:val="caption"/>
    <w:basedOn w:val="Navaden"/>
    <w:next w:val="Navaden"/>
    <w:link w:val="NapisZnak"/>
    <w:qFormat/>
    <w:rsid w:val="00603B15"/>
    <w:pPr>
      <w:keepNext/>
      <w:spacing w:before="120" w:after="0" w:line="264" w:lineRule="auto"/>
    </w:pPr>
    <w:rPr>
      <w:rFonts w:eastAsia="Times New Roman"/>
      <w:sz w:val="16"/>
      <w:szCs w:val="16"/>
      <w:lang w:eastAsia="en-GB"/>
    </w:rPr>
  </w:style>
  <w:style w:type="character" w:customStyle="1" w:styleId="NapisZnak">
    <w:name w:val="Napis Znak"/>
    <w:basedOn w:val="Privzetapisavaodstavka"/>
    <w:link w:val="Napis"/>
    <w:rsid w:val="00603B15"/>
    <w:rPr>
      <w:rFonts w:ascii="Arial" w:eastAsia="Times New Roman" w:hAnsi="Arial" w:cs="Arial"/>
      <w:sz w:val="16"/>
      <w:szCs w:val="16"/>
      <w:lang w:eastAsia="en-GB"/>
    </w:rPr>
  </w:style>
  <w:style w:type="character" w:customStyle="1" w:styleId="Naslov2Znak">
    <w:name w:val="Naslov 2 Znak"/>
    <w:basedOn w:val="Privzetapisavaodstavka"/>
    <w:link w:val="Naslov2"/>
    <w:rsid w:val="007F41C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F41C6"/>
    <w:rPr>
      <w:rFonts w:eastAsia="Times New Roman"/>
      <w:b/>
      <w:sz w:val="22"/>
      <w:szCs w:val="22"/>
      <w:lang w:eastAsia="en-GB"/>
    </w:rPr>
  </w:style>
  <w:style w:type="character" w:customStyle="1" w:styleId="Naslov4Znak">
    <w:name w:val="Naslov 4 Znak"/>
    <w:basedOn w:val="Privzetapisavaodstavka"/>
    <w:link w:val="Naslov4"/>
    <w:uiPriority w:val="10"/>
    <w:rsid w:val="007F41C6"/>
    <w:rPr>
      <w:rFonts w:ascii="Times New Roman" w:eastAsia="Times New Roman" w:hAnsi="Times New Roman" w:cs="Arial"/>
      <w:sz w:val="24"/>
      <w:szCs w:val="24"/>
      <w:lang w:eastAsia="en-GB"/>
    </w:rPr>
  </w:style>
  <w:style w:type="numbering" w:customStyle="1" w:styleId="Brezseznama1">
    <w:name w:val="Brez seznama1"/>
    <w:next w:val="Brezseznama"/>
    <w:uiPriority w:val="99"/>
    <w:semiHidden/>
    <w:unhideWhenUsed/>
    <w:rsid w:val="007F41C6"/>
  </w:style>
  <w:style w:type="paragraph" w:customStyle="1" w:styleId="ZPtekst">
    <w:name w:val="ZP_tekst"/>
    <w:basedOn w:val="Navaden"/>
    <w:link w:val="ZPtekstZnak"/>
    <w:qFormat/>
    <w:rsid w:val="007F41C6"/>
    <w:pPr>
      <w:spacing w:before="120" w:after="0" w:line="240" w:lineRule="auto"/>
      <w:jc w:val="both"/>
    </w:pPr>
    <w:rPr>
      <w:rFonts w:eastAsia="Times New Roman"/>
      <w:szCs w:val="24"/>
      <w:lang w:eastAsia="en-GB"/>
    </w:rPr>
  </w:style>
  <w:style w:type="character" w:customStyle="1" w:styleId="ZPtekstZnak">
    <w:name w:val="ZP_tekst Znak"/>
    <w:link w:val="ZPtekst"/>
    <w:rsid w:val="007F41C6"/>
    <w:rPr>
      <w:rFonts w:ascii="Arial" w:eastAsia="Times New Roman" w:hAnsi="Arial" w:cs="Arial"/>
      <w:szCs w:val="24"/>
      <w:lang w:eastAsia="en-GB"/>
    </w:rPr>
  </w:style>
  <w:style w:type="character" w:customStyle="1" w:styleId="OdstavekseznamaZnak">
    <w:name w:val="Odstavek seznama Znak"/>
    <w:aliases w:val="Odstavec1 Znak"/>
    <w:link w:val="Odstavekseznama"/>
    <w:uiPriority w:val="72"/>
    <w:qFormat/>
    <w:rsid w:val="007F41C6"/>
  </w:style>
  <w:style w:type="table" w:customStyle="1" w:styleId="Tabelamrea1">
    <w:name w:val="Tabela – mreža1"/>
    <w:basedOn w:val="Navadnatabela"/>
    <w:next w:val="Tabelamrea"/>
    <w:uiPriority w:val="59"/>
    <w:rsid w:val="007F41C6"/>
    <w:pPr>
      <w:spacing w:after="0" w:line="240" w:lineRule="auto"/>
    </w:pPr>
    <w:rPr>
      <w:rFonts w:ascii="Times New Roman" w:eastAsia="Times New Roman" w:hAnsi="Times New Roman"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rsid w:val="007F41C6"/>
    <w:pPr>
      <w:spacing w:before="120" w:after="0" w:line="240" w:lineRule="auto"/>
      <w:jc w:val="both"/>
    </w:pPr>
    <w:rPr>
      <w:rFonts w:ascii="Times New Roman" w:eastAsia="Times New Roman" w:hAnsi="Times New Roman"/>
      <w:sz w:val="20"/>
      <w:lang w:eastAsia="en-GB"/>
    </w:rPr>
  </w:style>
  <w:style w:type="character" w:customStyle="1" w:styleId="PripombabesediloZnak">
    <w:name w:val="Pripomba – besedilo Znak"/>
    <w:basedOn w:val="Privzetapisavaodstavka"/>
    <w:link w:val="Pripombabesedilo"/>
    <w:uiPriority w:val="99"/>
    <w:rsid w:val="007F41C6"/>
    <w:rPr>
      <w:rFonts w:ascii="Times New Roman" w:eastAsia="Times New Roman" w:hAnsi="Times New Roman" w:cs="Arial"/>
      <w:sz w:val="20"/>
      <w:szCs w:val="20"/>
      <w:lang w:eastAsia="en-GB"/>
    </w:rPr>
  </w:style>
  <w:style w:type="character" w:styleId="Pripombasklic">
    <w:name w:val="annotation reference"/>
    <w:basedOn w:val="Privzetapisavaodstavka"/>
    <w:uiPriority w:val="99"/>
    <w:unhideWhenUsed/>
    <w:rsid w:val="007F41C6"/>
    <w:rPr>
      <w:w w:val="100"/>
      <w:sz w:val="16"/>
      <w:szCs w:val="16"/>
      <w:shd w:val="clear" w:color="auto" w:fill="auto"/>
    </w:rPr>
  </w:style>
  <w:style w:type="paragraph" w:styleId="Zadevapripombe">
    <w:name w:val="annotation subject"/>
    <w:basedOn w:val="Pripombabesedilo"/>
    <w:next w:val="Pripombabesedilo"/>
    <w:link w:val="ZadevapripombeZnak"/>
    <w:uiPriority w:val="99"/>
    <w:semiHidden/>
    <w:unhideWhenUsed/>
    <w:rsid w:val="007F41C6"/>
    <w:pPr>
      <w:spacing w:after="20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F41C6"/>
    <w:rPr>
      <w:rFonts w:ascii="Times New Roman" w:eastAsia="Times New Roman" w:hAnsi="Times New Roman" w:cs="Arial"/>
      <w:b/>
      <w:bCs/>
      <w:sz w:val="20"/>
      <w:szCs w:val="20"/>
      <w:lang w:eastAsia="en-GB"/>
    </w:rPr>
  </w:style>
  <w:style w:type="paragraph" w:styleId="Revizija">
    <w:name w:val="Revision"/>
    <w:hidden/>
    <w:uiPriority w:val="99"/>
    <w:semiHidden/>
    <w:rsid w:val="007F41C6"/>
    <w:pPr>
      <w:spacing w:after="0" w:line="240" w:lineRule="auto"/>
    </w:pPr>
  </w:style>
  <w:style w:type="paragraph" w:styleId="Besedilooblaka">
    <w:name w:val="Balloon Text"/>
    <w:basedOn w:val="Navaden"/>
    <w:link w:val="BesedilooblakaZnak"/>
    <w:uiPriority w:val="99"/>
    <w:semiHidden/>
    <w:unhideWhenUsed/>
    <w:rsid w:val="007F41C6"/>
    <w:pPr>
      <w:spacing w:before="120" w:after="0" w:line="240" w:lineRule="auto"/>
      <w:jc w:val="both"/>
    </w:pPr>
    <w:rPr>
      <w:rFonts w:ascii="Tahoma" w:eastAsia="Times New Roman" w:hAnsi="Tahoma" w:cs="Tahoma"/>
      <w:sz w:val="16"/>
      <w:szCs w:val="16"/>
      <w:lang w:eastAsia="en-GB"/>
    </w:rPr>
  </w:style>
  <w:style w:type="character" w:customStyle="1" w:styleId="BesedilooblakaZnak">
    <w:name w:val="Besedilo oblačka Znak"/>
    <w:basedOn w:val="Privzetapisavaodstavka"/>
    <w:link w:val="Besedilooblaka"/>
    <w:uiPriority w:val="99"/>
    <w:semiHidden/>
    <w:rsid w:val="007F41C6"/>
    <w:rPr>
      <w:rFonts w:ascii="Tahoma" w:eastAsia="Times New Roman" w:hAnsi="Tahoma" w:cs="Tahoma"/>
      <w:sz w:val="16"/>
      <w:szCs w:val="16"/>
      <w:lang w:eastAsia="en-GB"/>
    </w:rPr>
  </w:style>
  <w:style w:type="paragraph" w:customStyle="1" w:styleId="ZPpodnapis">
    <w:name w:val="ZP_podnapis"/>
    <w:basedOn w:val="ZPtekst"/>
    <w:next w:val="ZPtekst"/>
    <w:qFormat/>
    <w:rsid w:val="007F41C6"/>
    <w:pPr>
      <w:widowControl w:val="0"/>
      <w:spacing w:after="200"/>
      <w:ind w:left="170" w:hanging="170"/>
      <w:contextualSpacing/>
    </w:pPr>
    <w:rPr>
      <w:sz w:val="16"/>
    </w:rPr>
  </w:style>
  <w:style w:type="paragraph" w:customStyle="1" w:styleId="ZPslikanaslov">
    <w:name w:val="ZP_slika_naslov"/>
    <w:basedOn w:val="Navaden"/>
    <w:qFormat/>
    <w:rsid w:val="007F41C6"/>
    <w:pPr>
      <w:keepNext/>
      <w:keepLines/>
      <w:spacing w:before="240" w:after="80" w:line="240" w:lineRule="auto"/>
      <w:jc w:val="center"/>
    </w:pPr>
    <w:rPr>
      <w:rFonts w:eastAsia="Times New Roman"/>
      <w:i/>
      <w:szCs w:val="24"/>
      <w:lang w:eastAsia="sl-SI"/>
    </w:rPr>
  </w:style>
  <w:style w:type="paragraph" w:customStyle="1" w:styleId="Default">
    <w:name w:val="Default"/>
    <w:rsid w:val="007F41C6"/>
    <w:pPr>
      <w:autoSpaceDE w:val="0"/>
      <w:autoSpaceDN w:val="0"/>
      <w:adjustRightInd w:val="0"/>
      <w:spacing w:after="0" w:line="240" w:lineRule="auto"/>
    </w:pPr>
    <w:rPr>
      <w:rFonts w:ascii="Verdana" w:hAnsi="Verdana" w:cs="Verdana"/>
      <w:color w:val="000000"/>
      <w:szCs w:val="24"/>
    </w:rPr>
  </w:style>
  <w:style w:type="paragraph" w:customStyle="1" w:styleId="indicatorkpititle">
    <w:name w:val="indicatorkpititle"/>
    <w:basedOn w:val="Navaden"/>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customStyle="1" w:styleId="TelobesedilaZnak1">
    <w:name w:val="Telo besedila Znak1"/>
    <w:rsid w:val="007F41C6"/>
    <w:rPr>
      <w:rFonts w:ascii="Arial" w:hAnsi="Arial" w:cs="Arial"/>
      <w:noProof w:val="0"/>
      <w:sz w:val="22"/>
      <w:szCs w:val="22"/>
      <w:lang w:val="sl-SI" w:eastAsia="en-US" w:bidi="ar-SA"/>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Fußnote"/>
    <w:basedOn w:val="Navaden"/>
    <w:link w:val="Sprotnaopomba-besediloZnak"/>
    <w:qFormat/>
    <w:rsid w:val="007F41C6"/>
    <w:pPr>
      <w:spacing w:before="120" w:after="0" w:line="240" w:lineRule="auto"/>
      <w:ind w:left="714" w:hanging="357"/>
      <w:jc w:val="both"/>
    </w:pPr>
    <w:rPr>
      <w:rFonts w:ascii="Times New Roman" w:eastAsia="Times New Roman" w:hAnsi="Times New Roman"/>
      <w:sz w:val="20"/>
      <w:lang w:eastAsia="en-GB"/>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Fußnote Znak"/>
    <w:basedOn w:val="Privzetapisavaodstavka"/>
    <w:link w:val="Sprotnaopomba-besedilo"/>
    <w:rsid w:val="007F41C6"/>
    <w:rPr>
      <w:rFonts w:ascii="Times New Roman" w:eastAsia="Times New Roman" w:hAnsi="Times New Roman" w:cs="Arial"/>
      <w:sz w:val="20"/>
      <w:szCs w:val="20"/>
      <w:lang w:eastAsia="en-GB"/>
    </w:rPr>
  </w:style>
  <w:style w:type="character" w:styleId="Sprotnaopomba-sklic">
    <w:name w:val="footnote reference"/>
    <w:aliases w:val="Footnote symbol,Footnote,Fussnota"/>
    <w:basedOn w:val="Privzetapisavaodstavka"/>
    <w:unhideWhenUsed/>
    <w:rsid w:val="007F41C6"/>
    <w:rPr>
      <w:w w:val="100"/>
      <w:sz w:val="20"/>
      <w:szCs w:val="20"/>
      <w:shd w:val="clear" w:color="auto" w:fill="auto"/>
      <w:vertAlign w:val="superscript"/>
    </w:rPr>
  </w:style>
  <w:style w:type="paragraph" w:customStyle="1" w:styleId="ZPpregtekst">
    <w:name w:val="ZP_preg_tekst"/>
    <w:basedOn w:val="Navaden"/>
    <w:next w:val="Navaden"/>
    <w:qFormat/>
    <w:rsid w:val="007F41C6"/>
    <w:pPr>
      <w:keepNext/>
      <w:keepLines/>
      <w:autoSpaceDE w:val="0"/>
      <w:autoSpaceDN w:val="0"/>
      <w:adjustRightInd w:val="0"/>
      <w:spacing w:before="120" w:after="0" w:line="240" w:lineRule="auto"/>
      <w:jc w:val="both"/>
    </w:pPr>
    <w:rPr>
      <w:rFonts w:eastAsia="Times New Roman"/>
      <w:sz w:val="16"/>
      <w:szCs w:val="24"/>
      <w:lang w:eastAsia="sl-SI"/>
    </w:rPr>
  </w:style>
  <w:style w:type="paragraph" w:customStyle="1" w:styleId="ZPpregglava">
    <w:name w:val="ZP_preg_glava"/>
    <w:basedOn w:val="ZPpregtekst"/>
    <w:next w:val="ZPpregtekst"/>
    <w:qFormat/>
    <w:rsid w:val="007F41C6"/>
    <w:pPr>
      <w:spacing w:before="40" w:after="20"/>
      <w:jc w:val="right"/>
      <w:outlineLvl w:val="0"/>
    </w:pPr>
    <w:rPr>
      <w:b/>
    </w:rPr>
  </w:style>
  <w:style w:type="paragraph" w:customStyle="1" w:styleId="ZPpregnaslov">
    <w:name w:val="ZP_preg_naslov"/>
    <w:basedOn w:val="Navaden"/>
    <w:link w:val="ZPpregnaslovZnak"/>
    <w:qFormat/>
    <w:rsid w:val="007F41C6"/>
    <w:pPr>
      <w:keepNext/>
      <w:keepLines/>
      <w:spacing w:before="200" w:after="80" w:line="240" w:lineRule="auto"/>
      <w:ind w:left="1588" w:hanging="1588"/>
      <w:contextualSpacing/>
      <w:jc w:val="both"/>
      <w:outlineLvl w:val="0"/>
    </w:pPr>
    <w:rPr>
      <w:rFonts w:eastAsia="Times New Roman"/>
      <w:i/>
      <w:lang w:eastAsia="sl-SI"/>
    </w:rPr>
  </w:style>
  <w:style w:type="character" w:customStyle="1" w:styleId="ZPpregnaslovZnak">
    <w:name w:val="ZP_preg_naslov Znak"/>
    <w:link w:val="ZPpregnaslov"/>
    <w:rsid w:val="007F41C6"/>
    <w:rPr>
      <w:rFonts w:ascii="Arial" w:eastAsia="Times New Roman" w:hAnsi="Arial" w:cs="Arial"/>
      <w:i/>
      <w:szCs w:val="20"/>
      <w:lang w:eastAsia="sl-SI"/>
    </w:rPr>
  </w:style>
  <w:style w:type="paragraph" w:customStyle="1" w:styleId="ZPpregtevilke">
    <w:name w:val="ZP_preg_številke"/>
    <w:basedOn w:val="Navaden"/>
    <w:next w:val="ZPpregtekst"/>
    <w:qFormat/>
    <w:rsid w:val="007F41C6"/>
    <w:pPr>
      <w:keepNext/>
      <w:keepLines/>
      <w:autoSpaceDE w:val="0"/>
      <w:autoSpaceDN w:val="0"/>
      <w:adjustRightInd w:val="0"/>
      <w:spacing w:before="120" w:after="0" w:line="240" w:lineRule="auto"/>
      <w:jc w:val="right"/>
    </w:pPr>
    <w:rPr>
      <w:rFonts w:eastAsia="Times New Roman"/>
      <w:sz w:val="16"/>
      <w:szCs w:val="24"/>
      <w:lang w:eastAsia="sl-SI"/>
    </w:rPr>
  </w:style>
  <w:style w:type="character" w:styleId="Poudarek">
    <w:name w:val="Emphasis"/>
    <w:uiPriority w:val="20"/>
    <w:qFormat/>
    <w:rsid w:val="007F41C6"/>
    <w:rPr>
      <w:i/>
      <w:iCs/>
    </w:rPr>
  </w:style>
  <w:style w:type="paragraph" w:customStyle="1" w:styleId="1">
    <w:name w:val="1"/>
    <w:basedOn w:val="Navaden"/>
    <w:qFormat/>
    <w:rsid w:val="007F41C6"/>
    <w:pPr>
      <w:spacing w:before="120" w:after="0" w:line="260" w:lineRule="atLeast"/>
      <w:jc w:val="both"/>
    </w:pPr>
    <w:rPr>
      <w:rFonts w:eastAsia="Times New Roman"/>
      <w:sz w:val="20"/>
      <w:lang w:eastAsia="en-GB"/>
    </w:rPr>
  </w:style>
  <w:style w:type="paragraph" w:customStyle="1" w:styleId="SlogSprotnaopomba-besediloZnakZnak">
    <w:name w:val="Slog Sprotna opomba - besedilo Znak Znak"/>
    <w:link w:val="SlogSprotnaopomba-besediloZnakZnakZnak"/>
    <w:rsid w:val="007F41C6"/>
    <w:pPr>
      <w:spacing w:before="60" w:after="180" w:line="240" w:lineRule="auto"/>
      <w:ind w:left="227" w:hanging="227"/>
      <w:contextualSpacing/>
    </w:pPr>
    <w:rPr>
      <w:rFonts w:eastAsia="Times New Roman" w:cs="Times New Roman"/>
      <w:sz w:val="16"/>
      <w:szCs w:val="24"/>
    </w:rPr>
  </w:style>
  <w:style w:type="character" w:customStyle="1" w:styleId="SlogSprotnaopomba-besediloZnakZnakZnak">
    <w:name w:val="Slog Sprotna opomba - besedilo Znak Znak Znak"/>
    <w:link w:val="SlogSprotnaopomba-besediloZnakZnak"/>
    <w:rsid w:val="007F41C6"/>
    <w:rPr>
      <w:rFonts w:ascii="Arial" w:eastAsia="Times New Roman" w:hAnsi="Arial" w:cs="Times New Roman"/>
      <w:sz w:val="16"/>
      <w:szCs w:val="24"/>
    </w:rPr>
  </w:style>
  <w:style w:type="paragraph" w:styleId="Naslov">
    <w:name w:val="Title"/>
    <w:basedOn w:val="Navaden"/>
    <w:link w:val="NaslovZnak"/>
    <w:uiPriority w:val="6"/>
    <w:qFormat/>
    <w:rsid w:val="007F41C6"/>
    <w:pPr>
      <w:spacing w:before="120" w:after="0" w:line="240" w:lineRule="auto"/>
      <w:jc w:val="center"/>
    </w:pPr>
    <w:rPr>
      <w:rFonts w:eastAsia="Arial"/>
      <w:b/>
      <w:sz w:val="32"/>
      <w:szCs w:val="32"/>
      <w:lang w:eastAsia="en-GB"/>
    </w:rPr>
  </w:style>
  <w:style w:type="character" w:customStyle="1" w:styleId="NaslovZnak">
    <w:name w:val="Naslov Znak"/>
    <w:basedOn w:val="Privzetapisavaodstavka"/>
    <w:link w:val="Naslov"/>
    <w:uiPriority w:val="6"/>
    <w:rsid w:val="007F41C6"/>
    <w:rPr>
      <w:rFonts w:ascii="Arial" w:eastAsia="Arial" w:hAnsi="Arial" w:cs="Arial"/>
      <w:b/>
      <w:sz w:val="32"/>
      <w:szCs w:val="32"/>
      <w:lang w:eastAsia="en-GB"/>
    </w:rPr>
  </w:style>
  <w:style w:type="character" w:customStyle="1" w:styleId="tlid-translation">
    <w:name w:val="tlid-translation"/>
    <w:basedOn w:val="Privzetapisavaodstavka"/>
    <w:rsid w:val="007F41C6"/>
  </w:style>
  <w:style w:type="paragraph" w:styleId="Navadensplet">
    <w:name w:val="Normal (Web)"/>
    <w:basedOn w:val="Navaden"/>
    <w:uiPriority w:val="99"/>
    <w:unhideWhenUsed/>
    <w:rsid w:val="007F41C6"/>
    <w:pPr>
      <w:spacing w:before="100" w:beforeAutospacing="1" w:after="100" w:afterAutospacing="1" w:line="240" w:lineRule="auto"/>
      <w:jc w:val="both"/>
    </w:pPr>
    <w:rPr>
      <w:rFonts w:ascii="Times New Roman" w:eastAsia="Times New Roman" w:hAnsi="Times New Roman"/>
      <w:szCs w:val="24"/>
      <w:lang w:eastAsia="sl-SI"/>
    </w:rPr>
  </w:style>
  <w:style w:type="character" w:styleId="Krepko">
    <w:name w:val="Strong"/>
    <w:basedOn w:val="Privzetapisavaodstavka"/>
    <w:uiPriority w:val="22"/>
    <w:qFormat/>
    <w:rsid w:val="007F41C6"/>
    <w:rPr>
      <w:b/>
      <w:bCs/>
    </w:rPr>
  </w:style>
  <w:style w:type="character" w:customStyle="1" w:styleId="tableinformationtitle">
    <w:name w:val="tableinformation_title"/>
    <w:basedOn w:val="Privzetapisavaodstavka"/>
    <w:rsid w:val="007F41C6"/>
  </w:style>
  <w:style w:type="paragraph" w:styleId="NaslovTOC">
    <w:name w:val="TOC Heading"/>
    <w:basedOn w:val="Naslov1"/>
    <w:next w:val="Navaden"/>
    <w:uiPriority w:val="39"/>
    <w:unhideWhenUsed/>
    <w:qFormat/>
    <w:rsid w:val="007F41C6"/>
    <w:pPr>
      <w:spacing w:before="480"/>
      <w:outlineLvl w:val="9"/>
    </w:pPr>
    <w:rPr>
      <w:b/>
      <w:bCs/>
      <w:sz w:val="28"/>
      <w:szCs w:val="28"/>
      <w:lang w:eastAsia="sl-SI"/>
    </w:rPr>
  </w:style>
  <w:style w:type="paragraph" w:styleId="Kazalovsebine1">
    <w:name w:val="toc 1"/>
    <w:basedOn w:val="Navaden"/>
    <w:next w:val="Navaden"/>
    <w:autoRedefine/>
    <w:uiPriority w:val="39"/>
    <w:unhideWhenUsed/>
    <w:rsid w:val="007F41C6"/>
    <w:pPr>
      <w:spacing w:before="120" w:after="100" w:line="240" w:lineRule="auto"/>
      <w:jc w:val="both"/>
    </w:pPr>
    <w:rPr>
      <w:rFonts w:eastAsia="Times New Roman"/>
      <w:szCs w:val="24"/>
      <w:lang w:eastAsia="en-GB"/>
    </w:rPr>
  </w:style>
  <w:style w:type="paragraph" w:styleId="Kazalovsebine2">
    <w:name w:val="toc 2"/>
    <w:basedOn w:val="Navaden"/>
    <w:next w:val="Navaden"/>
    <w:autoRedefine/>
    <w:uiPriority w:val="39"/>
    <w:unhideWhenUsed/>
    <w:rsid w:val="007F41C6"/>
    <w:pPr>
      <w:spacing w:before="120" w:after="100" w:line="240" w:lineRule="auto"/>
      <w:ind w:left="240"/>
      <w:jc w:val="both"/>
    </w:pPr>
    <w:rPr>
      <w:rFonts w:eastAsia="Times New Roman"/>
      <w:szCs w:val="24"/>
      <w:lang w:eastAsia="en-GB"/>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7F41C6"/>
    <w:rPr>
      <w:rFonts w:ascii="Arial" w:hAnsi="Arial"/>
      <w:sz w:val="22"/>
      <w:szCs w:val="24"/>
      <w:lang w:val="sl-SI" w:eastAsia="sl-SI" w:bidi="ar-SA"/>
    </w:rPr>
  </w:style>
  <w:style w:type="paragraph" w:styleId="Kazalovsebine3">
    <w:name w:val="toc 3"/>
    <w:basedOn w:val="Navaden"/>
    <w:next w:val="Navaden"/>
    <w:autoRedefine/>
    <w:uiPriority w:val="39"/>
    <w:unhideWhenUsed/>
    <w:rsid w:val="007F41C6"/>
    <w:pPr>
      <w:spacing w:before="120" w:after="100" w:line="240" w:lineRule="auto"/>
      <w:ind w:left="440"/>
      <w:jc w:val="both"/>
    </w:pPr>
    <w:rPr>
      <w:rFonts w:eastAsia="Times New Roman"/>
      <w:szCs w:val="24"/>
      <w:lang w:eastAsia="en-GB"/>
    </w:rPr>
  </w:style>
  <w:style w:type="paragraph" w:customStyle="1" w:styleId="ListBullet1">
    <w:name w:val="List Bullet 1"/>
    <w:basedOn w:val="Navaden"/>
    <w:rsid w:val="007F41C6"/>
    <w:pPr>
      <w:numPr>
        <w:numId w:val="2"/>
      </w:numPr>
      <w:spacing w:before="120" w:after="0" w:line="240" w:lineRule="auto"/>
      <w:ind w:left="0" w:firstLine="0"/>
      <w:jc w:val="both"/>
    </w:pPr>
    <w:rPr>
      <w:rFonts w:ascii="Times New Roman" w:eastAsia="Times New Roman" w:hAnsi="Times New Roman"/>
      <w:szCs w:val="24"/>
      <w:lang w:eastAsia="en-GB"/>
    </w:rPr>
  </w:style>
  <w:style w:type="paragraph" w:customStyle="1" w:styleId="TAbela">
    <w:name w:val="TAbela"/>
    <w:basedOn w:val="Navaden"/>
    <w:uiPriority w:val="1"/>
    <w:rsid w:val="007F41C6"/>
    <w:pPr>
      <w:spacing w:before="120" w:after="0" w:line="240" w:lineRule="auto"/>
      <w:jc w:val="both"/>
    </w:pPr>
    <w:rPr>
      <w:rFonts w:eastAsia="Arial"/>
      <w:sz w:val="16"/>
      <w:szCs w:val="24"/>
    </w:rPr>
  </w:style>
  <w:style w:type="paragraph" w:customStyle="1" w:styleId="ZPnaslovneov">
    <w:name w:val="ZP_naslov_neoš_vč"/>
    <w:basedOn w:val="Navaden"/>
    <w:next w:val="ZPtekst"/>
    <w:qFormat/>
    <w:rsid w:val="007F41C6"/>
    <w:pPr>
      <w:keepNext/>
      <w:autoSpaceDE w:val="0"/>
      <w:autoSpaceDN w:val="0"/>
      <w:adjustRightInd w:val="0"/>
      <w:spacing w:before="240" w:after="240" w:line="240" w:lineRule="auto"/>
    </w:pPr>
    <w:rPr>
      <w:rFonts w:eastAsia="Times New Roman"/>
      <w:b/>
      <w:szCs w:val="24"/>
      <w:lang w:eastAsia="sl-SI"/>
    </w:rPr>
  </w:style>
  <w:style w:type="paragraph" w:customStyle="1" w:styleId="ZPnaslovneom">
    <w:name w:val="ZP_naslov_neoš_mč"/>
    <w:basedOn w:val="Navaden"/>
    <w:next w:val="Navaden"/>
    <w:qFormat/>
    <w:rsid w:val="007F41C6"/>
    <w:pPr>
      <w:keepNext/>
      <w:autoSpaceDE w:val="0"/>
      <w:autoSpaceDN w:val="0"/>
      <w:adjustRightInd w:val="0"/>
      <w:spacing w:before="240" w:after="120" w:line="240" w:lineRule="auto"/>
      <w:jc w:val="both"/>
    </w:pPr>
    <w:rPr>
      <w:rFonts w:eastAsia="Times New Roman"/>
      <w:b/>
      <w:i/>
      <w:lang w:eastAsia="sl-SI"/>
    </w:rPr>
  </w:style>
  <w:style w:type="paragraph" w:customStyle="1" w:styleId="Virpodrazpredelnico">
    <w:name w:val="Vir pod razpredelnico"/>
    <w:aliases w:val="sliko ZP"/>
    <w:basedOn w:val="Navaden"/>
    <w:rsid w:val="007F41C6"/>
    <w:pPr>
      <w:keepNext/>
      <w:keepLines/>
      <w:spacing w:before="60" w:after="240" w:line="240" w:lineRule="auto"/>
      <w:contextualSpacing/>
    </w:pPr>
    <w:rPr>
      <w:rFonts w:eastAsia="Times New Roman" w:cs="Times New Roman"/>
      <w:sz w:val="16"/>
    </w:rPr>
  </w:style>
  <w:style w:type="paragraph" w:styleId="Kazalovsebine4">
    <w:name w:val="toc 4"/>
    <w:basedOn w:val="Navaden"/>
    <w:next w:val="Navaden"/>
    <w:autoRedefine/>
    <w:uiPriority w:val="39"/>
    <w:unhideWhenUsed/>
    <w:rsid w:val="007F41C6"/>
    <w:pPr>
      <w:spacing w:after="100"/>
      <w:ind w:left="660"/>
    </w:pPr>
    <w:rPr>
      <w:rFonts w:eastAsiaTheme="minorEastAsia"/>
      <w:lang w:eastAsia="sl-SI"/>
    </w:rPr>
  </w:style>
  <w:style w:type="paragraph" w:styleId="Kazalovsebine5">
    <w:name w:val="toc 5"/>
    <w:basedOn w:val="Navaden"/>
    <w:next w:val="Navaden"/>
    <w:autoRedefine/>
    <w:uiPriority w:val="39"/>
    <w:unhideWhenUsed/>
    <w:rsid w:val="007F41C6"/>
    <w:pPr>
      <w:spacing w:after="100"/>
      <w:ind w:left="880"/>
    </w:pPr>
    <w:rPr>
      <w:rFonts w:eastAsiaTheme="minorEastAsia"/>
      <w:lang w:eastAsia="sl-SI"/>
    </w:rPr>
  </w:style>
  <w:style w:type="paragraph" w:styleId="Kazalovsebine6">
    <w:name w:val="toc 6"/>
    <w:basedOn w:val="Navaden"/>
    <w:next w:val="Navaden"/>
    <w:autoRedefine/>
    <w:uiPriority w:val="39"/>
    <w:unhideWhenUsed/>
    <w:rsid w:val="007F41C6"/>
    <w:pPr>
      <w:spacing w:after="100"/>
      <w:ind w:left="1100"/>
    </w:pPr>
    <w:rPr>
      <w:rFonts w:eastAsiaTheme="minorEastAsia"/>
      <w:lang w:eastAsia="sl-SI"/>
    </w:rPr>
  </w:style>
  <w:style w:type="paragraph" w:styleId="Kazalovsebine7">
    <w:name w:val="toc 7"/>
    <w:basedOn w:val="Navaden"/>
    <w:next w:val="Navaden"/>
    <w:autoRedefine/>
    <w:uiPriority w:val="39"/>
    <w:unhideWhenUsed/>
    <w:rsid w:val="007F41C6"/>
    <w:pPr>
      <w:spacing w:after="100"/>
      <w:ind w:left="1320"/>
    </w:pPr>
    <w:rPr>
      <w:rFonts w:eastAsiaTheme="minorEastAsia"/>
      <w:lang w:eastAsia="sl-SI"/>
    </w:rPr>
  </w:style>
  <w:style w:type="paragraph" w:styleId="Kazalovsebine8">
    <w:name w:val="toc 8"/>
    <w:basedOn w:val="Navaden"/>
    <w:next w:val="Navaden"/>
    <w:autoRedefine/>
    <w:uiPriority w:val="39"/>
    <w:unhideWhenUsed/>
    <w:rsid w:val="007F41C6"/>
    <w:pPr>
      <w:spacing w:after="100"/>
      <w:ind w:left="1540"/>
    </w:pPr>
    <w:rPr>
      <w:rFonts w:eastAsiaTheme="minorEastAsia"/>
      <w:lang w:eastAsia="sl-SI"/>
    </w:rPr>
  </w:style>
  <w:style w:type="paragraph" w:styleId="Kazalovsebine9">
    <w:name w:val="toc 9"/>
    <w:basedOn w:val="Navaden"/>
    <w:next w:val="Navaden"/>
    <w:autoRedefine/>
    <w:uiPriority w:val="39"/>
    <w:unhideWhenUsed/>
    <w:rsid w:val="007F41C6"/>
    <w:pPr>
      <w:spacing w:after="100"/>
      <w:ind w:left="1760"/>
    </w:pPr>
    <w:rPr>
      <w:rFonts w:eastAsiaTheme="minorEastAsia"/>
      <w:lang w:eastAsia="sl-SI"/>
    </w:rPr>
  </w:style>
  <w:style w:type="paragraph" w:styleId="Konnaopomba-besedilo">
    <w:name w:val="endnote text"/>
    <w:basedOn w:val="Navaden"/>
    <w:link w:val="Konnaopomba-besediloZnak"/>
    <w:uiPriority w:val="99"/>
    <w:semiHidden/>
    <w:unhideWhenUsed/>
    <w:rsid w:val="007F41C6"/>
    <w:pPr>
      <w:spacing w:after="0" w:line="240" w:lineRule="auto"/>
      <w:jc w:val="both"/>
    </w:pPr>
    <w:rPr>
      <w:rFonts w:eastAsia="Times New Roman"/>
      <w:sz w:val="20"/>
      <w:lang w:eastAsia="en-GB"/>
    </w:rPr>
  </w:style>
  <w:style w:type="character" w:customStyle="1" w:styleId="Konnaopomba-besediloZnak">
    <w:name w:val="Končna opomba - besedilo Znak"/>
    <w:basedOn w:val="Privzetapisavaodstavka"/>
    <w:link w:val="Konnaopomba-besedilo"/>
    <w:uiPriority w:val="99"/>
    <w:semiHidden/>
    <w:rsid w:val="007F41C6"/>
    <w:rPr>
      <w:rFonts w:ascii="Arial" w:eastAsia="Times New Roman" w:hAnsi="Arial" w:cs="Arial"/>
      <w:sz w:val="20"/>
      <w:szCs w:val="20"/>
      <w:lang w:eastAsia="en-GB"/>
    </w:rPr>
  </w:style>
  <w:style w:type="character" w:styleId="Konnaopomba-sklic">
    <w:name w:val="endnote reference"/>
    <w:basedOn w:val="Privzetapisavaodstavka"/>
    <w:uiPriority w:val="99"/>
    <w:semiHidden/>
    <w:unhideWhenUsed/>
    <w:rsid w:val="007F41C6"/>
    <w:rPr>
      <w:vertAlign w:val="superscript"/>
    </w:rPr>
  </w:style>
  <w:style w:type="paragraph" w:customStyle="1" w:styleId="Text1">
    <w:name w:val="Text 1"/>
    <w:basedOn w:val="Navaden"/>
    <w:rsid w:val="007F41C6"/>
    <w:pPr>
      <w:spacing w:after="0" w:line="240" w:lineRule="auto"/>
      <w:ind w:left="482"/>
      <w:jc w:val="both"/>
    </w:pPr>
    <w:rPr>
      <w:rFonts w:ascii="Times New Roman" w:eastAsia="Times New Roman" w:hAnsi="Times New Roman" w:cs="Times New Roman"/>
      <w:szCs w:val="24"/>
      <w:lang w:val="en-GB" w:eastAsia="en-GB"/>
    </w:rPr>
  </w:style>
  <w:style w:type="paragraph" w:customStyle="1" w:styleId="SCSLIKA0">
    <w:name w:val="SC_SLIKA"/>
    <w:basedOn w:val="Napis"/>
    <w:link w:val="SCSLIKAZnak"/>
    <w:uiPriority w:val="1"/>
    <w:qFormat/>
    <w:rsid w:val="007F41C6"/>
    <w:pPr>
      <w:spacing w:line="240" w:lineRule="auto"/>
      <w:jc w:val="center"/>
    </w:pPr>
    <w:rPr>
      <w:sz w:val="20"/>
      <w:szCs w:val="20"/>
    </w:rPr>
  </w:style>
  <w:style w:type="paragraph" w:customStyle="1" w:styleId="SCPREGLEDNICA0">
    <w:name w:val="SC_PREGLEDNICA"/>
    <w:basedOn w:val="Napis"/>
    <w:link w:val="SCPREGLEDNICAZnak0"/>
    <w:uiPriority w:val="1"/>
    <w:qFormat/>
    <w:rsid w:val="007F41C6"/>
    <w:pPr>
      <w:spacing w:line="240" w:lineRule="auto"/>
      <w:jc w:val="center"/>
    </w:pPr>
    <w:rPr>
      <w:b/>
      <w:sz w:val="20"/>
      <w:szCs w:val="20"/>
    </w:rPr>
  </w:style>
  <w:style w:type="character" w:customStyle="1" w:styleId="SCSLIKAZnak">
    <w:name w:val="SC_SLIKA Znak"/>
    <w:basedOn w:val="NapisZnak"/>
    <w:link w:val="SCSLIKA0"/>
    <w:uiPriority w:val="1"/>
    <w:rsid w:val="007F41C6"/>
    <w:rPr>
      <w:rFonts w:ascii="Arial" w:eastAsia="Times New Roman" w:hAnsi="Arial" w:cs="Arial"/>
      <w:sz w:val="20"/>
      <w:szCs w:val="20"/>
      <w:lang w:eastAsia="en-GB"/>
    </w:rPr>
  </w:style>
  <w:style w:type="character" w:customStyle="1" w:styleId="SCPREGLEDNICAZnak0">
    <w:name w:val="SC_PREGLEDNICA Znak"/>
    <w:basedOn w:val="NapisZnak"/>
    <w:link w:val="SCPREGLEDNICA0"/>
    <w:uiPriority w:val="1"/>
    <w:rsid w:val="007F41C6"/>
    <w:rPr>
      <w:rFonts w:ascii="Arial" w:eastAsia="Times New Roman" w:hAnsi="Arial" w:cs="Arial"/>
      <w:b/>
      <w:sz w:val="20"/>
      <w:szCs w:val="20"/>
      <w:lang w:eastAsia="en-GB"/>
    </w:rPr>
  </w:style>
  <w:style w:type="paragraph" w:customStyle="1" w:styleId="Text2">
    <w:name w:val="Text 2"/>
    <w:basedOn w:val="Navaden"/>
    <w:link w:val="Text2Char"/>
    <w:rsid w:val="007F41C6"/>
    <w:pPr>
      <w:tabs>
        <w:tab w:val="left" w:pos="2160"/>
      </w:tabs>
      <w:spacing w:after="0" w:line="240" w:lineRule="auto"/>
      <w:ind w:left="1077"/>
      <w:jc w:val="both"/>
    </w:pPr>
    <w:rPr>
      <w:rFonts w:ascii="Times New Roman" w:eastAsia="Times New Roman" w:hAnsi="Times New Roman" w:cs="Times New Roman"/>
      <w:szCs w:val="24"/>
      <w:lang w:val="en-GB" w:eastAsia="en-GB"/>
    </w:rPr>
  </w:style>
  <w:style w:type="character" w:customStyle="1" w:styleId="Text2Char">
    <w:name w:val="Text 2 Char"/>
    <w:link w:val="Text2"/>
    <w:rsid w:val="007F41C6"/>
    <w:rPr>
      <w:rFonts w:ascii="Times New Roman" w:eastAsia="Times New Roman" w:hAnsi="Times New Roman" w:cs="Times New Roman"/>
      <w:sz w:val="24"/>
      <w:szCs w:val="24"/>
      <w:lang w:val="en-GB" w:eastAsia="en-GB"/>
    </w:rPr>
  </w:style>
  <w:style w:type="paragraph" w:styleId="Brezrazmikov">
    <w:name w:val="No Spacing"/>
    <w:uiPriority w:val="1"/>
    <w:qFormat/>
    <w:rsid w:val="007F41C6"/>
    <w:pPr>
      <w:spacing w:after="0" w:line="240" w:lineRule="auto"/>
      <w:jc w:val="both"/>
    </w:pPr>
    <w:rPr>
      <w:rFonts w:eastAsia="Times New Roman"/>
      <w:szCs w:val="24"/>
      <w:lang w:eastAsia="en-GB"/>
    </w:rPr>
  </w:style>
  <w:style w:type="character" w:styleId="SledenaHiperpovezava">
    <w:name w:val="FollowedHyperlink"/>
    <w:basedOn w:val="Privzetapisavaodstavka"/>
    <w:uiPriority w:val="99"/>
    <w:semiHidden/>
    <w:unhideWhenUsed/>
    <w:rsid w:val="007F41C6"/>
    <w:rPr>
      <w:color w:val="800080" w:themeColor="followedHyperlink"/>
      <w:u w:val="single"/>
    </w:rPr>
  </w:style>
  <w:style w:type="paragraph" w:customStyle="1" w:styleId="TableContents">
    <w:name w:val="Table Contents"/>
    <w:basedOn w:val="Navaden"/>
    <w:rsid w:val="007F41C6"/>
    <w:pPr>
      <w:suppressLineNumbers/>
      <w:suppressAutoHyphens/>
      <w:autoSpaceDN w:val="0"/>
      <w:spacing w:after="0" w:line="240" w:lineRule="auto"/>
      <w:textAlignment w:val="baseline"/>
    </w:pPr>
    <w:rPr>
      <w:rFonts w:ascii="Liberation Serif" w:eastAsia="SimSun" w:hAnsi="Liberation Serif"/>
      <w:kern w:val="3"/>
      <w:szCs w:val="24"/>
      <w:lang w:eastAsia="zh-CN" w:bidi="hi-IN"/>
    </w:rPr>
  </w:style>
  <w:style w:type="table" w:customStyle="1" w:styleId="Tabelamrea2">
    <w:name w:val="Tabela – mreža2"/>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F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E9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sl-SI"/>
    </w:rPr>
  </w:style>
  <w:style w:type="character" w:customStyle="1" w:styleId="HTML-oblikovanoZnak">
    <w:name w:val="HTML-oblikovano Znak"/>
    <w:basedOn w:val="Privzetapisavaodstavka"/>
    <w:link w:val="HTML-oblikovano"/>
    <w:uiPriority w:val="99"/>
    <w:semiHidden/>
    <w:rsid w:val="00E94EE3"/>
    <w:rPr>
      <w:rFonts w:ascii="Courier New" w:eastAsia="Times New Roman" w:hAnsi="Courier New" w:cs="Courier New"/>
      <w:sz w:val="20"/>
      <w:lang w:eastAsia="sl-SI"/>
    </w:rPr>
  </w:style>
  <w:style w:type="character" w:customStyle="1" w:styleId="Nerazreenaomemba1">
    <w:name w:val="Nerazrešena omemba1"/>
    <w:basedOn w:val="Privzetapisavaodstavka"/>
    <w:uiPriority w:val="99"/>
    <w:semiHidden/>
    <w:unhideWhenUsed/>
    <w:rsid w:val="007B2CC8"/>
    <w:rPr>
      <w:color w:val="605E5C"/>
      <w:shd w:val="clear" w:color="auto" w:fill="E1DFDD"/>
    </w:rPr>
  </w:style>
  <w:style w:type="paragraph" w:styleId="Kazaloslik">
    <w:name w:val="table of figures"/>
    <w:basedOn w:val="Navaden"/>
    <w:next w:val="Navaden"/>
    <w:uiPriority w:val="99"/>
    <w:unhideWhenUsed/>
    <w:rsid w:val="00342C52"/>
    <w:pPr>
      <w:spacing w:after="0"/>
    </w:pPr>
  </w:style>
  <w:style w:type="table" w:customStyle="1" w:styleId="Tabelamrea21">
    <w:name w:val="Tabela – mreža21"/>
    <w:basedOn w:val="Navadnatabela"/>
    <w:next w:val="Tabelamrea"/>
    <w:uiPriority w:val="39"/>
    <w:rsid w:val="007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8581">
      <w:bodyDiv w:val="1"/>
      <w:marLeft w:val="0"/>
      <w:marRight w:val="0"/>
      <w:marTop w:val="0"/>
      <w:marBottom w:val="0"/>
      <w:divBdr>
        <w:top w:val="none" w:sz="0" w:space="0" w:color="auto"/>
        <w:left w:val="none" w:sz="0" w:space="0" w:color="auto"/>
        <w:bottom w:val="none" w:sz="0" w:space="0" w:color="auto"/>
        <w:right w:val="none" w:sz="0" w:space="0" w:color="auto"/>
      </w:divBdr>
    </w:div>
    <w:div w:id="248857226">
      <w:bodyDiv w:val="1"/>
      <w:marLeft w:val="0"/>
      <w:marRight w:val="0"/>
      <w:marTop w:val="0"/>
      <w:marBottom w:val="0"/>
      <w:divBdr>
        <w:top w:val="none" w:sz="0" w:space="0" w:color="auto"/>
        <w:left w:val="none" w:sz="0" w:space="0" w:color="auto"/>
        <w:bottom w:val="none" w:sz="0" w:space="0" w:color="auto"/>
        <w:right w:val="none" w:sz="0" w:space="0" w:color="auto"/>
      </w:divBdr>
    </w:div>
    <w:div w:id="268464574">
      <w:bodyDiv w:val="1"/>
      <w:marLeft w:val="0"/>
      <w:marRight w:val="0"/>
      <w:marTop w:val="0"/>
      <w:marBottom w:val="0"/>
      <w:divBdr>
        <w:top w:val="none" w:sz="0" w:space="0" w:color="auto"/>
        <w:left w:val="none" w:sz="0" w:space="0" w:color="auto"/>
        <w:bottom w:val="none" w:sz="0" w:space="0" w:color="auto"/>
        <w:right w:val="none" w:sz="0" w:space="0" w:color="auto"/>
      </w:divBdr>
    </w:div>
    <w:div w:id="322781970">
      <w:bodyDiv w:val="1"/>
      <w:marLeft w:val="0"/>
      <w:marRight w:val="0"/>
      <w:marTop w:val="0"/>
      <w:marBottom w:val="0"/>
      <w:divBdr>
        <w:top w:val="none" w:sz="0" w:space="0" w:color="auto"/>
        <w:left w:val="none" w:sz="0" w:space="0" w:color="auto"/>
        <w:bottom w:val="none" w:sz="0" w:space="0" w:color="auto"/>
        <w:right w:val="none" w:sz="0" w:space="0" w:color="auto"/>
      </w:divBdr>
    </w:div>
    <w:div w:id="362052465">
      <w:bodyDiv w:val="1"/>
      <w:marLeft w:val="0"/>
      <w:marRight w:val="0"/>
      <w:marTop w:val="0"/>
      <w:marBottom w:val="0"/>
      <w:divBdr>
        <w:top w:val="none" w:sz="0" w:space="0" w:color="auto"/>
        <w:left w:val="none" w:sz="0" w:space="0" w:color="auto"/>
        <w:bottom w:val="none" w:sz="0" w:space="0" w:color="auto"/>
        <w:right w:val="none" w:sz="0" w:space="0" w:color="auto"/>
      </w:divBdr>
    </w:div>
    <w:div w:id="382947921">
      <w:bodyDiv w:val="1"/>
      <w:marLeft w:val="0"/>
      <w:marRight w:val="0"/>
      <w:marTop w:val="0"/>
      <w:marBottom w:val="0"/>
      <w:divBdr>
        <w:top w:val="none" w:sz="0" w:space="0" w:color="auto"/>
        <w:left w:val="none" w:sz="0" w:space="0" w:color="auto"/>
        <w:bottom w:val="none" w:sz="0" w:space="0" w:color="auto"/>
        <w:right w:val="none" w:sz="0" w:space="0" w:color="auto"/>
      </w:divBdr>
    </w:div>
    <w:div w:id="390547180">
      <w:bodyDiv w:val="1"/>
      <w:marLeft w:val="0"/>
      <w:marRight w:val="0"/>
      <w:marTop w:val="0"/>
      <w:marBottom w:val="0"/>
      <w:divBdr>
        <w:top w:val="none" w:sz="0" w:space="0" w:color="auto"/>
        <w:left w:val="none" w:sz="0" w:space="0" w:color="auto"/>
        <w:bottom w:val="none" w:sz="0" w:space="0" w:color="auto"/>
        <w:right w:val="none" w:sz="0" w:space="0" w:color="auto"/>
      </w:divBdr>
    </w:div>
    <w:div w:id="440221019">
      <w:bodyDiv w:val="1"/>
      <w:marLeft w:val="0"/>
      <w:marRight w:val="0"/>
      <w:marTop w:val="0"/>
      <w:marBottom w:val="0"/>
      <w:divBdr>
        <w:top w:val="none" w:sz="0" w:space="0" w:color="auto"/>
        <w:left w:val="none" w:sz="0" w:space="0" w:color="auto"/>
        <w:bottom w:val="none" w:sz="0" w:space="0" w:color="auto"/>
        <w:right w:val="none" w:sz="0" w:space="0" w:color="auto"/>
      </w:divBdr>
    </w:div>
    <w:div w:id="484977782">
      <w:bodyDiv w:val="1"/>
      <w:marLeft w:val="0"/>
      <w:marRight w:val="0"/>
      <w:marTop w:val="0"/>
      <w:marBottom w:val="0"/>
      <w:divBdr>
        <w:top w:val="none" w:sz="0" w:space="0" w:color="auto"/>
        <w:left w:val="none" w:sz="0" w:space="0" w:color="auto"/>
        <w:bottom w:val="none" w:sz="0" w:space="0" w:color="auto"/>
        <w:right w:val="none" w:sz="0" w:space="0" w:color="auto"/>
      </w:divBdr>
    </w:div>
    <w:div w:id="507985185">
      <w:bodyDiv w:val="1"/>
      <w:marLeft w:val="0"/>
      <w:marRight w:val="0"/>
      <w:marTop w:val="0"/>
      <w:marBottom w:val="0"/>
      <w:divBdr>
        <w:top w:val="none" w:sz="0" w:space="0" w:color="auto"/>
        <w:left w:val="none" w:sz="0" w:space="0" w:color="auto"/>
        <w:bottom w:val="none" w:sz="0" w:space="0" w:color="auto"/>
        <w:right w:val="none" w:sz="0" w:space="0" w:color="auto"/>
      </w:divBdr>
    </w:div>
    <w:div w:id="554120753">
      <w:bodyDiv w:val="1"/>
      <w:marLeft w:val="0"/>
      <w:marRight w:val="0"/>
      <w:marTop w:val="0"/>
      <w:marBottom w:val="0"/>
      <w:divBdr>
        <w:top w:val="none" w:sz="0" w:space="0" w:color="auto"/>
        <w:left w:val="none" w:sz="0" w:space="0" w:color="auto"/>
        <w:bottom w:val="none" w:sz="0" w:space="0" w:color="auto"/>
        <w:right w:val="none" w:sz="0" w:space="0" w:color="auto"/>
      </w:divBdr>
    </w:div>
    <w:div w:id="755564560">
      <w:bodyDiv w:val="1"/>
      <w:marLeft w:val="0"/>
      <w:marRight w:val="0"/>
      <w:marTop w:val="0"/>
      <w:marBottom w:val="0"/>
      <w:divBdr>
        <w:top w:val="none" w:sz="0" w:space="0" w:color="auto"/>
        <w:left w:val="none" w:sz="0" w:space="0" w:color="auto"/>
        <w:bottom w:val="none" w:sz="0" w:space="0" w:color="auto"/>
        <w:right w:val="none" w:sz="0" w:space="0" w:color="auto"/>
      </w:divBdr>
    </w:div>
    <w:div w:id="917787104">
      <w:bodyDiv w:val="1"/>
      <w:marLeft w:val="0"/>
      <w:marRight w:val="0"/>
      <w:marTop w:val="0"/>
      <w:marBottom w:val="0"/>
      <w:divBdr>
        <w:top w:val="none" w:sz="0" w:space="0" w:color="auto"/>
        <w:left w:val="none" w:sz="0" w:space="0" w:color="auto"/>
        <w:bottom w:val="none" w:sz="0" w:space="0" w:color="auto"/>
        <w:right w:val="none" w:sz="0" w:space="0" w:color="auto"/>
      </w:divBdr>
    </w:div>
    <w:div w:id="1195386573">
      <w:bodyDiv w:val="1"/>
      <w:marLeft w:val="0"/>
      <w:marRight w:val="0"/>
      <w:marTop w:val="0"/>
      <w:marBottom w:val="0"/>
      <w:divBdr>
        <w:top w:val="none" w:sz="0" w:space="0" w:color="auto"/>
        <w:left w:val="none" w:sz="0" w:space="0" w:color="auto"/>
        <w:bottom w:val="none" w:sz="0" w:space="0" w:color="auto"/>
        <w:right w:val="none" w:sz="0" w:space="0" w:color="auto"/>
      </w:divBdr>
    </w:div>
    <w:div w:id="1233395892">
      <w:bodyDiv w:val="1"/>
      <w:marLeft w:val="0"/>
      <w:marRight w:val="0"/>
      <w:marTop w:val="0"/>
      <w:marBottom w:val="0"/>
      <w:divBdr>
        <w:top w:val="none" w:sz="0" w:space="0" w:color="auto"/>
        <w:left w:val="none" w:sz="0" w:space="0" w:color="auto"/>
        <w:bottom w:val="none" w:sz="0" w:space="0" w:color="auto"/>
        <w:right w:val="none" w:sz="0" w:space="0" w:color="auto"/>
      </w:divBdr>
    </w:div>
    <w:div w:id="1575167174">
      <w:bodyDiv w:val="1"/>
      <w:marLeft w:val="0"/>
      <w:marRight w:val="0"/>
      <w:marTop w:val="0"/>
      <w:marBottom w:val="0"/>
      <w:divBdr>
        <w:top w:val="none" w:sz="0" w:space="0" w:color="auto"/>
        <w:left w:val="none" w:sz="0" w:space="0" w:color="auto"/>
        <w:bottom w:val="none" w:sz="0" w:space="0" w:color="auto"/>
        <w:right w:val="none" w:sz="0" w:space="0" w:color="auto"/>
      </w:divBdr>
    </w:div>
    <w:div w:id="1671061349">
      <w:bodyDiv w:val="1"/>
      <w:marLeft w:val="0"/>
      <w:marRight w:val="0"/>
      <w:marTop w:val="0"/>
      <w:marBottom w:val="0"/>
      <w:divBdr>
        <w:top w:val="none" w:sz="0" w:space="0" w:color="auto"/>
        <w:left w:val="none" w:sz="0" w:space="0" w:color="auto"/>
        <w:bottom w:val="none" w:sz="0" w:space="0" w:color="auto"/>
        <w:right w:val="none" w:sz="0" w:space="0" w:color="auto"/>
      </w:divBdr>
    </w:div>
    <w:div w:id="1687098273">
      <w:bodyDiv w:val="1"/>
      <w:marLeft w:val="0"/>
      <w:marRight w:val="0"/>
      <w:marTop w:val="0"/>
      <w:marBottom w:val="0"/>
      <w:divBdr>
        <w:top w:val="none" w:sz="0" w:space="0" w:color="auto"/>
        <w:left w:val="none" w:sz="0" w:space="0" w:color="auto"/>
        <w:bottom w:val="none" w:sz="0" w:space="0" w:color="auto"/>
        <w:right w:val="none" w:sz="0" w:space="0" w:color="auto"/>
      </w:divBdr>
    </w:div>
    <w:div w:id="1687170191">
      <w:bodyDiv w:val="1"/>
      <w:marLeft w:val="0"/>
      <w:marRight w:val="0"/>
      <w:marTop w:val="0"/>
      <w:marBottom w:val="0"/>
      <w:divBdr>
        <w:top w:val="none" w:sz="0" w:space="0" w:color="auto"/>
        <w:left w:val="none" w:sz="0" w:space="0" w:color="auto"/>
        <w:bottom w:val="none" w:sz="0" w:space="0" w:color="auto"/>
        <w:right w:val="none" w:sz="0" w:space="0" w:color="auto"/>
      </w:divBdr>
    </w:div>
    <w:div w:id="1698044933">
      <w:bodyDiv w:val="1"/>
      <w:marLeft w:val="0"/>
      <w:marRight w:val="0"/>
      <w:marTop w:val="0"/>
      <w:marBottom w:val="0"/>
      <w:divBdr>
        <w:top w:val="none" w:sz="0" w:space="0" w:color="auto"/>
        <w:left w:val="none" w:sz="0" w:space="0" w:color="auto"/>
        <w:bottom w:val="none" w:sz="0" w:space="0" w:color="auto"/>
        <w:right w:val="none" w:sz="0" w:space="0" w:color="auto"/>
      </w:divBdr>
    </w:div>
    <w:div w:id="1720737180">
      <w:bodyDiv w:val="1"/>
      <w:marLeft w:val="0"/>
      <w:marRight w:val="0"/>
      <w:marTop w:val="0"/>
      <w:marBottom w:val="0"/>
      <w:divBdr>
        <w:top w:val="none" w:sz="0" w:space="0" w:color="auto"/>
        <w:left w:val="none" w:sz="0" w:space="0" w:color="auto"/>
        <w:bottom w:val="none" w:sz="0" w:space="0" w:color="auto"/>
        <w:right w:val="none" w:sz="0" w:space="0" w:color="auto"/>
      </w:divBdr>
    </w:div>
    <w:div w:id="1812943484">
      <w:bodyDiv w:val="1"/>
      <w:marLeft w:val="0"/>
      <w:marRight w:val="0"/>
      <w:marTop w:val="0"/>
      <w:marBottom w:val="0"/>
      <w:divBdr>
        <w:top w:val="none" w:sz="0" w:space="0" w:color="auto"/>
        <w:left w:val="none" w:sz="0" w:space="0" w:color="auto"/>
        <w:bottom w:val="none" w:sz="0" w:space="0" w:color="auto"/>
        <w:right w:val="none" w:sz="0" w:space="0" w:color="auto"/>
      </w:divBdr>
    </w:div>
    <w:div w:id="1956715566">
      <w:bodyDiv w:val="1"/>
      <w:marLeft w:val="0"/>
      <w:marRight w:val="0"/>
      <w:marTop w:val="0"/>
      <w:marBottom w:val="0"/>
      <w:divBdr>
        <w:top w:val="none" w:sz="0" w:space="0" w:color="auto"/>
        <w:left w:val="none" w:sz="0" w:space="0" w:color="auto"/>
        <w:bottom w:val="none" w:sz="0" w:space="0" w:color="auto"/>
        <w:right w:val="none" w:sz="0" w:space="0" w:color="auto"/>
      </w:divBdr>
    </w:div>
    <w:div w:id="1971588707">
      <w:bodyDiv w:val="1"/>
      <w:marLeft w:val="0"/>
      <w:marRight w:val="0"/>
      <w:marTop w:val="0"/>
      <w:marBottom w:val="0"/>
      <w:divBdr>
        <w:top w:val="none" w:sz="0" w:space="0" w:color="auto"/>
        <w:left w:val="none" w:sz="0" w:space="0" w:color="auto"/>
        <w:bottom w:val="none" w:sz="0" w:space="0" w:color="auto"/>
        <w:right w:val="none" w:sz="0" w:space="0" w:color="auto"/>
      </w:divBdr>
    </w:div>
    <w:div w:id="2036152685">
      <w:bodyDiv w:val="1"/>
      <w:marLeft w:val="0"/>
      <w:marRight w:val="0"/>
      <w:marTop w:val="0"/>
      <w:marBottom w:val="0"/>
      <w:divBdr>
        <w:top w:val="none" w:sz="0" w:space="0" w:color="auto"/>
        <w:left w:val="none" w:sz="0" w:space="0" w:color="auto"/>
        <w:bottom w:val="none" w:sz="0" w:space="0" w:color="auto"/>
        <w:right w:val="none" w:sz="0" w:space="0" w:color="auto"/>
      </w:divBdr>
    </w:div>
    <w:div w:id="2065249820">
      <w:bodyDiv w:val="1"/>
      <w:marLeft w:val="0"/>
      <w:marRight w:val="0"/>
      <w:marTop w:val="0"/>
      <w:marBottom w:val="0"/>
      <w:divBdr>
        <w:top w:val="none" w:sz="0" w:space="0" w:color="auto"/>
        <w:left w:val="none" w:sz="0" w:space="0" w:color="auto"/>
        <w:bottom w:val="none" w:sz="0" w:space="0" w:color="auto"/>
        <w:right w:val="none" w:sz="0" w:space="0" w:color="auto"/>
      </w:divBdr>
    </w:div>
    <w:div w:id="2089686308">
      <w:bodyDiv w:val="1"/>
      <w:marLeft w:val="0"/>
      <w:marRight w:val="0"/>
      <w:marTop w:val="0"/>
      <w:marBottom w:val="0"/>
      <w:divBdr>
        <w:top w:val="none" w:sz="0" w:space="0" w:color="auto"/>
        <w:left w:val="none" w:sz="0" w:space="0" w:color="auto"/>
        <w:bottom w:val="none" w:sz="0" w:space="0" w:color="auto"/>
        <w:right w:val="none" w:sz="0" w:space="0" w:color="auto"/>
      </w:divBdr>
    </w:div>
    <w:div w:id="21425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stat.si/StatWeb/News/Index/8014" TargetMode="External"/><Relationship Id="rId26" Type="http://schemas.openxmlformats.org/officeDocument/2006/relationships/hyperlink" Target="https://www.ivr.si/" TargetMode="External"/><Relationship Id="rId39" Type="http://schemas.openxmlformats.org/officeDocument/2006/relationships/hyperlink" Target="http://www.uradni-list.si/1/objava.jsp?sop=2012-01-2416" TargetMode="External"/><Relationship Id="rId21" Type="http://schemas.openxmlformats.org/officeDocument/2006/relationships/hyperlink" Target="https://www.arso.gov.si" TargetMode="External"/><Relationship Id="rId34" Type="http://schemas.openxmlformats.org/officeDocument/2006/relationships/chart" Target="charts/chart2.xml"/><Relationship Id="rId42" Type="http://schemas.openxmlformats.org/officeDocument/2006/relationships/hyperlink" Target="http://www.uradni-list.si/1/objava.jsp?sop=2015-01-1327" TargetMode="External"/><Relationship Id="rId47" Type="http://schemas.openxmlformats.org/officeDocument/2006/relationships/hyperlink" Target="https://bioeast.eu/wp-content/uploads/2020/03/BIOEAST-food-waste-and-circular-economy-21-Feb-2020.pdf"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10.jpeg"/><Relationship Id="rId11" Type="http://schemas.openxmlformats.org/officeDocument/2006/relationships/image" Target="media/image3.png"/><Relationship Id="rId24" Type="http://schemas.openxmlformats.org/officeDocument/2006/relationships/hyperlink" Target="http://agromet.mko.gov.si/APP/Home/METEO/-1" TargetMode="External"/><Relationship Id="rId32" Type="http://schemas.openxmlformats.org/officeDocument/2006/relationships/hyperlink" Target="http://www.uradni-list.si/1/objava.jsp?sop=2016-01-0516" TargetMode="External"/><Relationship Id="rId37" Type="http://schemas.openxmlformats.org/officeDocument/2006/relationships/chart" Target="charts/chart5.xml"/><Relationship Id="rId40" Type="http://schemas.openxmlformats.org/officeDocument/2006/relationships/hyperlink" Target="http://www.uradni-list.si/1/objava.jsp?sop=2012-01-3528" TargetMode="External"/><Relationship Id="rId45" Type="http://schemas.openxmlformats.org/officeDocument/2006/relationships/hyperlink" Target="https://www.jkp-radlje.si/doc2/aktualno/hrana_med_odpadki_2016.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fito-info.si" TargetMode="External"/><Relationship Id="rId28" Type="http://schemas.openxmlformats.org/officeDocument/2006/relationships/image" Target="media/image9.jpg"/><Relationship Id="rId36" Type="http://schemas.openxmlformats.org/officeDocument/2006/relationships/chart" Target="charts/chart4.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si/assets/organi-v-sestavi/UVHVVR/FFS/NAP2VladaCistopis.doc" TargetMode="External"/><Relationship Id="rId31" Type="http://schemas.openxmlformats.org/officeDocument/2006/relationships/hyperlink" Target="http://www.uradni-list.si/1/objava.jsp?sop=2013-01-4294" TargetMode="External"/><Relationship Id="rId44" Type="http://schemas.openxmlformats.org/officeDocument/2006/relationships/hyperlink" Target="http://www.uradni-list.si/1/objava.jsp?sop=2018-01-094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yperlink" Target="http://agromet.mkgp.gov.si/pp/" TargetMode="External"/><Relationship Id="rId27" Type="http://schemas.openxmlformats.org/officeDocument/2006/relationships/hyperlink" Target="https://www.gov.si/teme/bioticno-varstvo-rastlin/" TargetMode="External"/><Relationship Id="rId30" Type="http://schemas.openxmlformats.org/officeDocument/2006/relationships/image" Target="media/image11.jpg"/><Relationship Id="rId35" Type="http://schemas.openxmlformats.org/officeDocument/2006/relationships/chart" Target="charts/chart3.xml"/><Relationship Id="rId43" Type="http://schemas.openxmlformats.org/officeDocument/2006/relationships/hyperlink" Target="http://www.uradni-list.si/1/objava.jsp?sop=2017-01-1446"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www.pisrs.si/Pis.web/pregledPredpisa?id=PRAV11530" TargetMode="External"/><Relationship Id="rId33" Type="http://schemas.openxmlformats.org/officeDocument/2006/relationships/hyperlink" Target="http://www.uradni-list.si/1/objava.jsp?sop=2018-01-3784" TargetMode="External"/><Relationship Id="rId38" Type="http://schemas.openxmlformats.org/officeDocument/2006/relationships/hyperlink" Target="http://www.uradni-list.si/1/objava.jsp?sop=2008-01-1978" TargetMode="External"/><Relationship Id="rId46" Type="http://schemas.openxmlformats.org/officeDocument/2006/relationships/hyperlink" Target="https://www.jkp-radlje.si/doc2/aktualno/hrana_med_odpadki_2016.pdf" TargetMode="External"/><Relationship Id="rId20" Type="http://schemas.openxmlformats.org/officeDocument/2006/relationships/hyperlink" Target="https://www.gov.si/teme/ostanki-fitofarmacevtskih-sredstev/" TargetMode="External"/><Relationship Id="rId41" Type="http://schemas.openxmlformats.org/officeDocument/2006/relationships/hyperlink" Target="http://www.uradni-list.si/1/objava.jsp?sop=2014-01-106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8950fa88-d651-11e7-a506-01aa75ed71a1" TargetMode="External"/><Relationship Id="rId2" Type="http://schemas.openxmlformats.org/officeDocument/2006/relationships/hyperlink" Target="http://www.bf.uni-lj.si/oddelek-za-zootehniko/oddelek/raziskovalno-delo/projekti/crp-tehnoloske-resitve-za-izboljsanje-dobrega-pocutja-rejnih-zivali-v-perutninarstvu-in-prasicereji/" TargetMode="External"/><Relationship Id="rId1" Type="http://schemas.openxmlformats.org/officeDocument/2006/relationships/hyperlink" Target="https://www.ema.europa.eu/en/documents/report/sales-veterinary-antimicrobial-agents-31-european-countries-2017_en.pdf" TargetMode="External"/><Relationship Id="rId4" Type="http://schemas.openxmlformats.org/officeDocument/2006/relationships/hyperlink" Target="https://www.govedo.si/files/cpzgss/knjiznica/porocila/kontrola_porocila/REZULTATI_KONTROLE_2019.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uporabnik\Documents\MOJI%20DOKUM%202020\SKP%2020\graf%20as%206.7.20-trend%20prodaje,2010-201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H:\kreiranje%20strate&#353;ega%20na&#269;rta%20SP\verzije%20SN\po%20delih_SSN_oktober%202019\!SC9\Odpadna%20hrana%20skupaj.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6237847029684"/>
          <c:y val="0.23535629104453226"/>
          <c:w val="0.8574315182433182"/>
          <c:h val="0.56312771588198773"/>
        </c:manualLayout>
      </c:layout>
      <c:barChart>
        <c:barDir val="col"/>
        <c:grouping val="clustered"/>
        <c:varyColors val="0"/>
        <c:ser>
          <c:idx val="1"/>
          <c:order val="1"/>
          <c:tx>
            <c:strRef>
              <c:f>'[graf as 6.7.20-trend prodaje,2010-2018.xls]List7'!$D$6</c:f>
              <c:strCache>
                <c:ptCount val="1"/>
                <c:pt idx="0">
                  <c:v>mg/PCU - SLO</c:v>
                </c:pt>
              </c:strCache>
            </c:strRef>
          </c:tx>
          <c:spPr>
            <a:solidFill>
              <a:schemeClr val="accent1"/>
            </a:solidFill>
            <a:ln>
              <a:solidFill>
                <a:schemeClr val="accent1"/>
              </a:solidFill>
            </a:ln>
            <a:effectLst/>
          </c:spPr>
          <c:invertIfNegative val="0"/>
          <c:dLbls>
            <c:dLbl>
              <c:idx val="0"/>
              <c:tx>
                <c:rich>
                  <a:bodyPr/>
                  <a:lstStyle/>
                  <a:p>
                    <a:r>
                      <a:rPr lang="en-US"/>
                      <a:t>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A-42E5-BEB8-2361E23741C8}"/>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32A-42E5-BEB8-2361E23741C8}"/>
                </c:ext>
              </c:extLst>
            </c:dLbl>
            <c:dLbl>
              <c:idx val="3"/>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32A-42E5-BEB8-2361E23741C8}"/>
                </c:ext>
              </c:extLst>
            </c:dLbl>
            <c:dLbl>
              <c:idx val="4"/>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2A-42E5-BEB8-2361E23741C8}"/>
                </c:ext>
              </c:extLst>
            </c:dLbl>
            <c:dLbl>
              <c:idx val="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32A-42E5-BEB8-2361E23741C8}"/>
                </c:ext>
              </c:extLst>
            </c:dLbl>
            <c:dLbl>
              <c:idx val="6"/>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prodaje,2010-2018.xls]List7'!$D$7:$D$13</c:f>
              <c:numCache>
                <c:formatCode>General</c:formatCode>
                <c:ptCount val="7"/>
                <c:pt idx="0">
                  <c:v>46.1</c:v>
                </c:pt>
                <c:pt idx="1">
                  <c:v>37</c:v>
                </c:pt>
                <c:pt idx="2">
                  <c:v>22.4</c:v>
                </c:pt>
                <c:pt idx="3">
                  <c:v>33.4</c:v>
                </c:pt>
                <c:pt idx="4">
                  <c:v>26.4</c:v>
                </c:pt>
                <c:pt idx="5">
                  <c:v>30.3</c:v>
                </c:pt>
                <c:pt idx="6">
                  <c:v>36.5</c:v>
                </c:pt>
              </c:numCache>
            </c:numRef>
          </c:val>
          <c:extLst>
            <c:ext xmlns:c16="http://schemas.microsoft.com/office/drawing/2014/chart" uri="{C3380CC4-5D6E-409C-BE32-E72D297353CC}">
              <c16:uniqueId val="{00000006-132A-42E5-BEB8-2361E23741C8}"/>
            </c:ext>
          </c:extLst>
        </c:ser>
        <c:dLbls>
          <c:showLegendKey val="0"/>
          <c:showVal val="0"/>
          <c:showCatName val="0"/>
          <c:showSerName val="0"/>
          <c:showPercent val="0"/>
          <c:showBubbleSize val="0"/>
        </c:dLbls>
        <c:gapWidth val="150"/>
        <c:axId val="67048576"/>
        <c:axId val="67068288"/>
      </c:barChart>
      <c:lineChart>
        <c:grouping val="standard"/>
        <c:varyColors val="0"/>
        <c:ser>
          <c:idx val="0"/>
          <c:order val="0"/>
          <c:tx>
            <c:strRef>
              <c:f>'[graf as 6.7.20-trend prodaje,2010-2018.xls]List7'!$C$6</c:f>
              <c:strCache>
                <c:ptCount val="1"/>
                <c:pt idx="0">
                  <c:v>mg/PCU - EU/EGP</c:v>
                </c:pt>
              </c:strCache>
            </c:strRef>
          </c:tx>
          <c:spPr>
            <a:ln w="28575" cap="rnd">
              <a:solidFill>
                <a:schemeClr val="accent2"/>
              </a:solidFill>
              <a:round/>
            </a:ln>
            <a:effectLst/>
          </c:spPr>
          <c:marker>
            <c:symbol val="none"/>
          </c:marker>
          <c:dLbls>
            <c:dLbl>
              <c:idx val="1"/>
              <c:tx>
                <c:rich>
                  <a:bodyPr/>
                  <a:lstStyle/>
                  <a:p>
                    <a:r>
                      <a:rPr lang="en-US"/>
                      <a:t>152</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32A-42E5-BEB8-2361E23741C8}"/>
                </c:ext>
              </c:extLst>
            </c:dLbl>
            <c:dLbl>
              <c:idx val="2"/>
              <c:tx>
                <c:rich>
                  <a:bodyPr/>
                  <a:lstStyle/>
                  <a:p>
                    <a:r>
                      <a:rPr lang="en-US"/>
                      <a:t>147</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32A-42E5-BEB8-2361E23741C8}"/>
                </c:ext>
              </c:extLst>
            </c:dLbl>
            <c:dLbl>
              <c:idx val="3"/>
              <c:tx>
                <c:rich>
                  <a:bodyPr/>
                  <a:lstStyle/>
                  <a:p>
                    <a:r>
                      <a:rPr lang="en-US"/>
                      <a:t>156</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32A-42E5-BEB8-2361E23741C8}"/>
                </c:ext>
              </c:extLst>
            </c:dLbl>
            <c:dLbl>
              <c:idx val="4"/>
              <c:tx>
                <c:rich>
                  <a:bodyPr/>
                  <a:lstStyle/>
                  <a:p>
                    <a:r>
                      <a:rPr lang="en-US"/>
                      <a:t>141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32A-42E5-BEB8-2361E23741C8}"/>
                </c:ext>
              </c:extLst>
            </c:dLbl>
            <c:dLbl>
              <c:idx val="5"/>
              <c:tx>
                <c:rich>
                  <a:bodyPr/>
                  <a:lstStyle/>
                  <a:p>
                    <a:r>
                      <a:rPr lang="en-US"/>
                      <a:t>129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32A-42E5-BEB8-2361E23741C8}"/>
                </c:ext>
              </c:extLst>
            </c:dLbl>
            <c:dLbl>
              <c:idx val="6"/>
              <c:tx>
                <c:rich>
                  <a:bodyPr/>
                  <a:lstStyle/>
                  <a:p>
                    <a:r>
                      <a:rPr lang="en-US"/>
                      <a:t>109</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132A-42E5-BEB8-2361E23741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as 6.7.20-trend prodaje,2010-2018.xls]List7'!$B$7:$B$13</c:f>
              <c:numCache>
                <c:formatCode>General</c:formatCode>
                <c:ptCount val="7"/>
                <c:pt idx="0">
                  <c:v>2011</c:v>
                </c:pt>
                <c:pt idx="1">
                  <c:v>2012</c:v>
                </c:pt>
                <c:pt idx="2">
                  <c:v>2013</c:v>
                </c:pt>
                <c:pt idx="3">
                  <c:v>2014</c:v>
                </c:pt>
                <c:pt idx="4">
                  <c:v>2015</c:v>
                </c:pt>
                <c:pt idx="5">
                  <c:v>2016</c:v>
                </c:pt>
                <c:pt idx="6">
                  <c:v>2017</c:v>
                </c:pt>
              </c:numCache>
            </c:numRef>
          </c:cat>
          <c:val>
            <c:numRef>
              <c:f>'[graf as 6.7.20-trend prodaje,2010-2018.xls]List7'!$C$7:$C$13</c:f>
              <c:numCache>
                <c:formatCode>General</c:formatCode>
                <c:ptCount val="7"/>
                <c:pt idx="0">
                  <c:v>162</c:v>
                </c:pt>
                <c:pt idx="1">
                  <c:v>152.4</c:v>
                </c:pt>
                <c:pt idx="2">
                  <c:v>146.9</c:v>
                </c:pt>
                <c:pt idx="3">
                  <c:v>156.19999999999999</c:v>
                </c:pt>
                <c:pt idx="4">
                  <c:v>140.80000000000001</c:v>
                </c:pt>
                <c:pt idx="5">
                  <c:v>128.69999999999999</c:v>
                </c:pt>
                <c:pt idx="6">
                  <c:v>109.3</c:v>
                </c:pt>
              </c:numCache>
            </c:numRef>
          </c:val>
          <c:smooth val="0"/>
          <c:extLst>
            <c:ext xmlns:c16="http://schemas.microsoft.com/office/drawing/2014/chart" uri="{C3380CC4-5D6E-409C-BE32-E72D297353CC}">
              <c16:uniqueId val="{0000000D-132A-42E5-BEB8-2361E23741C8}"/>
            </c:ext>
          </c:extLst>
        </c:ser>
        <c:dLbls>
          <c:dLblPos val="t"/>
          <c:showLegendKey val="0"/>
          <c:showVal val="1"/>
          <c:showCatName val="0"/>
          <c:showSerName val="0"/>
          <c:showPercent val="0"/>
          <c:showBubbleSize val="0"/>
        </c:dLbls>
        <c:marker val="1"/>
        <c:smooth val="0"/>
        <c:axId val="67048576"/>
        <c:axId val="67068288"/>
      </c:lineChart>
      <c:catAx>
        <c:axId val="67048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068288"/>
        <c:crosses val="autoZero"/>
        <c:auto val="1"/>
        <c:lblAlgn val="ctr"/>
        <c:lblOffset val="100"/>
        <c:noMultiLvlLbl val="0"/>
      </c:catAx>
      <c:valAx>
        <c:axId val="6706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mg/PCU</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04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List2!$A$28</c:f>
              <c:strCache>
                <c:ptCount val="1"/>
                <c:pt idx="0">
                  <c:v>Stalež prašičev v GVŽ</c:v>
                </c:pt>
              </c:strCache>
            </c:strRef>
          </c:tx>
          <c:spPr>
            <a:solidFill>
              <a:schemeClr val="accent1"/>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List2!$B$28:$G$28</c:f>
              <c:numCache>
                <c:formatCode>0</c:formatCode>
                <c:ptCount val="6"/>
                <c:pt idx="0">
                  <c:v>75319.899999999994</c:v>
                </c:pt>
                <c:pt idx="1">
                  <c:v>73618.799999999988</c:v>
                </c:pt>
                <c:pt idx="2">
                  <c:v>71110.399999999994</c:v>
                </c:pt>
                <c:pt idx="3">
                  <c:v>58390.6</c:v>
                </c:pt>
                <c:pt idx="4">
                  <c:v>63739.799999999996</c:v>
                </c:pt>
                <c:pt idx="5">
                  <c:v>64036.1</c:v>
                </c:pt>
              </c:numCache>
            </c:numRef>
          </c:val>
          <c:extLst>
            <c:ext xmlns:c16="http://schemas.microsoft.com/office/drawing/2014/chart" uri="{C3380CC4-5D6E-409C-BE32-E72D297353CC}">
              <c16:uniqueId val="{00000000-1768-4841-A7F6-412E50F990B0}"/>
            </c:ext>
          </c:extLst>
        </c:ser>
        <c:ser>
          <c:idx val="1"/>
          <c:order val="1"/>
          <c:tx>
            <c:strRef>
              <c:f>List2!$A$29</c:f>
              <c:strCache>
                <c:ptCount val="1"/>
                <c:pt idx="0">
                  <c:v>Število GVŽ prašičev v DŽ</c:v>
                </c:pt>
              </c:strCache>
            </c:strRef>
          </c:tx>
          <c:spPr>
            <a:solidFill>
              <a:schemeClr val="accent2"/>
            </a:solidFill>
            <a:ln>
              <a:noFill/>
            </a:ln>
            <a:effectLst/>
          </c:spPr>
          <c:invertIfNegative val="0"/>
          <c:cat>
            <c:numRef>
              <c:f>List2!$B$27:$G$27</c:f>
              <c:numCache>
                <c:formatCode>General</c:formatCode>
                <c:ptCount val="6"/>
                <c:pt idx="0">
                  <c:v>2014</c:v>
                </c:pt>
                <c:pt idx="1">
                  <c:v>2015</c:v>
                </c:pt>
                <c:pt idx="2">
                  <c:v>2016</c:v>
                </c:pt>
                <c:pt idx="3">
                  <c:v>2017</c:v>
                </c:pt>
                <c:pt idx="4">
                  <c:v>2018</c:v>
                </c:pt>
                <c:pt idx="5">
                  <c:v>2019</c:v>
                </c:pt>
              </c:numCache>
            </c:numRef>
          </c:cat>
          <c:val>
            <c:numRef>
              <c:f>List2!$B$29:$G$29</c:f>
              <c:numCache>
                <c:formatCode>0</c:formatCode>
                <c:ptCount val="6"/>
                <c:pt idx="0">
                  <c:v>28564</c:v>
                </c:pt>
                <c:pt idx="1">
                  <c:v>27446</c:v>
                </c:pt>
                <c:pt idx="2">
                  <c:v>30362</c:v>
                </c:pt>
                <c:pt idx="3">
                  <c:v>30486</c:v>
                </c:pt>
                <c:pt idx="4">
                  <c:v>31975</c:v>
                </c:pt>
              </c:numCache>
            </c:numRef>
          </c:val>
          <c:extLst>
            <c:ext xmlns:c16="http://schemas.microsoft.com/office/drawing/2014/chart" uri="{C3380CC4-5D6E-409C-BE32-E72D297353CC}">
              <c16:uniqueId val="{00000001-1768-4841-A7F6-412E50F990B0}"/>
            </c:ext>
          </c:extLst>
        </c:ser>
        <c:dLbls>
          <c:showLegendKey val="0"/>
          <c:showVal val="0"/>
          <c:showCatName val="0"/>
          <c:showSerName val="0"/>
          <c:showPercent val="0"/>
          <c:showBubbleSize val="0"/>
        </c:dLbls>
        <c:gapWidth val="219"/>
        <c:overlap val="-27"/>
        <c:axId val="107135744"/>
        <c:axId val="107137280"/>
      </c:barChart>
      <c:lineChart>
        <c:grouping val="standard"/>
        <c:varyColors val="0"/>
        <c:ser>
          <c:idx val="2"/>
          <c:order val="2"/>
          <c:tx>
            <c:strRef>
              <c:f>List2!$A$30</c:f>
              <c:strCache>
                <c:ptCount val="1"/>
                <c:pt idx="0">
                  <c:v>Delež GVŽ prašičev v DŽ (%)</c:v>
                </c:pt>
              </c:strCache>
            </c:strRef>
          </c:tx>
          <c:spPr>
            <a:ln w="28575" cap="rnd">
              <a:solidFill>
                <a:schemeClr val="accent3"/>
              </a:solidFill>
              <a:round/>
            </a:ln>
            <a:effectLst/>
          </c:spPr>
          <c:marker>
            <c:symbol val="none"/>
          </c:marker>
          <c:cat>
            <c:numRef>
              <c:f>List2!$B$27:$G$27</c:f>
              <c:numCache>
                <c:formatCode>General</c:formatCode>
                <c:ptCount val="6"/>
                <c:pt idx="0">
                  <c:v>2014</c:v>
                </c:pt>
                <c:pt idx="1">
                  <c:v>2015</c:v>
                </c:pt>
                <c:pt idx="2">
                  <c:v>2016</c:v>
                </c:pt>
                <c:pt idx="3">
                  <c:v>2017</c:v>
                </c:pt>
                <c:pt idx="4">
                  <c:v>2018</c:v>
                </c:pt>
                <c:pt idx="5">
                  <c:v>2019</c:v>
                </c:pt>
              </c:numCache>
            </c:numRef>
          </c:cat>
          <c:val>
            <c:numRef>
              <c:f>List2!$B$30:$G$30</c:f>
              <c:numCache>
                <c:formatCode>0</c:formatCode>
                <c:ptCount val="6"/>
                <c:pt idx="0">
                  <c:v>37.92357663778099</c:v>
                </c:pt>
                <c:pt idx="1">
                  <c:v>37.281237944655444</c:v>
                </c:pt>
                <c:pt idx="2">
                  <c:v>42.696989469894703</c:v>
                </c:pt>
                <c:pt idx="3">
                  <c:v>52.210458532709033</c:v>
                </c:pt>
                <c:pt idx="4">
                  <c:v>50.164889127358421</c:v>
                </c:pt>
              </c:numCache>
            </c:numRef>
          </c:val>
          <c:smooth val="0"/>
          <c:extLst>
            <c:ext xmlns:c16="http://schemas.microsoft.com/office/drawing/2014/chart" uri="{C3380CC4-5D6E-409C-BE32-E72D297353CC}">
              <c16:uniqueId val="{00000002-1768-4841-A7F6-412E50F990B0}"/>
            </c:ext>
          </c:extLst>
        </c:ser>
        <c:dLbls>
          <c:showLegendKey val="0"/>
          <c:showVal val="0"/>
          <c:showCatName val="0"/>
          <c:showSerName val="0"/>
          <c:showPercent val="0"/>
          <c:showBubbleSize val="0"/>
        </c:dLbls>
        <c:marker val="1"/>
        <c:smooth val="0"/>
        <c:axId val="107144704"/>
        <c:axId val="107143168"/>
      </c:lineChart>
      <c:catAx>
        <c:axId val="10713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7137280"/>
        <c:crosses val="autoZero"/>
        <c:auto val="1"/>
        <c:lblAlgn val="ctr"/>
        <c:lblOffset val="100"/>
        <c:noMultiLvlLbl val="0"/>
      </c:catAx>
      <c:valAx>
        <c:axId val="10713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7135744"/>
        <c:crosses val="autoZero"/>
        <c:crossBetween val="between"/>
      </c:valAx>
      <c:valAx>
        <c:axId val="10714316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7144704"/>
        <c:crosses val="max"/>
        <c:crossBetween val="between"/>
      </c:valAx>
      <c:catAx>
        <c:axId val="107144704"/>
        <c:scaling>
          <c:orientation val="minMax"/>
        </c:scaling>
        <c:delete val="1"/>
        <c:axPos val="b"/>
        <c:numFmt formatCode="General" sourceLinked="1"/>
        <c:majorTickMark val="out"/>
        <c:minorTickMark val="none"/>
        <c:tickLblPos val="nextTo"/>
        <c:crossAx val="1071431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List2!$A$18</c:f>
              <c:strCache>
                <c:ptCount val="1"/>
                <c:pt idx="0">
                  <c:v>Stalež goveda v GVŽ </c:v>
                </c:pt>
              </c:strCache>
            </c:strRef>
          </c:tx>
          <c:spPr>
            <a:solidFill>
              <a:schemeClr val="accent1"/>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List2!$B$18:$G$18</c:f>
              <c:numCache>
                <c:formatCode>0</c:formatCode>
                <c:ptCount val="6"/>
                <c:pt idx="0">
                  <c:v>327558.40000000002</c:v>
                </c:pt>
                <c:pt idx="1">
                  <c:v>336744.2</c:v>
                </c:pt>
                <c:pt idx="2">
                  <c:v>347189.80000000005</c:v>
                </c:pt>
                <c:pt idx="3">
                  <c:v>349703</c:v>
                </c:pt>
                <c:pt idx="4">
                  <c:v>341506</c:v>
                </c:pt>
                <c:pt idx="5">
                  <c:v>341254.6</c:v>
                </c:pt>
              </c:numCache>
            </c:numRef>
          </c:val>
          <c:extLst>
            <c:ext xmlns:c16="http://schemas.microsoft.com/office/drawing/2014/chart" uri="{C3380CC4-5D6E-409C-BE32-E72D297353CC}">
              <c16:uniqueId val="{00000000-D1BB-4C20-B6FD-3400583F1E8D}"/>
            </c:ext>
          </c:extLst>
        </c:ser>
        <c:ser>
          <c:idx val="1"/>
          <c:order val="1"/>
          <c:tx>
            <c:strRef>
              <c:f>List2!$A$19</c:f>
              <c:strCache>
                <c:ptCount val="1"/>
                <c:pt idx="0">
                  <c:v>Število GVŽ  goveda v DŽ</c:v>
                </c:pt>
              </c:strCache>
            </c:strRef>
          </c:tx>
          <c:spPr>
            <a:solidFill>
              <a:schemeClr val="accent2"/>
            </a:solidFill>
            <a:ln>
              <a:noFill/>
            </a:ln>
            <a:effectLst/>
          </c:spPr>
          <c:invertIfNegative val="0"/>
          <c:cat>
            <c:numRef>
              <c:f>List2!$B$17:$G$17</c:f>
              <c:numCache>
                <c:formatCode>General</c:formatCode>
                <c:ptCount val="6"/>
                <c:pt idx="0">
                  <c:v>2014</c:v>
                </c:pt>
                <c:pt idx="1">
                  <c:v>2015</c:v>
                </c:pt>
                <c:pt idx="2">
                  <c:v>2016</c:v>
                </c:pt>
                <c:pt idx="3">
                  <c:v>2017</c:v>
                </c:pt>
                <c:pt idx="4">
                  <c:v>2018</c:v>
                </c:pt>
                <c:pt idx="5">
                  <c:v>2019</c:v>
                </c:pt>
              </c:numCache>
            </c:numRef>
          </c:cat>
          <c:val>
            <c:numRef>
              <c:f>List2!$B$19:$G$19</c:f>
              <c:numCache>
                <c:formatCode>General</c:formatCode>
                <c:ptCount val="6"/>
                <c:pt idx="2" formatCode="0">
                  <c:v>71035.8</c:v>
                </c:pt>
                <c:pt idx="3" formatCode="0">
                  <c:v>83745.19999999975</c:v>
                </c:pt>
                <c:pt idx="4" formatCode="0">
                  <c:v>86117.8</c:v>
                </c:pt>
                <c:pt idx="5" formatCode="0">
                  <c:v>95742.600000000253</c:v>
                </c:pt>
              </c:numCache>
            </c:numRef>
          </c:val>
          <c:extLst>
            <c:ext xmlns:c16="http://schemas.microsoft.com/office/drawing/2014/chart" uri="{C3380CC4-5D6E-409C-BE32-E72D297353CC}">
              <c16:uniqueId val="{00000001-D1BB-4C20-B6FD-3400583F1E8D}"/>
            </c:ext>
          </c:extLst>
        </c:ser>
        <c:dLbls>
          <c:showLegendKey val="0"/>
          <c:showVal val="0"/>
          <c:showCatName val="0"/>
          <c:showSerName val="0"/>
          <c:showPercent val="0"/>
          <c:showBubbleSize val="0"/>
        </c:dLbls>
        <c:gapWidth val="219"/>
        <c:overlap val="-27"/>
        <c:axId val="108342656"/>
        <c:axId val="108352640"/>
      </c:barChart>
      <c:lineChart>
        <c:grouping val="standard"/>
        <c:varyColors val="0"/>
        <c:ser>
          <c:idx val="2"/>
          <c:order val="2"/>
          <c:tx>
            <c:strRef>
              <c:f>List2!$A$20</c:f>
              <c:strCache>
                <c:ptCount val="1"/>
                <c:pt idx="0">
                  <c:v>Delež GVŽ goveda v DŽ (%)</c:v>
                </c:pt>
              </c:strCache>
            </c:strRef>
          </c:tx>
          <c:spPr>
            <a:ln w="28575" cap="rnd">
              <a:solidFill>
                <a:schemeClr val="accent3"/>
              </a:solidFill>
              <a:round/>
            </a:ln>
            <a:effectLst/>
          </c:spPr>
          <c:marker>
            <c:symbol val="none"/>
          </c:marker>
          <c:cat>
            <c:numRef>
              <c:f>List2!$B$17:$G$17</c:f>
              <c:numCache>
                <c:formatCode>General</c:formatCode>
                <c:ptCount val="6"/>
                <c:pt idx="0">
                  <c:v>2014</c:v>
                </c:pt>
                <c:pt idx="1">
                  <c:v>2015</c:v>
                </c:pt>
                <c:pt idx="2">
                  <c:v>2016</c:v>
                </c:pt>
                <c:pt idx="3">
                  <c:v>2017</c:v>
                </c:pt>
                <c:pt idx="4">
                  <c:v>2018</c:v>
                </c:pt>
                <c:pt idx="5">
                  <c:v>2019</c:v>
                </c:pt>
              </c:numCache>
            </c:numRef>
          </c:cat>
          <c:val>
            <c:numRef>
              <c:f>List2!$B$20:$G$20</c:f>
              <c:numCache>
                <c:formatCode>General</c:formatCode>
                <c:ptCount val="6"/>
                <c:pt idx="2" formatCode="0">
                  <c:v>20.460220893586158</c:v>
                </c:pt>
                <c:pt idx="3" formatCode="0">
                  <c:v>23.947521182260303</c:v>
                </c:pt>
                <c:pt idx="4" formatCode="0">
                  <c:v>25.217067928528341</c:v>
                </c:pt>
                <c:pt idx="5" formatCode="0">
                  <c:v>28.056061368843164</c:v>
                </c:pt>
              </c:numCache>
            </c:numRef>
          </c:val>
          <c:smooth val="0"/>
          <c:extLst>
            <c:ext xmlns:c16="http://schemas.microsoft.com/office/drawing/2014/chart" uri="{C3380CC4-5D6E-409C-BE32-E72D297353CC}">
              <c16:uniqueId val="{00000002-D1BB-4C20-B6FD-3400583F1E8D}"/>
            </c:ext>
          </c:extLst>
        </c:ser>
        <c:dLbls>
          <c:showLegendKey val="0"/>
          <c:showVal val="0"/>
          <c:showCatName val="0"/>
          <c:showSerName val="0"/>
          <c:showPercent val="0"/>
          <c:showBubbleSize val="0"/>
        </c:dLbls>
        <c:marker val="1"/>
        <c:smooth val="0"/>
        <c:axId val="108355968"/>
        <c:axId val="108354176"/>
      </c:lineChart>
      <c:catAx>
        <c:axId val="10834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352640"/>
        <c:crosses val="autoZero"/>
        <c:auto val="1"/>
        <c:lblAlgn val="ctr"/>
        <c:lblOffset val="100"/>
        <c:noMultiLvlLbl val="0"/>
      </c:catAx>
      <c:valAx>
        <c:axId val="108352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342656"/>
        <c:crosses val="autoZero"/>
        <c:crossBetween val="between"/>
      </c:valAx>
      <c:valAx>
        <c:axId val="1083541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355968"/>
        <c:crosses val="max"/>
        <c:crossBetween val="between"/>
      </c:valAx>
      <c:catAx>
        <c:axId val="108355968"/>
        <c:scaling>
          <c:orientation val="minMax"/>
        </c:scaling>
        <c:delete val="1"/>
        <c:axPos val="b"/>
        <c:numFmt formatCode="General" sourceLinked="1"/>
        <c:majorTickMark val="out"/>
        <c:minorTickMark val="none"/>
        <c:tickLblPos val="nextTo"/>
        <c:crossAx val="108354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List2!$A$23</c:f>
              <c:strCache>
                <c:ptCount val="1"/>
                <c:pt idx="0">
                  <c:v>Stalež drobnice v GVŽ </c:v>
                </c:pt>
              </c:strCache>
            </c:strRef>
          </c:tx>
          <c:spPr>
            <a:solidFill>
              <a:schemeClr val="accent1"/>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List2!$B$23:$G$23</c:f>
              <c:numCache>
                <c:formatCode>0</c:formatCode>
                <c:ptCount val="6"/>
                <c:pt idx="0">
                  <c:v>14092.65</c:v>
                </c:pt>
                <c:pt idx="1">
                  <c:v>14162.249999999998</c:v>
                </c:pt>
                <c:pt idx="2">
                  <c:v>14331.75</c:v>
                </c:pt>
                <c:pt idx="3">
                  <c:v>15126.3</c:v>
                </c:pt>
                <c:pt idx="4">
                  <c:v>15106.499999999998</c:v>
                </c:pt>
                <c:pt idx="5">
                  <c:v>14775.3</c:v>
                </c:pt>
              </c:numCache>
            </c:numRef>
          </c:val>
          <c:extLst>
            <c:ext xmlns:c16="http://schemas.microsoft.com/office/drawing/2014/chart" uri="{C3380CC4-5D6E-409C-BE32-E72D297353CC}">
              <c16:uniqueId val="{00000000-246A-4DC1-994A-E12C97A8F4CD}"/>
            </c:ext>
          </c:extLst>
        </c:ser>
        <c:ser>
          <c:idx val="1"/>
          <c:order val="1"/>
          <c:tx>
            <c:strRef>
              <c:f>List2!$A$24</c:f>
              <c:strCache>
                <c:ptCount val="1"/>
                <c:pt idx="0">
                  <c:v>Število GVŽ drobnice v DŽ</c:v>
                </c:pt>
              </c:strCache>
            </c:strRef>
          </c:tx>
          <c:spPr>
            <a:solidFill>
              <a:schemeClr val="accent2"/>
            </a:solidFill>
            <a:ln>
              <a:noFill/>
            </a:ln>
            <a:effectLst/>
          </c:spPr>
          <c:invertIfNegative val="0"/>
          <c:cat>
            <c:numRef>
              <c:f>List2!$B$22:$G$22</c:f>
              <c:numCache>
                <c:formatCode>General</c:formatCode>
                <c:ptCount val="6"/>
                <c:pt idx="0">
                  <c:v>2014</c:v>
                </c:pt>
                <c:pt idx="1">
                  <c:v>2015</c:v>
                </c:pt>
                <c:pt idx="2">
                  <c:v>2016</c:v>
                </c:pt>
                <c:pt idx="3">
                  <c:v>2017</c:v>
                </c:pt>
                <c:pt idx="4">
                  <c:v>2018</c:v>
                </c:pt>
                <c:pt idx="5">
                  <c:v>2019</c:v>
                </c:pt>
              </c:numCache>
            </c:numRef>
          </c:cat>
          <c:val>
            <c:numRef>
              <c:f>List2!$B$24:$G$24</c:f>
              <c:numCache>
                <c:formatCode>General</c:formatCode>
                <c:ptCount val="6"/>
                <c:pt idx="3" formatCode="0">
                  <c:v>3791.3999999999987</c:v>
                </c:pt>
                <c:pt idx="4" formatCode="0">
                  <c:v>3925.3500000000017</c:v>
                </c:pt>
                <c:pt idx="5" formatCode="0">
                  <c:v>4058.7000000000012</c:v>
                </c:pt>
              </c:numCache>
            </c:numRef>
          </c:val>
          <c:extLst>
            <c:ext xmlns:c16="http://schemas.microsoft.com/office/drawing/2014/chart" uri="{C3380CC4-5D6E-409C-BE32-E72D297353CC}">
              <c16:uniqueId val="{00000001-246A-4DC1-994A-E12C97A8F4CD}"/>
            </c:ext>
          </c:extLst>
        </c:ser>
        <c:dLbls>
          <c:showLegendKey val="0"/>
          <c:showVal val="0"/>
          <c:showCatName val="0"/>
          <c:showSerName val="0"/>
          <c:showPercent val="0"/>
          <c:showBubbleSize val="0"/>
        </c:dLbls>
        <c:gapWidth val="219"/>
        <c:overlap val="-27"/>
        <c:axId val="108072960"/>
        <c:axId val="108074496"/>
      </c:barChart>
      <c:lineChart>
        <c:grouping val="standard"/>
        <c:varyColors val="0"/>
        <c:ser>
          <c:idx val="2"/>
          <c:order val="2"/>
          <c:tx>
            <c:strRef>
              <c:f>List2!$A$25</c:f>
              <c:strCache>
                <c:ptCount val="1"/>
                <c:pt idx="0">
                  <c:v>Delež GVŽ drobnice v DŽ (%)</c:v>
                </c:pt>
              </c:strCache>
            </c:strRef>
          </c:tx>
          <c:spPr>
            <a:ln w="28575" cap="rnd">
              <a:solidFill>
                <a:schemeClr val="accent3"/>
              </a:solidFill>
              <a:round/>
            </a:ln>
            <a:effectLst/>
          </c:spPr>
          <c:marker>
            <c:symbol val="none"/>
          </c:marker>
          <c:cat>
            <c:numRef>
              <c:f>List2!$B$22:$G$22</c:f>
              <c:numCache>
                <c:formatCode>General</c:formatCode>
                <c:ptCount val="6"/>
                <c:pt idx="0">
                  <c:v>2014</c:v>
                </c:pt>
                <c:pt idx="1">
                  <c:v>2015</c:v>
                </c:pt>
                <c:pt idx="2">
                  <c:v>2016</c:v>
                </c:pt>
                <c:pt idx="3">
                  <c:v>2017</c:v>
                </c:pt>
                <c:pt idx="4">
                  <c:v>2018</c:v>
                </c:pt>
                <c:pt idx="5">
                  <c:v>2019</c:v>
                </c:pt>
              </c:numCache>
            </c:numRef>
          </c:cat>
          <c:val>
            <c:numRef>
              <c:f>List2!$B$25:$G$25</c:f>
              <c:numCache>
                <c:formatCode>General</c:formatCode>
                <c:ptCount val="6"/>
                <c:pt idx="3" formatCode="0">
                  <c:v>25.064953094940595</c:v>
                </c:pt>
                <c:pt idx="4" formatCode="0">
                  <c:v>25.984509979148065</c:v>
                </c:pt>
                <c:pt idx="5" formatCode="0">
                  <c:v>27.469493005218176</c:v>
                </c:pt>
              </c:numCache>
            </c:numRef>
          </c:val>
          <c:smooth val="0"/>
          <c:extLst>
            <c:ext xmlns:c16="http://schemas.microsoft.com/office/drawing/2014/chart" uri="{C3380CC4-5D6E-409C-BE32-E72D297353CC}">
              <c16:uniqueId val="{00000002-246A-4DC1-994A-E12C97A8F4CD}"/>
            </c:ext>
          </c:extLst>
        </c:ser>
        <c:dLbls>
          <c:showLegendKey val="0"/>
          <c:showVal val="0"/>
          <c:showCatName val="0"/>
          <c:showSerName val="0"/>
          <c:showPercent val="0"/>
          <c:showBubbleSize val="0"/>
        </c:dLbls>
        <c:marker val="1"/>
        <c:smooth val="0"/>
        <c:axId val="108086016"/>
        <c:axId val="108076032"/>
      </c:lineChart>
      <c:catAx>
        <c:axId val="10807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074496"/>
        <c:crosses val="autoZero"/>
        <c:auto val="1"/>
        <c:lblAlgn val="ctr"/>
        <c:lblOffset val="100"/>
        <c:noMultiLvlLbl val="0"/>
      </c:catAx>
      <c:valAx>
        <c:axId val="108074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072960"/>
        <c:crosses val="autoZero"/>
        <c:crossBetween val="between"/>
      </c:valAx>
      <c:valAx>
        <c:axId val="10807603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8086016"/>
        <c:crosses val="max"/>
        <c:crossBetween val="between"/>
      </c:valAx>
      <c:catAx>
        <c:axId val="108086016"/>
        <c:scaling>
          <c:orientation val="minMax"/>
        </c:scaling>
        <c:delete val="1"/>
        <c:axPos val="b"/>
        <c:numFmt formatCode="General" sourceLinked="1"/>
        <c:majorTickMark val="out"/>
        <c:minorTickMark val="none"/>
        <c:tickLblPos val="nextTo"/>
        <c:crossAx val="108076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List1!$A$2</c:f>
              <c:strCache>
                <c:ptCount val="1"/>
                <c:pt idx="0">
                  <c:v>Nastala odpadna hrana - SKUPAJ (tone)</c:v>
                </c:pt>
              </c:strCache>
            </c:strRef>
          </c:tx>
          <c:spPr>
            <a:ln w="41275" cap="flat" cmpd="sng" algn="ctr">
              <a:solidFill>
                <a:schemeClr val="accent2"/>
              </a:solidFill>
              <a:prstDash val="soli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List1!$B$1:$G$1</c:f>
              <c:numCache>
                <c:formatCode>General</c:formatCode>
                <c:ptCount val="6"/>
                <c:pt idx="0">
                  <c:v>2013</c:v>
                </c:pt>
                <c:pt idx="1">
                  <c:v>2014</c:v>
                </c:pt>
                <c:pt idx="2">
                  <c:v>2015</c:v>
                </c:pt>
                <c:pt idx="3">
                  <c:v>2016</c:v>
                </c:pt>
                <c:pt idx="4">
                  <c:v>2017</c:v>
                </c:pt>
                <c:pt idx="5">
                  <c:v>2018</c:v>
                </c:pt>
              </c:numCache>
            </c:numRef>
          </c:cat>
          <c:val>
            <c:numRef>
              <c:f>List1!$B$2:$G$2</c:f>
              <c:numCache>
                <c:formatCode>#,##0</c:formatCode>
                <c:ptCount val="6"/>
                <c:pt idx="0">
                  <c:v>118.45</c:v>
                </c:pt>
                <c:pt idx="1">
                  <c:v>125.102</c:v>
                </c:pt>
                <c:pt idx="2">
                  <c:v>133.898</c:v>
                </c:pt>
                <c:pt idx="3">
                  <c:v>137.63800000000001</c:v>
                </c:pt>
                <c:pt idx="4">
                  <c:v>131.761</c:v>
                </c:pt>
                <c:pt idx="5">
                  <c:v>139.85599999999999</c:v>
                </c:pt>
              </c:numCache>
            </c:numRef>
          </c:val>
          <c:smooth val="0"/>
          <c:extLst>
            <c:ext xmlns:c16="http://schemas.microsoft.com/office/drawing/2014/chart" uri="{C3380CC4-5D6E-409C-BE32-E72D297353CC}">
              <c16:uniqueId val="{00000000-5608-4055-BC91-5680F2E8F75A}"/>
            </c:ext>
          </c:extLst>
        </c:ser>
        <c:ser>
          <c:idx val="1"/>
          <c:order val="1"/>
          <c:tx>
            <c:strRef>
              <c:f>List1!$A$6</c:f>
              <c:strCache>
                <c:ptCount val="1"/>
                <c:pt idx="0">
                  <c:v>Nastala odpadna hrana v gospodinjstvih (tone)</c:v>
                </c:pt>
              </c:strCache>
            </c:strRef>
          </c:tx>
          <c:spPr>
            <a:ln>
              <a:solidFill>
                <a:schemeClr val="accent3">
                  <a:lumMod val="50000"/>
                </a:schemeClr>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List1!$B$6:$G$6</c:f>
              <c:numCache>
                <c:formatCode>#,##0</c:formatCode>
                <c:ptCount val="6"/>
                <c:pt idx="0">
                  <c:v>63.023000000000003</c:v>
                </c:pt>
                <c:pt idx="1">
                  <c:v>64.760999999999996</c:v>
                </c:pt>
                <c:pt idx="2">
                  <c:v>66.141000000000005</c:v>
                </c:pt>
                <c:pt idx="3">
                  <c:v>68.521000000000001</c:v>
                </c:pt>
                <c:pt idx="4">
                  <c:v>67.593999999999994</c:v>
                </c:pt>
                <c:pt idx="5">
                  <c:v>73.182000000000002</c:v>
                </c:pt>
              </c:numCache>
            </c:numRef>
          </c:val>
          <c:smooth val="0"/>
          <c:extLst>
            <c:ext xmlns:c16="http://schemas.microsoft.com/office/drawing/2014/chart" uri="{C3380CC4-5D6E-409C-BE32-E72D297353CC}">
              <c16:uniqueId val="{00000001-5608-4055-BC91-5680F2E8F75A}"/>
            </c:ext>
          </c:extLst>
        </c:ser>
        <c:dLbls>
          <c:showLegendKey val="0"/>
          <c:showVal val="0"/>
          <c:showCatName val="0"/>
          <c:showSerName val="0"/>
          <c:showPercent val="0"/>
          <c:showBubbleSize val="0"/>
        </c:dLbls>
        <c:smooth val="0"/>
        <c:axId val="108231296"/>
        <c:axId val="108245376"/>
      </c:lineChart>
      <c:catAx>
        <c:axId val="108231296"/>
        <c:scaling>
          <c:orientation val="minMax"/>
        </c:scaling>
        <c:delete val="0"/>
        <c:axPos val="b"/>
        <c:numFmt formatCode="General" sourceLinked="1"/>
        <c:majorTickMark val="in"/>
        <c:minorTickMark val="none"/>
        <c:tickLblPos val="nextTo"/>
        <c:crossAx val="108245376"/>
        <c:crosses val="autoZero"/>
        <c:auto val="1"/>
        <c:lblAlgn val="ctr"/>
        <c:lblOffset val="100"/>
        <c:noMultiLvlLbl val="0"/>
      </c:catAx>
      <c:valAx>
        <c:axId val="108245376"/>
        <c:scaling>
          <c:orientation val="minMax"/>
        </c:scaling>
        <c:delete val="0"/>
        <c:axPos val="l"/>
        <c:title>
          <c:tx>
            <c:rich>
              <a:bodyPr rot="-5400000" vert="horz"/>
              <a:lstStyle/>
              <a:p>
                <a:pPr>
                  <a:defRPr sz="700"/>
                </a:pPr>
                <a:r>
                  <a:rPr lang="sl-SI" sz="700"/>
                  <a:t>O</a:t>
                </a:r>
                <a:r>
                  <a:rPr lang="en-US" sz="700"/>
                  <a:t>dpadna hran</a:t>
                </a:r>
                <a:r>
                  <a:rPr lang="sl-SI" sz="700"/>
                  <a:t>a po gospodinjstvih in skupaj (1000 t)</a:t>
                </a:r>
              </a:p>
            </c:rich>
          </c:tx>
          <c:layout>
            <c:manualLayout>
              <c:xMode val="edge"/>
              <c:yMode val="edge"/>
              <c:x val="1.9078955080987087E-2"/>
              <c:y val="0.22018796992481199"/>
            </c:manualLayout>
          </c:layout>
          <c:overlay val="0"/>
        </c:title>
        <c:numFmt formatCode="#,##0" sourceLinked="1"/>
        <c:majorTickMark val="in"/>
        <c:minorTickMark val="none"/>
        <c:tickLblPos val="nextTo"/>
        <c:crossAx val="108231296"/>
        <c:crosses val="autoZero"/>
        <c:crossBetween val="between"/>
      </c:valAx>
      <c:spPr>
        <a:noFill/>
        <a:ln w="25400">
          <a:noFill/>
        </a:ln>
      </c:spPr>
    </c:plotArea>
    <c:plotVisOnly val="1"/>
    <c:dispBlanksAs val="gap"/>
    <c:showDLblsOverMax val="0"/>
  </c:chart>
  <c:spPr>
    <a:noFill/>
    <a:ln>
      <a:noFill/>
    </a:ln>
  </c:spPr>
  <c:txPr>
    <a:bodyPr/>
    <a:lstStyle/>
    <a:p>
      <a:pPr>
        <a:defRPr>
          <a:latin typeface="Arial" panose="020B0604020202020204" pitchFamily="34" charset="0"/>
          <a:cs typeface="Arial" panose="020B0604020202020204" pitchFamily="34" charset="0"/>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7DB7-936B-4B1D-ABA1-62A567064BFD}">
  <ds:schemaRefs>
    <ds:schemaRef ds:uri="http://schemas.openxmlformats.org/officeDocument/2006/bibliography"/>
  </ds:schemaRefs>
</ds:datastoreItem>
</file>

<file path=customXml/itemProps2.xml><?xml version="1.0" encoding="utf-8"?>
<ds:datastoreItem xmlns:ds="http://schemas.openxmlformats.org/officeDocument/2006/customXml" ds:itemID="{E2A05773-7D21-4864-8B1D-00BF8FA5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19598</Words>
  <Characters>111713</Characters>
  <Application>Microsoft Office Word</Application>
  <DocSecurity>0</DocSecurity>
  <Lines>930</Lines>
  <Paragraphs>262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Keše</dc:creator>
  <cp:lastModifiedBy>Svit Mal</cp:lastModifiedBy>
  <cp:revision>6</cp:revision>
  <cp:lastPrinted>2020-11-02T11:26:00Z</cp:lastPrinted>
  <dcterms:created xsi:type="dcterms:W3CDTF">2020-11-06T08:29:00Z</dcterms:created>
  <dcterms:modified xsi:type="dcterms:W3CDTF">2023-01-31T12:34:00Z</dcterms:modified>
</cp:coreProperties>
</file>