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D5721" w14:textId="16CB5B07" w:rsidR="00202F34" w:rsidRPr="00BF7E57" w:rsidRDefault="00145296" w:rsidP="00BF7E57">
      <w:pPr>
        <w:pBdr>
          <w:top w:val="single" w:sz="4" w:space="1" w:color="auto"/>
          <w:left w:val="single" w:sz="4" w:space="1" w:color="auto"/>
          <w:bottom w:val="single" w:sz="4" w:space="3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r w:rsidRPr="00BF7E57">
        <w:rPr>
          <w:rFonts w:ascii="Arial" w:eastAsia="Arial" w:hAnsi="Arial" w:cs="Arial"/>
          <w:noProof/>
          <w:sz w:val="20"/>
          <w:szCs w:val="20"/>
          <w:lang w:eastAsia="sl-SI"/>
        </w:rPr>
        <w:drawing>
          <wp:anchor distT="0" distB="0" distL="114300" distR="114300" simplePos="0" relativeHeight="251656704" behindDoc="1" locked="0" layoutInCell="1" allowOverlap="1" wp14:anchorId="7ED3EE1B" wp14:editId="5DED6C66">
            <wp:simplePos x="0" y="0"/>
            <wp:positionH relativeFrom="page">
              <wp:posOffset>3726061</wp:posOffset>
            </wp:positionH>
            <wp:positionV relativeFrom="page">
              <wp:posOffset>1112472</wp:posOffset>
            </wp:positionV>
            <wp:extent cx="2929940" cy="715993"/>
            <wp:effectExtent l="0" t="0" r="3810" b="8255"/>
            <wp:wrapNone/>
            <wp:docPr id="1" name="Slika 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16" t="45752" r="34702" b="4521"/>
                    <a:stretch/>
                  </pic:blipFill>
                  <pic:spPr bwMode="auto">
                    <a:xfrm>
                      <a:off x="0" y="0"/>
                      <a:ext cx="2929940" cy="715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A93" w:rsidRPr="00BF7E57">
        <w:rPr>
          <w:rFonts w:ascii="Arial" w:hAnsi="Arial" w:cs="Arial"/>
          <w:noProof/>
          <w:sz w:val="20"/>
          <w:szCs w:val="20"/>
          <w:lang w:eastAsia="sl-SI"/>
        </w:rPr>
        <w:drawing>
          <wp:anchor distT="0" distB="0" distL="114300" distR="114300" simplePos="0" relativeHeight="251657728" behindDoc="1" locked="0" layoutInCell="1" allowOverlap="1" wp14:anchorId="1508A014" wp14:editId="5302D310">
            <wp:simplePos x="0" y="0"/>
            <wp:positionH relativeFrom="margin">
              <wp:posOffset>0</wp:posOffset>
            </wp:positionH>
            <wp:positionV relativeFrom="paragraph">
              <wp:posOffset>100578</wp:posOffset>
            </wp:positionV>
            <wp:extent cx="2725200" cy="1036800"/>
            <wp:effectExtent l="0" t="0" r="0" b="0"/>
            <wp:wrapNone/>
            <wp:docPr id="100002"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2725200" cy="1036800"/>
                    </a:xfrm>
                    <a:prstGeom prst="rect">
                      <a:avLst/>
                    </a:prstGeom>
                  </pic:spPr>
                </pic:pic>
              </a:graphicData>
            </a:graphic>
            <wp14:sizeRelH relativeFrom="margin">
              <wp14:pctWidth>0</wp14:pctWidth>
            </wp14:sizeRelH>
            <wp14:sizeRelV relativeFrom="margin">
              <wp14:pctHeight>0</wp14:pctHeight>
            </wp14:sizeRelV>
          </wp:anchor>
        </w:drawing>
      </w:r>
    </w:p>
    <w:p w14:paraId="67643DEA" w14:textId="77777777" w:rsidR="00202F34" w:rsidRPr="00BF7E57" w:rsidRDefault="004F6D5C" w:rsidP="00BF7E57">
      <w:pPr>
        <w:pBdr>
          <w:top w:val="single" w:sz="4" w:space="1" w:color="auto"/>
          <w:left w:val="single" w:sz="4" w:space="1" w:color="auto"/>
          <w:bottom w:val="single" w:sz="4" w:space="31" w:color="auto"/>
          <w:right w:val="single" w:sz="4" w:space="1" w:color="auto"/>
        </w:pBdr>
        <w:spacing w:before="3000" w:after="0" w:line="360" w:lineRule="auto"/>
        <w:jc w:val="center"/>
        <w:rPr>
          <w:rFonts w:ascii="Arial" w:eastAsia="Malgun Gothic" w:hAnsi="Arial" w:cs="Arial"/>
          <w:b/>
          <w:color w:val="92D050"/>
          <w:sz w:val="32"/>
          <w:szCs w:val="32"/>
          <w:lang w:val="de-DE" w:eastAsia="en-GB"/>
        </w:rPr>
      </w:pPr>
      <w:r w:rsidRPr="00BF7E57">
        <w:rPr>
          <w:rFonts w:ascii="Arial" w:eastAsia="Malgun Gothic" w:hAnsi="Arial" w:cs="Arial"/>
          <w:b/>
          <w:color w:val="92D050"/>
          <w:sz w:val="32"/>
          <w:szCs w:val="32"/>
          <w:lang w:val="de-DE" w:eastAsia="en-GB"/>
        </w:rPr>
        <w:t xml:space="preserve">STRATEŠKI NAČRT SKUPNE KMETIJSKE POLITIKE </w:t>
      </w:r>
    </w:p>
    <w:p w14:paraId="0BA82B4E" w14:textId="218C3F06" w:rsidR="004F6D5C" w:rsidRPr="00BF7E57" w:rsidRDefault="004F6D5C" w:rsidP="00BF7E57">
      <w:pPr>
        <w:pBdr>
          <w:top w:val="single" w:sz="4" w:space="1" w:color="auto"/>
          <w:left w:val="single" w:sz="4" w:space="1" w:color="auto"/>
          <w:bottom w:val="single" w:sz="4" w:space="31" w:color="auto"/>
          <w:right w:val="single" w:sz="4" w:space="1" w:color="auto"/>
        </w:pBdr>
        <w:spacing w:after="0" w:line="360" w:lineRule="auto"/>
        <w:jc w:val="center"/>
        <w:rPr>
          <w:rFonts w:ascii="Arial" w:eastAsia="Malgun Gothic" w:hAnsi="Arial" w:cs="Arial"/>
          <w:b/>
          <w:color w:val="92D050"/>
          <w:sz w:val="32"/>
          <w:szCs w:val="32"/>
          <w:lang w:val="de-DE" w:eastAsia="en-GB"/>
        </w:rPr>
      </w:pPr>
      <w:r w:rsidRPr="00BF7E57">
        <w:rPr>
          <w:rFonts w:ascii="Arial" w:eastAsia="Malgun Gothic" w:hAnsi="Arial" w:cs="Arial"/>
          <w:b/>
          <w:color w:val="92D050"/>
          <w:sz w:val="32"/>
          <w:szCs w:val="32"/>
          <w:lang w:val="de-DE" w:eastAsia="en-GB"/>
        </w:rPr>
        <w:t>202</w:t>
      </w:r>
      <w:r w:rsidR="00A30B83" w:rsidRPr="00BF7E57">
        <w:rPr>
          <w:rFonts w:ascii="Arial" w:eastAsia="Malgun Gothic" w:hAnsi="Arial" w:cs="Arial"/>
          <w:b/>
          <w:color w:val="92D050"/>
          <w:sz w:val="32"/>
          <w:szCs w:val="32"/>
          <w:lang w:val="de-DE" w:eastAsia="en-GB"/>
        </w:rPr>
        <w:t>3</w:t>
      </w:r>
      <w:r w:rsidRPr="00BF7E57">
        <w:rPr>
          <w:rFonts w:ascii="Arial" w:eastAsia="Malgun Gothic" w:hAnsi="Arial" w:cs="Arial"/>
          <w:b/>
          <w:color w:val="92D050"/>
          <w:sz w:val="32"/>
          <w:szCs w:val="32"/>
          <w:lang w:val="de-DE" w:eastAsia="en-GB"/>
        </w:rPr>
        <w:t>–2027</w:t>
      </w:r>
    </w:p>
    <w:p w14:paraId="6BE0DF31" w14:textId="77777777" w:rsidR="00145296" w:rsidRPr="00BF7E57" w:rsidRDefault="00163103" w:rsidP="00BF7E57">
      <w:pPr>
        <w:pBdr>
          <w:top w:val="single" w:sz="4" w:space="1" w:color="auto"/>
          <w:left w:val="single" w:sz="4" w:space="1" w:color="auto"/>
          <w:bottom w:val="single" w:sz="4" w:space="31" w:color="auto"/>
          <w:right w:val="single" w:sz="4" w:space="1" w:color="auto"/>
        </w:pBdr>
        <w:spacing w:before="1200" w:after="0" w:line="360" w:lineRule="auto"/>
        <w:jc w:val="center"/>
        <w:rPr>
          <w:rFonts w:ascii="Arial" w:eastAsia="Malgun Gothic" w:hAnsi="Arial" w:cs="Arial"/>
          <w:b/>
          <w:color w:val="92D050"/>
          <w:sz w:val="32"/>
          <w:szCs w:val="32"/>
          <w:lang w:val="de-DE" w:eastAsia="en-GB"/>
        </w:rPr>
      </w:pPr>
      <w:r w:rsidRPr="00BF7E57">
        <w:rPr>
          <w:rFonts w:ascii="Arial" w:eastAsia="Malgun Gothic" w:hAnsi="Arial" w:cs="Arial"/>
          <w:b/>
          <w:color w:val="92D050"/>
          <w:sz w:val="32"/>
          <w:szCs w:val="32"/>
          <w:u w:val="single"/>
          <w:lang w:val="de-DE" w:eastAsia="en-GB"/>
        </w:rPr>
        <w:t>SPECIFIČNI CILJ 8</w:t>
      </w:r>
      <w:r w:rsidR="004F6D5C" w:rsidRPr="00BF7E57">
        <w:rPr>
          <w:rFonts w:ascii="Arial" w:eastAsia="Malgun Gothic" w:hAnsi="Arial" w:cs="Arial"/>
          <w:b/>
          <w:color w:val="92D050"/>
          <w:sz w:val="32"/>
          <w:szCs w:val="32"/>
          <w:u w:val="single"/>
          <w:lang w:val="de-DE" w:eastAsia="en-GB"/>
        </w:rPr>
        <w:t>:</w:t>
      </w:r>
      <w:r w:rsidRPr="00BF7E57">
        <w:rPr>
          <w:rFonts w:ascii="Arial" w:eastAsia="Malgun Gothic" w:hAnsi="Arial" w:cs="Arial"/>
          <w:b/>
          <w:color w:val="92D050"/>
          <w:sz w:val="32"/>
          <w:szCs w:val="32"/>
          <w:lang w:val="de-DE" w:eastAsia="en-GB"/>
        </w:rPr>
        <w:t xml:space="preserve"> </w:t>
      </w:r>
    </w:p>
    <w:p w14:paraId="7020364D" w14:textId="7EC69B66" w:rsidR="00163103" w:rsidRPr="00BF7E57" w:rsidRDefault="00163103" w:rsidP="00BF7E57">
      <w:pPr>
        <w:pBdr>
          <w:top w:val="single" w:sz="4" w:space="1" w:color="auto"/>
          <w:left w:val="single" w:sz="4" w:space="1" w:color="auto"/>
          <w:bottom w:val="single" w:sz="4" w:space="31" w:color="auto"/>
          <w:right w:val="single" w:sz="4" w:space="1" w:color="auto"/>
        </w:pBdr>
        <w:spacing w:after="0" w:line="360" w:lineRule="auto"/>
        <w:jc w:val="center"/>
        <w:rPr>
          <w:rFonts w:ascii="Arial" w:eastAsia="Malgun Gothic" w:hAnsi="Arial" w:cs="Arial"/>
          <w:b/>
          <w:color w:val="92D050"/>
          <w:sz w:val="32"/>
          <w:szCs w:val="32"/>
          <w:lang w:val="de-DE" w:eastAsia="en-GB"/>
        </w:rPr>
      </w:pPr>
      <w:r w:rsidRPr="00BF7E57">
        <w:rPr>
          <w:rFonts w:ascii="Arial" w:eastAsia="Malgun Gothic" w:hAnsi="Arial" w:cs="Arial"/>
          <w:b/>
          <w:color w:val="92D050"/>
          <w:sz w:val="32"/>
          <w:szCs w:val="32"/>
          <w:lang w:val="de-DE" w:eastAsia="en-GB"/>
        </w:rPr>
        <w:t>SPODBUJANJE ZAPOSLOVANJA, RASTI, SOCIALNE VKLJUČENOSTI IN LOKALNEGA RAZVOJA NA PODEŽELSKIH OBMOČJIH, VKLJUČNO Z BIOGOSPODARS</w:t>
      </w:r>
      <w:r w:rsidR="00145296" w:rsidRPr="00BF7E57">
        <w:rPr>
          <w:rFonts w:ascii="Arial" w:eastAsia="Malgun Gothic" w:hAnsi="Arial" w:cs="Arial"/>
          <w:b/>
          <w:color w:val="92D050"/>
          <w:sz w:val="32"/>
          <w:szCs w:val="32"/>
          <w:lang w:val="de-DE" w:eastAsia="en-GB"/>
        </w:rPr>
        <w:t>TVOM IN TRAJNOSTNIM GOZDARSTVOM</w:t>
      </w:r>
    </w:p>
    <w:p w14:paraId="32125E90" w14:textId="77777777" w:rsidR="00163103" w:rsidRPr="00BF7E57" w:rsidRDefault="00163103" w:rsidP="00BF7E57">
      <w:pPr>
        <w:pBdr>
          <w:top w:val="single" w:sz="4" w:space="1" w:color="auto"/>
          <w:left w:val="single" w:sz="4" w:space="1" w:color="auto"/>
          <w:bottom w:val="single" w:sz="4" w:space="31" w:color="auto"/>
          <w:right w:val="single" w:sz="4" w:space="1" w:color="auto"/>
        </w:pBdr>
        <w:spacing w:before="1200" w:after="0" w:line="360" w:lineRule="auto"/>
        <w:jc w:val="center"/>
        <w:rPr>
          <w:rFonts w:ascii="Arial" w:eastAsia="Times New Roman" w:hAnsi="Arial" w:cs="Arial"/>
          <w:b/>
          <w:color w:val="92D050"/>
          <w:sz w:val="32"/>
          <w:szCs w:val="32"/>
          <w:lang w:eastAsia="en-GB"/>
        </w:rPr>
      </w:pPr>
      <w:r w:rsidRPr="00BF7E57">
        <w:rPr>
          <w:rFonts w:ascii="Arial" w:eastAsia="Times New Roman" w:hAnsi="Arial" w:cs="Arial"/>
          <w:b/>
          <w:color w:val="92D050"/>
          <w:sz w:val="32"/>
          <w:szCs w:val="32"/>
          <w:lang w:eastAsia="en-GB"/>
        </w:rPr>
        <w:t>ANALIZA STANJA</w:t>
      </w:r>
    </w:p>
    <w:p w14:paraId="1963AB49" w14:textId="618D003B" w:rsidR="00D97A62" w:rsidRPr="00BF7E57" w:rsidRDefault="00163103" w:rsidP="00BF7E57">
      <w:pPr>
        <w:pBdr>
          <w:top w:val="single" w:sz="4" w:space="1" w:color="auto"/>
          <w:left w:val="single" w:sz="4" w:space="1" w:color="auto"/>
          <w:bottom w:val="single" w:sz="4" w:space="31" w:color="auto"/>
          <w:right w:val="single" w:sz="4" w:space="1" w:color="auto"/>
        </w:pBdr>
        <w:spacing w:before="120" w:after="0" w:line="360" w:lineRule="auto"/>
        <w:jc w:val="center"/>
        <w:rPr>
          <w:rFonts w:ascii="Arial" w:eastAsia="Times New Roman" w:hAnsi="Arial" w:cs="Arial"/>
          <w:b/>
          <w:color w:val="92D050"/>
          <w:sz w:val="32"/>
          <w:szCs w:val="32"/>
          <w:lang w:eastAsia="en-GB"/>
        </w:rPr>
      </w:pPr>
      <w:r w:rsidRPr="00BF7E57">
        <w:rPr>
          <w:rFonts w:ascii="Arial" w:eastAsia="Times New Roman" w:hAnsi="Arial" w:cs="Arial"/>
          <w:b/>
          <w:color w:val="92D050"/>
          <w:sz w:val="32"/>
          <w:szCs w:val="32"/>
          <w:lang w:eastAsia="en-GB"/>
        </w:rPr>
        <w:t>ANALIZA SWOT</w:t>
      </w:r>
    </w:p>
    <w:p w14:paraId="4F9EB37F" w14:textId="77777777" w:rsidR="00D97A62" w:rsidRPr="00BF7E57" w:rsidRDefault="00145296" w:rsidP="00BF7E57">
      <w:pPr>
        <w:pBdr>
          <w:top w:val="single" w:sz="4" w:space="1" w:color="auto"/>
          <w:left w:val="single" w:sz="4" w:space="1" w:color="auto"/>
          <w:bottom w:val="single" w:sz="4" w:space="31" w:color="auto"/>
          <w:right w:val="single" w:sz="4" w:space="1" w:color="auto"/>
        </w:pBdr>
        <w:spacing w:before="120" w:after="0" w:line="360" w:lineRule="auto"/>
        <w:jc w:val="center"/>
        <w:rPr>
          <w:rFonts w:ascii="Arial" w:eastAsia="Malgun Gothic" w:hAnsi="Arial" w:cs="Arial"/>
          <w:sz w:val="20"/>
          <w:szCs w:val="20"/>
          <w:lang w:eastAsia="en-GB"/>
        </w:rPr>
      </w:pPr>
      <w:r w:rsidRPr="00BF7E57">
        <w:rPr>
          <w:rFonts w:ascii="Arial" w:eastAsia="Malgun Gothic" w:hAnsi="Arial" w:cs="Arial"/>
          <w:sz w:val="20"/>
          <w:szCs w:val="20"/>
          <w:lang w:eastAsia="en-GB"/>
        </w:rPr>
        <w:t xml:space="preserve">Ljubljana, </w:t>
      </w:r>
      <w:r w:rsidR="00A30B83" w:rsidRPr="00BF7E57">
        <w:rPr>
          <w:rFonts w:ascii="Arial" w:eastAsia="Malgun Gothic" w:hAnsi="Arial" w:cs="Arial"/>
          <w:sz w:val="20"/>
          <w:szCs w:val="20"/>
          <w:lang w:eastAsia="en-GB"/>
        </w:rPr>
        <w:t>november</w:t>
      </w:r>
      <w:r w:rsidR="00BC4FFC" w:rsidRPr="00BF7E57">
        <w:rPr>
          <w:rFonts w:ascii="Arial" w:eastAsia="Malgun Gothic" w:hAnsi="Arial" w:cs="Arial"/>
          <w:sz w:val="20"/>
          <w:szCs w:val="20"/>
          <w:lang w:eastAsia="en-GB"/>
        </w:rPr>
        <w:t xml:space="preserve"> </w:t>
      </w:r>
      <w:r w:rsidR="00163103" w:rsidRPr="00BF7E57">
        <w:rPr>
          <w:rFonts w:ascii="Arial" w:eastAsia="Malgun Gothic" w:hAnsi="Arial" w:cs="Arial"/>
          <w:sz w:val="20"/>
          <w:szCs w:val="20"/>
          <w:lang w:eastAsia="en-GB"/>
        </w:rPr>
        <w:t>202</w:t>
      </w:r>
      <w:r w:rsidR="00BC4FFC" w:rsidRPr="00BF7E57">
        <w:rPr>
          <w:rFonts w:ascii="Arial" w:eastAsia="Malgun Gothic" w:hAnsi="Arial" w:cs="Arial"/>
          <w:sz w:val="20"/>
          <w:szCs w:val="20"/>
          <w:lang w:eastAsia="en-GB"/>
        </w:rPr>
        <w:t>1</w:t>
      </w:r>
    </w:p>
    <w:p w14:paraId="1548068C" w14:textId="77777777" w:rsidR="00D97A62" w:rsidRPr="00BF7E57" w:rsidRDefault="00D97A62" w:rsidP="00BF7E57">
      <w:pPr>
        <w:pBdr>
          <w:top w:val="single" w:sz="4" w:space="1" w:color="auto"/>
          <w:left w:val="single" w:sz="4" w:space="1" w:color="auto"/>
          <w:bottom w:val="single" w:sz="4" w:space="31" w:color="auto"/>
          <w:right w:val="single" w:sz="4" w:space="1" w:color="auto"/>
        </w:pBdr>
        <w:spacing w:before="120" w:after="0" w:line="264" w:lineRule="auto"/>
        <w:rPr>
          <w:rFonts w:eastAsia="Arial" w:cs="Arial"/>
          <w:sz w:val="16"/>
          <w:szCs w:val="16"/>
          <w:lang w:eastAsia="en-GB"/>
        </w:rPr>
      </w:pPr>
    </w:p>
    <w:p w14:paraId="25F3BFEE" w14:textId="4037D1D9" w:rsidR="00D97A62" w:rsidRPr="00BF7E57" w:rsidRDefault="00D97A62" w:rsidP="00BF7E57">
      <w:pPr>
        <w:pBdr>
          <w:top w:val="single" w:sz="4" w:space="1" w:color="auto"/>
          <w:left w:val="single" w:sz="4" w:space="1" w:color="auto"/>
          <w:bottom w:val="single" w:sz="4" w:space="31" w:color="auto"/>
          <w:right w:val="single" w:sz="4" w:space="1" w:color="auto"/>
        </w:pBdr>
        <w:spacing w:before="120" w:after="0" w:line="264" w:lineRule="auto"/>
        <w:jc w:val="both"/>
        <w:rPr>
          <w:rFonts w:eastAsia="Times New Roman" w:cs="Arial"/>
          <w:sz w:val="16"/>
          <w:szCs w:val="16"/>
          <w:lang w:eastAsia="en-GB"/>
        </w:rPr>
      </w:pPr>
      <w:r w:rsidRPr="00BF7E57">
        <w:rPr>
          <w:rFonts w:eastAsia="Arial" w:cs="Arial"/>
          <w:sz w:val="16"/>
          <w:szCs w:val="16"/>
          <w:lang w:eastAsia="en-GB"/>
        </w:rPr>
        <w:t>Ta dokument predstavlja osnutek analize stanja, analize SWOT za Strateški načrt SKP 2021−2027. Gre za delovni dokument, ki je podlaga za razpravo in nadaljnje delo pri pripravi Strateškega načrta SKP 2021−2027. Vsebine, predstavljene v tem delovn</w:t>
      </w:r>
      <w:bookmarkStart w:id="0" w:name="_GoBack"/>
      <w:bookmarkEnd w:id="0"/>
      <w:r w:rsidRPr="00BF7E57">
        <w:rPr>
          <w:rFonts w:eastAsia="Arial" w:cs="Arial"/>
          <w:sz w:val="16"/>
          <w:szCs w:val="16"/>
          <w:lang w:eastAsia="en-GB"/>
        </w:rPr>
        <w:t>em dokumentu, se lahko spremenijo in med nadaljnjo razpravo ustrezno prilagodijo.</w:t>
      </w:r>
    </w:p>
    <w:p w14:paraId="6469CBC1" w14:textId="0B5530EA" w:rsidR="00163103" w:rsidRPr="00BF7E57" w:rsidRDefault="00163103" w:rsidP="00921C40">
      <w:pPr>
        <w:pBdr>
          <w:top w:val="single" w:sz="4" w:space="1" w:color="auto"/>
          <w:left w:val="single" w:sz="4" w:space="1" w:color="auto"/>
          <w:bottom w:val="single" w:sz="4" w:space="1" w:color="auto"/>
          <w:right w:val="single" w:sz="4" w:space="1" w:color="auto"/>
        </w:pBdr>
        <w:spacing w:before="1200" w:after="600" w:line="360" w:lineRule="auto"/>
        <w:jc w:val="center"/>
        <w:rPr>
          <w:rFonts w:ascii="Arial" w:eastAsia="Malgun Gothic" w:hAnsi="Arial" w:cs="Arial"/>
          <w:b/>
          <w:color w:val="000000" w:themeColor="text1"/>
          <w:sz w:val="20"/>
          <w:szCs w:val="20"/>
          <w:lang w:val="de-DE" w:eastAsia="en-GB"/>
        </w:rPr>
      </w:pPr>
      <w:r w:rsidRPr="00BF7E57">
        <w:rPr>
          <w:rFonts w:ascii="Arial" w:eastAsia="Malgun Gothic" w:hAnsi="Arial" w:cs="Arial"/>
          <w:b/>
          <w:color w:val="92D050"/>
          <w:sz w:val="20"/>
          <w:szCs w:val="20"/>
          <w:lang w:val="de-DE" w:eastAsia="en-GB"/>
        </w:rPr>
        <w:br w:type="page"/>
      </w:r>
    </w:p>
    <w:p w14:paraId="49BAA0AD" w14:textId="77777777" w:rsidR="00163103" w:rsidRPr="00BF7E57" w:rsidRDefault="004F6D5C" w:rsidP="00F5427E">
      <w:pPr>
        <w:spacing w:line="360" w:lineRule="auto"/>
        <w:jc w:val="both"/>
        <w:rPr>
          <w:rFonts w:ascii="Arial" w:hAnsi="Arial" w:cs="Arial"/>
          <w:b/>
          <w:sz w:val="28"/>
          <w:szCs w:val="28"/>
        </w:rPr>
      </w:pPr>
      <w:r w:rsidRPr="00BF7E57">
        <w:rPr>
          <w:rFonts w:ascii="Arial" w:hAnsi="Arial" w:cs="Arial"/>
          <w:b/>
          <w:sz w:val="28"/>
          <w:szCs w:val="28"/>
        </w:rPr>
        <w:t>KAZALO</w:t>
      </w:r>
    </w:p>
    <w:p w14:paraId="2003C7FF" w14:textId="7A875686" w:rsidR="00D97A62" w:rsidRPr="00BF7E57" w:rsidRDefault="00163103">
      <w:pPr>
        <w:pStyle w:val="Kazalovsebine2"/>
        <w:tabs>
          <w:tab w:val="right" w:leader="dot" w:pos="9062"/>
        </w:tabs>
        <w:rPr>
          <w:rFonts w:eastAsiaTheme="minorEastAsia" w:cstheme="minorBidi"/>
          <w:b w:val="0"/>
          <w:bCs w:val="0"/>
          <w:noProof/>
          <w:lang w:eastAsia="sl-SI"/>
        </w:rPr>
      </w:pPr>
      <w:r w:rsidRPr="00BF7E57">
        <w:rPr>
          <w:rFonts w:ascii="Arial" w:hAnsi="Arial" w:cs="Arial"/>
          <w:sz w:val="24"/>
          <w:szCs w:val="24"/>
        </w:rPr>
        <w:fldChar w:fldCharType="begin"/>
      </w:r>
      <w:r w:rsidRPr="00BF7E57">
        <w:rPr>
          <w:rFonts w:ascii="Arial" w:hAnsi="Arial" w:cs="Arial"/>
        </w:rPr>
        <w:instrText xml:space="preserve"> TOC \o "1-3" \h \z \u </w:instrText>
      </w:r>
      <w:r w:rsidRPr="00BF7E57">
        <w:rPr>
          <w:rFonts w:ascii="Arial" w:hAnsi="Arial" w:cs="Arial"/>
          <w:sz w:val="24"/>
          <w:szCs w:val="24"/>
        </w:rPr>
        <w:fldChar w:fldCharType="separate"/>
      </w:r>
      <w:hyperlink w:anchor="_Toc86826367" w:history="1">
        <w:r w:rsidR="00D97A62" w:rsidRPr="00BF7E57">
          <w:rPr>
            <w:rStyle w:val="Hiperpovezava"/>
            <w:rFonts w:ascii="Arial" w:hAnsi="Arial" w:cs="Arial"/>
            <w:noProof/>
          </w:rPr>
          <w:t>1 SPLOŠNE ZNAČILNOSTI PODEŽELJA</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_Toc86826367 \h </w:instrText>
        </w:r>
        <w:r w:rsidR="00D97A62" w:rsidRPr="00BF7E57">
          <w:rPr>
            <w:noProof/>
            <w:webHidden/>
          </w:rPr>
        </w:r>
        <w:r w:rsidR="00D97A62" w:rsidRPr="00BF7E57">
          <w:rPr>
            <w:noProof/>
            <w:webHidden/>
          </w:rPr>
          <w:fldChar w:fldCharType="separate"/>
        </w:r>
        <w:r w:rsidR="00236865">
          <w:rPr>
            <w:noProof/>
            <w:webHidden/>
          </w:rPr>
          <w:t>6</w:t>
        </w:r>
        <w:r w:rsidR="00D97A62" w:rsidRPr="00BF7E57">
          <w:rPr>
            <w:noProof/>
            <w:webHidden/>
          </w:rPr>
          <w:fldChar w:fldCharType="end"/>
        </w:r>
      </w:hyperlink>
    </w:p>
    <w:p w14:paraId="4C1C4705" w14:textId="37C25ACF" w:rsidR="00D97A62" w:rsidRPr="00BF7E57" w:rsidRDefault="00D97A62">
      <w:pPr>
        <w:pStyle w:val="Kazalovsebine2"/>
        <w:tabs>
          <w:tab w:val="left" w:pos="960"/>
          <w:tab w:val="right" w:leader="dot" w:pos="9062"/>
        </w:tabs>
        <w:rPr>
          <w:rFonts w:eastAsiaTheme="minorEastAsia" w:cstheme="minorBidi"/>
          <w:b w:val="0"/>
          <w:bCs w:val="0"/>
          <w:noProof/>
          <w:lang w:eastAsia="sl-SI"/>
        </w:rPr>
      </w:pPr>
      <w:hyperlink w:anchor="_Toc86826368" w:history="1">
        <w:r w:rsidRPr="00BF7E57">
          <w:rPr>
            <w:rStyle w:val="Hiperpovezava"/>
            <w:rFonts w:ascii="Arial" w:hAnsi="Arial" w:cs="Arial"/>
            <w:noProof/>
          </w:rPr>
          <w:t>1.1</w:t>
        </w:r>
        <w:r w:rsidRPr="00BF7E57">
          <w:rPr>
            <w:rFonts w:eastAsiaTheme="minorEastAsia" w:cstheme="minorBidi"/>
            <w:b w:val="0"/>
            <w:bCs w:val="0"/>
            <w:noProof/>
            <w:lang w:eastAsia="sl-SI"/>
          </w:rPr>
          <w:tab/>
        </w:r>
        <w:r w:rsidRPr="00BF7E57">
          <w:rPr>
            <w:rStyle w:val="Hiperpovezava"/>
            <w:rFonts w:ascii="Arial" w:hAnsi="Arial" w:cs="Arial"/>
            <w:noProof/>
          </w:rPr>
          <w:t>POVRŠINA IN PREBIVALSTVO</w:t>
        </w:r>
        <w:r w:rsidRPr="00BF7E57">
          <w:rPr>
            <w:noProof/>
            <w:webHidden/>
          </w:rPr>
          <w:tab/>
        </w:r>
        <w:r w:rsidRPr="00BF7E57">
          <w:rPr>
            <w:noProof/>
            <w:webHidden/>
          </w:rPr>
          <w:fldChar w:fldCharType="begin"/>
        </w:r>
        <w:r w:rsidRPr="00BF7E57">
          <w:rPr>
            <w:noProof/>
            <w:webHidden/>
          </w:rPr>
          <w:instrText xml:space="preserve"> PAGEREF _Toc86826368 \h </w:instrText>
        </w:r>
        <w:r w:rsidRPr="00BF7E57">
          <w:rPr>
            <w:noProof/>
            <w:webHidden/>
          </w:rPr>
        </w:r>
        <w:r w:rsidRPr="00BF7E57">
          <w:rPr>
            <w:noProof/>
            <w:webHidden/>
          </w:rPr>
          <w:fldChar w:fldCharType="separate"/>
        </w:r>
        <w:r w:rsidR="00236865">
          <w:rPr>
            <w:noProof/>
            <w:webHidden/>
          </w:rPr>
          <w:t>6</w:t>
        </w:r>
        <w:r w:rsidRPr="00BF7E57">
          <w:rPr>
            <w:noProof/>
            <w:webHidden/>
          </w:rPr>
          <w:fldChar w:fldCharType="end"/>
        </w:r>
      </w:hyperlink>
    </w:p>
    <w:p w14:paraId="73DD6C4C" w14:textId="68119392" w:rsidR="00D97A62" w:rsidRPr="00BF7E57" w:rsidRDefault="00D97A62">
      <w:pPr>
        <w:pStyle w:val="Kazalovsebine2"/>
        <w:tabs>
          <w:tab w:val="left" w:pos="960"/>
          <w:tab w:val="right" w:leader="dot" w:pos="9062"/>
        </w:tabs>
        <w:rPr>
          <w:rFonts w:eastAsiaTheme="minorEastAsia" w:cstheme="minorBidi"/>
          <w:b w:val="0"/>
          <w:bCs w:val="0"/>
          <w:noProof/>
          <w:lang w:eastAsia="sl-SI"/>
        </w:rPr>
      </w:pPr>
      <w:hyperlink w:anchor="_Toc86826369" w:history="1">
        <w:r w:rsidRPr="00BF7E57">
          <w:rPr>
            <w:rStyle w:val="Hiperpovezava"/>
            <w:noProof/>
          </w:rPr>
          <w:t>1.2</w:t>
        </w:r>
        <w:r w:rsidRPr="00BF7E57">
          <w:rPr>
            <w:rFonts w:eastAsiaTheme="minorEastAsia" w:cstheme="minorBidi"/>
            <w:b w:val="0"/>
            <w:bCs w:val="0"/>
            <w:noProof/>
            <w:lang w:eastAsia="sl-SI"/>
          </w:rPr>
          <w:tab/>
        </w:r>
        <w:r w:rsidRPr="00BF7E57">
          <w:rPr>
            <w:rStyle w:val="Hiperpovezava"/>
            <w:noProof/>
          </w:rPr>
          <w:t>MIGRACIJE</w:t>
        </w:r>
        <w:r w:rsidRPr="00BF7E57">
          <w:rPr>
            <w:noProof/>
            <w:webHidden/>
          </w:rPr>
          <w:tab/>
        </w:r>
        <w:r w:rsidRPr="00BF7E57">
          <w:rPr>
            <w:noProof/>
            <w:webHidden/>
          </w:rPr>
          <w:fldChar w:fldCharType="begin"/>
        </w:r>
        <w:r w:rsidRPr="00BF7E57">
          <w:rPr>
            <w:noProof/>
            <w:webHidden/>
          </w:rPr>
          <w:instrText xml:space="preserve"> PAGEREF _Toc86826369 \h </w:instrText>
        </w:r>
        <w:r w:rsidRPr="00BF7E57">
          <w:rPr>
            <w:noProof/>
            <w:webHidden/>
          </w:rPr>
        </w:r>
        <w:r w:rsidRPr="00BF7E57">
          <w:rPr>
            <w:noProof/>
            <w:webHidden/>
          </w:rPr>
          <w:fldChar w:fldCharType="separate"/>
        </w:r>
        <w:r w:rsidR="00236865">
          <w:rPr>
            <w:noProof/>
            <w:webHidden/>
          </w:rPr>
          <w:t>20</w:t>
        </w:r>
        <w:r w:rsidRPr="00BF7E57">
          <w:rPr>
            <w:noProof/>
            <w:webHidden/>
          </w:rPr>
          <w:fldChar w:fldCharType="end"/>
        </w:r>
      </w:hyperlink>
    </w:p>
    <w:p w14:paraId="10908584" w14:textId="7B25E19F" w:rsidR="00D97A62" w:rsidRPr="00BF7E57" w:rsidRDefault="00D97A62">
      <w:pPr>
        <w:pStyle w:val="Kazalovsebine2"/>
        <w:tabs>
          <w:tab w:val="left" w:pos="960"/>
          <w:tab w:val="right" w:leader="dot" w:pos="9062"/>
        </w:tabs>
        <w:rPr>
          <w:rFonts w:eastAsiaTheme="minorEastAsia" w:cstheme="minorBidi"/>
          <w:b w:val="0"/>
          <w:bCs w:val="0"/>
          <w:noProof/>
          <w:lang w:eastAsia="sl-SI"/>
        </w:rPr>
      </w:pPr>
      <w:hyperlink w:anchor="_Toc86826370" w:history="1">
        <w:r w:rsidRPr="00BF7E57">
          <w:rPr>
            <w:rStyle w:val="Hiperpovezava"/>
            <w:noProof/>
          </w:rPr>
          <w:t>1.3</w:t>
        </w:r>
        <w:r w:rsidRPr="00BF7E57">
          <w:rPr>
            <w:rFonts w:eastAsiaTheme="minorEastAsia" w:cstheme="minorBidi"/>
            <w:b w:val="0"/>
            <w:bCs w:val="0"/>
            <w:noProof/>
            <w:lang w:eastAsia="sl-SI"/>
          </w:rPr>
          <w:tab/>
        </w:r>
        <w:r w:rsidRPr="00BF7E57">
          <w:rPr>
            <w:rStyle w:val="Hiperpovezava"/>
            <w:noProof/>
          </w:rPr>
          <w:t>KLJUČNE UGOTOVITVE</w:t>
        </w:r>
        <w:r w:rsidRPr="00BF7E57">
          <w:rPr>
            <w:noProof/>
            <w:webHidden/>
          </w:rPr>
          <w:tab/>
        </w:r>
        <w:r w:rsidRPr="00BF7E57">
          <w:rPr>
            <w:noProof/>
            <w:webHidden/>
          </w:rPr>
          <w:fldChar w:fldCharType="begin"/>
        </w:r>
        <w:r w:rsidRPr="00BF7E57">
          <w:rPr>
            <w:noProof/>
            <w:webHidden/>
          </w:rPr>
          <w:instrText xml:space="preserve"> PAGEREF _Toc86826370 \h </w:instrText>
        </w:r>
        <w:r w:rsidRPr="00BF7E57">
          <w:rPr>
            <w:noProof/>
            <w:webHidden/>
          </w:rPr>
        </w:r>
        <w:r w:rsidRPr="00BF7E57">
          <w:rPr>
            <w:noProof/>
            <w:webHidden/>
          </w:rPr>
          <w:fldChar w:fldCharType="separate"/>
        </w:r>
        <w:r w:rsidR="00236865">
          <w:rPr>
            <w:noProof/>
            <w:webHidden/>
          </w:rPr>
          <w:t>25</w:t>
        </w:r>
        <w:r w:rsidRPr="00BF7E57">
          <w:rPr>
            <w:noProof/>
            <w:webHidden/>
          </w:rPr>
          <w:fldChar w:fldCharType="end"/>
        </w:r>
      </w:hyperlink>
    </w:p>
    <w:p w14:paraId="135ECDA1" w14:textId="75D344A5"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71" w:history="1">
        <w:r w:rsidRPr="00BF7E57">
          <w:rPr>
            <w:rStyle w:val="Hiperpovezava"/>
            <w:rFonts w:ascii="Arial" w:hAnsi="Arial" w:cs="Arial"/>
            <w:noProof/>
          </w:rPr>
          <w:t>2 KAKOVOST ŽIVLJENJA IN SOCIALNA VKLJUČENOST</w:t>
        </w:r>
        <w:r w:rsidRPr="00BF7E57">
          <w:rPr>
            <w:noProof/>
            <w:webHidden/>
          </w:rPr>
          <w:tab/>
        </w:r>
        <w:r w:rsidRPr="00BF7E57">
          <w:rPr>
            <w:noProof/>
            <w:webHidden/>
          </w:rPr>
          <w:fldChar w:fldCharType="begin"/>
        </w:r>
        <w:r w:rsidRPr="00BF7E57">
          <w:rPr>
            <w:noProof/>
            <w:webHidden/>
          </w:rPr>
          <w:instrText xml:space="preserve"> PAGEREF _Toc86826371 \h </w:instrText>
        </w:r>
        <w:r w:rsidRPr="00BF7E57">
          <w:rPr>
            <w:noProof/>
            <w:webHidden/>
          </w:rPr>
        </w:r>
        <w:r w:rsidRPr="00BF7E57">
          <w:rPr>
            <w:noProof/>
            <w:webHidden/>
          </w:rPr>
          <w:fldChar w:fldCharType="separate"/>
        </w:r>
        <w:r w:rsidR="00236865">
          <w:rPr>
            <w:noProof/>
            <w:webHidden/>
          </w:rPr>
          <w:t>27</w:t>
        </w:r>
        <w:r w:rsidRPr="00BF7E57">
          <w:rPr>
            <w:noProof/>
            <w:webHidden/>
          </w:rPr>
          <w:fldChar w:fldCharType="end"/>
        </w:r>
      </w:hyperlink>
    </w:p>
    <w:p w14:paraId="37036790" w14:textId="472CED92"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72" w:history="1">
        <w:r w:rsidRPr="00BF7E57">
          <w:rPr>
            <w:rStyle w:val="Hiperpovezava"/>
            <w:rFonts w:ascii="Arial" w:hAnsi="Arial" w:cs="Arial"/>
            <w:noProof/>
          </w:rPr>
          <w:t>2.1 IZOBRAŽEVANJE</w:t>
        </w:r>
        <w:r w:rsidRPr="00BF7E57">
          <w:rPr>
            <w:noProof/>
            <w:webHidden/>
          </w:rPr>
          <w:tab/>
        </w:r>
        <w:r w:rsidRPr="00BF7E57">
          <w:rPr>
            <w:noProof/>
            <w:webHidden/>
          </w:rPr>
          <w:fldChar w:fldCharType="begin"/>
        </w:r>
        <w:r w:rsidRPr="00BF7E57">
          <w:rPr>
            <w:noProof/>
            <w:webHidden/>
          </w:rPr>
          <w:instrText xml:space="preserve"> PAGEREF _Toc86826372 \h </w:instrText>
        </w:r>
        <w:r w:rsidRPr="00BF7E57">
          <w:rPr>
            <w:noProof/>
            <w:webHidden/>
          </w:rPr>
        </w:r>
        <w:r w:rsidRPr="00BF7E57">
          <w:rPr>
            <w:noProof/>
            <w:webHidden/>
          </w:rPr>
          <w:fldChar w:fldCharType="separate"/>
        </w:r>
        <w:r w:rsidR="00236865">
          <w:rPr>
            <w:noProof/>
            <w:webHidden/>
          </w:rPr>
          <w:t>37</w:t>
        </w:r>
        <w:r w:rsidRPr="00BF7E57">
          <w:rPr>
            <w:noProof/>
            <w:webHidden/>
          </w:rPr>
          <w:fldChar w:fldCharType="end"/>
        </w:r>
      </w:hyperlink>
    </w:p>
    <w:p w14:paraId="18A8E37F" w14:textId="7F22CAD8"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73" w:history="1">
        <w:r w:rsidRPr="00BF7E57">
          <w:rPr>
            <w:rStyle w:val="Hiperpovezava"/>
            <w:rFonts w:ascii="Arial" w:hAnsi="Arial" w:cs="Arial"/>
            <w:noProof/>
          </w:rPr>
          <w:t>2.2 OPREMLJENOST S STORITVAMI</w:t>
        </w:r>
        <w:r w:rsidRPr="00BF7E57">
          <w:rPr>
            <w:noProof/>
            <w:webHidden/>
          </w:rPr>
          <w:tab/>
        </w:r>
        <w:r w:rsidRPr="00BF7E57">
          <w:rPr>
            <w:noProof/>
            <w:webHidden/>
          </w:rPr>
          <w:fldChar w:fldCharType="begin"/>
        </w:r>
        <w:r w:rsidRPr="00BF7E57">
          <w:rPr>
            <w:noProof/>
            <w:webHidden/>
          </w:rPr>
          <w:instrText xml:space="preserve"> PAGEREF _Toc86826373 \h </w:instrText>
        </w:r>
        <w:r w:rsidRPr="00BF7E57">
          <w:rPr>
            <w:noProof/>
            <w:webHidden/>
          </w:rPr>
        </w:r>
        <w:r w:rsidRPr="00BF7E57">
          <w:rPr>
            <w:noProof/>
            <w:webHidden/>
          </w:rPr>
          <w:fldChar w:fldCharType="separate"/>
        </w:r>
        <w:r w:rsidR="00236865">
          <w:rPr>
            <w:noProof/>
            <w:webHidden/>
          </w:rPr>
          <w:t>41</w:t>
        </w:r>
        <w:r w:rsidRPr="00BF7E57">
          <w:rPr>
            <w:noProof/>
            <w:webHidden/>
          </w:rPr>
          <w:fldChar w:fldCharType="end"/>
        </w:r>
      </w:hyperlink>
    </w:p>
    <w:p w14:paraId="222C2CFF" w14:textId="70279FB6" w:rsidR="00D97A62" w:rsidRPr="00BF7E57" w:rsidRDefault="00D97A62">
      <w:pPr>
        <w:pStyle w:val="Kazalovsebine2"/>
        <w:tabs>
          <w:tab w:val="left" w:pos="960"/>
          <w:tab w:val="right" w:leader="dot" w:pos="9062"/>
        </w:tabs>
        <w:rPr>
          <w:rFonts w:eastAsiaTheme="minorEastAsia" w:cstheme="minorBidi"/>
          <w:b w:val="0"/>
          <w:bCs w:val="0"/>
          <w:noProof/>
          <w:lang w:eastAsia="sl-SI"/>
        </w:rPr>
      </w:pPr>
      <w:hyperlink w:anchor="_Toc86826374" w:history="1">
        <w:r w:rsidRPr="00BF7E57">
          <w:rPr>
            <w:rStyle w:val="Hiperpovezava"/>
            <w:noProof/>
          </w:rPr>
          <w:t>2.3</w:t>
        </w:r>
        <w:r w:rsidRPr="00BF7E57">
          <w:rPr>
            <w:rFonts w:eastAsiaTheme="minorEastAsia" w:cstheme="minorBidi"/>
            <w:b w:val="0"/>
            <w:bCs w:val="0"/>
            <w:noProof/>
            <w:lang w:eastAsia="sl-SI"/>
          </w:rPr>
          <w:tab/>
        </w:r>
        <w:r w:rsidRPr="00BF7E57">
          <w:rPr>
            <w:rStyle w:val="Hiperpovezava"/>
            <w:noProof/>
          </w:rPr>
          <w:t>KULTURNA DEDIŠČINA</w:t>
        </w:r>
        <w:r w:rsidRPr="00BF7E57">
          <w:rPr>
            <w:noProof/>
            <w:webHidden/>
          </w:rPr>
          <w:tab/>
        </w:r>
        <w:r w:rsidRPr="00BF7E57">
          <w:rPr>
            <w:noProof/>
            <w:webHidden/>
          </w:rPr>
          <w:fldChar w:fldCharType="begin"/>
        </w:r>
        <w:r w:rsidRPr="00BF7E57">
          <w:rPr>
            <w:noProof/>
            <w:webHidden/>
          </w:rPr>
          <w:instrText xml:space="preserve"> PAGEREF _Toc86826374 \h </w:instrText>
        </w:r>
        <w:r w:rsidRPr="00BF7E57">
          <w:rPr>
            <w:noProof/>
            <w:webHidden/>
          </w:rPr>
        </w:r>
        <w:r w:rsidRPr="00BF7E57">
          <w:rPr>
            <w:noProof/>
            <w:webHidden/>
          </w:rPr>
          <w:fldChar w:fldCharType="separate"/>
        </w:r>
        <w:r w:rsidR="00236865">
          <w:rPr>
            <w:noProof/>
            <w:webHidden/>
          </w:rPr>
          <w:t>45</w:t>
        </w:r>
        <w:r w:rsidRPr="00BF7E57">
          <w:rPr>
            <w:noProof/>
            <w:webHidden/>
          </w:rPr>
          <w:fldChar w:fldCharType="end"/>
        </w:r>
      </w:hyperlink>
    </w:p>
    <w:p w14:paraId="13C6EC69" w14:textId="61D1753A" w:rsidR="00D97A62" w:rsidRPr="00BF7E57" w:rsidRDefault="00D97A62">
      <w:pPr>
        <w:pStyle w:val="Kazalovsebine2"/>
        <w:tabs>
          <w:tab w:val="left" w:pos="960"/>
          <w:tab w:val="right" w:leader="dot" w:pos="9062"/>
        </w:tabs>
        <w:rPr>
          <w:rFonts w:eastAsiaTheme="minorEastAsia" w:cstheme="minorBidi"/>
          <w:b w:val="0"/>
          <w:bCs w:val="0"/>
          <w:noProof/>
          <w:lang w:eastAsia="sl-SI"/>
        </w:rPr>
      </w:pPr>
      <w:hyperlink w:anchor="_Toc86826375" w:history="1">
        <w:r w:rsidRPr="00BF7E57">
          <w:rPr>
            <w:rStyle w:val="Hiperpovezava"/>
            <w:noProof/>
          </w:rPr>
          <w:t>2.4</w:t>
        </w:r>
        <w:r w:rsidRPr="00BF7E57">
          <w:rPr>
            <w:rFonts w:eastAsiaTheme="minorEastAsia" w:cstheme="minorBidi"/>
            <w:b w:val="0"/>
            <w:bCs w:val="0"/>
            <w:noProof/>
            <w:lang w:eastAsia="sl-SI"/>
          </w:rPr>
          <w:tab/>
        </w:r>
        <w:r w:rsidRPr="00BF7E57">
          <w:rPr>
            <w:rStyle w:val="Hiperpovezava"/>
            <w:noProof/>
          </w:rPr>
          <w:t>PAMETNE VASI</w:t>
        </w:r>
        <w:r w:rsidRPr="00BF7E57">
          <w:rPr>
            <w:noProof/>
            <w:webHidden/>
          </w:rPr>
          <w:tab/>
        </w:r>
        <w:r w:rsidRPr="00BF7E57">
          <w:rPr>
            <w:noProof/>
            <w:webHidden/>
          </w:rPr>
          <w:fldChar w:fldCharType="begin"/>
        </w:r>
        <w:r w:rsidRPr="00BF7E57">
          <w:rPr>
            <w:noProof/>
            <w:webHidden/>
          </w:rPr>
          <w:instrText xml:space="preserve"> PAGEREF _Toc86826375 \h </w:instrText>
        </w:r>
        <w:r w:rsidRPr="00BF7E57">
          <w:rPr>
            <w:noProof/>
            <w:webHidden/>
          </w:rPr>
        </w:r>
        <w:r w:rsidRPr="00BF7E57">
          <w:rPr>
            <w:noProof/>
            <w:webHidden/>
          </w:rPr>
          <w:fldChar w:fldCharType="separate"/>
        </w:r>
        <w:r w:rsidR="00236865">
          <w:rPr>
            <w:noProof/>
            <w:webHidden/>
          </w:rPr>
          <w:t>47</w:t>
        </w:r>
        <w:r w:rsidRPr="00BF7E57">
          <w:rPr>
            <w:noProof/>
            <w:webHidden/>
          </w:rPr>
          <w:fldChar w:fldCharType="end"/>
        </w:r>
      </w:hyperlink>
    </w:p>
    <w:p w14:paraId="51682D58" w14:textId="6262C3A6"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76" w:history="1">
        <w:r w:rsidRPr="00BF7E57">
          <w:rPr>
            <w:rStyle w:val="Hiperpovezava"/>
            <w:rFonts w:ascii="Arial" w:hAnsi="Arial" w:cs="Arial"/>
            <w:noProof/>
          </w:rPr>
          <w:t>2.5 KLJUČNE UGOTOVITVE</w:t>
        </w:r>
        <w:r w:rsidRPr="00BF7E57">
          <w:rPr>
            <w:noProof/>
            <w:webHidden/>
          </w:rPr>
          <w:tab/>
        </w:r>
        <w:r w:rsidRPr="00BF7E57">
          <w:rPr>
            <w:noProof/>
            <w:webHidden/>
          </w:rPr>
          <w:fldChar w:fldCharType="begin"/>
        </w:r>
        <w:r w:rsidRPr="00BF7E57">
          <w:rPr>
            <w:noProof/>
            <w:webHidden/>
          </w:rPr>
          <w:instrText xml:space="preserve"> PAGEREF _Toc86826376 \h </w:instrText>
        </w:r>
        <w:r w:rsidRPr="00BF7E57">
          <w:rPr>
            <w:noProof/>
            <w:webHidden/>
          </w:rPr>
        </w:r>
        <w:r w:rsidRPr="00BF7E57">
          <w:rPr>
            <w:noProof/>
            <w:webHidden/>
          </w:rPr>
          <w:fldChar w:fldCharType="separate"/>
        </w:r>
        <w:r w:rsidR="00236865">
          <w:rPr>
            <w:noProof/>
            <w:webHidden/>
          </w:rPr>
          <w:t>48</w:t>
        </w:r>
        <w:r w:rsidRPr="00BF7E57">
          <w:rPr>
            <w:noProof/>
            <w:webHidden/>
          </w:rPr>
          <w:fldChar w:fldCharType="end"/>
        </w:r>
      </w:hyperlink>
    </w:p>
    <w:p w14:paraId="24A06176" w14:textId="39CAD442"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77" w:history="1">
        <w:r w:rsidRPr="00BF7E57">
          <w:rPr>
            <w:rStyle w:val="Hiperpovezava"/>
            <w:rFonts w:ascii="Arial" w:hAnsi="Arial" w:cs="Arial"/>
            <w:noProof/>
          </w:rPr>
          <w:t>3 GOSPODARSTVO</w:t>
        </w:r>
        <w:r w:rsidRPr="00BF7E57">
          <w:rPr>
            <w:noProof/>
            <w:webHidden/>
          </w:rPr>
          <w:tab/>
        </w:r>
        <w:r w:rsidRPr="00BF7E57">
          <w:rPr>
            <w:noProof/>
            <w:webHidden/>
          </w:rPr>
          <w:fldChar w:fldCharType="begin"/>
        </w:r>
        <w:r w:rsidRPr="00BF7E57">
          <w:rPr>
            <w:noProof/>
            <w:webHidden/>
          </w:rPr>
          <w:instrText xml:space="preserve"> PAGEREF _Toc86826377 \h </w:instrText>
        </w:r>
        <w:r w:rsidRPr="00BF7E57">
          <w:rPr>
            <w:noProof/>
            <w:webHidden/>
          </w:rPr>
        </w:r>
        <w:r w:rsidRPr="00BF7E57">
          <w:rPr>
            <w:noProof/>
            <w:webHidden/>
          </w:rPr>
          <w:fldChar w:fldCharType="separate"/>
        </w:r>
        <w:r w:rsidR="00236865">
          <w:rPr>
            <w:noProof/>
            <w:webHidden/>
          </w:rPr>
          <w:t>51</w:t>
        </w:r>
        <w:r w:rsidRPr="00BF7E57">
          <w:rPr>
            <w:noProof/>
            <w:webHidden/>
          </w:rPr>
          <w:fldChar w:fldCharType="end"/>
        </w:r>
      </w:hyperlink>
    </w:p>
    <w:p w14:paraId="37C7B333" w14:textId="1C4D0299"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78" w:history="1">
        <w:r w:rsidRPr="00BF7E57">
          <w:rPr>
            <w:rStyle w:val="Hiperpovezava"/>
            <w:rFonts w:ascii="Arial" w:hAnsi="Arial" w:cs="Arial"/>
            <w:noProof/>
          </w:rPr>
          <w:t>3.1 ZNAČILNOSTI PODJETNIŠTVA</w:t>
        </w:r>
        <w:r w:rsidRPr="00BF7E57">
          <w:rPr>
            <w:noProof/>
            <w:webHidden/>
          </w:rPr>
          <w:tab/>
        </w:r>
        <w:r w:rsidRPr="00BF7E57">
          <w:rPr>
            <w:noProof/>
            <w:webHidden/>
          </w:rPr>
          <w:fldChar w:fldCharType="begin"/>
        </w:r>
        <w:r w:rsidRPr="00BF7E57">
          <w:rPr>
            <w:noProof/>
            <w:webHidden/>
          </w:rPr>
          <w:instrText xml:space="preserve"> PAGEREF _Toc86826378 \h </w:instrText>
        </w:r>
        <w:r w:rsidRPr="00BF7E57">
          <w:rPr>
            <w:noProof/>
            <w:webHidden/>
          </w:rPr>
        </w:r>
        <w:r w:rsidRPr="00BF7E57">
          <w:rPr>
            <w:noProof/>
            <w:webHidden/>
          </w:rPr>
          <w:fldChar w:fldCharType="separate"/>
        </w:r>
        <w:r w:rsidR="00236865">
          <w:rPr>
            <w:noProof/>
            <w:webHidden/>
          </w:rPr>
          <w:t>55</w:t>
        </w:r>
        <w:r w:rsidRPr="00BF7E57">
          <w:rPr>
            <w:noProof/>
            <w:webHidden/>
          </w:rPr>
          <w:fldChar w:fldCharType="end"/>
        </w:r>
      </w:hyperlink>
    </w:p>
    <w:p w14:paraId="03328260" w14:textId="512AA7E1"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79" w:history="1">
        <w:r w:rsidRPr="00BF7E57">
          <w:rPr>
            <w:rStyle w:val="Hiperpovezava"/>
            <w:rFonts w:ascii="Arial" w:hAnsi="Arial" w:cs="Arial"/>
            <w:noProof/>
          </w:rPr>
          <w:t>3.2 ZAPOSLENOST</w:t>
        </w:r>
        <w:r w:rsidRPr="00BF7E57">
          <w:rPr>
            <w:noProof/>
            <w:webHidden/>
          </w:rPr>
          <w:tab/>
        </w:r>
        <w:r w:rsidRPr="00BF7E57">
          <w:rPr>
            <w:noProof/>
            <w:webHidden/>
          </w:rPr>
          <w:fldChar w:fldCharType="begin"/>
        </w:r>
        <w:r w:rsidRPr="00BF7E57">
          <w:rPr>
            <w:noProof/>
            <w:webHidden/>
          </w:rPr>
          <w:instrText xml:space="preserve"> PAGEREF _Toc86826379 \h </w:instrText>
        </w:r>
        <w:r w:rsidRPr="00BF7E57">
          <w:rPr>
            <w:noProof/>
            <w:webHidden/>
          </w:rPr>
        </w:r>
        <w:r w:rsidRPr="00BF7E57">
          <w:rPr>
            <w:noProof/>
            <w:webHidden/>
          </w:rPr>
          <w:fldChar w:fldCharType="separate"/>
        </w:r>
        <w:r w:rsidR="00236865">
          <w:rPr>
            <w:noProof/>
            <w:webHidden/>
          </w:rPr>
          <w:t>58</w:t>
        </w:r>
        <w:r w:rsidRPr="00BF7E57">
          <w:rPr>
            <w:noProof/>
            <w:webHidden/>
          </w:rPr>
          <w:fldChar w:fldCharType="end"/>
        </w:r>
      </w:hyperlink>
    </w:p>
    <w:p w14:paraId="43C03DFE" w14:textId="37D9EEBA"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0" w:history="1">
        <w:r w:rsidRPr="00BF7E57">
          <w:rPr>
            <w:rStyle w:val="Hiperpovezava"/>
            <w:rFonts w:ascii="Arial" w:hAnsi="Arial" w:cs="Arial"/>
            <w:noProof/>
          </w:rPr>
          <w:t>3.3 DOPOLNILNE DEJAVNOSTI NA KMETIJI</w:t>
        </w:r>
        <w:r w:rsidRPr="00BF7E57">
          <w:rPr>
            <w:noProof/>
            <w:webHidden/>
          </w:rPr>
          <w:tab/>
        </w:r>
        <w:r w:rsidRPr="00BF7E57">
          <w:rPr>
            <w:noProof/>
            <w:webHidden/>
          </w:rPr>
          <w:fldChar w:fldCharType="begin"/>
        </w:r>
        <w:r w:rsidRPr="00BF7E57">
          <w:rPr>
            <w:noProof/>
            <w:webHidden/>
          </w:rPr>
          <w:instrText xml:space="preserve"> PAGEREF _Toc86826380 \h </w:instrText>
        </w:r>
        <w:r w:rsidRPr="00BF7E57">
          <w:rPr>
            <w:noProof/>
            <w:webHidden/>
          </w:rPr>
        </w:r>
        <w:r w:rsidRPr="00BF7E57">
          <w:rPr>
            <w:noProof/>
            <w:webHidden/>
          </w:rPr>
          <w:fldChar w:fldCharType="separate"/>
        </w:r>
        <w:r w:rsidR="00236865">
          <w:rPr>
            <w:noProof/>
            <w:webHidden/>
          </w:rPr>
          <w:t>62</w:t>
        </w:r>
        <w:r w:rsidRPr="00BF7E57">
          <w:rPr>
            <w:noProof/>
            <w:webHidden/>
          </w:rPr>
          <w:fldChar w:fldCharType="end"/>
        </w:r>
      </w:hyperlink>
    </w:p>
    <w:p w14:paraId="41171E0E" w14:textId="55FE9781"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1" w:history="1">
        <w:r w:rsidRPr="00BF7E57">
          <w:rPr>
            <w:rStyle w:val="Hiperpovezava"/>
            <w:rFonts w:ascii="Arial" w:hAnsi="Arial" w:cs="Arial"/>
            <w:noProof/>
          </w:rPr>
          <w:t>3.4 BIOGOSPODARSTVO</w:t>
        </w:r>
        <w:r w:rsidRPr="00BF7E57">
          <w:rPr>
            <w:noProof/>
            <w:webHidden/>
          </w:rPr>
          <w:tab/>
        </w:r>
        <w:r w:rsidRPr="00BF7E57">
          <w:rPr>
            <w:noProof/>
            <w:webHidden/>
          </w:rPr>
          <w:fldChar w:fldCharType="begin"/>
        </w:r>
        <w:r w:rsidRPr="00BF7E57">
          <w:rPr>
            <w:noProof/>
            <w:webHidden/>
          </w:rPr>
          <w:instrText xml:space="preserve"> PAGEREF _Toc86826381 \h </w:instrText>
        </w:r>
        <w:r w:rsidRPr="00BF7E57">
          <w:rPr>
            <w:noProof/>
            <w:webHidden/>
          </w:rPr>
        </w:r>
        <w:r w:rsidRPr="00BF7E57">
          <w:rPr>
            <w:noProof/>
            <w:webHidden/>
          </w:rPr>
          <w:fldChar w:fldCharType="separate"/>
        </w:r>
        <w:r w:rsidR="00236865">
          <w:rPr>
            <w:noProof/>
            <w:webHidden/>
          </w:rPr>
          <w:t>66</w:t>
        </w:r>
        <w:r w:rsidRPr="00BF7E57">
          <w:rPr>
            <w:noProof/>
            <w:webHidden/>
          </w:rPr>
          <w:fldChar w:fldCharType="end"/>
        </w:r>
      </w:hyperlink>
    </w:p>
    <w:p w14:paraId="2EE8D554" w14:textId="6181BF40"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2" w:history="1">
        <w:r w:rsidRPr="00BF7E57">
          <w:rPr>
            <w:rStyle w:val="Hiperpovezava"/>
            <w:rFonts w:ascii="Arial" w:hAnsi="Arial" w:cs="Arial"/>
            <w:noProof/>
          </w:rPr>
          <w:t>3.5 KLJUČNE UGOTOVITVE</w:t>
        </w:r>
        <w:r w:rsidRPr="00BF7E57">
          <w:rPr>
            <w:noProof/>
            <w:webHidden/>
          </w:rPr>
          <w:tab/>
        </w:r>
        <w:r w:rsidRPr="00BF7E57">
          <w:rPr>
            <w:noProof/>
            <w:webHidden/>
          </w:rPr>
          <w:fldChar w:fldCharType="begin"/>
        </w:r>
        <w:r w:rsidRPr="00BF7E57">
          <w:rPr>
            <w:noProof/>
            <w:webHidden/>
          </w:rPr>
          <w:instrText xml:space="preserve"> PAGEREF _Toc86826382 \h </w:instrText>
        </w:r>
        <w:r w:rsidRPr="00BF7E57">
          <w:rPr>
            <w:noProof/>
            <w:webHidden/>
          </w:rPr>
        </w:r>
        <w:r w:rsidRPr="00BF7E57">
          <w:rPr>
            <w:noProof/>
            <w:webHidden/>
          </w:rPr>
          <w:fldChar w:fldCharType="separate"/>
        </w:r>
        <w:r w:rsidR="00236865">
          <w:rPr>
            <w:noProof/>
            <w:webHidden/>
          </w:rPr>
          <w:t>80</w:t>
        </w:r>
        <w:r w:rsidRPr="00BF7E57">
          <w:rPr>
            <w:noProof/>
            <w:webHidden/>
          </w:rPr>
          <w:fldChar w:fldCharType="end"/>
        </w:r>
      </w:hyperlink>
    </w:p>
    <w:p w14:paraId="354CD3FA" w14:textId="2101C67A"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3" w:history="1">
        <w:r w:rsidRPr="00BF7E57">
          <w:rPr>
            <w:rStyle w:val="Hiperpovezava"/>
            <w:rFonts w:ascii="Arial" w:hAnsi="Arial" w:cs="Arial"/>
            <w:noProof/>
          </w:rPr>
          <w:t>4 TRAJNOSTNO GOZDARSTVO</w:t>
        </w:r>
        <w:r w:rsidRPr="00BF7E57">
          <w:rPr>
            <w:noProof/>
            <w:webHidden/>
          </w:rPr>
          <w:tab/>
        </w:r>
        <w:r w:rsidRPr="00BF7E57">
          <w:rPr>
            <w:noProof/>
            <w:webHidden/>
          </w:rPr>
          <w:fldChar w:fldCharType="begin"/>
        </w:r>
        <w:r w:rsidRPr="00BF7E57">
          <w:rPr>
            <w:noProof/>
            <w:webHidden/>
          </w:rPr>
          <w:instrText xml:space="preserve"> PAGEREF _Toc86826383 \h </w:instrText>
        </w:r>
        <w:r w:rsidRPr="00BF7E57">
          <w:rPr>
            <w:noProof/>
            <w:webHidden/>
          </w:rPr>
        </w:r>
        <w:r w:rsidRPr="00BF7E57">
          <w:rPr>
            <w:noProof/>
            <w:webHidden/>
          </w:rPr>
          <w:fldChar w:fldCharType="separate"/>
        </w:r>
        <w:r w:rsidR="00236865">
          <w:rPr>
            <w:noProof/>
            <w:webHidden/>
          </w:rPr>
          <w:t>82</w:t>
        </w:r>
        <w:r w:rsidRPr="00BF7E57">
          <w:rPr>
            <w:noProof/>
            <w:webHidden/>
          </w:rPr>
          <w:fldChar w:fldCharType="end"/>
        </w:r>
      </w:hyperlink>
    </w:p>
    <w:p w14:paraId="5F6CFD34" w14:textId="06461A7D"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4" w:history="1">
        <w:r w:rsidRPr="00BF7E57">
          <w:rPr>
            <w:rStyle w:val="Hiperpovezava"/>
            <w:rFonts w:ascii="Arial" w:hAnsi="Arial" w:cs="Arial"/>
            <w:noProof/>
          </w:rPr>
          <w:t>5 DOSEDANJE IZKUŠNJE</w:t>
        </w:r>
        <w:r w:rsidRPr="00BF7E57">
          <w:rPr>
            <w:noProof/>
            <w:webHidden/>
          </w:rPr>
          <w:tab/>
        </w:r>
        <w:r w:rsidRPr="00BF7E57">
          <w:rPr>
            <w:noProof/>
            <w:webHidden/>
          </w:rPr>
          <w:fldChar w:fldCharType="begin"/>
        </w:r>
        <w:r w:rsidRPr="00BF7E57">
          <w:rPr>
            <w:noProof/>
            <w:webHidden/>
          </w:rPr>
          <w:instrText xml:space="preserve"> PAGEREF _Toc86826384 \h </w:instrText>
        </w:r>
        <w:r w:rsidRPr="00BF7E57">
          <w:rPr>
            <w:noProof/>
            <w:webHidden/>
          </w:rPr>
        </w:r>
        <w:r w:rsidRPr="00BF7E57">
          <w:rPr>
            <w:noProof/>
            <w:webHidden/>
          </w:rPr>
          <w:fldChar w:fldCharType="separate"/>
        </w:r>
        <w:r w:rsidR="00236865">
          <w:rPr>
            <w:noProof/>
            <w:webHidden/>
          </w:rPr>
          <w:t>82</w:t>
        </w:r>
        <w:r w:rsidRPr="00BF7E57">
          <w:rPr>
            <w:noProof/>
            <w:webHidden/>
          </w:rPr>
          <w:fldChar w:fldCharType="end"/>
        </w:r>
      </w:hyperlink>
    </w:p>
    <w:p w14:paraId="733A967E" w14:textId="3178552D"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5" w:history="1">
        <w:r w:rsidRPr="00BF7E57">
          <w:rPr>
            <w:rStyle w:val="Hiperpovezava"/>
            <w:noProof/>
          </w:rPr>
          <w:t>5.1 Analiza izvajanja ukrepov, povezanih s spodbujanjem razvoja podjetij in podjetništva na podeželskih območjih ter podpore v internet</w:t>
        </w:r>
        <w:r w:rsidRPr="00BF7E57">
          <w:rPr>
            <w:noProof/>
            <w:webHidden/>
          </w:rPr>
          <w:tab/>
        </w:r>
        <w:r w:rsidRPr="00BF7E57">
          <w:rPr>
            <w:noProof/>
            <w:webHidden/>
          </w:rPr>
          <w:fldChar w:fldCharType="begin"/>
        </w:r>
        <w:r w:rsidRPr="00BF7E57">
          <w:rPr>
            <w:noProof/>
            <w:webHidden/>
          </w:rPr>
          <w:instrText xml:space="preserve"> PAGEREF _Toc86826385 \h </w:instrText>
        </w:r>
        <w:r w:rsidRPr="00BF7E57">
          <w:rPr>
            <w:noProof/>
            <w:webHidden/>
          </w:rPr>
        </w:r>
        <w:r w:rsidRPr="00BF7E57">
          <w:rPr>
            <w:noProof/>
            <w:webHidden/>
          </w:rPr>
          <w:fldChar w:fldCharType="separate"/>
        </w:r>
        <w:r w:rsidR="00236865">
          <w:rPr>
            <w:noProof/>
            <w:webHidden/>
          </w:rPr>
          <w:t>82</w:t>
        </w:r>
        <w:r w:rsidRPr="00BF7E57">
          <w:rPr>
            <w:noProof/>
            <w:webHidden/>
          </w:rPr>
          <w:fldChar w:fldCharType="end"/>
        </w:r>
      </w:hyperlink>
    </w:p>
    <w:p w14:paraId="29AC617A" w14:textId="71AAC75E"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6" w:history="1">
        <w:r w:rsidRPr="00BF7E57">
          <w:rPr>
            <w:rStyle w:val="Hiperpovezava"/>
            <w:noProof/>
          </w:rPr>
          <w:t>5.2 Analiza izvajanja ukrepov, povezanih z obnovo in razvojem vasi ter kulturno dediščino</w:t>
        </w:r>
        <w:r w:rsidRPr="00BF7E57">
          <w:rPr>
            <w:noProof/>
            <w:webHidden/>
          </w:rPr>
          <w:tab/>
        </w:r>
        <w:r w:rsidRPr="00BF7E57">
          <w:rPr>
            <w:noProof/>
            <w:webHidden/>
          </w:rPr>
          <w:fldChar w:fldCharType="begin"/>
        </w:r>
        <w:r w:rsidRPr="00BF7E57">
          <w:rPr>
            <w:noProof/>
            <w:webHidden/>
          </w:rPr>
          <w:instrText xml:space="preserve"> PAGEREF _Toc86826386 \h </w:instrText>
        </w:r>
        <w:r w:rsidRPr="00BF7E57">
          <w:rPr>
            <w:noProof/>
            <w:webHidden/>
          </w:rPr>
        </w:r>
        <w:r w:rsidRPr="00BF7E57">
          <w:rPr>
            <w:noProof/>
            <w:webHidden/>
          </w:rPr>
          <w:fldChar w:fldCharType="separate"/>
        </w:r>
        <w:r w:rsidR="00236865">
          <w:rPr>
            <w:noProof/>
            <w:webHidden/>
          </w:rPr>
          <w:t>84</w:t>
        </w:r>
        <w:r w:rsidRPr="00BF7E57">
          <w:rPr>
            <w:noProof/>
            <w:webHidden/>
          </w:rPr>
          <w:fldChar w:fldCharType="end"/>
        </w:r>
      </w:hyperlink>
    </w:p>
    <w:p w14:paraId="552448FB" w14:textId="444821B0"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7" w:history="1">
        <w:r w:rsidRPr="00BF7E57">
          <w:rPr>
            <w:rStyle w:val="Hiperpovezava"/>
            <w:noProof/>
          </w:rPr>
          <w:t>5.3 Izvajanje pristopa, ki ga vodi skupnost (ukrep LEADER)</w:t>
        </w:r>
        <w:r w:rsidRPr="00BF7E57">
          <w:rPr>
            <w:noProof/>
            <w:webHidden/>
          </w:rPr>
          <w:tab/>
        </w:r>
        <w:r w:rsidRPr="00BF7E57">
          <w:rPr>
            <w:noProof/>
            <w:webHidden/>
          </w:rPr>
          <w:fldChar w:fldCharType="begin"/>
        </w:r>
        <w:r w:rsidRPr="00BF7E57">
          <w:rPr>
            <w:noProof/>
            <w:webHidden/>
          </w:rPr>
          <w:instrText xml:space="preserve"> PAGEREF _Toc86826387 \h </w:instrText>
        </w:r>
        <w:r w:rsidRPr="00BF7E57">
          <w:rPr>
            <w:noProof/>
            <w:webHidden/>
          </w:rPr>
        </w:r>
        <w:r w:rsidRPr="00BF7E57">
          <w:rPr>
            <w:noProof/>
            <w:webHidden/>
          </w:rPr>
          <w:fldChar w:fldCharType="separate"/>
        </w:r>
        <w:r w:rsidR="00236865">
          <w:rPr>
            <w:noProof/>
            <w:webHidden/>
          </w:rPr>
          <w:t>86</w:t>
        </w:r>
        <w:r w:rsidRPr="00BF7E57">
          <w:rPr>
            <w:noProof/>
            <w:webHidden/>
          </w:rPr>
          <w:fldChar w:fldCharType="end"/>
        </w:r>
      </w:hyperlink>
    </w:p>
    <w:p w14:paraId="6C109FD8" w14:textId="44D6F95F"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8" w:history="1">
        <w:r w:rsidRPr="00BF7E57">
          <w:rPr>
            <w:rStyle w:val="Hiperpovezava"/>
            <w:rFonts w:ascii="Arial" w:hAnsi="Arial" w:cs="Arial"/>
            <w:noProof/>
            <w:lang w:eastAsia="sl-SI"/>
          </w:rPr>
          <w:t>5.4 Izvajanje CLLD v okviru Operativnega programa za izvajanje Evropske kohezijske politike 2014-2020</w:t>
        </w:r>
        <w:r w:rsidRPr="00BF7E57">
          <w:rPr>
            <w:noProof/>
            <w:webHidden/>
          </w:rPr>
          <w:tab/>
        </w:r>
        <w:r w:rsidRPr="00BF7E57">
          <w:rPr>
            <w:noProof/>
            <w:webHidden/>
          </w:rPr>
          <w:fldChar w:fldCharType="begin"/>
        </w:r>
        <w:r w:rsidRPr="00BF7E57">
          <w:rPr>
            <w:noProof/>
            <w:webHidden/>
          </w:rPr>
          <w:instrText xml:space="preserve"> PAGEREF _Toc86826388 \h </w:instrText>
        </w:r>
        <w:r w:rsidRPr="00BF7E57">
          <w:rPr>
            <w:noProof/>
            <w:webHidden/>
          </w:rPr>
        </w:r>
        <w:r w:rsidRPr="00BF7E57">
          <w:rPr>
            <w:noProof/>
            <w:webHidden/>
          </w:rPr>
          <w:fldChar w:fldCharType="separate"/>
        </w:r>
        <w:r w:rsidR="00236865">
          <w:rPr>
            <w:noProof/>
            <w:webHidden/>
          </w:rPr>
          <w:t>93</w:t>
        </w:r>
        <w:r w:rsidRPr="00BF7E57">
          <w:rPr>
            <w:noProof/>
            <w:webHidden/>
          </w:rPr>
          <w:fldChar w:fldCharType="end"/>
        </w:r>
      </w:hyperlink>
    </w:p>
    <w:p w14:paraId="54D1196E" w14:textId="054F10CA"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89" w:history="1">
        <w:r w:rsidRPr="00BF7E57">
          <w:rPr>
            <w:rStyle w:val="Hiperpovezava"/>
            <w:rFonts w:ascii="Arial" w:hAnsi="Arial" w:cs="Arial"/>
            <w:noProof/>
            <w:lang w:eastAsia="sl-SI"/>
          </w:rPr>
          <w:t>5.5 Izvajanje CLLD v okviru Operativnega programa za izvajanje Evropskega sklada za pomorstvo in ribištvo v Republiki Sloveniji za obdobje 2014-2020</w:t>
        </w:r>
        <w:r w:rsidRPr="00BF7E57">
          <w:rPr>
            <w:noProof/>
            <w:webHidden/>
          </w:rPr>
          <w:tab/>
        </w:r>
        <w:r w:rsidRPr="00BF7E57">
          <w:rPr>
            <w:noProof/>
            <w:webHidden/>
          </w:rPr>
          <w:fldChar w:fldCharType="begin"/>
        </w:r>
        <w:r w:rsidRPr="00BF7E57">
          <w:rPr>
            <w:noProof/>
            <w:webHidden/>
          </w:rPr>
          <w:instrText xml:space="preserve"> PAGEREF _Toc86826389 \h </w:instrText>
        </w:r>
        <w:r w:rsidRPr="00BF7E57">
          <w:rPr>
            <w:noProof/>
            <w:webHidden/>
          </w:rPr>
        </w:r>
        <w:r w:rsidRPr="00BF7E57">
          <w:rPr>
            <w:noProof/>
            <w:webHidden/>
          </w:rPr>
          <w:fldChar w:fldCharType="separate"/>
        </w:r>
        <w:r w:rsidR="00236865">
          <w:rPr>
            <w:noProof/>
            <w:webHidden/>
          </w:rPr>
          <w:t>94</w:t>
        </w:r>
        <w:r w:rsidRPr="00BF7E57">
          <w:rPr>
            <w:noProof/>
            <w:webHidden/>
          </w:rPr>
          <w:fldChar w:fldCharType="end"/>
        </w:r>
      </w:hyperlink>
    </w:p>
    <w:p w14:paraId="74C96374" w14:textId="55EA812B"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90" w:history="1">
        <w:r w:rsidRPr="00BF7E57">
          <w:rPr>
            <w:rStyle w:val="Hiperpovezava"/>
            <w:rFonts w:ascii="Arial" w:hAnsi="Arial" w:cs="Arial"/>
            <w:noProof/>
          </w:rPr>
          <w:t>5.6 KLJUČNE UGOTOVITVE</w:t>
        </w:r>
        <w:r w:rsidRPr="00BF7E57">
          <w:rPr>
            <w:noProof/>
            <w:webHidden/>
          </w:rPr>
          <w:tab/>
        </w:r>
        <w:r w:rsidRPr="00BF7E57">
          <w:rPr>
            <w:noProof/>
            <w:webHidden/>
          </w:rPr>
          <w:fldChar w:fldCharType="begin"/>
        </w:r>
        <w:r w:rsidRPr="00BF7E57">
          <w:rPr>
            <w:noProof/>
            <w:webHidden/>
          </w:rPr>
          <w:instrText xml:space="preserve"> PAGEREF _Toc86826390 \h </w:instrText>
        </w:r>
        <w:r w:rsidRPr="00BF7E57">
          <w:rPr>
            <w:noProof/>
            <w:webHidden/>
          </w:rPr>
        </w:r>
        <w:r w:rsidRPr="00BF7E57">
          <w:rPr>
            <w:noProof/>
            <w:webHidden/>
          </w:rPr>
          <w:fldChar w:fldCharType="separate"/>
        </w:r>
        <w:r w:rsidR="00236865">
          <w:rPr>
            <w:noProof/>
            <w:webHidden/>
          </w:rPr>
          <w:t>95</w:t>
        </w:r>
        <w:r w:rsidRPr="00BF7E57">
          <w:rPr>
            <w:noProof/>
            <w:webHidden/>
          </w:rPr>
          <w:fldChar w:fldCharType="end"/>
        </w:r>
      </w:hyperlink>
    </w:p>
    <w:p w14:paraId="6CF958D1" w14:textId="259BD1A6" w:rsidR="00D97A62" w:rsidRPr="00BF7E57" w:rsidRDefault="00D97A62">
      <w:pPr>
        <w:pStyle w:val="Kazalovsebine2"/>
        <w:tabs>
          <w:tab w:val="right" w:leader="dot" w:pos="9062"/>
        </w:tabs>
        <w:rPr>
          <w:rFonts w:eastAsiaTheme="minorEastAsia" w:cstheme="minorBidi"/>
          <w:b w:val="0"/>
          <w:bCs w:val="0"/>
          <w:noProof/>
          <w:lang w:eastAsia="sl-SI"/>
        </w:rPr>
      </w:pPr>
      <w:hyperlink w:anchor="_Toc86826391" w:history="1">
        <w:r w:rsidRPr="00BF7E57">
          <w:rPr>
            <w:rStyle w:val="Hiperpovezava"/>
            <w:rFonts w:ascii="Arial" w:hAnsi="Arial" w:cs="Arial"/>
            <w:noProof/>
          </w:rPr>
          <w:t>6 ANALIZA SWOT</w:t>
        </w:r>
        <w:r w:rsidRPr="00BF7E57">
          <w:rPr>
            <w:noProof/>
            <w:webHidden/>
          </w:rPr>
          <w:tab/>
        </w:r>
        <w:r w:rsidRPr="00BF7E57">
          <w:rPr>
            <w:noProof/>
            <w:webHidden/>
          </w:rPr>
          <w:fldChar w:fldCharType="begin"/>
        </w:r>
        <w:r w:rsidRPr="00BF7E57">
          <w:rPr>
            <w:noProof/>
            <w:webHidden/>
          </w:rPr>
          <w:instrText xml:space="preserve"> PAGEREF _Toc86826391 \h </w:instrText>
        </w:r>
        <w:r w:rsidRPr="00BF7E57">
          <w:rPr>
            <w:noProof/>
            <w:webHidden/>
          </w:rPr>
        </w:r>
        <w:r w:rsidRPr="00BF7E57">
          <w:rPr>
            <w:noProof/>
            <w:webHidden/>
          </w:rPr>
          <w:fldChar w:fldCharType="separate"/>
        </w:r>
        <w:r w:rsidR="00236865">
          <w:rPr>
            <w:noProof/>
            <w:webHidden/>
          </w:rPr>
          <w:t>96</w:t>
        </w:r>
        <w:r w:rsidRPr="00BF7E57">
          <w:rPr>
            <w:noProof/>
            <w:webHidden/>
          </w:rPr>
          <w:fldChar w:fldCharType="end"/>
        </w:r>
      </w:hyperlink>
    </w:p>
    <w:p w14:paraId="07889890" w14:textId="27B52095" w:rsidR="00CA480A" w:rsidRPr="00BF7E57" w:rsidRDefault="00163103" w:rsidP="00EA2E4C">
      <w:pPr>
        <w:pStyle w:val="Kazaloslik"/>
        <w:tabs>
          <w:tab w:val="right" w:leader="underscore" w:pos="9628"/>
        </w:tabs>
        <w:jc w:val="both"/>
        <w:rPr>
          <w:rFonts w:ascii="Arial" w:hAnsi="Arial" w:cs="Arial"/>
        </w:rPr>
      </w:pPr>
      <w:r w:rsidRPr="00BF7E57">
        <w:rPr>
          <w:rFonts w:ascii="Arial" w:hAnsi="Arial" w:cs="Arial"/>
          <w:b/>
          <w:bCs/>
        </w:rPr>
        <w:fldChar w:fldCharType="end"/>
      </w:r>
    </w:p>
    <w:p w14:paraId="1E51894E" w14:textId="3C9DF425" w:rsidR="00CD4BB2" w:rsidRPr="00BF7E57" w:rsidRDefault="00CD4BB2">
      <w:pPr>
        <w:rPr>
          <w:rFonts w:ascii="Arial" w:hAnsi="Arial" w:cs="Arial"/>
          <w:sz w:val="20"/>
          <w:szCs w:val="20"/>
        </w:rPr>
      </w:pPr>
      <w:r w:rsidRPr="00BF7E57">
        <w:rPr>
          <w:rFonts w:ascii="Arial" w:hAnsi="Arial" w:cs="Arial"/>
          <w:sz w:val="20"/>
          <w:szCs w:val="20"/>
        </w:rPr>
        <w:br w:type="page"/>
      </w:r>
      <w:r w:rsidR="00797CBF" w:rsidRPr="00BF7E57">
        <w:rPr>
          <w:rFonts w:ascii="Arial" w:hAnsi="Arial" w:cs="Arial"/>
          <w:sz w:val="20"/>
          <w:szCs w:val="20"/>
        </w:rPr>
        <w:lastRenderedPageBreak/>
        <w:t>,</w:t>
      </w:r>
    </w:p>
    <w:p w14:paraId="4EE66A68" w14:textId="4BF87879" w:rsidR="00D97A62" w:rsidRPr="00BF7E57" w:rsidRDefault="0078036A">
      <w:pPr>
        <w:pStyle w:val="Kazaloslik"/>
        <w:tabs>
          <w:tab w:val="right" w:leader="dot" w:pos="9062"/>
        </w:tabs>
        <w:rPr>
          <w:rFonts w:eastAsiaTheme="minorEastAsia" w:cstheme="minorBidi"/>
          <w:i w:val="0"/>
          <w:iCs w:val="0"/>
          <w:noProof/>
          <w:sz w:val="22"/>
          <w:szCs w:val="22"/>
          <w:lang w:eastAsia="sl-SI"/>
        </w:rPr>
      </w:pPr>
      <w:r w:rsidRPr="00BF7E57">
        <w:rPr>
          <w:rFonts w:ascii="Arial" w:hAnsi="Arial" w:cs="Arial"/>
          <w:color w:val="000000"/>
          <w:lang w:eastAsia="sl-SI"/>
        </w:rPr>
        <w:fldChar w:fldCharType="begin"/>
      </w:r>
      <w:r w:rsidRPr="00BF7E57">
        <w:rPr>
          <w:rFonts w:ascii="Arial" w:hAnsi="Arial" w:cs="Arial"/>
          <w:color w:val="000000"/>
          <w:lang w:eastAsia="sl-SI"/>
        </w:rPr>
        <w:instrText xml:space="preserve"> TOC \h \z \c "Slika" </w:instrText>
      </w:r>
      <w:r w:rsidRPr="00BF7E57">
        <w:rPr>
          <w:rFonts w:ascii="Arial" w:hAnsi="Arial" w:cs="Arial"/>
          <w:color w:val="000000"/>
          <w:lang w:eastAsia="sl-SI"/>
        </w:rPr>
        <w:fldChar w:fldCharType="separate"/>
      </w:r>
      <w:hyperlink w:anchor="_Toc86826392" w:history="1">
        <w:r w:rsidR="00D97A62" w:rsidRPr="00BF7E57">
          <w:rPr>
            <w:rStyle w:val="Hiperpovezava"/>
            <w:noProof/>
          </w:rPr>
          <w:t>Slika 1: Statistične regije in kohezijski regiji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_Toc86826392 \h </w:instrText>
        </w:r>
        <w:r w:rsidR="00D97A62" w:rsidRPr="00BF7E57">
          <w:rPr>
            <w:noProof/>
            <w:webHidden/>
          </w:rPr>
        </w:r>
        <w:r w:rsidR="00D97A62" w:rsidRPr="00BF7E57">
          <w:rPr>
            <w:noProof/>
            <w:webHidden/>
          </w:rPr>
          <w:fldChar w:fldCharType="separate"/>
        </w:r>
        <w:r w:rsidR="00236865">
          <w:rPr>
            <w:noProof/>
            <w:webHidden/>
          </w:rPr>
          <w:t>7</w:t>
        </w:r>
        <w:r w:rsidR="00D97A62" w:rsidRPr="00BF7E57">
          <w:rPr>
            <w:noProof/>
            <w:webHidden/>
          </w:rPr>
          <w:fldChar w:fldCharType="end"/>
        </w:r>
      </w:hyperlink>
    </w:p>
    <w:p w14:paraId="788CEF5F" w14:textId="30848671"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393" w:history="1">
        <w:r w:rsidRPr="00BF7E57">
          <w:rPr>
            <w:rStyle w:val="Hiperpovezava"/>
            <w:noProof/>
          </w:rPr>
          <w:t>Slika 2: Vmesne in podeželske regije</w:t>
        </w:r>
        <w:r w:rsidRPr="00BF7E57">
          <w:rPr>
            <w:noProof/>
            <w:webHidden/>
          </w:rPr>
          <w:tab/>
        </w:r>
        <w:r w:rsidRPr="00BF7E57">
          <w:rPr>
            <w:noProof/>
            <w:webHidden/>
          </w:rPr>
          <w:fldChar w:fldCharType="begin"/>
        </w:r>
        <w:r w:rsidRPr="00BF7E57">
          <w:rPr>
            <w:noProof/>
            <w:webHidden/>
          </w:rPr>
          <w:instrText xml:space="preserve"> PAGEREF _Toc86826393 \h </w:instrText>
        </w:r>
        <w:r w:rsidRPr="00BF7E57">
          <w:rPr>
            <w:noProof/>
            <w:webHidden/>
          </w:rPr>
        </w:r>
        <w:r w:rsidRPr="00BF7E57">
          <w:rPr>
            <w:noProof/>
            <w:webHidden/>
          </w:rPr>
          <w:fldChar w:fldCharType="separate"/>
        </w:r>
        <w:r w:rsidR="00236865">
          <w:rPr>
            <w:noProof/>
            <w:webHidden/>
          </w:rPr>
          <w:t>8</w:t>
        </w:r>
        <w:r w:rsidRPr="00BF7E57">
          <w:rPr>
            <w:noProof/>
            <w:webHidden/>
          </w:rPr>
          <w:fldChar w:fldCharType="end"/>
        </w:r>
      </w:hyperlink>
    </w:p>
    <w:p w14:paraId="51C7F650" w14:textId="48898790"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394" w:history="1">
        <w:r w:rsidRPr="00BF7E57">
          <w:rPr>
            <w:rStyle w:val="Hiperpovezava"/>
            <w:noProof/>
          </w:rPr>
          <w:t>Slika 3: Delež podeželskega prebivalstva, 65 let in več ter pod 15 let starosti</w:t>
        </w:r>
        <w:r w:rsidRPr="00BF7E57">
          <w:rPr>
            <w:noProof/>
            <w:webHidden/>
          </w:rPr>
          <w:tab/>
        </w:r>
        <w:r w:rsidRPr="00BF7E57">
          <w:rPr>
            <w:noProof/>
            <w:webHidden/>
          </w:rPr>
          <w:fldChar w:fldCharType="begin"/>
        </w:r>
        <w:r w:rsidRPr="00BF7E57">
          <w:rPr>
            <w:noProof/>
            <w:webHidden/>
          </w:rPr>
          <w:instrText xml:space="preserve"> PAGEREF _Toc86826394 \h </w:instrText>
        </w:r>
        <w:r w:rsidRPr="00BF7E57">
          <w:rPr>
            <w:noProof/>
            <w:webHidden/>
          </w:rPr>
        </w:r>
        <w:r w:rsidRPr="00BF7E57">
          <w:rPr>
            <w:noProof/>
            <w:webHidden/>
          </w:rPr>
          <w:fldChar w:fldCharType="separate"/>
        </w:r>
        <w:r w:rsidR="00236865">
          <w:rPr>
            <w:noProof/>
            <w:webHidden/>
          </w:rPr>
          <w:t>10</w:t>
        </w:r>
        <w:r w:rsidRPr="00BF7E57">
          <w:rPr>
            <w:noProof/>
            <w:webHidden/>
          </w:rPr>
          <w:fldChar w:fldCharType="end"/>
        </w:r>
      </w:hyperlink>
    </w:p>
    <w:p w14:paraId="7F413CFE" w14:textId="47A0099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395" w:history="1">
        <w:r w:rsidRPr="00BF7E57">
          <w:rPr>
            <w:rStyle w:val="Hiperpovezava"/>
            <w:noProof/>
          </w:rPr>
          <w:t>Slika 4: Delež strukture prebivalstva v Sloveniji in na podeželju</w:t>
        </w:r>
        <w:r w:rsidRPr="00BF7E57">
          <w:rPr>
            <w:noProof/>
            <w:webHidden/>
          </w:rPr>
          <w:tab/>
        </w:r>
        <w:r w:rsidRPr="00BF7E57">
          <w:rPr>
            <w:noProof/>
            <w:webHidden/>
          </w:rPr>
          <w:fldChar w:fldCharType="begin"/>
        </w:r>
        <w:r w:rsidRPr="00BF7E57">
          <w:rPr>
            <w:noProof/>
            <w:webHidden/>
          </w:rPr>
          <w:instrText xml:space="preserve"> PAGEREF _Toc86826395 \h </w:instrText>
        </w:r>
        <w:r w:rsidRPr="00BF7E57">
          <w:rPr>
            <w:noProof/>
            <w:webHidden/>
          </w:rPr>
        </w:r>
        <w:r w:rsidRPr="00BF7E57">
          <w:rPr>
            <w:noProof/>
            <w:webHidden/>
          </w:rPr>
          <w:fldChar w:fldCharType="separate"/>
        </w:r>
        <w:r w:rsidR="00236865">
          <w:rPr>
            <w:noProof/>
            <w:webHidden/>
          </w:rPr>
          <w:t>12</w:t>
        </w:r>
        <w:r w:rsidRPr="00BF7E57">
          <w:rPr>
            <w:noProof/>
            <w:webHidden/>
          </w:rPr>
          <w:fldChar w:fldCharType="end"/>
        </w:r>
      </w:hyperlink>
    </w:p>
    <w:p w14:paraId="04CDC5A0" w14:textId="3DE71088"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396" w:history="1">
        <w:r w:rsidRPr="00BF7E57">
          <w:rPr>
            <w:rStyle w:val="Hiperpovezava"/>
            <w:noProof/>
          </w:rPr>
          <w:t>Slika 5: Gibanje števila mladih in starih na podeželju</w:t>
        </w:r>
        <w:r w:rsidRPr="00BF7E57">
          <w:rPr>
            <w:noProof/>
            <w:webHidden/>
          </w:rPr>
          <w:tab/>
        </w:r>
        <w:r w:rsidRPr="00BF7E57">
          <w:rPr>
            <w:noProof/>
            <w:webHidden/>
          </w:rPr>
          <w:fldChar w:fldCharType="begin"/>
        </w:r>
        <w:r w:rsidRPr="00BF7E57">
          <w:rPr>
            <w:noProof/>
            <w:webHidden/>
          </w:rPr>
          <w:instrText xml:space="preserve"> PAGEREF _Toc86826396 \h </w:instrText>
        </w:r>
        <w:r w:rsidRPr="00BF7E57">
          <w:rPr>
            <w:noProof/>
            <w:webHidden/>
          </w:rPr>
        </w:r>
        <w:r w:rsidRPr="00BF7E57">
          <w:rPr>
            <w:noProof/>
            <w:webHidden/>
          </w:rPr>
          <w:fldChar w:fldCharType="separate"/>
        </w:r>
        <w:r w:rsidR="00236865">
          <w:rPr>
            <w:noProof/>
            <w:webHidden/>
          </w:rPr>
          <w:t>13</w:t>
        </w:r>
        <w:r w:rsidRPr="00BF7E57">
          <w:rPr>
            <w:noProof/>
            <w:webHidden/>
          </w:rPr>
          <w:fldChar w:fldCharType="end"/>
        </w:r>
      </w:hyperlink>
    </w:p>
    <w:p w14:paraId="65234D96" w14:textId="079910E1"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397" w:history="1">
        <w:r w:rsidRPr="00BF7E57">
          <w:rPr>
            <w:rStyle w:val="Hiperpovezava"/>
            <w:noProof/>
          </w:rPr>
          <w:t>Slika 6: Gibanje števila prebivalcev v slovenskih občinah med letoma 2008 in 2017</w:t>
        </w:r>
        <w:r w:rsidRPr="00BF7E57">
          <w:rPr>
            <w:noProof/>
            <w:webHidden/>
          </w:rPr>
          <w:tab/>
        </w:r>
        <w:r w:rsidRPr="00BF7E57">
          <w:rPr>
            <w:noProof/>
            <w:webHidden/>
          </w:rPr>
          <w:fldChar w:fldCharType="begin"/>
        </w:r>
        <w:r w:rsidRPr="00BF7E57">
          <w:rPr>
            <w:noProof/>
            <w:webHidden/>
          </w:rPr>
          <w:instrText xml:space="preserve"> PAGEREF _Toc86826397 \h </w:instrText>
        </w:r>
        <w:r w:rsidRPr="00BF7E57">
          <w:rPr>
            <w:noProof/>
            <w:webHidden/>
          </w:rPr>
        </w:r>
        <w:r w:rsidRPr="00BF7E57">
          <w:rPr>
            <w:noProof/>
            <w:webHidden/>
          </w:rPr>
          <w:fldChar w:fldCharType="separate"/>
        </w:r>
        <w:r w:rsidR="00236865">
          <w:rPr>
            <w:noProof/>
            <w:webHidden/>
          </w:rPr>
          <w:t>14</w:t>
        </w:r>
        <w:r w:rsidRPr="00BF7E57">
          <w:rPr>
            <w:noProof/>
            <w:webHidden/>
          </w:rPr>
          <w:fldChar w:fldCharType="end"/>
        </w:r>
      </w:hyperlink>
    </w:p>
    <w:p w14:paraId="166451C1" w14:textId="479215FD"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398" w:history="1">
        <w:r w:rsidRPr="00BF7E57">
          <w:rPr>
            <w:rStyle w:val="Hiperpovezava"/>
            <w:noProof/>
          </w:rPr>
          <w:t>Slika 7: Naravni in selitveni prirast po letih</w:t>
        </w:r>
        <w:r w:rsidRPr="00BF7E57">
          <w:rPr>
            <w:noProof/>
            <w:webHidden/>
          </w:rPr>
          <w:tab/>
        </w:r>
        <w:r w:rsidRPr="00BF7E57">
          <w:rPr>
            <w:noProof/>
            <w:webHidden/>
          </w:rPr>
          <w:fldChar w:fldCharType="begin"/>
        </w:r>
        <w:r w:rsidRPr="00BF7E57">
          <w:rPr>
            <w:noProof/>
            <w:webHidden/>
          </w:rPr>
          <w:instrText xml:space="preserve"> PAGEREF _Toc86826398 \h </w:instrText>
        </w:r>
        <w:r w:rsidRPr="00BF7E57">
          <w:rPr>
            <w:noProof/>
            <w:webHidden/>
          </w:rPr>
        </w:r>
        <w:r w:rsidRPr="00BF7E57">
          <w:rPr>
            <w:noProof/>
            <w:webHidden/>
          </w:rPr>
          <w:fldChar w:fldCharType="separate"/>
        </w:r>
        <w:r w:rsidR="00236865">
          <w:rPr>
            <w:noProof/>
            <w:webHidden/>
          </w:rPr>
          <w:t>15</w:t>
        </w:r>
        <w:r w:rsidRPr="00BF7E57">
          <w:rPr>
            <w:noProof/>
            <w:webHidden/>
          </w:rPr>
          <w:fldChar w:fldCharType="end"/>
        </w:r>
      </w:hyperlink>
    </w:p>
    <w:p w14:paraId="21A11FEC" w14:textId="3A8C594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399" w:history="1">
        <w:r w:rsidRPr="00BF7E57">
          <w:rPr>
            <w:rStyle w:val="Hiperpovezava"/>
            <w:noProof/>
          </w:rPr>
          <w:t>Slika 8: Koeficient starostne odvisnosti</w:t>
        </w:r>
        <w:r w:rsidRPr="00BF7E57">
          <w:rPr>
            <w:noProof/>
            <w:webHidden/>
          </w:rPr>
          <w:tab/>
        </w:r>
        <w:r w:rsidRPr="00BF7E57">
          <w:rPr>
            <w:noProof/>
            <w:webHidden/>
          </w:rPr>
          <w:fldChar w:fldCharType="begin"/>
        </w:r>
        <w:r w:rsidRPr="00BF7E57">
          <w:rPr>
            <w:noProof/>
            <w:webHidden/>
          </w:rPr>
          <w:instrText xml:space="preserve"> PAGEREF _Toc86826399 \h </w:instrText>
        </w:r>
        <w:r w:rsidRPr="00BF7E57">
          <w:rPr>
            <w:noProof/>
            <w:webHidden/>
          </w:rPr>
        </w:r>
        <w:r w:rsidRPr="00BF7E57">
          <w:rPr>
            <w:noProof/>
            <w:webHidden/>
          </w:rPr>
          <w:fldChar w:fldCharType="separate"/>
        </w:r>
        <w:r w:rsidR="00236865">
          <w:rPr>
            <w:noProof/>
            <w:webHidden/>
          </w:rPr>
          <w:t>16</w:t>
        </w:r>
        <w:r w:rsidRPr="00BF7E57">
          <w:rPr>
            <w:noProof/>
            <w:webHidden/>
          </w:rPr>
          <w:fldChar w:fldCharType="end"/>
        </w:r>
      </w:hyperlink>
    </w:p>
    <w:p w14:paraId="3D526D29" w14:textId="5229ADA7"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0" w:history="1">
        <w:r w:rsidRPr="00BF7E57">
          <w:rPr>
            <w:rStyle w:val="Hiperpovezava"/>
            <w:noProof/>
          </w:rPr>
          <w:t>Slika 9: Območja glede na gibanje števila prebivalstva in projekcije</w:t>
        </w:r>
        <w:r w:rsidRPr="00BF7E57">
          <w:rPr>
            <w:noProof/>
            <w:webHidden/>
          </w:rPr>
          <w:tab/>
        </w:r>
        <w:r w:rsidRPr="00BF7E57">
          <w:rPr>
            <w:noProof/>
            <w:webHidden/>
          </w:rPr>
          <w:fldChar w:fldCharType="begin"/>
        </w:r>
        <w:r w:rsidRPr="00BF7E57">
          <w:rPr>
            <w:noProof/>
            <w:webHidden/>
          </w:rPr>
          <w:instrText xml:space="preserve"> PAGEREF _Toc86826400 \h </w:instrText>
        </w:r>
        <w:r w:rsidRPr="00BF7E57">
          <w:rPr>
            <w:noProof/>
            <w:webHidden/>
          </w:rPr>
        </w:r>
        <w:r w:rsidRPr="00BF7E57">
          <w:rPr>
            <w:noProof/>
            <w:webHidden/>
          </w:rPr>
          <w:fldChar w:fldCharType="separate"/>
        </w:r>
        <w:r w:rsidR="00236865">
          <w:rPr>
            <w:noProof/>
            <w:webHidden/>
          </w:rPr>
          <w:t>18</w:t>
        </w:r>
        <w:r w:rsidRPr="00BF7E57">
          <w:rPr>
            <w:noProof/>
            <w:webHidden/>
          </w:rPr>
          <w:fldChar w:fldCharType="end"/>
        </w:r>
      </w:hyperlink>
    </w:p>
    <w:p w14:paraId="1E32A23A" w14:textId="743243C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1" w:history="1">
        <w:r w:rsidRPr="00BF7E57">
          <w:rPr>
            <w:rStyle w:val="Hiperpovezava"/>
            <w:noProof/>
          </w:rPr>
          <w:t>Slika 10: Demografsko-naselbinski tipi</w:t>
        </w:r>
        <w:r w:rsidRPr="00BF7E57">
          <w:rPr>
            <w:noProof/>
            <w:webHidden/>
          </w:rPr>
          <w:tab/>
        </w:r>
        <w:r w:rsidRPr="00BF7E57">
          <w:rPr>
            <w:noProof/>
            <w:webHidden/>
          </w:rPr>
          <w:fldChar w:fldCharType="begin"/>
        </w:r>
        <w:r w:rsidRPr="00BF7E57">
          <w:rPr>
            <w:noProof/>
            <w:webHidden/>
          </w:rPr>
          <w:instrText xml:space="preserve"> PAGEREF _Toc86826401 \h </w:instrText>
        </w:r>
        <w:r w:rsidRPr="00BF7E57">
          <w:rPr>
            <w:noProof/>
            <w:webHidden/>
          </w:rPr>
        </w:r>
        <w:r w:rsidRPr="00BF7E57">
          <w:rPr>
            <w:noProof/>
            <w:webHidden/>
          </w:rPr>
          <w:fldChar w:fldCharType="separate"/>
        </w:r>
        <w:r w:rsidR="00236865">
          <w:rPr>
            <w:noProof/>
            <w:webHidden/>
          </w:rPr>
          <w:t>19</w:t>
        </w:r>
        <w:r w:rsidRPr="00BF7E57">
          <w:rPr>
            <w:noProof/>
            <w:webHidden/>
          </w:rPr>
          <w:fldChar w:fldCharType="end"/>
        </w:r>
      </w:hyperlink>
    </w:p>
    <w:p w14:paraId="178646DE" w14:textId="118C6A89"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2" w:history="1">
        <w:r w:rsidRPr="00BF7E57">
          <w:rPr>
            <w:rStyle w:val="Hiperpovezava"/>
            <w:noProof/>
          </w:rPr>
          <w:t>Slika 11: Tipizacija obmejnih problemskih območij</w:t>
        </w:r>
        <w:r w:rsidRPr="00BF7E57">
          <w:rPr>
            <w:noProof/>
            <w:webHidden/>
          </w:rPr>
          <w:tab/>
        </w:r>
        <w:r w:rsidRPr="00BF7E57">
          <w:rPr>
            <w:noProof/>
            <w:webHidden/>
          </w:rPr>
          <w:fldChar w:fldCharType="begin"/>
        </w:r>
        <w:r w:rsidRPr="00BF7E57">
          <w:rPr>
            <w:noProof/>
            <w:webHidden/>
          </w:rPr>
          <w:instrText xml:space="preserve"> PAGEREF _Toc86826402 \h </w:instrText>
        </w:r>
        <w:r w:rsidRPr="00BF7E57">
          <w:rPr>
            <w:noProof/>
            <w:webHidden/>
          </w:rPr>
        </w:r>
        <w:r w:rsidRPr="00BF7E57">
          <w:rPr>
            <w:noProof/>
            <w:webHidden/>
          </w:rPr>
          <w:fldChar w:fldCharType="separate"/>
        </w:r>
        <w:r w:rsidR="00236865">
          <w:rPr>
            <w:noProof/>
            <w:webHidden/>
          </w:rPr>
          <w:t>20</w:t>
        </w:r>
        <w:r w:rsidRPr="00BF7E57">
          <w:rPr>
            <w:noProof/>
            <w:webHidden/>
          </w:rPr>
          <w:fldChar w:fldCharType="end"/>
        </w:r>
      </w:hyperlink>
    </w:p>
    <w:p w14:paraId="1559642E" w14:textId="6FE9E356"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3" w:history="1">
        <w:r w:rsidRPr="00BF7E57">
          <w:rPr>
            <w:rStyle w:val="Hiperpovezava"/>
            <w:noProof/>
          </w:rPr>
          <w:t>Slika 12 in Slika 13: Primerjava - naravni prirast in skupni prirast po občinah (leto 2018)</w:t>
        </w:r>
        <w:r w:rsidRPr="00BF7E57">
          <w:rPr>
            <w:noProof/>
            <w:webHidden/>
          </w:rPr>
          <w:tab/>
        </w:r>
        <w:r w:rsidRPr="00BF7E57">
          <w:rPr>
            <w:noProof/>
            <w:webHidden/>
          </w:rPr>
          <w:fldChar w:fldCharType="begin"/>
        </w:r>
        <w:r w:rsidRPr="00BF7E57">
          <w:rPr>
            <w:noProof/>
            <w:webHidden/>
          </w:rPr>
          <w:instrText xml:space="preserve"> PAGEREF _Toc86826403 \h </w:instrText>
        </w:r>
        <w:r w:rsidRPr="00BF7E57">
          <w:rPr>
            <w:noProof/>
            <w:webHidden/>
          </w:rPr>
        </w:r>
        <w:r w:rsidRPr="00BF7E57">
          <w:rPr>
            <w:noProof/>
            <w:webHidden/>
          </w:rPr>
          <w:fldChar w:fldCharType="separate"/>
        </w:r>
        <w:r w:rsidR="00236865">
          <w:rPr>
            <w:noProof/>
            <w:webHidden/>
          </w:rPr>
          <w:t>21</w:t>
        </w:r>
        <w:r w:rsidRPr="00BF7E57">
          <w:rPr>
            <w:noProof/>
            <w:webHidden/>
          </w:rPr>
          <w:fldChar w:fldCharType="end"/>
        </w:r>
      </w:hyperlink>
    </w:p>
    <w:p w14:paraId="2164EEA9" w14:textId="310794E4"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4" w:history="1">
        <w:r w:rsidRPr="00BF7E57">
          <w:rPr>
            <w:rStyle w:val="Hiperpovezava"/>
            <w:noProof/>
          </w:rPr>
          <w:t>Slika 14: Notranje odselitve za leto 2018</w:t>
        </w:r>
        <w:r w:rsidRPr="00BF7E57">
          <w:rPr>
            <w:noProof/>
            <w:webHidden/>
          </w:rPr>
          <w:tab/>
        </w:r>
        <w:r w:rsidRPr="00BF7E57">
          <w:rPr>
            <w:noProof/>
            <w:webHidden/>
          </w:rPr>
          <w:fldChar w:fldCharType="begin"/>
        </w:r>
        <w:r w:rsidRPr="00BF7E57">
          <w:rPr>
            <w:noProof/>
            <w:webHidden/>
          </w:rPr>
          <w:instrText xml:space="preserve"> PAGEREF _Toc86826404 \h </w:instrText>
        </w:r>
        <w:r w:rsidRPr="00BF7E57">
          <w:rPr>
            <w:noProof/>
            <w:webHidden/>
          </w:rPr>
        </w:r>
        <w:r w:rsidRPr="00BF7E57">
          <w:rPr>
            <w:noProof/>
            <w:webHidden/>
          </w:rPr>
          <w:fldChar w:fldCharType="separate"/>
        </w:r>
        <w:r w:rsidR="00236865">
          <w:rPr>
            <w:noProof/>
            <w:webHidden/>
          </w:rPr>
          <w:t>22</w:t>
        </w:r>
        <w:r w:rsidRPr="00BF7E57">
          <w:rPr>
            <w:noProof/>
            <w:webHidden/>
          </w:rPr>
          <w:fldChar w:fldCharType="end"/>
        </w:r>
      </w:hyperlink>
    </w:p>
    <w:p w14:paraId="38249AD8" w14:textId="79889419"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5" w:history="1">
        <w:r w:rsidRPr="00BF7E57">
          <w:rPr>
            <w:rStyle w:val="Hiperpovezava"/>
            <w:noProof/>
          </w:rPr>
          <w:t>Slika 15: Notranji selitveni prirast po občinah za leto2018 (na 1.000 prebivalcev)</w:t>
        </w:r>
        <w:r w:rsidRPr="00BF7E57">
          <w:rPr>
            <w:noProof/>
            <w:webHidden/>
          </w:rPr>
          <w:tab/>
        </w:r>
        <w:r w:rsidRPr="00BF7E57">
          <w:rPr>
            <w:noProof/>
            <w:webHidden/>
          </w:rPr>
          <w:fldChar w:fldCharType="begin"/>
        </w:r>
        <w:r w:rsidRPr="00BF7E57">
          <w:rPr>
            <w:noProof/>
            <w:webHidden/>
          </w:rPr>
          <w:instrText xml:space="preserve"> PAGEREF _Toc86826405 \h </w:instrText>
        </w:r>
        <w:r w:rsidRPr="00BF7E57">
          <w:rPr>
            <w:noProof/>
            <w:webHidden/>
          </w:rPr>
        </w:r>
        <w:r w:rsidRPr="00BF7E57">
          <w:rPr>
            <w:noProof/>
            <w:webHidden/>
          </w:rPr>
          <w:fldChar w:fldCharType="separate"/>
        </w:r>
        <w:r w:rsidR="00236865">
          <w:rPr>
            <w:noProof/>
            <w:webHidden/>
          </w:rPr>
          <w:t>23</w:t>
        </w:r>
        <w:r w:rsidRPr="00BF7E57">
          <w:rPr>
            <w:noProof/>
            <w:webHidden/>
          </w:rPr>
          <w:fldChar w:fldCharType="end"/>
        </w:r>
      </w:hyperlink>
    </w:p>
    <w:p w14:paraId="6F5514F3" w14:textId="1B8887F0"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6" w:history="1">
        <w:r w:rsidRPr="00BF7E57">
          <w:rPr>
            <w:rStyle w:val="Hiperpovezava"/>
            <w:noProof/>
          </w:rPr>
          <w:t>Slika 16: Notranje selitve med mladimi za leto 2018</w:t>
        </w:r>
        <w:r w:rsidRPr="00BF7E57">
          <w:rPr>
            <w:noProof/>
            <w:webHidden/>
          </w:rPr>
          <w:tab/>
        </w:r>
        <w:r w:rsidRPr="00BF7E57">
          <w:rPr>
            <w:noProof/>
            <w:webHidden/>
          </w:rPr>
          <w:fldChar w:fldCharType="begin"/>
        </w:r>
        <w:r w:rsidRPr="00BF7E57">
          <w:rPr>
            <w:noProof/>
            <w:webHidden/>
          </w:rPr>
          <w:instrText xml:space="preserve"> PAGEREF _Toc86826406 \h </w:instrText>
        </w:r>
        <w:r w:rsidRPr="00BF7E57">
          <w:rPr>
            <w:noProof/>
            <w:webHidden/>
          </w:rPr>
        </w:r>
        <w:r w:rsidRPr="00BF7E57">
          <w:rPr>
            <w:noProof/>
            <w:webHidden/>
          </w:rPr>
          <w:fldChar w:fldCharType="separate"/>
        </w:r>
        <w:r w:rsidR="00236865">
          <w:rPr>
            <w:noProof/>
            <w:webHidden/>
          </w:rPr>
          <w:t>24</w:t>
        </w:r>
        <w:r w:rsidRPr="00BF7E57">
          <w:rPr>
            <w:noProof/>
            <w:webHidden/>
          </w:rPr>
          <w:fldChar w:fldCharType="end"/>
        </w:r>
      </w:hyperlink>
    </w:p>
    <w:p w14:paraId="2E11AF3B" w14:textId="5C623916"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7" w:history="1">
        <w:r w:rsidRPr="00BF7E57">
          <w:rPr>
            <w:rStyle w:val="Hiperpovezava"/>
            <w:noProof/>
          </w:rPr>
          <w:t>Slika 17: Indeks razvojne ogroženosti regij 2019</w:t>
        </w:r>
        <w:r w:rsidRPr="00BF7E57">
          <w:rPr>
            <w:noProof/>
            <w:webHidden/>
          </w:rPr>
          <w:tab/>
        </w:r>
        <w:r w:rsidRPr="00BF7E57">
          <w:rPr>
            <w:noProof/>
            <w:webHidden/>
          </w:rPr>
          <w:fldChar w:fldCharType="begin"/>
        </w:r>
        <w:r w:rsidRPr="00BF7E57">
          <w:rPr>
            <w:noProof/>
            <w:webHidden/>
          </w:rPr>
          <w:instrText xml:space="preserve"> PAGEREF _Toc86826407 \h </w:instrText>
        </w:r>
        <w:r w:rsidRPr="00BF7E57">
          <w:rPr>
            <w:noProof/>
            <w:webHidden/>
          </w:rPr>
        </w:r>
        <w:r w:rsidRPr="00BF7E57">
          <w:rPr>
            <w:noProof/>
            <w:webHidden/>
          </w:rPr>
          <w:fldChar w:fldCharType="separate"/>
        </w:r>
        <w:r w:rsidR="00236865">
          <w:rPr>
            <w:noProof/>
            <w:webHidden/>
          </w:rPr>
          <w:t>29</w:t>
        </w:r>
        <w:r w:rsidRPr="00BF7E57">
          <w:rPr>
            <w:noProof/>
            <w:webHidden/>
          </w:rPr>
          <w:fldChar w:fldCharType="end"/>
        </w:r>
      </w:hyperlink>
    </w:p>
    <w:p w14:paraId="777C3522" w14:textId="6BB2F86B"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8" w:history="1">
        <w:r w:rsidRPr="00BF7E57">
          <w:rPr>
            <w:rStyle w:val="Hiperpovezava"/>
            <w:noProof/>
          </w:rPr>
          <w:t>Slika 18: Osebe, izpostavljene tveganju socialne izključenosti, 2019</w:t>
        </w:r>
        <w:r w:rsidRPr="00BF7E57">
          <w:rPr>
            <w:noProof/>
            <w:webHidden/>
          </w:rPr>
          <w:tab/>
        </w:r>
        <w:r w:rsidRPr="00BF7E57">
          <w:rPr>
            <w:noProof/>
            <w:webHidden/>
          </w:rPr>
          <w:fldChar w:fldCharType="begin"/>
        </w:r>
        <w:r w:rsidRPr="00BF7E57">
          <w:rPr>
            <w:noProof/>
            <w:webHidden/>
          </w:rPr>
          <w:instrText xml:space="preserve"> PAGEREF _Toc86826408 \h </w:instrText>
        </w:r>
        <w:r w:rsidRPr="00BF7E57">
          <w:rPr>
            <w:noProof/>
            <w:webHidden/>
          </w:rPr>
        </w:r>
        <w:r w:rsidRPr="00BF7E57">
          <w:rPr>
            <w:noProof/>
            <w:webHidden/>
          </w:rPr>
          <w:fldChar w:fldCharType="separate"/>
        </w:r>
        <w:r w:rsidR="00236865">
          <w:rPr>
            <w:noProof/>
            <w:webHidden/>
          </w:rPr>
          <w:t>32</w:t>
        </w:r>
        <w:r w:rsidRPr="00BF7E57">
          <w:rPr>
            <w:noProof/>
            <w:webHidden/>
          </w:rPr>
          <w:fldChar w:fldCharType="end"/>
        </w:r>
      </w:hyperlink>
    </w:p>
    <w:p w14:paraId="730F5D39" w14:textId="77E5BD3E"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09" w:history="1">
        <w:r w:rsidRPr="00BF7E57">
          <w:rPr>
            <w:rStyle w:val="Hiperpovezava"/>
            <w:noProof/>
          </w:rPr>
          <w:t>Slika 19: Stopnja tveganja socialne izključenosti, statistične regije, Slovenija, 2019</w:t>
        </w:r>
        <w:r w:rsidRPr="00BF7E57">
          <w:rPr>
            <w:noProof/>
            <w:webHidden/>
          </w:rPr>
          <w:tab/>
        </w:r>
        <w:r w:rsidRPr="00BF7E57">
          <w:rPr>
            <w:noProof/>
            <w:webHidden/>
          </w:rPr>
          <w:fldChar w:fldCharType="begin"/>
        </w:r>
        <w:r w:rsidRPr="00BF7E57">
          <w:rPr>
            <w:noProof/>
            <w:webHidden/>
          </w:rPr>
          <w:instrText xml:space="preserve"> PAGEREF _Toc86826409 \h </w:instrText>
        </w:r>
        <w:r w:rsidRPr="00BF7E57">
          <w:rPr>
            <w:noProof/>
            <w:webHidden/>
          </w:rPr>
        </w:r>
        <w:r w:rsidRPr="00BF7E57">
          <w:rPr>
            <w:noProof/>
            <w:webHidden/>
          </w:rPr>
          <w:fldChar w:fldCharType="separate"/>
        </w:r>
        <w:r w:rsidR="00236865">
          <w:rPr>
            <w:noProof/>
            <w:webHidden/>
          </w:rPr>
          <w:t>33</w:t>
        </w:r>
        <w:r w:rsidRPr="00BF7E57">
          <w:rPr>
            <w:noProof/>
            <w:webHidden/>
          </w:rPr>
          <w:fldChar w:fldCharType="end"/>
        </w:r>
      </w:hyperlink>
    </w:p>
    <w:p w14:paraId="2F7847EC" w14:textId="01ACB4FA"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0" w:history="1">
        <w:r w:rsidRPr="00BF7E57">
          <w:rPr>
            <w:rStyle w:val="Hiperpovezava"/>
            <w:noProof/>
          </w:rPr>
          <w:t>Slika 20: Delež učencev, dijakov in študentov od celotnega prebivalstva na podeželju oz. Sloveniji (leto 2018)</w:t>
        </w:r>
        <w:r w:rsidRPr="00BF7E57">
          <w:rPr>
            <w:noProof/>
            <w:webHidden/>
          </w:rPr>
          <w:tab/>
        </w:r>
        <w:r w:rsidRPr="00BF7E57">
          <w:rPr>
            <w:noProof/>
            <w:webHidden/>
          </w:rPr>
          <w:fldChar w:fldCharType="begin"/>
        </w:r>
        <w:r w:rsidRPr="00BF7E57">
          <w:rPr>
            <w:noProof/>
            <w:webHidden/>
          </w:rPr>
          <w:instrText xml:space="preserve"> PAGEREF _Toc86826410 \h </w:instrText>
        </w:r>
        <w:r w:rsidRPr="00BF7E57">
          <w:rPr>
            <w:noProof/>
            <w:webHidden/>
          </w:rPr>
        </w:r>
        <w:r w:rsidRPr="00BF7E57">
          <w:rPr>
            <w:noProof/>
            <w:webHidden/>
          </w:rPr>
          <w:fldChar w:fldCharType="separate"/>
        </w:r>
        <w:r w:rsidR="00236865">
          <w:rPr>
            <w:noProof/>
            <w:webHidden/>
          </w:rPr>
          <w:t>38</w:t>
        </w:r>
        <w:r w:rsidRPr="00BF7E57">
          <w:rPr>
            <w:noProof/>
            <w:webHidden/>
          </w:rPr>
          <w:fldChar w:fldCharType="end"/>
        </w:r>
      </w:hyperlink>
    </w:p>
    <w:p w14:paraId="346BF816" w14:textId="0C91E535"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1" w:history="1">
        <w:r w:rsidRPr="00BF7E57">
          <w:rPr>
            <w:rStyle w:val="Hiperpovezava"/>
            <w:noProof/>
          </w:rPr>
          <w:t>Slika 21: Stopnja izobrazbe v letu 2019</w:t>
        </w:r>
        <w:r w:rsidRPr="00BF7E57">
          <w:rPr>
            <w:noProof/>
            <w:webHidden/>
          </w:rPr>
          <w:tab/>
        </w:r>
        <w:r w:rsidRPr="00BF7E57">
          <w:rPr>
            <w:noProof/>
            <w:webHidden/>
          </w:rPr>
          <w:fldChar w:fldCharType="begin"/>
        </w:r>
        <w:r w:rsidRPr="00BF7E57">
          <w:rPr>
            <w:noProof/>
            <w:webHidden/>
          </w:rPr>
          <w:instrText xml:space="preserve"> PAGEREF _Toc86826411 \h </w:instrText>
        </w:r>
        <w:r w:rsidRPr="00BF7E57">
          <w:rPr>
            <w:noProof/>
            <w:webHidden/>
          </w:rPr>
        </w:r>
        <w:r w:rsidRPr="00BF7E57">
          <w:rPr>
            <w:noProof/>
            <w:webHidden/>
          </w:rPr>
          <w:fldChar w:fldCharType="separate"/>
        </w:r>
        <w:r w:rsidR="00236865">
          <w:rPr>
            <w:noProof/>
            <w:webHidden/>
          </w:rPr>
          <w:t>40</w:t>
        </w:r>
        <w:r w:rsidRPr="00BF7E57">
          <w:rPr>
            <w:noProof/>
            <w:webHidden/>
          </w:rPr>
          <w:fldChar w:fldCharType="end"/>
        </w:r>
      </w:hyperlink>
    </w:p>
    <w:p w14:paraId="2D19252E" w14:textId="74B794E9"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2" w:history="1">
        <w:r w:rsidRPr="00BF7E57">
          <w:rPr>
            <w:rStyle w:val="Hiperpovezava"/>
            <w:noProof/>
          </w:rPr>
          <w:t>Slika 22: Stopnja centralnosti glede na prebivalstvo in storitve</w:t>
        </w:r>
        <w:r w:rsidRPr="00BF7E57">
          <w:rPr>
            <w:noProof/>
            <w:webHidden/>
          </w:rPr>
          <w:tab/>
        </w:r>
        <w:r w:rsidRPr="00BF7E57">
          <w:rPr>
            <w:noProof/>
            <w:webHidden/>
          </w:rPr>
          <w:fldChar w:fldCharType="begin"/>
        </w:r>
        <w:r w:rsidRPr="00BF7E57">
          <w:rPr>
            <w:noProof/>
            <w:webHidden/>
          </w:rPr>
          <w:instrText xml:space="preserve"> PAGEREF _Toc86826412 \h </w:instrText>
        </w:r>
        <w:r w:rsidRPr="00BF7E57">
          <w:rPr>
            <w:noProof/>
            <w:webHidden/>
          </w:rPr>
        </w:r>
        <w:r w:rsidRPr="00BF7E57">
          <w:rPr>
            <w:noProof/>
            <w:webHidden/>
          </w:rPr>
          <w:fldChar w:fldCharType="separate"/>
        </w:r>
        <w:r w:rsidR="00236865">
          <w:rPr>
            <w:noProof/>
            <w:webHidden/>
          </w:rPr>
          <w:t>42</w:t>
        </w:r>
        <w:r w:rsidRPr="00BF7E57">
          <w:rPr>
            <w:noProof/>
            <w:webHidden/>
          </w:rPr>
          <w:fldChar w:fldCharType="end"/>
        </w:r>
      </w:hyperlink>
    </w:p>
    <w:p w14:paraId="38B4309A" w14:textId="2CECF84B"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3" w:history="1">
        <w:r w:rsidRPr="00BF7E57">
          <w:rPr>
            <w:rStyle w:val="Hiperpovezava"/>
            <w:noProof/>
          </w:rPr>
          <w:t>Slika 23: Število mest v domovih za starejše in število prebivalcev, starih 65 let in več, po statističnih regijah, 1.1.2018</w:t>
        </w:r>
        <w:r w:rsidRPr="00BF7E57">
          <w:rPr>
            <w:noProof/>
            <w:webHidden/>
          </w:rPr>
          <w:tab/>
        </w:r>
        <w:r w:rsidRPr="00BF7E57">
          <w:rPr>
            <w:noProof/>
            <w:webHidden/>
          </w:rPr>
          <w:fldChar w:fldCharType="begin"/>
        </w:r>
        <w:r w:rsidRPr="00BF7E57">
          <w:rPr>
            <w:noProof/>
            <w:webHidden/>
          </w:rPr>
          <w:instrText xml:space="preserve"> PAGEREF _Toc86826413 \h </w:instrText>
        </w:r>
        <w:r w:rsidRPr="00BF7E57">
          <w:rPr>
            <w:noProof/>
            <w:webHidden/>
          </w:rPr>
        </w:r>
        <w:r w:rsidRPr="00BF7E57">
          <w:rPr>
            <w:noProof/>
            <w:webHidden/>
          </w:rPr>
          <w:fldChar w:fldCharType="separate"/>
        </w:r>
        <w:r w:rsidR="00236865">
          <w:rPr>
            <w:noProof/>
            <w:webHidden/>
          </w:rPr>
          <w:t>43</w:t>
        </w:r>
        <w:r w:rsidRPr="00BF7E57">
          <w:rPr>
            <w:noProof/>
            <w:webHidden/>
          </w:rPr>
          <w:fldChar w:fldCharType="end"/>
        </w:r>
      </w:hyperlink>
    </w:p>
    <w:p w14:paraId="73B94415" w14:textId="4461B33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4" w:history="1">
        <w:r w:rsidRPr="00BF7E57">
          <w:rPr>
            <w:rStyle w:val="Hiperpovezava"/>
            <w:noProof/>
          </w:rPr>
          <w:t>Slika 24: Ustanove, ki z delovanjem in mreženjem ustvarjajo vmesnik, stičišče med starostniki in njihovim okoljem na podeželju</w:t>
        </w:r>
        <w:r w:rsidRPr="00BF7E57">
          <w:rPr>
            <w:noProof/>
            <w:webHidden/>
          </w:rPr>
          <w:tab/>
        </w:r>
        <w:r w:rsidRPr="00BF7E57">
          <w:rPr>
            <w:noProof/>
            <w:webHidden/>
          </w:rPr>
          <w:fldChar w:fldCharType="begin"/>
        </w:r>
        <w:r w:rsidRPr="00BF7E57">
          <w:rPr>
            <w:noProof/>
            <w:webHidden/>
          </w:rPr>
          <w:instrText xml:space="preserve"> PAGEREF _Toc86826414 \h </w:instrText>
        </w:r>
        <w:r w:rsidRPr="00BF7E57">
          <w:rPr>
            <w:noProof/>
            <w:webHidden/>
          </w:rPr>
        </w:r>
        <w:r w:rsidRPr="00BF7E57">
          <w:rPr>
            <w:noProof/>
            <w:webHidden/>
          </w:rPr>
          <w:fldChar w:fldCharType="separate"/>
        </w:r>
        <w:r w:rsidR="00236865">
          <w:rPr>
            <w:noProof/>
            <w:webHidden/>
          </w:rPr>
          <w:t>45</w:t>
        </w:r>
        <w:r w:rsidRPr="00BF7E57">
          <w:rPr>
            <w:noProof/>
            <w:webHidden/>
          </w:rPr>
          <w:fldChar w:fldCharType="end"/>
        </w:r>
      </w:hyperlink>
    </w:p>
    <w:p w14:paraId="2575C60D" w14:textId="5377B0E4"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5" w:history="1">
        <w:r w:rsidRPr="00BF7E57">
          <w:rPr>
            <w:rStyle w:val="Hiperpovezava"/>
            <w:noProof/>
          </w:rPr>
          <w:t>Slika 25: BDP na prebivalca glede na posamezno regijo, 2019</w:t>
        </w:r>
        <w:r w:rsidRPr="00BF7E57">
          <w:rPr>
            <w:noProof/>
            <w:webHidden/>
          </w:rPr>
          <w:tab/>
        </w:r>
        <w:r w:rsidRPr="00BF7E57">
          <w:rPr>
            <w:noProof/>
            <w:webHidden/>
          </w:rPr>
          <w:fldChar w:fldCharType="begin"/>
        </w:r>
        <w:r w:rsidRPr="00BF7E57">
          <w:rPr>
            <w:noProof/>
            <w:webHidden/>
          </w:rPr>
          <w:instrText xml:space="preserve"> PAGEREF _Toc86826415 \h </w:instrText>
        </w:r>
        <w:r w:rsidRPr="00BF7E57">
          <w:rPr>
            <w:noProof/>
            <w:webHidden/>
          </w:rPr>
        </w:r>
        <w:r w:rsidRPr="00BF7E57">
          <w:rPr>
            <w:noProof/>
            <w:webHidden/>
          </w:rPr>
          <w:fldChar w:fldCharType="separate"/>
        </w:r>
        <w:r w:rsidR="00236865">
          <w:rPr>
            <w:noProof/>
            <w:webHidden/>
          </w:rPr>
          <w:t>52</w:t>
        </w:r>
        <w:r w:rsidRPr="00BF7E57">
          <w:rPr>
            <w:noProof/>
            <w:webHidden/>
          </w:rPr>
          <w:fldChar w:fldCharType="end"/>
        </w:r>
      </w:hyperlink>
    </w:p>
    <w:p w14:paraId="323BB445" w14:textId="2C90CC39"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6" w:history="1">
        <w:r w:rsidRPr="00BF7E57">
          <w:rPr>
            <w:rStyle w:val="Hiperpovezava"/>
            <w:noProof/>
          </w:rPr>
          <w:t>Slika 26: Razčlenitev bruto domačega proizvoda na prebivalca na stopnjo zaposlenosti in produktivnosti dela</w:t>
        </w:r>
        <w:r w:rsidRPr="00BF7E57">
          <w:rPr>
            <w:noProof/>
            <w:webHidden/>
          </w:rPr>
          <w:tab/>
        </w:r>
        <w:r w:rsidRPr="00BF7E57">
          <w:rPr>
            <w:noProof/>
            <w:webHidden/>
          </w:rPr>
          <w:fldChar w:fldCharType="begin"/>
        </w:r>
        <w:r w:rsidRPr="00BF7E57">
          <w:rPr>
            <w:noProof/>
            <w:webHidden/>
          </w:rPr>
          <w:instrText xml:space="preserve"> PAGEREF _Toc86826416 \h </w:instrText>
        </w:r>
        <w:r w:rsidRPr="00BF7E57">
          <w:rPr>
            <w:noProof/>
            <w:webHidden/>
          </w:rPr>
        </w:r>
        <w:r w:rsidRPr="00BF7E57">
          <w:rPr>
            <w:noProof/>
            <w:webHidden/>
          </w:rPr>
          <w:fldChar w:fldCharType="separate"/>
        </w:r>
        <w:r w:rsidR="00236865">
          <w:rPr>
            <w:noProof/>
            <w:webHidden/>
          </w:rPr>
          <w:t>53</w:t>
        </w:r>
        <w:r w:rsidRPr="00BF7E57">
          <w:rPr>
            <w:noProof/>
            <w:webHidden/>
          </w:rPr>
          <w:fldChar w:fldCharType="end"/>
        </w:r>
      </w:hyperlink>
    </w:p>
    <w:p w14:paraId="377F82D9" w14:textId="3744C9F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7" w:history="1">
        <w:r w:rsidRPr="00BF7E57">
          <w:rPr>
            <w:rStyle w:val="Hiperpovezava"/>
            <w:noProof/>
          </w:rPr>
          <w:t>Slika 27: Bruto dodana vrednost na zaposlenega v gospodarskih družbah, zadrugah in samostojnih podjetnikih posamezniki</w:t>
        </w:r>
        <w:r w:rsidRPr="00BF7E57">
          <w:rPr>
            <w:noProof/>
            <w:webHidden/>
          </w:rPr>
          <w:tab/>
        </w:r>
        <w:r w:rsidRPr="00BF7E57">
          <w:rPr>
            <w:noProof/>
            <w:webHidden/>
          </w:rPr>
          <w:fldChar w:fldCharType="begin"/>
        </w:r>
        <w:r w:rsidRPr="00BF7E57">
          <w:rPr>
            <w:noProof/>
            <w:webHidden/>
          </w:rPr>
          <w:instrText xml:space="preserve"> PAGEREF _Toc86826417 \h </w:instrText>
        </w:r>
        <w:r w:rsidRPr="00BF7E57">
          <w:rPr>
            <w:noProof/>
            <w:webHidden/>
          </w:rPr>
        </w:r>
        <w:r w:rsidRPr="00BF7E57">
          <w:rPr>
            <w:noProof/>
            <w:webHidden/>
          </w:rPr>
          <w:fldChar w:fldCharType="separate"/>
        </w:r>
        <w:r w:rsidR="00236865">
          <w:rPr>
            <w:noProof/>
            <w:webHidden/>
          </w:rPr>
          <w:t>54</w:t>
        </w:r>
        <w:r w:rsidRPr="00BF7E57">
          <w:rPr>
            <w:noProof/>
            <w:webHidden/>
          </w:rPr>
          <w:fldChar w:fldCharType="end"/>
        </w:r>
      </w:hyperlink>
    </w:p>
    <w:p w14:paraId="31CB991F" w14:textId="69CA626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8" w:history="1">
        <w:r w:rsidRPr="00BF7E57">
          <w:rPr>
            <w:rStyle w:val="Hiperpovezava"/>
            <w:noProof/>
          </w:rPr>
          <w:t>Slika 28: Podatki za podjetja po velikostnih razredih, glede na število oseb in prihodek</w:t>
        </w:r>
        <w:r w:rsidRPr="00BF7E57">
          <w:rPr>
            <w:noProof/>
            <w:webHidden/>
          </w:rPr>
          <w:tab/>
        </w:r>
        <w:r w:rsidRPr="00BF7E57">
          <w:rPr>
            <w:noProof/>
            <w:webHidden/>
          </w:rPr>
          <w:fldChar w:fldCharType="begin"/>
        </w:r>
        <w:r w:rsidRPr="00BF7E57">
          <w:rPr>
            <w:noProof/>
            <w:webHidden/>
          </w:rPr>
          <w:instrText xml:space="preserve"> PAGEREF _Toc86826418 \h </w:instrText>
        </w:r>
        <w:r w:rsidRPr="00BF7E57">
          <w:rPr>
            <w:noProof/>
            <w:webHidden/>
          </w:rPr>
        </w:r>
        <w:r w:rsidRPr="00BF7E57">
          <w:rPr>
            <w:noProof/>
            <w:webHidden/>
          </w:rPr>
          <w:fldChar w:fldCharType="separate"/>
        </w:r>
        <w:r w:rsidR="00236865">
          <w:rPr>
            <w:noProof/>
            <w:webHidden/>
          </w:rPr>
          <w:t>56</w:t>
        </w:r>
        <w:r w:rsidRPr="00BF7E57">
          <w:rPr>
            <w:noProof/>
            <w:webHidden/>
          </w:rPr>
          <w:fldChar w:fldCharType="end"/>
        </w:r>
      </w:hyperlink>
    </w:p>
    <w:p w14:paraId="6ABE0F61" w14:textId="2D0A00BF"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19" w:history="1">
        <w:r w:rsidRPr="00BF7E57">
          <w:rPr>
            <w:rStyle w:val="Hiperpovezava"/>
            <w:noProof/>
          </w:rPr>
          <w:t>Slika 29: Število podjetij po statističnih regijah leta 2018</w:t>
        </w:r>
        <w:r w:rsidRPr="00BF7E57">
          <w:rPr>
            <w:noProof/>
            <w:webHidden/>
          </w:rPr>
          <w:tab/>
        </w:r>
        <w:r w:rsidRPr="00BF7E57">
          <w:rPr>
            <w:noProof/>
            <w:webHidden/>
          </w:rPr>
          <w:fldChar w:fldCharType="begin"/>
        </w:r>
        <w:r w:rsidRPr="00BF7E57">
          <w:rPr>
            <w:noProof/>
            <w:webHidden/>
          </w:rPr>
          <w:instrText xml:space="preserve"> PAGEREF _Toc86826419 \h </w:instrText>
        </w:r>
        <w:r w:rsidRPr="00BF7E57">
          <w:rPr>
            <w:noProof/>
            <w:webHidden/>
          </w:rPr>
        </w:r>
        <w:r w:rsidRPr="00BF7E57">
          <w:rPr>
            <w:noProof/>
            <w:webHidden/>
          </w:rPr>
          <w:fldChar w:fldCharType="separate"/>
        </w:r>
        <w:r w:rsidR="00236865">
          <w:rPr>
            <w:noProof/>
            <w:webHidden/>
          </w:rPr>
          <w:t>56</w:t>
        </w:r>
        <w:r w:rsidRPr="00BF7E57">
          <w:rPr>
            <w:noProof/>
            <w:webHidden/>
          </w:rPr>
          <w:fldChar w:fldCharType="end"/>
        </w:r>
      </w:hyperlink>
    </w:p>
    <w:p w14:paraId="1860E344" w14:textId="5B226F5A"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0" w:history="1">
        <w:r w:rsidRPr="00BF7E57">
          <w:rPr>
            <w:rStyle w:val="Hiperpovezava"/>
            <w:noProof/>
          </w:rPr>
          <w:t>Slika 30: Investicije po statističnih regijah leta 2018</w:t>
        </w:r>
        <w:r w:rsidRPr="00BF7E57">
          <w:rPr>
            <w:noProof/>
            <w:webHidden/>
          </w:rPr>
          <w:tab/>
        </w:r>
        <w:r w:rsidRPr="00BF7E57">
          <w:rPr>
            <w:noProof/>
            <w:webHidden/>
          </w:rPr>
          <w:fldChar w:fldCharType="begin"/>
        </w:r>
        <w:r w:rsidRPr="00BF7E57">
          <w:rPr>
            <w:noProof/>
            <w:webHidden/>
          </w:rPr>
          <w:instrText xml:space="preserve"> PAGEREF _Toc86826420 \h </w:instrText>
        </w:r>
        <w:r w:rsidRPr="00BF7E57">
          <w:rPr>
            <w:noProof/>
            <w:webHidden/>
          </w:rPr>
        </w:r>
        <w:r w:rsidRPr="00BF7E57">
          <w:rPr>
            <w:noProof/>
            <w:webHidden/>
          </w:rPr>
          <w:fldChar w:fldCharType="separate"/>
        </w:r>
        <w:r w:rsidR="00236865">
          <w:rPr>
            <w:noProof/>
            <w:webHidden/>
          </w:rPr>
          <w:t>57</w:t>
        </w:r>
        <w:r w:rsidRPr="00BF7E57">
          <w:rPr>
            <w:noProof/>
            <w:webHidden/>
          </w:rPr>
          <w:fldChar w:fldCharType="end"/>
        </w:r>
      </w:hyperlink>
    </w:p>
    <w:p w14:paraId="57FB782D" w14:textId="287B328C"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1" w:history="1">
        <w:r w:rsidRPr="00BF7E57">
          <w:rPr>
            <w:rStyle w:val="Hiperpovezava"/>
            <w:noProof/>
          </w:rPr>
          <w:t>Slika 31: Aktivno in neaktivno prebivalstvo, Slovenija, 2018</w:t>
        </w:r>
        <w:r w:rsidRPr="00BF7E57">
          <w:rPr>
            <w:noProof/>
            <w:webHidden/>
          </w:rPr>
          <w:tab/>
        </w:r>
        <w:r w:rsidRPr="00BF7E57">
          <w:rPr>
            <w:noProof/>
            <w:webHidden/>
          </w:rPr>
          <w:fldChar w:fldCharType="begin"/>
        </w:r>
        <w:r w:rsidRPr="00BF7E57">
          <w:rPr>
            <w:noProof/>
            <w:webHidden/>
          </w:rPr>
          <w:instrText xml:space="preserve"> PAGEREF _Toc86826421 \h </w:instrText>
        </w:r>
        <w:r w:rsidRPr="00BF7E57">
          <w:rPr>
            <w:noProof/>
            <w:webHidden/>
          </w:rPr>
        </w:r>
        <w:r w:rsidRPr="00BF7E57">
          <w:rPr>
            <w:noProof/>
            <w:webHidden/>
          </w:rPr>
          <w:fldChar w:fldCharType="separate"/>
        </w:r>
        <w:r w:rsidR="00236865">
          <w:rPr>
            <w:noProof/>
            <w:webHidden/>
          </w:rPr>
          <w:t>58</w:t>
        </w:r>
        <w:r w:rsidRPr="00BF7E57">
          <w:rPr>
            <w:noProof/>
            <w:webHidden/>
          </w:rPr>
          <w:fldChar w:fldCharType="end"/>
        </w:r>
      </w:hyperlink>
    </w:p>
    <w:p w14:paraId="653E3355" w14:textId="016965EF"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2" w:history="1">
        <w:r w:rsidRPr="00BF7E57">
          <w:rPr>
            <w:rStyle w:val="Hiperpovezava"/>
            <w:noProof/>
          </w:rPr>
          <w:t>Slika 32: Gibanje stopnje delavne aktivnosti</w:t>
        </w:r>
        <w:r w:rsidRPr="00BF7E57">
          <w:rPr>
            <w:noProof/>
            <w:webHidden/>
          </w:rPr>
          <w:tab/>
        </w:r>
        <w:r w:rsidRPr="00BF7E57">
          <w:rPr>
            <w:noProof/>
            <w:webHidden/>
          </w:rPr>
          <w:fldChar w:fldCharType="begin"/>
        </w:r>
        <w:r w:rsidRPr="00BF7E57">
          <w:rPr>
            <w:noProof/>
            <w:webHidden/>
          </w:rPr>
          <w:instrText xml:space="preserve"> PAGEREF _Toc86826422 \h </w:instrText>
        </w:r>
        <w:r w:rsidRPr="00BF7E57">
          <w:rPr>
            <w:noProof/>
            <w:webHidden/>
          </w:rPr>
        </w:r>
        <w:r w:rsidRPr="00BF7E57">
          <w:rPr>
            <w:noProof/>
            <w:webHidden/>
          </w:rPr>
          <w:fldChar w:fldCharType="separate"/>
        </w:r>
        <w:r w:rsidR="00236865">
          <w:rPr>
            <w:noProof/>
            <w:webHidden/>
          </w:rPr>
          <w:t>59</w:t>
        </w:r>
        <w:r w:rsidRPr="00BF7E57">
          <w:rPr>
            <w:noProof/>
            <w:webHidden/>
          </w:rPr>
          <w:fldChar w:fldCharType="end"/>
        </w:r>
      </w:hyperlink>
    </w:p>
    <w:p w14:paraId="1E442DAE" w14:textId="76B5903A"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3" w:history="1">
        <w:r w:rsidRPr="00BF7E57">
          <w:rPr>
            <w:rStyle w:val="Hiperpovezava"/>
            <w:noProof/>
          </w:rPr>
          <w:t>Slika 33: Kategorije brezposelnih oseb, deleži (avgust 2021)</w:t>
        </w:r>
        <w:r w:rsidRPr="00BF7E57">
          <w:rPr>
            <w:noProof/>
            <w:webHidden/>
          </w:rPr>
          <w:tab/>
        </w:r>
        <w:r w:rsidRPr="00BF7E57">
          <w:rPr>
            <w:noProof/>
            <w:webHidden/>
          </w:rPr>
          <w:fldChar w:fldCharType="begin"/>
        </w:r>
        <w:r w:rsidRPr="00BF7E57">
          <w:rPr>
            <w:noProof/>
            <w:webHidden/>
          </w:rPr>
          <w:instrText xml:space="preserve"> PAGEREF _Toc86826423 \h </w:instrText>
        </w:r>
        <w:r w:rsidRPr="00BF7E57">
          <w:rPr>
            <w:noProof/>
            <w:webHidden/>
          </w:rPr>
        </w:r>
        <w:r w:rsidRPr="00BF7E57">
          <w:rPr>
            <w:noProof/>
            <w:webHidden/>
          </w:rPr>
          <w:fldChar w:fldCharType="separate"/>
        </w:r>
        <w:r w:rsidR="00236865">
          <w:rPr>
            <w:noProof/>
            <w:webHidden/>
          </w:rPr>
          <w:t>62</w:t>
        </w:r>
        <w:r w:rsidRPr="00BF7E57">
          <w:rPr>
            <w:noProof/>
            <w:webHidden/>
          </w:rPr>
          <w:fldChar w:fldCharType="end"/>
        </w:r>
      </w:hyperlink>
    </w:p>
    <w:p w14:paraId="389931F8" w14:textId="59F74DEE"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4" w:history="1">
        <w:r w:rsidRPr="00BF7E57">
          <w:rPr>
            <w:rStyle w:val="Hiperpovezava"/>
            <w:noProof/>
          </w:rPr>
          <w:t>Slika 34: Število prenočitev v turističnih nastanitvenih zmogljivostih na število prebivalcev</w:t>
        </w:r>
        <w:r w:rsidRPr="00BF7E57">
          <w:rPr>
            <w:noProof/>
            <w:webHidden/>
          </w:rPr>
          <w:tab/>
        </w:r>
        <w:r w:rsidRPr="00BF7E57">
          <w:rPr>
            <w:noProof/>
            <w:webHidden/>
          </w:rPr>
          <w:fldChar w:fldCharType="begin"/>
        </w:r>
        <w:r w:rsidRPr="00BF7E57">
          <w:rPr>
            <w:noProof/>
            <w:webHidden/>
          </w:rPr>
          <w:instrText xml:space="preserve"> PAGEREF _Toc86826424 \h </w:instrText>
        </w:r>
        <w:r w:rsidRPr="00BF7E57">
          <w:rPr>
            <w:noProof/>
            <w:webHidden/>
          </w:rPr>
        </w:r>
        <w:r w:rsidRPr="00BF7E57">
          <w:rPr>
            <w:noProof/>
            <w:webHidden/>
          </w:rPr>
          <w:fldChar w:fldCharType="separate"/>
        </w:r>
        <w:r w:rsidR="00236865">
          <w:rPr>
            <w:noProof/>
            <w:webHidden/>
          </w:rPr>
          <w:t>65</w:t>
        </w:r>
        <w:r w:rsidRPr="00BF7E57">
          <w:rPr>
            <w:noProof/>
            <w:webHidden/>
          </w:rPr>
          <w:fldChar w:fldCharType="end"/>
        </w:r>
      </w:hyperlink>
    </w:p>
    <w:p w14:paraId="681ED50D" w14:textId="5DA1B31C"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5" w:history="1">
        <w:r w:rsidRPr="00BF7E57">
          <w:rPr>
            <w:rStyle w:val="Hiperpovezava"/>
            <w:noProof/>
          </w:rPr>
          <w:t>Slika 35: Prenočitve turistov v letu 2018</w:t>
        </w:r>
        <w:r w:rsidRPr="00BF7E57">
          <w:rPr>
            <w:noProof/>
            <w:webHidden/>
          </w:rPr>
          <w:tab/>
        </w:r>
        <w:r w:rsidRPr="00BF7E57">
          <w:rPr>
            <w:noProof/>
            <w:webHidden/>
          </w:rPr>
          <w:fldChar w:fldCharType="begin"/>
        </w:r>
        <w:r w:rsidRPr="00BF7E57">
          <w:rPr>
            <w:noProof/>
            <w:webHidden/>
          </w:rPr>
          <w:instrText xml:space="preserve"> PAGEREF _Toc86826425 \h </w:instrText>
        </w:r>
        <w:r w:rsidRPr="00BF7E57">
          <w:rPr>
            <w:noProof/>
            <w:webHidden/>
          </w:rPr>
        </w:r>
        <w:r w:rsidRPr="00BF7E57">
          <w:rPr>
            <w:noProof/>
            <w:webHidden/>
          </w:rPr>
          <w:fldChar w:fldCharType="separate"/>
        </w:r>
        <w:r w:rsidR="00236865">
          <w:rPr>
            <w:noProof/>
            <w:webHidden/>
          </w:rPr>
          <w:t>66</w:t>
        </w:r>
        <w:r w:rsidRPr="00BF7E57">
          <w:rPr>
            <w:noProof/>
            <w:webHidden/>
          </w:rPr>
          <w:fldChar w:fldCharType="end"/>
        </w:r>
      </w:hyperlink>
    </w:p>
    <w:p w14:paraId="01E04B63" w14:textId="6F02B3A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6" w:history="1">
        <w:r w:rsidRPr="00BF7E57">
          <w:rPr>
            <w:rStyle w:val="Hiperpovezava"/>
            <w:noProof/>
          </w:rPr>
          <w:t>Slika 36: Biogospodarstvo in krožno gospodarstvo</w:t>
        </w:r>
        <w:r w:rsidRPr="00BF7E57">
          <w:rPr>
            <w:noProof/>
            <w:webHidden/>
          </w:rPr>
          <w:tab/>
        </w:r>
        <w:r w:rsidRPr="00BF7E57">
          <w:rPr>
            <w:noProof/>
            <w:webHidden/>
          </w:rPr>
          <w:fldChar w:fldCharType="begin"/>
        </w:r>
        <w:r w:rsidRPr="00BF7E57">
          <w:rPr>
            <w:noProof/>
            <w:webHidden/>
          </w:rPr>
          <w:instrText xml:space="preserve"> PAGEREF _Toc86826426 \h </w:instrText>
        </w:r>
        <w:r w:rsidRPr="00BF7E57">
          <w:rPr>
            <w:noProof/>
            <w:webHidden/>
          </w:rPr>
        </w:r>
        <w:r w:rsidRPr="00BF7E57">
          <w:rPr>
            <w:noProof/>
            <w:webHidden/>
          </w:rPr>
          <w:fldChar w:fldCharType="separate"/>
        </w:r>
        <w:r w:rsidR="00236865">
          <w:rPr>
            <w:noProof/>
            <w:webHidden/>
          </w:rPr>
          <w:t>68</w:t>
        </w:r>
        <w:r w:rsidRPr="00BF7E57">
          <w:rPr>
            <w:noProof/>
            <w:webHidden/>
          </w:rPr>
          <w:fldChar w:fldCharType="end"/>
        </w:r>
      </w:hyperlink>
    </w:p>
    <w:p w14:paraId="14B8CB84" w14:textId="30C5EABC"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7" w:history="1">
        <w:r w:rsidRPr="00BF7E57">
          <w:rPr>
            <w:rStyle w:val="Hiperpovezava"/>
            <w:noProof/>
          </w:rPr>
          <w:t>Slika 37: Bruto dodana vrednost na zaposlenega v biogospodarstvu</w:t>
        </w:r>
        <w:r w:rsidRPr="00BF7E57">
          <w:rPr>
            <w:noProof/>
            <w:webHidden/>
          </w:rPr>
          <w:tab/>
        </w:r>
        <w:r w:rsidRPr="00BF7E57">
          <w:rPr>
            <w:noProof/>
            <w:webHidden/>
          </w:rPr>
          <w:fldChar w:fldCharType="begin"/>
        </w:r>
        <w:r w:rsidRPr="00BF7E57">
          <w:rPr>
            <w:noProof/>
            <w:webHidden/>
          </w:rPr>
          <w:instrText xml:space="preserve"> PAGEREF _Toc86826427 \h </w:instrText>
        </w:r>
        <w:r w:rsidRPr="00BF7E57">
          <w:rPr>
            <w:noProof/>
            <w:webHidden/>
          </w:rPr>
        </w:r>
        <w:r w:rsidRPr="00BF7E57">
          <w:rPr>
            <w:noProof/>
            <w:webHidden/>
          </w:rPr>
          <w:fldChar w:fldCharType="separate"/>
        </w:r>
        <w:r w:rsidR="00236865">
          <w:rPr>
            <w:noProof/>
            <w:webHidden/>
          </w:rPr>
          <w:t>70</w:t>
        </w:r>
        <w:r w:rsidRPr="00BF7E57">
          <w:rPr>
            <w:noProof/>
            <w:webHidden/>
          </w:rPr>
          <w:fldChar w:fldCharType="end"/>
        </w:r>
      </w:hyperlink>
    </w:p>
    <w:p w14:paraId="1064436D" w14:textId="0EDE9A1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8" w:history="1">
        <w:r w:rsidRPr="00BF7E57">
          <w:rPr>
            <w:rStyle w:val="Hiperpovezava"/>
            <w:noProof/>
          </w:rPr>
          <w:t>Slika 38: Ravnanje z odpadno hrano v Sloveniji</w:t>
        </w:r>
        <w:r w:rsidRPr="00BF7E57">
          <w:rPr>
            <w:noProof/>
            <w:webHidden/>
          </w:rPr>
          <w:tab/>
        </w:r>
        <w:r w:rsidRPr="00BF7E57">
          <w:rPr>
            <w:noProof/>
            <w:webHidden/>
          </w:rPr>
          <w:fldChar w:fldCharType="begin"/>
        </w:r>
        <w:r w:rsidRPr="00BF7E57">
          <w:rPr>
            <w:noProof/>
            <w:webHidden/>
          </w:rPr>
          <w:instrText xml:space="preserve"> PAGEREF _Toc86826428 \h </w:instrText>
        </w:r>
        <w:r w:rsidRPr="00BF7E57">
          <w:rPr>
            <w:noProof/>
            <w:webHidden/>
          </w:rPr>
        </w:r>
        <w:r w:rsidRPr="00BF7E57">
          <w:rPr>
            <w:noProof/>
            <w:webHidden/>
          </w:rPr>
          <w:fldChar w:fldCharType="separate"/>
        </w:r>
        <w:r w:rsidR="00236865">
          <w:rPr>
            <w:noProof/>
            <w:webHidden/>
          </w:rPr>
          <w:t>71</w:t>
        </w:r>
        <w:r w:rsidRPr="00BF7E57">
          <w:rPr>
            <w:noProof/>
            <w:webHidden/>
          </w:rPr>
          <w:fldChar w:fldCharType="end"/>
        </w:r>
      </w:hyperlink>
    </w:p>
    <w:p w14:paraId="717B671D" w14:textId="2578A9A6"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29" w:history="1">
        <w:r w:rsidRPr="00BF7E57">
          <w:rPr>
            <w:rStyle w:val="Hiperpovezava"/>
            <w:noProof/>
          </w:rPr>
          <w:t>Slika 39: Število bioplinarn na 1 mio prebivalcev v evropskih državah</w:t>
        </w:r>
        <w:r w:rsidRPr="00BF7E57">
          <w:rPr>
            <w:noProof/>
            <w:webHidden/>
          </w:rPr>
          <w:tab/>
        </w:r>
        <w:r w:rsidRPr="00BF7E57">
          <w:rPr>
            <w:noProof/>
            <w:webHidden/>
          </w:rPr>
          <w:fldChar w:fldCharType="begin"/>
        </w:r>
        <w:r w:rsidRPr="00BF7E57">
          <w:rPr>
            <w:noProof/>
            <w:webHidden/>
          </w:rPr>
          <w:instrText xml:space="preserve"> PAGEREF _Toc86826429 \h </w:instrText>
        </w:r>
        <w:r w:rsidRPr="00BF7E57">
          <w:rPr>
            <w:noProof/>
            <w:webHidden/>
          </w:rPr>
        </w:r>
        <w:r w:rsidRPr="00BF7E57">
          <w:rPr>
            <w:noProof/>
            <w:webHidden/>
          </w:rPr>
          <w:fldChar w:fldCharType="separate"/>
        </w:r>
        <w:r w:rsidR="00236865">
          <w:rPr>
            <w:noProof/>
            <w:webHidden/>
          </w:rPr>
          <w:t>72</w:t>
        </w:r>
        <w:r w:rsidRPr="00BF7E57">
          <w:rPr>
            <w:noProof/>
            <w:webHidden/>
          </w:rPr>
          <w:fldChar w:fldCharType="end"/>
        </w:r>
      </w:hyperlink>
    </w:p>
    <w:p w14:paraId="262FBE6B" w14:textId="27E4CBA0"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0" w:history="1">
        <w:r w:rsidRPr="00BF7E57">
          <w:rPr>
            <w:rStyle w:val="Hiperpovezava"/>
            <w:noProof/>
          </w:rPr>
          <w:t>Slika 40: Končna poraba energije, glede na energetski vir (v 1000 toe)</w:t>
        </w:r>
        <w:r w:rsidRPr="00BF7E57">
          <w:rPr>
            <w:noProof/>
            <w:webHidden/>
          </w:rPr>
          <w:tab/>
        </w:r>
        <w:r w:rsidRPr="00BF7E57">
          <w:rPr>
            <w:noProof/>
            <w:webHidden/>
          </w:rPr>
          <w:fldChar w:fldCharType="begin"/>
        </w:r>
        <w:r w:rsidRPr="00BF7E57">
          <w:rPr>
            <w:noProof/>
            <w:webHidden/>
          </w:rPr>
          <w:instrText xml:space="preserve"> PAGEREF _Toc86826430 \h </w:instrText>
        </w:r>
        <w:r w:rsidRPr="00BF7E57">
          <w:rPr>
            <w:noProof/>
            <w:webHidden/>
          </w:rPr>
        </w:r>
        <w:r w:rsidRPr="00BF7E57">
          <w:rPr>
            <w:noProof/>
            <w:webHidden/>
          </w:rPr>
          <w:fldChar w:fldCharType="separate"/>
        </w:r>
        <w:r w:rsidR="00236865">
          <w:rPr>
            <w:noProof/>
            <w:webHidden/>
          </w:rPr>
          <w:t>73</w:t>
        </w:r>
        <w:r w:rsidRPr="00BF7E57">
          <w:rPr>
            <w:noProof/>
            <w:webHidden/>
          </w:rPr>
          <w:fldChar w:fldCharType="end"/>
        </w:r>
      </w:hyperlink>
    </w:p>
    <w:p w14:paraId="10A8E484" w14:textId="1DCEDD47"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1" w:history="1">
        <w:r w:rsidRPr="00BF7E57">
          <w:rPr>
            <w:rStyle w:val="Hiperpovezava"/>
            <w:noProof/>
          </w:rPr>
          <w:t>Slika 41: Poraba energije za proizvodnjo porabljenih dušikovih in fosforjevih gnojil (v GJ/ha KZU) in plinskega olja v kmetijstvu (v TJ/leto)</w:t>
        </w:r>
        <w:r w:rsidRPr="00BF7E57">
          <w:rPr>
            <w:noProof/>
            <w:webHidden/>
          </w:rPr>
          <w:tab/>
        </w:r>
        <w:r w:rsidRPr="00BF7E57">
          <w:rPr>
            <w:noProof/>
            <w:webHidden/>
          </w:rPr>
          <w:fldChar w:fldCharType="begin"/>
        </w:r>
        <w:r w:rsidRPr="00BF7E57">
          <w:rPr>
            <w:noProof/>
            <w:webHidden/>
          </w:rPr>
          <w:instrText xml:space="preserve"> PAGEREF _Toc86826431 \h </w:instrText>
        </w:r>
        <w:r w:rsidRPr="00BF7E57">
          <w:rPr>
            <w:noProof/>
            <w:webHidden/>
          </w:rPr>
        </w:r>
        <w:r w:rsidRPr="00BF7E57">
          <w:rPr>
            <w:noProof/>
            <w:webHidden/>
          </w:rPr>
          <w:fldChar w:fldCharType="separate"/>
        </w:r>
        <w:r w:rsidR="00236865">
          <w:rPr>
            <w:noProof/>
            <w:webHidden/>
          </w:rPr>
          <w:t>74</w:t>
        </w:r>
        <w:r w:rsidRPr="00BF7E57">
          <w:rPr>
            <w:noProof/>
            <w:webHidden/>
          </w:rPr>
          <w:fldChar w:fldCharType="end"/>
        </w:r>
      </w:hyperlink>
    </w:p>
    <w:p w14:paraId="3A536708" w14:textId="71ADB395"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2" w:history="1">
        <w:r w:rsidRPr="00BF7E57">
          <w:rPr>
            <w:rStyle w:val="Hiperpovezava"/>
            <w:noProof/>
          </w:rPr>
          <w:t>Slika 42: Delež energije iz obnovljivih virov v bruto končni porabi energije (%)</w:t>
        </w:r>
        <w:r w:rsidRPr="00BF7E57">
          <w:rPr>
            <w:noProof/>
            <w:webHidden/>
          </w:rPr>
          <w:tab/>
        </w:r>
        <w:r w:rsidRPr="00BF7E57">
          <w:rPr>
            <w:noProof/>
            <w:webHidden/>
          </w:rPr>
          <w:fldChar w:fldCharType="begin"/>
        </w:r>
        <w:r w:rsidRPr="00BF7E57">
          <w:rPr>
            <w:noProof/>
            <w:webHidden/>
          </w:rPr>
          <w:instrText xml:space="preserve"> PAGEREF _Toc86826432 \h </w:instrText>
        </w:r>
        <w:r w:rsidRPr="00BF7E57">
          <w:rPr>
            <w:noProof/>
            <w:webHidden/>
          </w:rPr>
        </w:r>
        <w:r w:rsidRPr="00BF7E57">
          <w:rPr>
            <w:noProof/>
            <w:webHidden/>
          </w:rPr>
          <w:fldChar w:fldCharType="separate"/>
        </w:r>
        <w:r w:rsidR="00236865">
          <w:rPr>
            <w:noProof/>
            <w:webHidden/>
          </w:rPr>
          <w:t>75</w:t>
        </w:r>
        <w:r w:rsidRPr="00BF7E57">
          <w:rPr>
            <w:noProof/>
            <w:webHidden/>
          </w:rPr>
          <w:fldChar w:fldCharType="end"/>
        </w:r>
      </w:hyperlink>
    </w:p>
    <w:p w14:paraId="2CA477E6" w14:textId="40010849"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3" w:history="1">
        <w:r w:rsidRPr="00BF7E57">
          <w:rPr>
            <w:rStyle w:val="Hiperpovezava"/>
            <w:noProof/>
          </w:rPr>
          <w:t>Slika 43: Raba obnovljivih virov energije</w:t>
        </w:r>
        <w:r w:rsidRPr="00BF7E57">
          <w:rPr>
            <w:noProof/>
            <w:webHidden/>
          </w:rPr>
          <w:tab/>
        </w:r>
        <w:r w:rsidRPr="00BF7E57">
          <w:rPr>
            <w:noProof/>
            <w:webHidden/>
          </w:rPr>
          <w:fldChar w:fldCharType="begin"/>
        </w:r>
        <w:r w:rsidRPr="00BF7E57">
          <w:rPr>
            <w:noProof/>
            <w:webHidden/>
          </w:rPr>
          <w:instrText xml:space="preserve"> PAGEREF _Toc86826433 \h </w:instrText>
        </w:r>
        <w:r w:rsidRPr="00BF7E57">
          <w:rPr>
            <w:noProof/>
            <w:webHidden/>
          </w:rPr>
        </w:r>
        <w:r w:rsidRPr="00BF7E57">
          <w:rPr>
            <w:noProof/>
            <w:webHidden/>
          </w:rPr>
          <w:fldChar w:fldCharType="separate"/>
        </w:r>
        <w:r w:rsidR="00236865">
          <w:rPr>
            <w:noProof/>
            <w:webHidden/>
          </w:rPr>
          <w:t>76</w:t>
        </w:r>
        <w:r w:rsidRPr="00BF7E57">
          <w:rPr>
            <w:noProof/>
            <w:webHidden/>
          </w:rPr>
          <w:fldChar w:fldCharType="end"/>
        </w:r>
      </w:hyperlink>
    </w:p>
    <w:p w14:paraId="3C986BCD" w14:textId="75E56B6D"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4" w:history="1">
        <w:r w:rsidRPr="00BF7E57">
          <w:rPr>
            <w:rStyle w:val="Hiperpovezava"/>
            <w:noProof/>
          </w:rPr>
          <w:t>Slika 44: Proizvodnja obnovljivih virov energije iz kmetijstva in gozdarstva (Toe/1000 ha) in poraba obnovljivih virov energije v kmetijstvu in gozdarstvu (%)</w:t>
        </w:r>
        <w:r w:rsidRPr="00BF7E57">
          <w:rPr>
            <w:noProof/>
            <w:webHidden/>
          </w:rPr>
          <w:tab/>
        </w:r>
        <w:r w:rsidRPr="00BF7E57">
          <w:rPr>
            <w:noProof/>
            <w:webHidden/>
          </w:rPr>
          <w:fldChar w:fldCharType="begin"/>
        </w:r>
        <w:r w:rsidRPr="00BF7E57">
          <w:rPr>
            <w:noProof/>
            <w:webHidden/>
          </w:rPr>
          <w:instrText xml:space="preserve"> PAGEREF _Toc86826434 \h </w:instrText>
        </w:r>
        <w:r w:rsidRPr="00BF7E57">
          <w:rPr>
            <w:noProof/>
            <w:webHidden/>
          </w:rPr>
        </w:r>
        <w:r w:rsidRPr="00BF7E57">
          <w:rPr>
            <w:noProof/>
            <w:webHidden/>
          </w:rPr>
          <w:fldChar w:fldCharType="separate"/>
        </w:r>
        <w:r w:rsidR="00236865">
          <w:rPr>
            <w:noProof/>
            <w:webHidden/>
          </w:rPr>
          <w:t>77</w:t>
        </w:r>
        <w:r w:rsidRPr="00BF7E57">
          <w:rPr>
            <w:noProof/>
            <w:webHidden/>
          </w:rPr>
          <w:fldChar w:fldCharType="end"/>
        </w:r>
      </w:hyperlink>
    </w:p>
    <w:p w14:paraId="3E6C689F" w14:textId="1704548B"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5" w:history="1">
        <w:r w:rsidRPr="00BF7E57">
          <w:rPr>
            <w:rStyle w:val="Hiperpovezava"/>
            <w:noProof/>
          </w:rPr>
          <w:t>Slika 45: Obnovljeni objekti v okviru ukrepov 322 in 323 po tipu objekta</w:t>
        </w:r>
        <w:r w:rsidRPr="00BF7E57">
          <w:rPr>
            <w:noProof/>
            <w:webHidden/>
          </w:rPr>
          <w:tab/>
        </w:r>
        <w:r w:rsidRPr="00BF7E57">
          <w:rPr>
            <w:noProof/>
            <w:webHidden/>
          </w:rPr>
          <w:fldChar w:fldCharType="begin"/>
        </w:r>
        <w:r w:rsidRPr="00BF7E57">
          <w:rPr>
            <w:noProof/>
            <w:webHidden/>
          </w:rPr>
          <w:instrText xml:space="preserve"> PAGEREF _Toc86826435 \h </w:instrText>
        </w:r>
        <w:r w:rsidRPr="00BF7E57">
          <w:rPr>
            <w:noProof/>
            <w:webHidden/>
          </w:rPr>
        </w:r>
        <w:r w:rsidRPr="00BF7E57">
          <w:rPr>
            <w:noProof/>
            <w:webHidden/>
          </w:rPr>
          <w:fldChar w:fldCharType="separate"/>
        </w:r>
        <w:r w:rsidR="00236865">
          <w:rPr>
            <w:noProof/>
            <w:webHidden/>
          </w:rPr>
          <w:t>85</w:t>
        </w:r>
        <w:r w:rsidRPr="00BF7E57">
          <w:rPr>
            <w:noProof/>
            <w:webHidden/>
          </w:rPr>
          <w:fldChar w:fldCharType="end"/>
        </w:r>
      </w:hyperlink>
    </w:p>
    <w:p w14:paraId="5FF66ABC" w14:textId="61471BF4"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6" w:history="1">
        <w:r w:rsidRPr="00BF7E57">
          <w:rPr>
            <w:rStyle w:val="Hiperpovezava"/>
            <w:noProof/>
          </w:rPr>
          <w:t>Slika 46: Lokacija obnovljenih objektov v okviru ukrepov 322 in 322</w:t>
        </w:r>
        <w:r w:rsidRPr="00BF7E57">
          <w:rPr>
            <w:noProof/>
            <w:webHidden/>
          </w:rPr>
          <w:tab/>
        </w:r>
        <w:r w:rsidRPr="00BF7E57">
          <w:rPr>
            <w:noProof/>
            <w:webHidden/>
          </w:rPr>
          <w:fldChar w:fldCharType="begin"/>
        </w:r>
        <w:r w:rsidRPr="00BF7E57">
          <w:rPr>
            <w:noProof/>
            <w:webHidden/>
          </w:rPr>
          <w:instrText xml:space="preserve"> PAGEREF _Toc86826436 \h </w:instrText>
        </w:r>
        <w:r w:rsidRPr="00BF7E57">
          <w:rPr>
            <w:noProof/>
            <w:webHidden/>
          </w:rPr>
        </w:r>
        <w:r w:rsidRPr="00BF7E57">
          <w:rPr>
            <w:noProof/>
            <w:webHidden/>
          </w:rPr>
          <w:fldChar w:fldCharType="separate"/>
        </w:r>
        <w:r w:rsidR="00236865">
          <w:rPr>
            <w:noProof/>
            <w:webHidden/>
          </w:rPr>
          <w:t>86</w:t>
        </w:r>
        <w:r w:rsidRPr="00BF7E57">
          <w:rPr>
            <w:noProof/>
            <w:webHidden/>
          </w:rPr>
          <w:fldChar w:fldCharType="end"/>
        </w:r>
      </w:hyperlink>
    </w:p>
    <w:p w14:paraId="0B69995F" w14:textId="5A8B879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7" w:history="1">
        <w:r w:rsidRPr="00BF7E57">
          <w:rPr>
            <w:rStyle w:val="Hiperpovezava"/>
            <w:noProof/>
          </w:rPr>
          <w:t>Slika 47: Lokalne akcijske skupine v Sloveniji 2014-2020</w:t>
        </w:r>
        <w:r w:rsidRPr="00BF7E57">
          <w:rPr>
            <w:noProof/>
            <w:webHidden/>
          </w:rPr>
          <w:tab/>
        </w:r>
        <w:r w:rsidRPr="00BF7E57">
          <w:rPr>
            <w:noProof/>
            <w:webHidden/>
          </w:rPr>
          <w:fldChar w:fldCharType="begin"/>
        </w:r>
        <w:r w:rsidRPr="00BF7E57">
          <w:rPr>
            <w:noProof/>
            <w:webHidden/>
          </w:rPr>
          <w:instrText xml:space="preserve"> PAGEREF _Toc86826437 \h </w:instrText>
        </w:r>
        <w:r w:rsidRPr="00BF7E57">
          <w:rPr>
            <w:noProof/>
            <w:webHidden/>
          </w:rPr>
        </w:r>
        <w:r w:rsidRPr="00BF7E57">
          <w:rPr>
            <w:noProof/>
            <w:webHidden/>
          </w:rPr>
          <w:fldChar w:fldCharType="separate"/>
        </w:r>
        <w:r w:rsidR="00236865">
          <w:rPr>
            <w:noProof/>
            <w:webHidden/>
          </w:rPr>
          <w:t>88</w:t>
        </w:r>
        <w:r w:rsidRPr="00BF7E57">
          <w:rPr>
            <w:noProof/>
            <w:webHidden/>
          </w:rPr>
          <w:fldChar w:fldCharType="end"/>
        </w:r>
      </w:hyperlink>
    </w:p>
    <w:p w14:paraId="6D2D9AA4" w14:textId="7726686A"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38" w:history="1">
        <w:r w:rsidRPr="00BF7E57">
          <w:rPr>
            <w:rStyle w:val="Hiperpovezava"/>
            <w:noProof/>
          </w:rPr>
          <w:t>Slika 48: Vsebinska analiza projektov LEADER za podukrep 19.2</w:t>
        </w:r>
        <w:r w:rsidRPr="00BF7E57">
          <w:rPr>
            <w:noProof/>
            <w:webHidden/>
          </w:rPr>
          <w:tab/>
        </w:r>
        <w:r w:rsidRPr="00BF7E57">
          <w:rPr>
            <w:noProof/>
            <w:webHidden/>
          </w:rPr>
          <w:fldChar w:fldCharType="begin"/>
        </w:r>
        <w:r w:rsidRPr="00BF7E57">
          <w:rPr>
            <w:noProof/>
            <w:webHidden/>
          </w:rPr>
          <w:instrText xml:space="preserve"> PAGEREF _Toc86826438 \h </w:instrText>
        </w:r>
        <w:r w:rsidRPr="00BF7E57">
          <w:rPr>
            <w:noProof/>
            <w:webHidden/>
          </w:rPr>
        </w:r>
        <w:r w:rsidRPr="00BF7E57">
          <w:rPr>
            <w:noProof/>
            <w:webHidden/>
          </w:rPr>
          <w:fldChar w:fldCharType="separate"/>
        </w:r>
        <w:r w:rsidR="00236865">
          <w:rPr>
            <w:noProof/>
            <w:webHidden/>
          </w:rPr>
          <w:t>91</w:t>
        </w:r>
        <w:r w:rsidRPr="00BF7E57">
          <w:rPr>
            <w:noProof/>
            <w:webHidden/>
          </w:rPr>
          <w:fldChar w:fldCharType="end"/>
        </w:r>
      </w:hyperlink>
    </w:p>
    <w:p w14:paraId="7F8D916F" w14:textId="77777777" w:rsidR="0078036A" w:rsidRPr="00BF7E57" w:rsidRDefault="0078036A">
      <w:pPr>
        <w:spacing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fldChar w:fldCharType="end"/>
      </w:r>
    </w:p>
    <w:p w14:paraId="32043405" w14:textId="77777777" w:rsidR="00CD4BB2" w:rsidRPr="00BF7E57" w:rsidRDefault="00CD4BB2">
      <w:pPr>
        <w:rPr>
          <w:rFonts w:ascii="Arial" w:hAnsi="Arial" w:cs="Arial"/>
          <w:sz w:val="20"/>
          <w:szCs w:val="20"/>
        </w:rPr>
      </w:pPr>
      <w:r w:rsidRPr="00BF7E57">
        <w:rPr>
          <w:rFonts w:ascii="Arial" w:hAnsi="Arial" w:cs="Arial"/>
          <w:sz w:val="20"/>
          <w:szCs w:val="20"/>
        </w:rPr>
        <w:br w:type="page"/>
      </w:r>
    </w:p>
    <w:p w14:paraId="3133B160" w14:textId="3F414CEF" w:rsidR="00D97A62" w:rsidRPr="00BF7E57" w:rsidRDefault="00376357">
      <w:pPr>
        <w:pStyle w:val="Kazaloslik"/>
        <w:tabs>
          <w:tab w:val="right" w:leader="dot" w:pos="9062"/>
        </w:tabs>
        <w:rPr>
          <w:rFonts w:eastAsiaTheme="minorEastAsia" w:cstheme="minorBidi"/>
          <w:i w:val="0"/>
          <w:iCs w:val="0"/>
          <w:noProof/>
          <w:sz w:val="22"/>
          <w:szCs w:val="22"/>
          <w:lang w:eastAsia="sl-SI"/>
        </w:rPr>
      </w:pPr>
      <w:r w:rsidRPr="00BF7E57">
        <w:lastRenderedPageBreak/>
        <w:fldChar w:fldCharType="begin"/>
      </w:r>
      <w:r w:rsidRPr="00BF7E57">
        <w:instrText xml:space="preserve"> TOC \h \z \c "Tabela" </w:instrText>
      </w:r>
      <w:r w:rsidRPr="00BF7E57">
        <w:fldChar w:fldCharType="separate"/>
      </w:r>
      <w:hyperlink w:anchor="_Toc86826439" w:history="1">
        <w:r w:rsidR="00D97A62" w:rsidRPr="00BF7E57">
          <w:rPr>
            <w:rStyle w:val="Hiperpovezava"/>
            <w:noProof/>
          </w:rPr>
          <w:t>Tabela 1: Uporabljeni kazalniki stanja v okviru specifičnega cilja SC8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_Toc86826439 \h </w:instrText>
        </w:r>
        <w:r w:rsidR="00D97A62" w:rsidRPr="00BF7E57">
          <w:rPr>
            <w:noProof/>
            <w:webHidden/>
          </w:rPr>
        </w:r>
        <w:r w:rsidR="00D97A62" w:rsidRPr="00BF7E57">
          <w:rPr>
            <w:noProof/>
            <w:webHidden/>
          </w:rPr>
          <w:fldChar w:fldCharType="separate"/>
        </w:r>
        <w:r w:rsidR="00236865">
          <w:rPr>
            <w:noProof/>
            <w:webHidden/>
          </w:rPr>
          <w:t>6</w:t>
        </w:r>
        <w:r w:rsidR="00D97A62" w:rsidRPr="00BF7E57">
          <w:rPr>
            <w:noProof/>
            <w:webHidden/>
          </w:rPr>
          <w:fldChar w:fldCharType="end"/>
        </w:r>
      </w:hyperlink>
    </w:p>
    <w:p w14:paraId="27287C3B" w14:textId="45267F5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0" w:history="1">
        <w:r w:rsidRPr="00BF7E57">
          <w:rPr>
            <w:rStyle w:val="Hiperpovezava"/>
            <w:noProof/>
          </w:rPr>
          <w:t>Tabela 2: Porazdelitev površine po vrstah regij</w:t>
        </w:r>
        <w:r w:rsidRPr="00BF7E57">
          <w:rPr>
            <w:noProof/>
            <w:webHidden/>
          </w:rPr>
          <w:tab/>
        </w:r>
        <w:r w:rsidRPr="00BF7E57">
          <w:rPr>
            <w:noProof/>
            <w:webHidden/>
          </w:rPr>
          <w:fldChar w:fldCharType="begin"/>
        </w:r>
        <w:r w:rsidRPr="00BF7E57">
          <w:rPr>
            <w:noProof/>
            <w:webHidden/>
          </w:rPr>
          <w:instrText xml:space="preserve"> PAGEREF _Toc86826440 \h </w:instrText>
        </w:r>
        <w:r w:rsidRPr="00BF7E57">
          <w:rPr>
            <w:noProof/>
            <w:webHidden/>
          </w:rPr>
        </w:r>
        <w:r w:rsidRPr="00BF7E57">
          <w:rPr>
            <w:noProof/>
            <w:webHidden/>
          </w:rPr>
          <w:fldChar w:fldCharType="separate"/>
        </w:r>
        <w:r w:rsidR="00236865">
          <w:rPr>
            <w:noProof/>
            <w:webHidden/>
          </w:rPr>
          <w:t>8</w:t>
        </w:r>
        <w:r w:rsidRPr="00BF7E57">
          <w:rPr>
            <w:noProof/>
            <w:webHidden/>
          </w:rPr>
          <w:fldChar w:fldCharType="end"/>
        </w:r>
      </w:hyperlink>
    </w:p>
    <w:p w14:paraId="57329A6E" w14:textId="291EA18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1" w:history="1">
        <w:r w:rsidRPr="00BF7E57">
          <w:rPr>
            <w:rStyle w:val="Hiperpovezava"/>
            <w:noProof/>
          </w:rPr>
          <w:t>Tabela 3: Prebivalstvo v Sloveniji po regijah</w:t>
        </w:r>
        <w:r w:rsidRPr="00BF7E57">
          <w:rPr>
            <w:noProof/>
            <w:webHidden/>
          </w:rPr>
          <w:tab/>
        </w:r>
        <w:r w:rsidRPr="00BF7E57">
          <w:rPr>
            <w:noProof/>
            <w:webHidden/>
          </w:rPr>
          <w:fldChar w:fldCharType="begin"/>
        </w:r>
        <w:r w:rsidRPr="00BF7E57">
          <w:rPr>
            <w:noProof/>
            <w:webHidden/>
          </w:rPr>
          <w:instrText xml:space="preserve"> PAGEREF _Toc86826441 \h </w:instrText>
        </w:r>
        <w:r w:rsidRPr="00BF7E57">
          <w:rPr>
            <w:noProof/>
            <w:webHidden/>
          </w:rPr>
        </w:r>
        <w:r w:rsidRPr="00BF7E57">
          <w:rPr>
            <w:noProof/>
            <w:webHidden/>
          </w:rPr>
          <w:fldChar w:fldCharType="separate"/>
        </w:r>
        <w:r w:rsidR="00236865">
          <w:rPr>
            <w:noProof/>
            <w:webHidden/>
          </w:rPr>
          <w:t>8</w:t>
        </w:r>
        <w:r w:rsidRPr="00BF7E57">
          <w:rPr>
            <w:noProof/>
            <w:webHidden/>
          </w:rPr>
          <w:fldChar w:fldCharType="end"/>
        </w:r>
      </w:hyperlink>
    </w:p>
    <w:p w14:paraId="4B5B543D" w14:textId="4A6384AC"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2" w:history="1">
        <w:r w:rsidRPr="00BF7E57">
          <w:rPr>
            <w:rStyle w:val="Hiperpovezava"/>
            <w:noProof/>
          </w:rPr>
          <w:t>Tabela 4: Gostota prebivalstva v Sloveniji</w:t>
        </w:r>
        <w:r w:rsidRPr="00BF7E57">
          <w:rPr>
            <w:noProof/>
            <w:webHidden/>
          </w:rPr>
          <w:tab/>
        </w:r>
        <w:r w:rsidRPr="00BF7E57">
          <w:rPr>
            <w:noProof/>
            <w:webHidden/>
          </w:rPr>
          <w:fldChar w:fldCharType="begin"/>
        </w:r>
        <w:r w:rsidRPr="00BF7E57">
          <w:rPr>
            <w:noProof/>
            <w:webHidden/>
          </w:rPr>
          <w:instrText xml:space="preserve"> PAGEREF _Toc86826442 \h </w:instrText>
        </w:r>
        <w:r w:rsidRPr="00BF7E57">
          <w:rPr>
            <w:noProof/>
            <w:webHidden/>
          </w:rPr>
        </w:r>
        <w:r w:rsidRPr="00BF7E57">
          <w:rPr>
            <w:noProof/>
            <w:webHidden/>
          </w:rPr>
          <w:fldChar w:fldCharType="separate"/>
        </w:r>
        <w:r w:rsidR="00236865">
          <w:rPr>
            <w:noProof/>
            <w:webHidden/>
          </w:rPr>
          <w:t>9</w:t>
        </w:r>
        <w:r w:rsidRPr="00BF7E57">
          <w:rPr>
            <w:noProof/>
            <w:webHidden/>
          </w:rPr>
          <w:fldChar w:fldCharType="end"/>
        </w:r>
      </w:hyperlink>
    </w:p>
    <w:p w14:paraId="09BB7FAE" w14:textId="0F24D517"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3" w:history="1">
        <w:r w:rsidRPr="00BF7E57">
          <w:rPr>
            <w:rStyle w:val="Hiperpovezava"/>
            <w:noProof/>
          </w:rPr>
          <w:t>Tabela 5: Starostna struktura prebivalstva v Sloveniji</w:t>
        </w:r>
        <w:r w:rsidRPr="00BF7E57">
          <w:rPr>
            <w:noProof/>
            <w:webHidden/>
          </w:rPr>
          <w:tab/>
        </w:r>
        <w:r w:rsidRPr="00BF7E57">
          <w:rPr>
            <w:noProof/>
            <w:webHidden/>
          </w:rPr>
          <w:fldChar w:fldCharType="begin"/>
        </w:r>
        <w:r w:rsidRPr="00BF7E57">
          <w:rPr>
            <w:noProof/>
            <w:webHidden/>
          </w:rPr>
          <w:instrText xml:space="preserve"> PAGEREF _Toc86826443 \h </w:instrText>
        </w:r>
        <w:r w:rsidRPr="00BF7E57">
          <w:rPr>
            <w:noProof/>
            <w:webHidden/>
          </w:rPr>
        </w:r>
        <w:r w:rsidRPr="00BF7E57">
          <w:rPr>
            <w:noProof/>
            <w:webHidden/>
          </w:rPr>
          <w:fldChar w:fldCharType="separate"/>
        </w:r>
        <w:r w:rsidR="00236865">
          <w:rPr>
            <w:noProof/>
            <w:webHidden/>
          </w:rPr>
          <w:t>10</w:t>
        </w:r>
        <w:r w:rsidRPr="00BF7E57">
          <w:rPr>
            <w:noProof/>
            <w:webHidden/>
          </w:rPr>
          <w:fldChar w:fldCharType="end"/>
        </w:r>
      </w:hyperlink>
    </w:p>
    <w:p w14:paraId="791DEFAE" w14:textId="53C6014B"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4" w:history="1">
        <w:r w:rsidRPr="00BF7E57">
          <w:rPr>
            <w:rStyle w:val="Hiperpovezava"/>
            <w:noProof/>
          </w:rPr>
          <w:t>Tabela 6: Število in starostna struktura prebivalstva na podeželju</w:t>
        </w:r>
        <w:r w:rsidRPr="00BF7E57">
          <w:rPr>
            <w:noProof/>
            <w:webHidden/>
          </w:rPr>
          <w:tab/>
        </w:r>
        <w:r w:rsidRPr="00BF7E57">
          <w:rPr>
            <w:noProof/>
            <w:webHidden/>
          </w:rPr>
          <w:fldChar w:fldCharType="begin"/>
        </w:r>
        <w:r w:rsidRPr="00BF7E57">
          <w:rPr>
            <w:noProof/>
            <w:webHidden/>
          </w:rPr>
          <w:instrText xml:space="preserve"> PAGEREF _Toc86826444 \h </w:instrText>
        </w:r>
        <w:r w:rsidRPr="00BF7E57">
          <w:rPr>
            <w:noProof/>
            <w:webHidden/>
          </w:rPr>
        </w:r>
        <w:r w:rsidRPr="00BF7E57">
          <w:rPr>
            <w:noProof/>
            <w:webHidden/>
          </w:rPr>
          <w:fldChar w:fldCharType="separate"/>
        </w:r>
        <w:r w:rsidR="00236865">
          <w:rPr>
            <w:noProof/>
            <w:webHidden/>
          </w:rPr>
          <w:t>12</w:t>
        </w:r>
        <w:r w:rsidRPr="00BF7E57">
          <w:rPr>
            <w:noProof/>
            <w:webHidden/>
          </w:rPr>
          <w:fldChar w:fldCharType="end"/>
        </w:r>
      </w:hyperlink>
    </w:p>
    <w:p w14:paraId="0C80CC44" w14:textId="3D1A62E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5" w:history="1">
        <w:r w:rsidRPr="00BF7E57">
          <w:rPr>
            <w:rStyle w:val="Hiperpovezava"/>
            <w:noProof/>
          </w:rPr>
          <w:t>Tabela 7: Gibanje števila prebivalstva in gostote naseljenosti – primerjava med celotno Slovenijo in podeželjem</w:t>
        </w:r>
        <w:r w:rsidRPr="00BF7E57">
          <w:rPr>
            <w:noProof/>
            <w:webHidden/>
          </w:rPr>
          <w:tab/>
        </w:r>
        <w:r w:rsidRPr="00BF7E57">
          <w:rPr>
            <w:noProof/>
            <w:webHidden/>
          </w:rPr>
          <w:fldChar w:fldCharType="begin"/>
        </w:r>
        <w:r w:rsidRPr="00BF7E57">
          <w:rPr>
            <w:noProof/>
            <w:webHidden/>
          </w:rPr>
          <w:instrText xml:space="preserve"> PAGEREF _Toc86826445 \h </w:instrText>
        </w:r>
        <w:r w:rsidRPr="00BF7E57">
          <w:rPr>
            <w:noProof/>
            <w:webHidden/>
          </w:rPr>
        </w:r>
        <w:r w:rsidRPr="00BF7E57">
          <w:rPr>
            <w:noProof/>
            <w:webHidden/>
          </w:rPr>
          <w:fldChar w:fldCharType="separate"/>
        </w:r>
        <w:r w:rsidR="00236865">
          <w:rPr>
            <w:noProof/>
            <w:webHidden/>
          </w:rPr>
          <w:t>14</w:t>
        </w:r>
        <w:r w:rsidRPr="00BF7E57">
          <w:rPr>
            <w:noProof/>
            <w:webHidden/>
          </w:rPr>
          <w:fldChar w:fldCharType="end"/>
        </w:r>
      </w:hyperlink>
    </w:p>
    <w:p w14:paraId="44290F77" w14:textId="7ED14049"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6" w:history="1">
        <w:r w:rsidRPr="00BF7E57">
          <w:rPr>
            <w:rStyle w:val="Hiperpovezava"/>
            <w:noProof/>
          </w:rPr>
          <w:t>Tabela 8: Naravni prirast (na 1.000 prebivalcev)</w:t>
        </w:r>
        <w:r w:rsidRPr="00BF7E57">
          <w:rPr>
            <w:noProof/>
            <w:webHidden/>
          </w:rPr>
          <w:tab/>
        </w:r>
        <w:r w:rsidRPr="00BF7E57">
          <w:rPr>
            <w:noProof/>
            <w:webHidden/>
          </w:rPr>
          <w:fldChar w:fldCharType="begin"/>
        </w:r>
        <w:r w:rsidRPr="00BF7E57">
          <w:rPr>
            <w:noProof/>
            <w:webHidden/>
          </w:rPr>
          <w:instrText xml:space="preserve"> PAGEREF _Toc86826446 \h </w:instrText>
        </w:r>
        <w:r w:rsidRPr="00BF7E57">
          <w:rPr>
            <w:noProof/>
            <w:webHidden/>
          </w:rPr>
        </w:r>
        <w:r w:rsidRPr="00BF7E57">
          <w:rPr>
            <w:noProof/>
            <w:webHidden/>
          </w:rPr>
          <w:fldChar w:fldCharType="separate"/>
        </w:r>
        <w:r w:rsidR="00236865">
          <w:rPr>
            <w:noProof/>
            <w:webHidden/>
          </w:rPr>
          <w:t>15</w:t>
        </w:r>
        <w:r w:rsidRPr="00BF7E57">
          <w:rPr>
            <w:noProof/>
            <w:webHidden/>
          </w:rPr>
          <w:fldChar w:fldCharType="end"/>
        </w:r>
      </w:hyperlink>
    </w:p>
    <w:p w14:paraId="76431BFF" w14:textId="4DC9C92E"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7" w:history="1">
        <w:r w:rsidRPr="00BF7E57">
          <w:rPr>
            <w:rStyle w:val="Hiperpovezava"/>
            <w:noProof/>
          </w:rPr>
          <w:t>Tabela 9: Izbrani socioekonomski in demografski kazalniki po demografsko naselbinskih tipih</w:t>
        </w:r>
        <w:r w:rsidRPr="00BF7E57">
          <w:rPr>
            <w:noProof/>
            <w:webHidden/>
          </w:rPr>
          <w:tab/>
        </w:r>
        <w:r w:rsidRPr="00BF7E57">
          <w:rPr>
            <w:noProof/>
            <w:webHidden/>
          </w:rPr>
          <w:fldChar w:fldCharType="begin"/>
        </w:r>
        <w:r w:rsidRPr="00BF7E57">
          <w:rPr>
            <w:noProof/>
            <w:webHidden/>
          </w:rPr>
          <w:instrText xml:space="preserve"> PAGEREF _Toc86826447 \h </w:instrText>
        </w:r>
        <w:r w:rsidRPr="00BF7E57">
          <w:rPr>
            <w:noProof/>
            <w:webHidden/>
          </w:rPr>
        </w:r>
        <w:r w:rsidRPr="00BF7E57">
          <w:rPr>
            <w:noProof/>
            <w:webHidden/>
          </w:rPr>
          <w:fldChar w:fldCharType="separate"/>
        </w:r>
        <w:r w:rsidR="00236865">
          <w:rPr>
            <w:noProof/>
            <w:webHidden/>
          </w:rPr>
          <w:t>17</w:t>
        </w:r>
        <w:r w:rsidRPr="00BF7E57">
          <w:rPr>
            <w:noProof/>
            <w:webHidden/>
          </w:rPr>
          <w:fldChar w:fldCharType="end"/>
        </w:r>
      </w:hyperlink>
    </w:p>
    <w:p w14:paraId="079608B1" w14:textId="6341AACC"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8" w:history="1">
        <w:r w:rsidRPr="00BF7E57">
          <w:rPr>
            <w:rStyle w:val="Hiperpovezava"/>
            <w:noProof/>
          </w:rPr>
          <w:t>Tabela 10: Skupni selitveni prirast (na 1.000 prebivalcev)</w:t>
        </w:r>
        <w:r w:rsidRPr="00BF7E57">
          <w:rPr>
            <w:noProof/>
            <w:webHidden/>
          </w:rPr>
          <w:tab/>
        </w:r>
        <w:r w:rsidRPr="00BF7E57">
          <w:rPr>
            <w:noProof/>
            <w:webHidden/>
          </w:rPr>
          <w:fldChar w:fldCharType="begin"/>
        </w:r>
        <w:r w:rsidRPr="00BF7E57">
          <w:rPr>
            <w:noProof/>
            <w:webHidden/>
          </w:rPr>
          <w:instrText xml:space="preserve"> PAGEREF _Toc86826448 \h </w:instrText>
        </w:r>
        <w:r w:rsidRPr="00BF7E57">
          <w:rPr>
            <w:noProof/>
            <w:webHidden/>
          </w:rPr>
        </w:r>
        <w:r w:rsidRPr="00BF7E57">
          <w:rPr>
            <w:noProof/>
            <w:webHidden/>
          </w:rPr>
          <w:fldChar w:fldCharType="separate"/>
        </w:r>
        <w:r w:rsidR="00236865">
          <w:rPr>
            <w:noProof/>
            <w:webHidden/>
          </w:rPr>
          <w:t>21</w:t>
        </w:r>
        <w:r w:rsidRPr="00BF7E57">
          <w:rPr>
            <w:noProof/>
            <w:webHidden/>
          </w:rPr>
          <w:fldChar w:fldCharType="end"/>
        </w:r>
      </w:hyperlink>
    </w:p>
    <w:p w14:paraId="21D815F1" w14:textId="2F2B03F0"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49" w:history="1">
        <w:r w:rsidRPr="00BF7E57">
          <w:rPr>
            <w:rStyle w:val="Hiperpovezava"/>
            <w:noProof/>
          </w:rPr>
          <w:t>Tabela 11: Meddržavne selitve (selitveni prirast s tujino) po letih</w:t>
        </w:r>
        <w:r w:rsidRPr="00BF7E57">
          <w:rPr>
            <w:noProof/>
            <w:webHidden/>
          </w:rPr>
          <w:tab/>
        </w:r>
        <w:r w:rsidRPr="00BF7E57">
          <w:rPr>
            <w:noProof/>
            <w:webHidden/>
          </w:rPr>
          <w:fldChar w:fldCharType="begin"/>
        </w:r>
        <w:r w:rsidRPr="00BF7E57">
          <w:rPr>
            <w:noProof/>
            <w:webHidden/>
          </w:rPr>
          <w:instrText xml:space="preserve"> PAGEREF _Toc86826449 \h </w:instrText>
        </w:r>
        <w:r w:rsidRPr="00BF7E57">
          <w:rPr>
            <w:noProof/>
            <w:webHidden/>
          </w:rPr>
        </w:r>
        <w:r w:rsidRPr="00BF7E57">
          <w:rPr>
            <w:noProof/>
            <w:webHidden/>
          </w:rPr>
          <w:fldChar w:fldCharType="separate"/>
        </w:r>
        <w:r w:rsidR="00236865">
          <w:rPr>
            <w:noProof/>
            <w:webHidden/>
          </w:rPr>
          <w:t>24</w:t>
        </w:r>
        <w:r w:rsidRPr="00BF7E57">
          <w:rPr>
            <w:noProof/>
            <w:webHidden/>
          </w:rPr>
          <w:fldChar w:fldCharType="end"/>
        </w:r>
      </w:hyperlink>
    </w:p>
    <w:p w14:paraId="79CE7565" w14:textId="3DA1B63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0" w:history="1">
        <w:r w:rsidRPr="00BF7E57">
          <w:rPr>
            <w:rStyle w:val="Hiperpovezava"/>
            <w:noProof/>
          </w:rPr>
          <w:t>Tabela 12: Osnovni podatki dohodka, revščine in socialne izključenosti v Sloveniji</w:t>
        </w:r>
        <w:r w:rsidRPr="00BF7E57">
          <w:rPr>
            <w:noProof/>
            <w:webHidden/>
          </w:rPr>
          <w:tab/>
        </w:r>
        <w:r w:rsidRPr="00BF7E57">
          <w:rPr>
            <w:noProof/>
            <w:webHidden/>
          </w:rPr>
          <w:fldChar w:fldCharType="begin"/>
        </w:r>
        <w:r w:rsidRPr="00BF7E57">
          <w:rPr>
            <w:noProof/>
            <w:webHidden/>
          </w:rPr>
          <w:instrText xml:space="preserve"> PAGEREF _Toc86826450 \h </w:instrText>
        </w:r>
        <w:r w:rsidRPr="00BF7E57">
          <w:rPr>
            <w:noProof/>
            <w:webHidden/>
          </w:rPr>
        </w:r>
        <w:r w:rsidRPr="00BF7E57">
          <w:rPr>
            <w:noProof/>
            <w:webHidden/>
          </w:rPr>
          <w:fldChar w:fldCharType="separate"/>
        </w:r>
        <w:r w:rsidR="00236865">
          <w:rPr>
            <w:noProof/>
            <w:webHidden/>
          </w:rPr>
          <w:t>27</w:t>
        </w:r>
        <w:r w:rsidRPr="00BF7E57">
          <w:rPr>
            <w:noProof/>
            <w:webHidden/>
          </w:rPr>
          <w:fldChar w:fldCharType="end"/>
        </w:r>
      </w:hyperlink>
    </w:p>
    <w:p w14:paraId="007AA266" w14:textId="06EE0084"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1" w:history="1">
        <w:r w:rsidRPr="00BF7E57">
          <w:rPr>
            <w:rStyle w:val="Hiperpovezava"/>
            <w:noProof/>
          </w:rPr>
          <w:t>Tabela 13: Primerjava IRO za obdobje 2007-2013 in IRO za leto 2019</w:t>
        </w:r>
        <w:r w:rsidRPr="00BF7E57">
          <w:rPr>
            <w:noProof/>
            <w:webHidden/>
          </w:rPr>
          <w:tab/>
        </w:r>
        <w:r w:rsidRPr="00BF7E57">
          <w:rPr>
            <w:noProof/>
            <w:webHidden/>
          </w:rPr>
          <w:fldChar w:fldCharType="begin"/>
        </w:r>
        <w:r w:rsidRPr="00BF7E57">
          <w:rPr>
            <w:noProof/>
            <w:webHidden/>
          </w:rPr>
          <w:instrText xml:space="preserve"> PAGEREF _Toc86826451 \h </w:instrText>
        </w:r>
        <w:r w:rsidRPr="00BF7E57">
          <w:rPr>
            <w:noProof/>
            <w:webHidden/>
          </w:rPr>
        </w:r>
        <w:r w:rsidRPr="00BF7E57">
          <w:rPr>
            <w:noProof/>
            <w:webHidden/>
          </w:rPr>
          <w:fldChar w:fldCharType="separate"/>
        </w:r>
        <w:r w:rsidR="00236865">
          <w:rPr>
            <w:noProof/>
            <w:webHidden/>
          </w:rPr>
          <w:t>29</w:t>
        </w:r>
        <w:r w:rsidRPr="00BF7E57">
          <w:rPr>
            <w:noProof/>
            <w:webHidden/>
          </w:rPr>
          <w:fldChar w:fldCharType="end"/>
        </w:r>
      </w:hyperlink>
    </w:p>
    <w:p w14:paraId="7BB4DC85" w14:textId="6D43D110"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2" w:history="1">
        <w:r w:rsidRPr="00BF7E57">
          <w:rPr>
            <w:rStyle w:val="Hiperpovezava"/>
            <w:noProof/>
          </w:rPr>
          <w:t>Tabela 14: Osnovni kazalniki revščine in socialne izključenosti po letih</w:t>
        </w:r>
        <w:r w:rsidRPr="00BF7E57">
          <w:rPr>
            <w:noProof/>
            <w:webHidden/>
          </w:rPr>
          <w:tab/>
        </w:r>
        <w:r w:rsidRPr="00BF7E57">
          <w:rPr>
            <w:noProof/>
            <w:webHidden/>
          </w:rPr>
          <w:fldChar w:fldCharType="begin"/>
        </w:r>
        <w:r w:rsidRPr="00BF7E57">
          <w:rPr>
            <w:noProof/>
            <w:webHidden/>
          </w:rPr>
          <w:instrText xml:space="preserve"> PAGEREF _Toc86826452 \h </w:instrText>
        </w:r>
        <w:r w:rsidRPr="00BF7E57">
          <w:rPr>
            <w:noProof/>
            <w:webHidden/>
          </w:rPr>
        </w:r>
        <w:r w:rsidRPr="00BF7E57">
          <w:rPr>
            <w:noProof/>
            <w:webHidden/>
          </w:rPr>
          <w:fldChar w:fldCharType="separate"/>
        </w:r>
        <w:r w:rsidR="00236865">
          <w:rPr>
            <w:noProof/>
            <w:webHidden/>
          </w:rPr>
          <w:t>31</w:t>
        </w:r>
        <w:r w:rsidRPr="00BF7E57">
          <w:rPr>
            <w:noProof/>
            <w:webHidden/>
          </w:rPr>
          <w:fldChar w:fldCharType="end"/>
        </w:r>
      </w:hyperlink>
    </w:p>
    <w:p w14:paraId="647CE6BB" w14:textId="031C14CA"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3" w:history="1">
        <w:r w:rsidRPr="00BF7E57">
          <w:rPr>
            <w:rStyle w:val="Hiperpovezava"/>
            <w:noProof/>
          </w:rPr>
          <w:t>Tabela 15: Stopnja tveganja socialne izključenosti po starosti in spolu (% oseb), 2019</w:t>
        </w:r>
        <w:r w:rsidRPr="00BF7E57">
          <w:rPr>
            <w:noProof/>
            <w:webHidden/>
          </w:rPr>
          <w:tab/>
        </w:r>
        <w:r w:rsidRPr="00BF7E57">
          <w:rPr>
            <w:noProof/>
            <w:webHidden/>
          </w:rPr>
          <w:fldChar w:fldCharType="begin"/>
        </w:r>
        <w:r w:rsidRPr="00BF7E57">
          <w:rPr>
            <w:noProof/>
            <w:webHidden/>
          </w:rPr>
          <w:instrText xml:space="preserve"> PAGEREF _Toc86826453 \h </w:instrText>
        </w:r>
        <w:r w:rsidRPr="00BF7E57">
          <w:rPr>
            <w:noProof/>
            <w:webHidden/>
          </w:rPr>
        </w:r>
        <w:r w:rsidRPr="00BF7E57">
          <w:rPr>
            <w:noProof/>
            <w:webHidden/>
          </w:rPr>
          <w:fldChar w:fldCharType="separate"/>
        </w:r>
        <w:r w:rsidR="00236865">
          <w:rPr>
            <w:noProof/>
            <w:webHidden/>
          </w:rPr>
          <w:t>32</w:t>
        </w:r>
        <w:r w:rsidRPr="00BF7E57">
          <w:rPr>
            <w:noProof/>
            <w:webHidden/>
          </w:rPr>
          <w:fldChar w:fldCharType="end"/>
        </w:r>
      </w:hyperlink>
    </w:p>
    <w:p w14:paraId="26AC8873" w14:textId="743E208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4" w:history="1">
        <w:r w:rsidRPr="00BF7E57">
          <w:rPr>
            <w:rStyle w:val="Hiperpovezava"/>
            <w:noProof/>
          </w:rPr>
          <w:t>Tabela 16: Število nepridobitnih organizacij in društev na podeželju, po letih</w:t>
        </w:r>
        <w:r w:rsidRPr="00BF7E57">
          <w:rPr>
            <w:noProof/>
            <w:webHidden/>
          </w:rPr>
          <w:tab/>
        </w:r>
        <w:r w:rsidRPr="00BF7E57">
          <w:rPr>
            <w:noProof/>
            <w:webHidden/>
          </w:rPr>
          <w:fldChar w:fldCharType="begin"/>
        </w:r>
        <w:r w:rsidRPr="00BF7E57">
          <w:rPr>
            <w:noProof/>
            <w:webHidden/>
          </w:rPr>
          <w:instrText xml:space="preserve"> PAGEREF _Toc86826454 \h </w:instrText>
        </w:r>
        <w:r w:rsidRPr="00BF7E57">
          <w:rPr>
            <w:noProof/>
            <w:webHidden/>
          </w:rPr>
        </w:r>
        <w:r w:rsidRPr="00BF7E57">
          <w:rPr>
            <w:noProof/>
            <w:webHidden/>
          </w:rPr>
          <w:fldChar w:fldCharType="separate"/>
        </w:r>
        <w:r w:rsidR="00236865">
          <w:rPr>
            <w:noProof/>
            <w:webHidden/>
          </w:rPr>
          <w:t>37</w:t>
        </w:r>
        <w:r w:rsidRPr="00BF7E57">
          <w:rPr>
            <w:noProof/>
            <w:webHidden/>
          </w:rPr>
          <w:fldChar w:fldCharType="end"/>
        </w:r>
      </w:hyperlink>
    </w:p>
    <w:p w14:paraId="43FB6890" w14:textId="50C5D55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5" w:history="1">
        <w:r w:rsidRPr="00BF7E57">
          <w:rPr>
            <w:rStyle w:val="Hiperpovezava"/>
            <w:noProof/>
          </w:rPr>
          <w:t>Tabela 17: Vrsta društva po letih (v letih 2008, 2013, 2018)</w:t>
        </w:r>
        <w:r w:rsidRPr="00BF7E57">
          <w:rPr>
            <w:noProof/>
            <w:webHidden/>
          </w:rPr>
          <w:tab/>
        </w:r>
        <w:r w:rsidRPr="00BF7E57">
          <w:rPr>
            <w:noProof/>
            <w:webHidden/>
          </w:rPr>
          <w:fldChar w:fldCharType="begin"/>
        </w:r>
        <w:r w:rsidRPr="00BF7E57">
          <w:rPr>
            <w:noProof/>
            <w:webHidden/>
          </w:rPr>
          <w:instrText xml:space="preserve"> PAGEREF _Toc86826455 \h </w:instrText>
        </w:r>
        <w:r w:rsidRPr="00BF7E57">
          <w:rPr>
            <w:noProof/>
            <w:webHidden/>
          </w:rPr>
        </w:r>
        <w:r w:rsidRPr="00BF7E57">
          <w:rPr>
            <w:noProof/>
            <w:webHidden/>
          </w:rPr>
          <w:fldChar w:fldCharType="separate"/>
        </w:r>
        <w:r w:rsidR="00236865">
          <w:rPr>
            <w:noProof/>
            <w:webHidden/>
          </w:rPr>
          <w:t>37</w:t>
        </w:r>
        <w:r w:rsidRPr="00BF7E57">
          <w:rPr>
            <w:noProof/>
            <w:webHidden/>
          </w:rPr>
          <w:fldChar w:fldCharType="end"/>
        </w:r>
      </w:hyperlink>
    </w:p>
    <w:p w14:paraId="1EE72C6A" w14:textId="12530E9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6" w:history="1">
        <w:r w:rsidRPr="00BF7E57">
          <w:rPr>
            <w:rStyle w:val="Hiperpovezava"/>
            <w:noProof/>
          </w:rPr>
          <w:t>Tabela 18: Vključeni v formalno izobraževanje po vrsti programa, 2008, 2018</w:t>
        </w:r>
        <w:r w:rsidRPr="00BF7E57">
          <w:rPr>
            <w:noProof/>
            <w:webHidden/>
          </w:rPr>
          <w:tab/>
        </w:r>
        <w:r w:rsidRPr="00BF7E57">
          <w:rPr>
            <w:noProof/>
            <w:webHidden/>
          </w:rPr>
          <w:fldChar w:fldCharType="begin"/>
        </w:r>
        <w:r w:rsidRPr="00BF7E57">
          <w:rPr>
            <w:noProof/>
            <w:webHidden/>
          </w:rPr>
          <w:instrText xml:space="preserve"> PAGEREF _Toc86826456 \h </w:instrText>
        </w:r>
        <w:r w:rsidRPr="00BF7E57">
          <w:rPr>
            <w:noProof/>
            <w:webHidden/>
          </w:rPr>
        </w:r>
        <w:r w:rsidRPr="00BF7E57">
          <w:rPr>
            <w:noProof/>
            <w:webHidden/>
          </w:rPr>
          <w:fldChar w:fldCharType="separate"/>
        </w:r>
        <w:r w:rsidR="00236865">
          <w:rPr>
            <w:noProof/>
            <w:webHidden/>
          </w:rPr>
          <w:t>38</w:t>
        </w:r>
        <w:r w:rsidRPr="00BF7E57">
          <w:rPr>
            <w:noProof/>
            <w:webHidden/>
          </w:rPr>
          <w:fldChar w:fldCharType="end"/>
        </w:r>
      </w:hyperlink>
    </w:p>
    <w:p w14:paraId="259F98A7" w14:textId="3F093D91"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7" w:history="1">
        <w:r w:rsidRPr="00BF7E57">
          <w:rPr>
            <w:rStyle w:val="Hiperpovezava"/>
            <w:noProof/>
          </w:rPr>
          <w:t>Tabela 19: Stopnja izobrazbe v letu 2019</w:t>
        </w:r>
        <w:r w:rsidRPr="00BF7E57">
          <w:rPr>
            <w:noProof/>
            <w:webHidden/>
          </w:rPr>
          <w:tab/>
        </w:r>
        <w:r w:rsidRPr="00BF7E57">
          <w:rPr>
            <w:noProof/>
            <w:webHidden/>
          </w:rPr>
          <w:fldChar w:fldCharType="begin"/>
        </w:r>
        <w:r w:rsidRPr="00BF7E57">
          <w:rPr>
            <w:noProof/>
            <w:webHidden/>
          </w:rPr>
          <w:instrText xml:space="preserve"> PAGEREF _Toc86826457 \h </w:instrText>
        </w:r>
        <w:r w:rsidRPr="00BF7E57">
          <w:rPr>
            <w:noProof/>
            <w:webHidden/>
          </w:rPr>
        </w:r>
        <w:r w:rsidRPr="00BF7E57">
          <w:rPr>
            <w:noProof/>
            <w:webHidden/>
          </w:rPr>
          <w:fldChar w:fldCharType="separate"/>
        </w:r>
        <w:r w:rsidR="00236865">
          <w:rPr>
            <w:noProof/>
            <w:webHidden/>
          </w:rPr>
          <w:t>39</w:t>
        </w:r>
        <w:r w:rsidRPr="00BF7E57">
          <w:rPr>
            <w:noProof/>
            <w:webHidden/>
          </w:rPr>
          <w:fldChar w:fldCharType="end"/>
        </w:r>
      </w:hyperlink>
    </w:p>
    <w:p w14:paraId="76B016B5" w14:textId="69A4FD2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8" w:history="1">
        <w:r w:rsidRPr="00BF7E57">
          <w:rPr>
            <w:rStyle w:val="Hiperpovezava"/>
            <w:noProof/>
          </w:rPr>
          <w:t>Tabela 20: Institucionalno (domsko) varstvo starejših, pokritost potreb, maj 2019</w:t>
        </w:r>
        <w:r w:rsidRPr="00BF7E57">
          <w:rPr>
            <w:noProof/>
            <w:webHidden/>
          </w:rPr>
          <w:tab/>
        </w:r>
        <w:r w:rsidRPr="00BF7E57">
          <w:rPr>
            <w:noProof/>
            <w:webHidden/>
          </w:rPr>
          <w:fldChar w:fldCharType="begin"/>
        </w:r>
        <w:r w:rsidRPr="00BF7E57">
          <w:rPr>
            <w:noProof/>
            <w:webHidden/>
          </w:rPr>
          <w:instrText xml:space="preserve"> PAGEREF _Toc86826458 \h </w:instrText>
        </w:r>
        <w:r w:rsidRPr="00BF7E57">
          <w:rPr>
            <w:noProof/>
            <w:webHidden/>
          </w:rPr>
        </w:r>
        <w:r w:rsidRPr="00BF7E57">
          <w:rPr>
            <w:noProof/>
            <w:webHidden/>
          </w:rPr>
          <w:fldChar w:fldCharType="separate"/>
        </w:r>
        <w:r w:rsidR="00236865">
          <w:rPr>
            <w:noProof/>
            <w:webHidden/>
          </w:rPr>
          <w:t>43</w:t>
        </w:r>
        <w:r w:rsidRPr="00BF7E57">
          <w:rPr>
            <w:noProof/>
            <w:webHidden/>
          </w:rPr>
          <w:fldChar w:fldCharType="end"/>
        </w:r>
      </w:hyperlink>
    </w:p>
    <w:p w14:paraId="5C640800" w14:textId="24A6D59D"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59" w:history="1">
        <w:r w:rsidRPr="00BF7E57">
          <w:rPr>
            <w:rStyle w:val="Hiperpovezava"/>
            <w:noProof/>
          </w:rPr>
          <w:t>Tabela 21: Vpisane enote dediščine, v Sloveniji in na podeželju po letih</w:t>
        </w:r>
        <w:r w:rsidRPr="00BF7E57">
          <w:rPr>
            <w:noProof/>
            <w:webHidden/>
          </w:rPr>
          <w:tab/>
        </w:r>
        <w:r w:rsidRPr="00BF7E57">
          <w:rPr>
            <w:noProof/>
            <w:webHidden/>
          </w:rPr>
          <w:fldChar w:fldCharType="begin"/>
        </w:r>
        <w:r w:rsidRPr="00BF7E57">
          <w:rPr>
            <w:noProof/>
            <w:webHidden/>
          </w:rPr>
          <w:instrText xml:space="preserve"> PAGEREF _Toc86826459 \h </w:instrText>
        </w:r>
        <w:r w:rsidRPr="00BF7E57">
          <w:rPr>
            <w:noProof/>
            <w:webHidden/>
          </w:rPr>
        </w:r>
        <w:r w:rsidRPr="00BF7E57">
          <w:rPr>
            <w:noProof/>
            <w:webHidden/>
          </w:rPr>
          <w:fldChar w:fldCharType="separate"/>
        </w:r>
        <w:r w:rsidR="00236865">
          <w:rPr>
            <w:noProof/>
            <w:webHidden/>
          </w:rPr>
          <w:t>46</w:t>
        </w:r>
        <w:r w:rsidRPr="00BF7E57">
          <w:rPr>
            <w:noProof/>
            <w:webHidden/>
          </w:rPr>
          <w:fldChar w:fldCharType="end"/>
        </w:r>
      </w:hyperlink>
    </w:p>
    <w:p w14:paraId="0493D7B9" w14:textId="37BEA44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0" w:history="1">
        <w:r w:rsidRPr="00BF7E57">
          <w:rPr>
            <w:rStyle w:val="Hiperpovezava"/>
            <w:noProof/>
          </w:rPr>
          <w:t>Tabela 22: Bruto domači proizvod na prebivalca glede na posamezno regijo v letih 2008, 2013, 2018 in 2019</w:t>
        </w:r>
        <w:r w:rsidRPr="00BF7E57">
          <w:rPr>
            <w:noProof/>
            <w:webHidden/>
          </w:rPr>
          <w:tab/>
        </w:r>
        <w:r w:rsidRPr="00BF7E57">
          <w:rPr>
            <w:noProof/>
            <w:webHidden/>
          </w:rPr>
          <w:fldChar w:fldCharType="begin"/>
        </w:r>
        <w:r w:rsidRPr="00BF7E57">
          <w:rPr>
            <w:noProof/>
            <w:webHidden/>
          </w:rPr>
          <w:instrText xml:space="preserve"> PAGEREF _Toc86826460 \h </w:instrText>
        </w:r>
        <w:r w:rsidRPr="00BF7E57">
          <w:rPr>
            <w:noProof/>
            <w:webHidden/>
          </w:rPr>
        </w:r>
        <w:r w:rsidRPr="00BF7E57">
          <w:rPr>
            <w:noProof/>
            <w:webHidden/>
          </w:rPr>
          <w:fldChar w:fldCharType="separate"/>
        </w:r>
        <w:r w:rsidR="00236865">
          <w:rPr>
            <w:noProof/>
            <w:webHidden/>
          </w:rPr>
          <w:t>51</w:t>
        </w:r>
        <w:r w:rsidRPr="00BF7E57">
          <w:rPr>
            <w:noProof/>
            <w:webHidden/>
          </w:rPr>
          <w:fldChar w:fldCharType="end"/>
        </w:r>
      </w:hyperlink>
    </w:p>
    <w:p w14:paraId="36C78104" w14:textId="32A14C34"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1" w:history="1">
        <w:r w:rsidRPr="00BF7E57">
          <w:rPr>
            <w:rStyle w:val="Hiperpovezava"/>
            <w:noProof/>
          </w:rPr>
          <w:t>Tabela 23: Bruto dodana vrednost</w:t>
        </w:r>
        <w:r w:rsidRPr="00BF7E57">
          <w:rPr>
            <w:noProof/>
            <w:webHidden/>
          </w:rPr>
          <w:tab/>
        </w:r>
        <w:r w:rsidRPr="00BF7E57">
          <w:rPr>
            <w:noProof/>
            <w:webHidden/>
          </w:rPr>
          <w:fldChar w:fldCharType="begin"/>
        </w:r>
        <w:r w:rsidRPr="00BF7E57">
          <w:rPr>
            <w:noProof/>
            <w:webHidden/>
          </w:rPr>
          <w:instrText xml:space="preserve"> PAGEREF _Toc86826461 \h </w:instrText>
        </w:r>
        <w:r w:rsidRPr="00BF7E57">
          <w:rPr>
            <w:noProof/>
            <w:webHidden/>
          </w:rPr>
        </w:r>
        <w:r w:rsidRPr="00BF7E57">
          <w:rPr>
            <w:noProof/>
            <w:webHidden/>
          </w:rPr>
          <w:fldChar w:fldCharType="separate"/>
        </w:r>
        <w:r w:rsidR="00236865">
          <w:rPr>
            <w:noProof/>
            <w:webHidden/>
          </w:rPr>
          <w:t>53</w:t>
        </w:r>
        <w:r w:rsidRPr="00BF7E57">
          <w:rPr>
            <w:noProof/>
            <w:webHidden/>
          </w:rPr>
          <w:fldChar w:fldCharType="end"/>
        </w:r>
      </w:hyperlink>
    </w:p>
    <w:p w14:paraId="1EAD41C2" w14:textId="07EFC394"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2" w:history="1">
        <w:r w:rsidRPr="00BF7E57">
          <w:rPr>
            <w:rStyle w:val="Hiperpovezava"/>
            <w:noProof/>
          </w:rPr>
          <w:t>Tabela 24: Število podjetij in prihodek po letih</w:t>
        </w:r>
        <w:r w:rsidRPr="00BF7E57">
          <w:rPr>
            <w:noProof/>
            <w:webHidden/>
          </w:rPr>
          <w:tab/>
        </w:r>
        <w:r w:rsidRPr="00BF7E57">
          <w:rPr>
            <w:noProof/>
            <w:webHidden/>
          </w:rPr>
          <w:fldChar w:fldCharType="begin"/>
        </w:r>
        <w:r w:rsidRPr="00BF7E57">
          <w:rPr>
            <w:noProof/>
            <w:webHidden/>
          </w:rPr>
          <w:instrText xml:space="preserve"> PAGEREF _Toc86826462 \h </w:instrText>
        </w:r>
        <w:r w:rsidRPr="00BF7E57">
          <w:rPr>
            <w:noProof/>
            <w:webHidden/>
          </w:rPr>
        </w:r>
        <w:r w:rsidRPr="00BF7E57">
          <w:rPr>
            <w:noProof/>
            <w:webHidden/>
          </w:rPr>
          <w:fldChar w:fldCharType="separate"/>
        </w:r>
        <w:r w:rsidR="00236865">
          <w:rPr>
            <w:noProof/>
            <w:webHidden/>
          </w:rPr>
          <w:t>55</w:t>
        </w:r>
        <w:r w:rsidRPr="00BF7E57">
          <w:rPr>
            <w:noProof/>
            <w:webHidden/>
          </w:rPr>
          <w:fldChar w:fldCharType="end"/>
        </w:r>
      </w:hyperlink>
    </w:p>
    <w:p w14:paraId="77C07801" w14:textId="6255D20D"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3" w:history="1">
        <w:r w:rsidRPr="00BF7E57">
          <w:rPr>
            <w:rStyle w:val="Hiperpovezava"/>
            <w:noProof/>
          </w:rPr>
          <w:t>Tabela 25: Stopnja zaposlenosti</w:t>
        </w:r>
        <w:r w:rsidRPr="00BF7E57">
          <w:rPr>
            <w:noProof/>
            <w:webHidden/>
          </w:rPr>
          <w:tab/>
        </w:r>
        <w:r w:rsidRPr="00BF7E57">
          <w:rPr>
            <w:noProof/>
            <w:webHidden/>
          </w:rPr>
          <w:fldChar w:fldCharType="begin"/>
        </w:r>
        <w:r w:rsidRPr="00BF7E57">
          <w:rPr>
            <w:noProof/>
            <w:webHidden/>
          </w:rPr>
          <w:instrText xml:space="preserve"> PAGEREF _Toc86826463 \h </w:instrText>
        </w:r>
        <w:r w:rsidRPr="00BF7E57">
          <w:rPr>
            <w:noProof/>
            <w:webHidden/>
          </w:rPr>
        </w:r>
        <w:r w:rsidRPr="00BF7E57">
          <w:rPr>
            <w:noProof/>
            <w:webHidden/>
          </w:rPr>
          <w:fldChar w:fldCharType="separate"/>
        </w:r>
        <w:r w:rsidR="00236865">
          <w:rPr>
            <w:noProof/>
            <w:webHidden/>
          </w:rPr>
          <w:t>58</w:t>
        </w:r>
        <w:r w:rsidRPr="00BF7E57">
          <w:rPr>
            <w:noProof/>
            <w:webHidden/>
          </w:rPr>
          <w:fldChar w:fldCharType="end"/>
        </w:r>
      </w:hyperlink>
    </w:p>
    <w:p w14:paraId="2DC8B7F9" w14:textId="64D3FA57"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4" w:history="1">
        <w:r w:rsidRPr="00BF7E57">
          <w:rPr>
            <w:rStyle w:val="Hiperpovezava"/>
            <w:noProof/>
          </w:rPr>
          <w:t>Tabela 26: Primerjava delovno aktivnih prebivalcev, zaposlenih in samozaposlenih oseb po letih</w:t>
        </w:r>
        <w:r w:rsidRPr="00BF7E57">
          <w:rPr>
            <w:noProof/>
            <w:webHidden/>
          </w:rPr>
          <w:tab/>
        </w:r>
        <w:r w:rsidRPr="00BF7E57">
          <w:rPr>
            <w:noProof/>
            <w:webHidden/>
          </w:rPr>
          <w:fldChar w:fldCharType="begin"/>
        </w:r>
        <w:r w:rsidRPr="00BF7E57">
          <w:rPr>
            <w:noProof/>
            <w:webHidden/>
          </w:rPr>
          <w:instrText xml:space="preserve"> PAGEREF _Toc86826464 \h </w:instrText>
        </w:r>
        <w:r w:rsidRPr="00BF7E57">
          <w:rPr>
            <w:noProof/>
            <w:webHidden/>
          </w:rPr>
        </w:r>
        <w:r w:rsidRPr="00BF7E57">
          <w:rPr>
            <w:noProof/>
            <w:webHidden/>
          </w:rPr>
          <w:fldChar w:fldCharType="separate"/>
        </w:r>
        <w:r w:rsidR="00236865">
          <w:rPr>
            <w:noProof/>
            <w:webHidden/>
          </w:rPr>
          <w:t>59</w:t>
        </w:r>
        <w:r w:rsidRPr="00BF7E57">
          <w:rPr>
            <w:noProof/>
            <w:webHidden/>
          </w:rPr>
          <w:fldChar w:fldCharType="end"/>
        </w:r>
      </w:hyperlink>
    </w:p>
    <w:p w14:paraId="08469DCF" w14:textId="7D830DB3"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5" w:history="1">
        <w:r w:rsidRPr="00BF7E57">
          <w:rPr>
            <w:rStyle w:val="Hiperpovezava"/>
            <w:noProof/>
          </w:rPr>
          <w:t>Tabela 27: Zaposlovanje po sektorjih</w:t>
        </w:r>
        <w:r w:rsidRPr="00BF7E57">
          <w:rPr>
            <w:noProof/>
            <w:webHidden/>
          </w:rPr>
          <w:tab/>
        </w:r>
        <w:r w:rsidRPr="00BF7E57">
          <w:rPr>
            <w:noProof/>
            <w:webHidden/>
          </w:rPr>
          <w:fldChar w:fldCharType="begin"/>
        </w:r>
        <w:r w:rsidRPr="00BF7E57">
          <w:rPr>
            <w:noProof/>
            <w:webHidden/>
          </w:rPr>
          <w:instrText xml:space="preserve"> PAGEREF _Toc86826465 \h </w:instrText>
        </w:r>
        <w:r w:rsidRPr="00BF7E57">
          <w:rPr>
            <w:noProof/>
            <w:webHidden/>
          </w:rPr>
        </w:r>
        <w:r w:rsidRPr="00BF7E57">
          <w:rPr>
            <w:noProof/>
            <w:webHidden/>
          </w:rPr>
          <w:fldChar w:fldCharType="separate"/>
        </w:r>
        <w:r w:rsidR="00236865">
          <w:rPr>
            <w:noProof/>
            <w:webHidden/>
          </w:rPr>
          <w:t>60</w:t>
        </w:r>
        <w:r w:rsidRPr="00BF7E57">
          <w:rPr>
            <w:noProof/>
            <w:webHidden/>
          </w:rPr>
          <w:fldChar w:fldCharType="end"/>
        </w:r>
      </w:hyperlink>
    </w:p>
    <w:p w14:paraId="1820B337" w14:textId="61CAC044"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6" w:history="1">
        <w:r w:rsidRPr="00BF7E57">
          <w:rPr>
            <w:rStyle w:val="Hiperpovezava"/>
            <w:noProof/>
          </w:rPr>
          <w:t>Tabela 28: Stopnja brezposelnosti</w:t>
        </w:r>
        <w:r w:rsidRPr="00BF7E57">
          <w:rPr>
            <w:noProof/>
            <w:webHidden/>
          </w:rPr>
          <w:tab/>
        </w:r>
        <w:r w:rsidRPr="00BF7E57">
          <w:rPr>
            <w:noProof/>
            <w:webHidden/>
          </w:rPr>
          <w:fldChar w:fldCharType="begin"/>
        </w:r>
        <w:r w:rsidRPr="00BF7E57">
          <w:rPr>
            <w:noProof/>
            <w:webHidden/>
          </w:rPr>
          <w:instrText xml:space="preserve"> PAGEREF _Toc86826466 \h </w:instrText>
        </w:r>
        <w:r w:rsidRPr="00BF7E57">
          <w:rPr>
            <w:noProof/>
            <w:webHidden/>
          </w:rPr>
        </w:r>
        <w:r w:rsidRPr="00BF7E57">
          <w:rPr>
            <w:noProof/>
            <w:webHidden/>
          </w:rPr>
          <w:fldChar w:fldCharType="separate"/>
        </w:r>
        <w:r w:rsidR="00236865">
          <w:rPr>
            <w:noProof/>
            <w:webHidden/>
          </w:rPr>
          <w:t>61</w:t>
        </w:r>
        <w:r w:rsidRPr="00BF7E57">
          <w:rPr>
            <w:noProof/>
            <w:webHidden/>
          </w:rPr>
          <w:fldChar w:fldCharType="end"/>
        </w:r>
      </w:hyperlink>
    </w:p>
    <w:p w14:paraId="3988147B" w14:textId="166E625A"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7" w:history="1">
        <w:r w:rsidRPr="00BF7E57">
          <w:rPr>
            <w:rStyle w:val="Hiperpovezava"/>
            <w:noProof/>
          </w:rPr>
          <w:t>Tabela 29: Število nekmetijskih dopolnilnih dejavnosti na kmetijah</w:t>
        </w:r>
        <w:r w:rsidRPr="00BF7E57">
          <w:rPr>
            <w:noProof/>
            <w:webHidden/>
          </w:rPr>
          <w:tab/>
        </w:r>
        <w:r w:rsidRPr="00BF7E57">
          <w:rPr>
            <w:noProof/>
            <w:webHidden/>
          </w:rPr>
          <w:fldChar w:fldCharType="begin"/>
        </w:r>
        <w:r w:rsidRPr="00BF7E57">
          <w:rPr>
            <w:noProof/>
            <w:webHidden/>
          </w:rPr>
          <w:instrText xml:space="preserve"> PAGEREF _Toc86826467 \h </w:instrText>
        </w:r>
        <w:r w:rsidRPr="00BF7E57">
          <w:rPr>
            <w:noProof/>
            <w:webHidden/>
          </w:rPr>
        </w:r>
        <w:r w:rsidRPr="00BF7E57">
          <w:rPr>
            <w:noProof/>
            <w:webHidden/>
          </w:rPr>
          <w:fldChar w:fldCharType="separate"/>
        </w:r>
        <w:r w:rsidR="00236865">
          <w:rPr>
            <w:noProof/>
            <w:webHidden/>
          </w:rPr>
          <w:t>62</w:t>
        </w:r>
        <w:r w:rsidRPr="00BF7E57">
          <w:rPr>
            <w:noProof/>
            <w:webHidden/>
          </w:rPr>
          <w:fldChar w:fldCharType="end"/>
        </w:r>
      </w:hyperlink>
    </w:p>
    <w:p w14:paraId="348681CF" w14:textId="109EE171"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8" w:history="1">
        <w:r w:rsidRPr="00BF7E57">
          <w:rPr>
            <w:rStyle w:val="Hiperpovezava"/>
            <w:noProof/>
          </w:rPr>
          <w:t>Tabela 30: Nekmetijske dopolnilne dejavnosti</w:t>
        </w:r>
        <w:r w:rsidRPr="00BF7E57">
          <w:rPr>
            <w:noProof/>
            <w:webHidden/>
          </w:rPr>
          <w:tab/>
        </w:r>
        <w:r w:rsidRPr="00BF7E57">
          <w:rPr>
            <w:noProof/>
            <w:webHidden/>
          </w:rPr>
          <w:fldChar w:fldCharType="begin"/>
        </w:r>
        <w:r w:rsidRPr="00BF7E57">
          <w:rPr>
            <w:noProof/>
            <w:webHidden/>
          </w:rPr>
          <w:instrText xml:space="preserve"> PAGEREF _Toc86826468 \h </w:instrText>
        </w:r>
        <w:r w:rsidRPr="00BF7E57">
          <w:rPr>
            <w:noProof/>
            <w:webHidden/>
          </w:rPr>
        </w:r>
        <w:r w:rsidRPr="00BF7E57">
          <w:rPr>
            <w:noProof/>
            <w:webHidden/>
          </w:rPr>
          <w:fldChar w:fldCharType="separate"/>
        </w:r>
        <w:r w:rsidR="00236865">
          <w:rPr>
            <w:noProof/>
            <w:webHidden/>
          </w:rPr>
          <w:t>63</w:t>
        </w:r>
        <w:r w:rsidRPr="00BF7E57">
          <w:rPr>
            <w:noProof/>
            <w:webHidden/>
          </w:rPr>
          <w:fldChar w:fldCharType="end"/>
        </w:r>
      </w:hyperlink>
    </w:p>
    <w:p w14:paraId="272EB4D9" w14:textId="15AF4E7B"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69" w:history="1">
        <w:r w:rsidRPr="00BF7E57">
          <w:rPr>
            <w:rStyle w:val="Hiperpovezava"/>
            <w:noProof/>
          </w:rPr>
          <w:t>Tabela 31: Deset najpogosteje registriranih nekmetijskih dopolnilnih dejavnosti glede na leto 2020</w:t>
        </w:r>
        <w:r w:rsidRPr="00BF7E57">
          <w:rPr>
            <w:noProof/>
            <w:webHidden/>
          </w:rPr>
          <w:tab/>
        </w:r>
        <w:r w:rsidRPr="00BF7E57">
          <w:rPr>
            <w:noProof/>
            <w:webHidden/>
          </w:rPr>
          <w:fldChar w:fldCharType="begin"/>
        </w:r>
        <w:r w:rsidRPr="00BF7E57">
          <w:rPr>
            <w:noProof/>
            <w:webHidden/>
          </w:rPr>
          <w:instrText xml:space="preserve"> PAGEREF _Toc86826469 \h </w:instrText>
        </w:r>
        <w:r w:rsidRPr="00BF7E57">
          <w:rPr>
            <w:noProof/>
            <w:webHidden/>
          </w:rPr>
        </w:r>
        <w:r w:rsidRPr="00BF7E57">
          <w:rPr>
            <w:noProof/>
            <w:webHidden/>
          </w:rPr>
          <w:fldChar w:fldCharType="separate"/>
        </w:r>
        <w:r w:rsidR="00236865">
          <w:rPr>
            <w:noProof/>
            <w:webHidden/>
          </w:rPr>
          <w:t>64</w:t>
        </w:r>
        <w:r w:rsidRPr="00BF7E57">
          <w:rPr>
            <w:noProof/>
            <w:webHidden/>
          </w:rPr>
          <w:fldChar w:fldCharType="end"/>
        </w:r>
      </w:hyperlink>
    </w:p>
    <w:p w14:paraId="45DCA9B8" w14:textId="3BD91559"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0" w:history="1">
        <w:r w:rsidRPr="00BF7E57">
          <w:rPr>
            <w:rStyle w:val="Hiperpovezava"/>
            <w:noProof/>
          </w:rPr>
          <w:t>Tabela 32: Število ležišč v turizmu po regijah</w:t>
        </w:r>
        <w:r w:rsidRPr="00BF7E57">
          <w:rPr>
            <w:noProof/>
            <w:webHidden/>
          </w:rPr>
          <w:tab/>
        </w:r>
        <w:r w:rsidRPr="00BF7E57">
          <w:rPr>
            <w:noProof/>
            <w:webHidden/>
          </w:rPr>
          <w:fldChar w:fldCharType="begin"/>
        </w:r>
        <w:r w:rsidRPr="00BF7E57">
          <w:rPr>
            <w:noProof/>
            <w:webHidden/>
          </w:rPr>
          <w:instrText xml:space="preserve"> PAGEREF _Toc86826470 \h </w:instrText>
        </w:r>
        <w:r w:rsidRPr="00BF7E57">
          <w:rPr>
            <w:noProof/>
            <w:webHidden/>
          </w:rPr>
        </w:r>
        <w:r w:rsidRPr="00BF7E57">
          <w:rPr>
            <w:noProof/>
            <w:webHidden/>
          </w:rPr>
          <w:fldChar w:fldCharType="separate"/>
        </w:r>
        <w:r w:rsidR="00236865">
          <w:rPr>
            <w:noProof/>
            <w:webHidden/>
          </w:rPr>
          <w:t>65</w:t>
        </w:r>
        <w:r w:rsidRPr="00BF7E57">
          <w:rPr>
            <w:noProof/>
            <w:webHidden/>
          </w:rPr>
          <w:fldChar w:fldCharType="end"/>
        </w:r>
      </w:hyperlink>
    </w:p>
    <w:p w14:paraId="3D67DD39" w14:textId="43E5BF68"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1" w:history="1">
        <w:r w:rsidRPr="00BF7E57">
          <w:rPr>
            <w:rStyle w:val="Hiperpovezava"/>
            <w:noProof/>
          </w:rPr>
          <w:t>Tabela 33: Bruto dodana vrednost biogospodarstva v Sloveniji (v mio EUR)</w:t>
        </w:r>
        <w:r w:rsidRPr="00BF7E57">
          <w:rPr>
            <w:noProof/>
            <w:webHidden/>
          </w:rPr>
          <w:tab/>
        </w:r>
        <w:r w:rsidRPr="00BF7E57">
          <w:rPr>
            <w:noProof/>
            <w:webHidden/>
          </w:rPr>
          <w:fldChar w:fldCharType="begin"/>
        </w:r>
        <w:r w:rsidRPr="00BF7E57">
          <w:rPr>
            <w:noProof/>
            <w:webHidden/>
          </w:rPr>
          <w:instrText xml:space="preserve"> PAGEREF _Toc86826471 \h </w:instrText>
        </w:r>
        <w:r w:rsidRPr="00BF7E57">
          <w:rPr>
            <w:noProof/>
            <w:webHidden/>
          </w:rPr>
        </w:r>
        <w:r w:rsidRPr="00BF7E57">
          <w:rPr>
            <w:noProof/>
            <w:webHidden/>
          </w:rPr>
          <w:fldChar w:fldCharType="separate"/>
        </w:r>
        <w:r w:rsidR="00236865">
          <w:rPr>
            <w:noProof/>
            <w:webHidden/>
          </w:rPr>
          <w:t>68</w:t>
        </w:r>
        <w:r w:rsidRPr="00BF7E57">
          <w:rPr>
            <w:noProof/>
            <w:webHidden/>
          </w:rPr>
          <w:fldChar w:fldCharType="end"/>
        </w:r>
      </w:hyperlink>
    </w:p>
    <w:p w14:paraId="549EA454" w14:textId="189B8EFE"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2" w:history="1">
        <w:r w:rsidRPr="00BF7E57">
          <w:rPr>
            <w:rStyle w:val="Hiperpovezava"/>
            <w:noProof/>
          </w:rPr>
          <w:t>Tabela 34: Zaposlenost v biogospodarstvu</w:t>
        </w:r>
        <w:r w:rsidRPr="00BF7E57">
          <w:rPr>
            <w:noProof/>
            <w:webHidden/>
          </w:rPr>
          <w:tab/>
        </w:r>
        <w:r w:rsidRPr="00BF7E57">
          <w:rPr>
            <w:noProof/>
            <w:webHidden/>
          </w:rPr>
          <w:fldChar w:fldCharType="begin"/>
        </w:r>
        <w:r w:rsidRPr="00BF7E57">
          <w:rPr>
            <w:noProof/>
            <w:webHidden/>
          </w:rPr>
          <w:instrText xml:space="preserve"> PAGEREF _Toc86826472 \h </w:instrText>
        </w:r>
        <w:r w:rsidRPr="00BF7E57">
          <w:rPr>
            <w:noProof/>
            <w:webHidden/>
          </w:rPr>
        </w:r>
        <w:r w:rsidRPr="00BF7E57">
          <w:rPr>
            <w:noProof/>
            <w:webHidden/>
          </w:rPr>
          <w:fldChar w:fldCharType="separate"/>
        </w:r>
        <w:r w:rsidR="00236865">
          <w:rPr>
            <w:noProof/>
            <w:webHidden/>
          </w:rPr>
          <w:t>69</w:t>
        </w:r>
        <w:r w:rsidRPr="00BF7E57">
          <w:rPr>
            <w:noProof/>
            <w:webHidden/>
          </w:rPr>
          <w:fldChar w:fldCharType="end"/>
        </w:r>
      </w:hyperlink>
    </w:p>
    <w:p w14:paraId="65131570" w14:textId="22AA1F3C"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3" w:history="1">
        <w:r w:rsidRPr="00BF7E57">
          <w:rPr>
            <w:rStyle w:val="Hiperpovezava"/>
            <w:noProof/>
          </w:rPr>
          <w:t>Tabela 35: Raba energije v kmetijstvu, gozdarstvu in živilski industriji</w:t>
        </w:r>
        <w:r w:rsidRPr="00BF7E57">
          <w:rPr>
            <w:noProof/>
            <w:webHidden/>
          </w:rPr>
          <w:tab/>
        </w:r>
        <w:r w:rsidRPr="00BF7E57">
          <w:rPr>
            <w:noProof/>
            <w:webHidden/>
          </w:rPr>
          <w:fldChar w:fldCharType="begin"/>
        </w:r>
        <w:r w:rsidRPr="00BF7E57">
          <w:rPr>
            <w:noProof/>
            <w:webHidden/>
          </w:rPr>
          <w:instrText xml:space="preserve"> PAGEREF _Toc86826473 \h </w:instrText>
        </w:r>
        <w:r w:rsidRPr="00BF7E57">
          <w:rPr>
            <w:noProof/>
            <w:webHidden/>
          </w:rPr>
        </w:r>
        <w:r w:rsidRPr="00BF7E57">
          <w:rPr>
            <w:noProof/>
            <w:webHidden/>
          </w:rPr>
          <w:fldChar w:fldCharType="separate"/>
        </w:r>
        <w:r w:rsidR="00236865">
          <w:rPr>
            <w:noProof/>
            <w:webHidden/>
          </w:rPr>
          <w:t>73</w:t>
        </w:r>
        <w:r w:rsidRPr="00BF7E57">
          <w:rPr>
            <w:noProof/>
            <w:webHidden/>
          </w:rPr>
          <w:fldChar w:fldCharType="end"/>
        </w:r>
      </w:hyperlink>
    </w:p>
    <w:p w14:paraId="282A4B3F" w14:textId="1BE1F109"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4" w:history="1">
        <w:r w:rsidRPr="00BF7E57">
          <w:rPr>
            <w:rStyle w:val="Hiperpovezava"/>
            <w:noProof/>
          </w:rPr>
          <w:t>Tabela 36: Proizvodnja obnovljive energije v kmetijstvu in gozdarstvu</w:t>
        </w:r>
        <w:r w:rsidRPr="00BF7E57">
          <w:rPr>
            <w:noProof/>
            <w:webHidden/>
          </w:rPr>
          <w:tab/>
        </w:r>
        <w:r w:rsidRPr="00BF7E57">
          <w:rPr>
            <w:noProof/>
            <w:webHidden/>
          </w:rPr>
          <w:fldChar w:fldCharType="begin"/>
        </w:r>
        <w:r w:rsidRPr="00BF7E57">
          <w:rPr>
            <w:noProof/>
            <w:webHidden/>
          </w:rPr>
          <w:instrText xml:space="preserve"> PAGEREF _Toc86826474 \h </w:instrText>
        </w:r>
        <w:r w:rsidRPr="00BF7E57">
          <w:rPr>
            <w:noProof/>
            <w:webHidden/>
          </w:rPr>
        </w:r>
        <w:r w:rsidRPr="00BF7E57">
          <w:rPr>
            <w:noProof/>
            <w:webHidden/>
          </w:rPr>
          <w:fldChar w:fldCharType="separate"/>
        </w:r>
        <w:r w:rsidR="00236865">
          <w:rPr>
            <w:noProof/>
            <w:webHidden/>
          </w:rPr>
          <w:t>76</w:t>
        </w:r>
        <w:r w:rsidRPr="00BF7E57">
          <w:rPr>
            <w:noProof/>
            <w:webHidden/>
          </w:rPr>
          <w:fldChar w:fldCharType="end"/>
        </w:r>
      </w:hyperlink>
    </w:p>
    <w:p w14:paraId="79957664" w14:textId="08F173F5"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5" w:history="1">
        <w:r w:rsidRPr="00BF7E57">
          <w:rPr>
            <w:rStyle w:val="Hiperpovezava"/>
            <w:noProof/>
          </w:rPr>
          <w:t>Tabela 37: Lesna zaloga (m3/ha) po letih</w:t>
        </w:r>
        <w:r w:rsidRPr="00BF7E57">
          <w:rPr>
            <w:noProof/>
            <w:webHidden/>
          </w:rPr>
          <w:tab/>
        </w:r>
        <w:r w:rsidRPr="00BF7E57">
          <w:rPr>
            <w:noProof/>
            <w:webHidden/>
          </w:rPr>
          <w:fldChar w:fldCharType="begin"/>
        </w:r>
        <w:r w:rsidRPr="00BF7E57">
          <w:rPr>
            <w:noProof/>
            <w:webHidden/>
          </w:rPr>
          <w:instrText xml:space="preserve"> PAGEREF _Toc86826475 \h </w:instrText>
        </w:r>
        <w:r w:rsidRPr="00BF7E57">
          <w:rPr>
            <w:noProof/>
            <w:webHidden/>
          </w:rPr>
        </w:r>
        <w:r w:rsidRPr="00BF7E57">
          <w:rPr>
            <w:noProof/>
            <w:webHidden/>
          </w:rPr>
          <w:fldChar w:fldCharType="separate"/>
        </w:r>
        <w:r w:rsidR="00236865">
          <w:rPr>
            <w:noProof/>
            <w:webHidden/>
          </w:rPr>
          <w:t>78</w:t>
        </w:r>
        <w:r w:rsidRPr="00BF7E57">
          <w:rPr>
            <w:noProof/>
            <w:webHidden/>
          </w:rPr>
          <w:fldChar w:fldCharType="end"/>
        </w:r>
      </w:hyperlink>
    </w:p>
    <w:p w14:paraId="75EBD79B" w14:textId="65FE50B7"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6" w:history="1">
        <w:r w:rsidRPr="00BF7E57">
          <w:rPr>
            <w:rStyle w:val="Hiperpovezava"/>
            <w:noProof/>
          </w:rPr>
          <w:t>Tabela 38: Število registriranih dopolnilnih dejavnosti po letih</w:t>
        </w:r>
        <w:r w:rsidRPr="00BF7E57">
          <w:rPr>
            <w:noProof/>
            <w:webHidden/>
          </w:rPr>
          <w:tab/>
        </w:r>
        <w:r w:rsidRPr="00BF7E57">
          <w:rPr>
            <w:noProof/>
            <w:webHidden/>
          </w:rPr>
          <w:fldChar w:fldCharType="begin"/>
        </w:r>
        <w:r w:rsidRPr="00BF7E57">
          <w:rPr>
            <w:noProof/>
            <w:webHidden/>
          </w:rPr>
          <w:instrText xml:space="preserve"> PAGEREF _Toc86826476 \h </w:instrText>
        </w:r>
        <w:r w:rsidRPr="00BF7E57">
          <w:rPr>
            <w:noProof/>
            <w:webHidden/>
          </w:rPr>
        </w:r>
        <w:r w:rsidRPr="00BF7E57">
          <w:rPr>
            <w:noProof/>
            <w:webHidden/>
          </w:rPr>
          <w:fldChar w:fldCharType="separate"/>
        </w:r>
        <w:r w:rsidR="00236865">
          <w:rPr>
            <w:noProof/>
            <w:webHidden/>
          </w:rPr>
          <w:t>79</w:t>
        </w:r>
        <w:r w:rsidRPr="00BF7E57">
          <w:rPr>
            <w:noProof/>
            <w:webHidden/>
          </w:rPr>
          <w:fldChar w:fldCharType="end"/>
        </w:r>
      </w:hyperlink>
    </w:p>
    <w:p w14:paraId="73BB4A1E" w14:textId="7D5925BA"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7" w:history="1">
        <w:r w:rsidRPr="00BF7E57">
          <w:rPr>
            <w:rStyle w:val="Hiperpovezava"/>
            <w:noProof/>
          </w:rPr>
          <w:t>Tabela 39: Naložbe v KMG iz PRP 2014–2020</w:t>
        </w:r>
        <w:r w:rsidRPr="00BF7E57">
          <w:rPr>
            <w:noProof/>
            <w:webHidden/>
          </w:rPr>
          <w:tab/>
        </w:r>
        <w:r w:rsidRPr="00BF7E57">
          <w:rPr>
            <w:noProof/>
            <w:webHidden/>
          </w:rPr>
          <w:fldChar w:fldCharType="begin"/>
        </w:r>
        <w:r w:rsidRPr="00BF7E57">
          <w:rPr>
            <w:noProof/>
            <w:webHidden/>
          </w:rPr>
          <w:instrText xml:space="preserve"> PAGEREF _Toc86826477 \h </w:instrText>
        </w:r>
        <w:r w:rsidRPr="00BF7E57">
          <w:rPr>
            <w:noProof/>
            <w:webHidden/>
          </w:rPr>
        </w:r>
        <w:r w:rsidRPr="00BF7E57">
          <w:rPr>
            <w:noProof/>
            <w:webHidden/>
          </w:rPr>
          <w:fldChar w:fldCharType="separate"/>
        </w:r>
        <w:r w:rsidR="00236865">
          <w:rPr>
            <w:noProof/>
            <w:webHidden/>
          </w:rPr>
          <w:t>79</w:t>
        </w:r>
        <w:r w:rsidRPr="00BF7E57">
          <w:rPr>
            <w:noProof/>
            <w:webHidden/>
          </w:rPr>
          <w:fldChar w:fldCharType="end"/>
        </w:r>
      </w:hyperlink>
    </w:p>
    <w:p w14:paraId="731767FE" w14:textId="60894C6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8" w:history="1">
        <w:r w:rsidRPr="00BF7E57">
          <w:rPr>
            <w:rStyle w:val="Hiperpovezava"/>
            <w:noProof/>
          </w:rPr>
          <w:t>Tabela 40: Podpore v okviru PRP 2007–2013 na področju turizma in gostinstva</w:t>
        </w:r>
        <w:r w:rsidRPr="00BF7E57">
          <w:rPr>
            <w:noProof/>
            <w:webHidden/>
          </w:rPr>
          <w:tab/>
        </w:r>
        <w:r w:rsidRPr="00BF7E57">
          <w:rPr>
            <w:noProof/>
            <w:webHidden/>
          </w:rPr>
          <w:fldChar w:fldCharType="begin"/>
        </w:r>
        <w:r w:rsidRPr="00BF7E57">
          <w:rPr>
            <w:noProof/>
            <w:webHidden/>
          </w:rPr>
          <w:instrText xml:space="preserve"> PAGEREF _Toc86826478 \h </w:instrText>
        </w:r>
        <w:r w:rsidRPr="00BF7E57">
          <w:rPr>
            <w:noProof/>
            <w:webHidden/>
          </w:rPr>
        </w:r>
        <w:r w:rsidRPr="00BF7E57">
          <w:rPr>
            <w:noProof/>
            <w:webHidden/>
          </w:rPr>
          <w:fldChar w:fldCharType="separate"/>
        </w:r>
        <w:r w:rsidR="00236865">
          <w:rPr>
            <w:noProof/>
            <w:webHidden/>
          </w:rPr>
          <w:t>83</w:t>
        </w:r>
        <w:r w:rsidRPr="00BF7E57">
          <w:rPr>
            <w:noProof/>
            <w:webHidden/>
          </w:rPr>
          <w:fldChar w:fldCharType="end"/>
        </w:r>
      </w:hyperlink>
    </w:p>
    <w:p w14:paraId="63FD684B" w14:textId="67EA0B62"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79" w:history="1">
        <w:r w:rsidRPr="00BF7E57">
          <w:rPr>
            <w:rStyle w:val="Hiperpovezava"/>
            <w:noProof/>
          </w:rPr>
          <w:t>Tabela 41: Poročilo o izvajanju Evropske kohezijske politike 2014–2020 za obdobje od januarja 2014 do konca junija 2021 – prednostna os 9</w:t>
        </w:r>
        <w:r w:rsidRPr="00BF7E57">
          <w:rPr>
            <w:noProof/>
            <w:webHidden/>
          </w:rPr>
          <w:tab/>
        </w:r>
        <w:r w:rsidRPr="00BF7E57">
          <w:rPr>
            <w:noProof/>
            <w:webHidden/>
          </w:rPr>
          <w:fldChar w:fldCharType="begin"/>
        </w:r>
        <w:r w:rsidRPr="00BF7E57">
          <w:rPr>
            <w:noProof/>
            <w:webHidden/>
          </w:rPr>
          <w:instrText xml:space="preserve"> PAGEREF _Toc86826479 \h </w:instrText>
        </w:r>
        <w:r w:rsidRPr="00BF7E57">
          <w:rPr>
            <w:noProof/>
            <w:webHidden/>
          </w:rPr>
        </w:r>
        <w:r w:rsidRPr="00BF7E57">
          <w:rPr>
            <w:noProof/>
            <w:webHidden/>
          </w:rPr>
          <w:fldChar w:fldCharType="separate"/>
        </w:r>
        <w:r w:rsidR="00236865">
          <w:rPr>
            <w:noProof/>
            <w:webHidden/>
          </w:rPr>
          <w:t>93</w:t>
        </w:r>
        <w:r w:rsidRPr="00BF7E57">
          <w:rPr>
            <w:noProof/>
            <w:webHidden/>
          </w:rPr>
          <w:fldChar w:fldCharType="end"/>
        </w:r>
      </w:hyperlink>
    </w:p>
    <w:p w14:paraId="0B96EA2E" w14:textId="248098BF" w:rsidR="00D97A62" w:rsidRPr="00BF7E57" w:rsidRDefault="00D97A62">
      <w:pPr>
        <w:pStyle w:val="Kazaloslik"/>
        <w:tabs>
          <w:tab w:val="right" w:leader="dot" w:pos="9062"/>
        </w:tabs>
        <w:rPr>
          <w:rFonts w:eastAsiaTheme="minorEastAsia" w:cstheme="minorBidi"/>
          <w:i w:val="0"/>
          <w:iCs w:val="0"/>
          <w:noProof/>
          <w:sz w:val="22"/>
          <w:szCs w:val="22"/>
          <w:lang w:eastAsia="sl-SI"/>
        </w:rPr>
      </w:pPr>
      <w:hyperlink w:anchor="_Toc86826480" w:history="1">
        <w:r w:rsidRPr="00BF7E57">
          <w:rPr>
            <w:rStyle w:val="Hiperpovezava"/>
            <w:noProof/>
          </w:rPr>
          <w:t>Tabela 42: Poročilo o izvajanju Evropske kohezijske politike 2014–2020 za obdobje od januarja 2014 do konca junija 2021 – prednostne osi</w:t>
        </w:r>
        <w:r w:rsidRPr="00BF7E57">
          <w:rPr>
            <w:noProof/>
            <w:webHidden/>
          </w:rPr>
          <w:tab/>
        </w:r>
        <w:r w:rsidRPr="00BF7E57">
          <w:rPr>
            <w:noProof/>
            <w:webHidden/>
          </w:rPr>
          <w:fldChar w:fldCharType="begin"/>
        </w:r>
        <w:r w:rsidRPr="00BF7E57">
          <w:rPr>
            <w:noProof/>
            <w:webHidden/>
          </w:rPr>
          <w:instrText xml:space="preserve"> PAGEREF _Toc86826480 \h </w:instrText>
        </w:r>
        <w:r w:rsidRPr="00BF7E57">
          <w:rPr>
            <w:noProof/>
            <w:webHidden/>
          </w:rPr>
        </w:r>
        <w:r w:rsidRPr="00BF7E57">
          <w:rPr>
            <w:noProof/>
            <w:webHidden/>
          </w:rPr>
          <w:fldChar w:fldCharType="separate"/>
        </w:r>
        <w:r w:rsidR="00236865">
          <w:rPr>
            <w:noProof/>
            <w:webHidden/>
          </w:rPr>
          <w:t>94</w:t>
        </w:r>
        <w:r w:rsidRPr="00BF7E57">
          <w:rPr>
            <w:noProof/>
            <w:webHidden/>
          </w:rPr>
          <w:fldChar w:fldCharType="end"/>
        </w:r>
      </w:hyperlink>
    </w:p>
    <w:p w14:paraId="653E21A9" w14:textId="77777777" w:rsidR="001427AE" w:rsidRPr="00BF7E57" w:rsidRDefault="00376357" w:rsidP="00F5427E">
      <w:pPr>
        <w:spacing w:line="360" w:lineRule="auto"/>
        <w:jc w:val="both"/>
        <w:rPr>
          <w:sz w:val="20"/>
          <w:szCs w:val="20"/>
        </w:rPr>
      </w:pPr>
      <w:r w:rsidRPr="00BF7E57">
        <w:rPr>
          <w:rFonts w:ascii="Arial" w:eastAsia="Times New Roman" w:hAnsi="Arial" w:cs="Arial"/>
          <w:sz w:val="20"/>
          <w:szCs w:val="20"/>
          <w:lang w:eastAsia="en-GB"/>
        </w:rPr>
        <w:fldChar w:fldCharType="end"/>
      </w:r>
    </w:p>
    <w:p w14:paraId="0EE272A1" w14:textId="77777777" w:rsidR="001427AE" w:rsidRPr="00BF7E57" w:rsidRDefault="001427AE" w:rsidP="00F5427E">
      <w:pPr>
        <w:spacing w:line="360" w:lineRule="auto"/>
        <w:jc w:val="both"/>
        <w:rPr>
          <w:sz w:val="20"/>
          <w:szCs w:val="20"/>
        </w:rPr>
      </w:pPr>
    </w:p>
    <w:p w14:paraId="147FAB0E" w14:textId="77777777" w:rsidR="001427AE" w:rsidRPr="00BF7E57" w:rsidRDefault="001427AE" w:rsidP="00F5427E">
      <w:pPr>
        <w:spacing w:line="360" w:lineRule="auto"/>
        <w:jc w:val="both"/>
        <w:rPr>
          <w:sz w:val="20"/>
          <w:szCs w:val="20"/>
        </w:rPr>
      </w:pPr>
    </w:p>
    <w:p w14:paraId="09162202" w14:textId="77777777" w:rsidR="001427AE" w:rsidRPr="00BF7E57" w:rsidRDefault="001427AE" w:rsidP="00F5427E">
      <w:pPr>
        <w:spacing w:line="360" w:lineRule="auto"/>
        <w:jc w:val="both"/>
        <w:rPr>
          <w:sz w:val="20"/>
          <w:szCs w:val="20"/>
        </w:rPr>
      </w:pPr>
    </w:p>
    <w:p w14:paraId="18582D6B" w14:textId="77777777" w:rsidR="001427AE" w:rsidRPr="00BF7E57" w:rsidRDefault="001427AE" w:rsidP="00F5427E">
      <w:pPr>
        <w:spacing w:line="360" w:lineRule="auto"/>
        <w:jc w:val="both"/>
        <w:rPr>
          <w:sz w:val="20"/>
          <w:szCs w:val="20"/>
        </w:rPr>
      </w:pPr>
    </w:p>
    <w:p w14:paraId="3BD4C311" w14:textId="12AD2B06" w:rsidR="00CA480A" w:rsidRPr="00BF7E57" w:rsidRDefault="00CA6187" w:rsidP="00F5427E">
      <w:pPr>
        <w:spacing w:line="360" w:lineRule="auto"/>
        <w:jc w:val="both"/>
        <w:rPr>
          <w:rFonts w:ascii="Arial" w:hAnsi="Arial" w:cs="Arial"/>
          <w:b/>
          <w:sz w:val="28"/>
          <w:szCs w:val="28"/>
        </w:rPr>
      </w:pPr>
      <w:r w:rsidRPr="00BF7E57">
        <w:rPr>
          <w:rFonts w:ascii="Arial" w:hAnsi="Arial" w:cs="Arial"/>
          <w:b/>
          <w:sz w:val="28"/>
          <w:szCs w:val="28"/>
        </w:rPr>
        <w:lastRenderedPageBreak/>
        <w:t>SEZNAM UPORABLJENIH KRATIC IN SIMBOLOV</w:t>
      </w:r>
    </w:p>
    <w:tbl>
      <w:tblPr>
        <w:tblStyle w:val="Tabelamrea"/>
        <w:tblW w:w="0" w:type="auto"/>
        <w:tblLook w:val="04A0" w:firstRow="1" w:lastRow="0" w:firstColumn="1" w:lastColumn="0" w:noHBand="0" w:noVBand="1"/>
      </w:tblPr>
      <w:tblGrid>
        <w:gridCol w:w="2740"/>
        <w:gridCol w:w="6322"/>
      </w:tblGrid>
      <w:tr w:rsidR="00163103" w:rsidRPr="00BF7E57" w14:paraId="4EA43712" w14:textId="77777777" w:rsidTr="00EA2E4C">
        <w:trPr>
          <w:trHeight w:val="433"/>
        </w:trPr>
        <w:tc>
          <w:tcPr>
            <w:tcW w:w="2804" w:type="dxa"/>
          </w:tcPr>
          <w:p w14:paraId="6C4C378B" w14:textId="77777777" w:rsidR="00163103" w:rsidRPr="00BF7E57" w:rsidRDefault="00163103" w:rsidP="00EA2E4C">
            <w:pPr>
              <w:pStyle w:val="1"/>
              <w:spacing w:line="240" w:lineRule="auto"/>
            </w:pPr>
            <w:r w:rsidRPr="00BF7E57">
              <w:t>OECD</w:t>
            </w:r>
          </w:p>
        </w:tc>
        <w:tc>
          <w:tcPr>
            <w:tcW w:w="6484" w:type="dxa"/>
          </w:tcPr>
          <w:p w14:paraId="42FBBD91" w14:textId="77777777" w:rsidR="00163103" w:rsidRPr="00BF7E57" w:rsidRDefault="00163103" w:rsidP="00EA2E4C">
            <w:pPr>
              <w:pStyle w:val="1"/>
              <w:spacing w:line="240" w:lineRule="auto"/>
            </w:pPr>
            <w:r w:rsidRPr="00BF7E57">
              <w:t>Organisation for economic co-operation and development/ Organizacija za gospodarsko sodelovanje in razvoj</w:t>
            </w:r>
          </w:p>
        </w:tc>
      </w:tr>
      <w:tr w:rsidR="00163103" w:rsidRPr="00BF7E57" w14:paraId="779A9DBD" w14:textId="77777777" w:rsidTr="00EA2E4C">
        <w:trPr>
          <w:trHeight w:val="433"/>
        </w:trPr>
        <w:tc>
          <w:tcPr>
            <w:tcW w:w="2804" w:type="dxa"/>
          </w:tcPr>
          <w:p w14:paraId="0CE18DC0" w14:textId="77777777" w:rsidR="00163103" w:rsidRPr="00BF7E57" w:rsidRDefault="00163103" w:rsidP="00EA2E4C">
            <w:pPr>
              <w:pStyle w:val="1"/>
              <w:spacing w:line="240" w:lineRule="auto"/>
            </w:pPr>
            <w:r w:rsidRPr="00BF7E57">
              <w:t>ZRC SAZU</w:t>
            </w:r>
          </w:p>
        </w:tc>
        <w:tc>
          <w:tcPr>
            <w:tcW w:w="6484" w:type="dxa"/>
          </w:tcPr>
          <w:p w14:paraId="4407BAEB" w14:textId="77777777" w:rsidR="00163103" w:rsidRPr="00BF7E57" w:rsidRDefault="00163103" w:rsidP="00EA2E4C">
            <w:pPr>
              <w:pStyle w:val="1"/>
              <w:spacing w:line="240" w:lineRule="auto"/>
            </w:pPr>
            <w:r w:rsidRPr="00BF7E57">
              <w:t>Znanstvenoraziskovalni center Slovenske akademije znanosti in umetnosti</w:t>
            </w:r>
          </w:p>
        </w:tc>
      </w:tr>
      <w:tr w:rsidR="00163103" w:rsidRPr="00BF7E57" w14:paraId="18769CBA" w14:textId="77777777" w:rsidTr="00EA2E4C">
        <w:trPr>
          <w:trHeight w:val="457"/>
        </w:trPr>
        <w:tc>
          <w:tcPr>
            <w:tcW w:w="2804" w:type="dxa"/>
          </w:tcPr>
          <w:p w14:paraId="01A249BC" w14:textId="77777777" w:rsidR="00163103" w:rsidRPr="00BF7E57" w:rsidRDefault="00163103" w:rsidP="00EA2E4C">
            <w:pPr>
              <w:pStyle w:val="1"/>
              <w:spacing w:line="240" w:lineRule="auto"/>
            </w:pPr>
            <w:r w:rsidRPr="00BF7E57">
              <w:t>SURS</w:t>
            </w:r>
          </w:p>
        </w:tc>
        <w:tc>
          <w:tcPr>
            <w:tcW w:w="6484" w:type="dxa"/>
          </w:tcPr>
          <w:p w14:paraId="49F35E54" w14:textId="77777777" w:rsidR="00163103" w:rsidRPr="00BF7E57" w:rsidRDefault="00163103" w:rsidP="00EA2E4C">
            <w:pPr>
              <w:pStyle w:val="1"/>
              <w:spacing w:line="240" w:lineRule="auto"/>
            </w:pPr>
            <w:r w:rsidRPr="00BF7E57">
              <w:t>Statistični urad Republike Slovenije</w:t>
            </w:r>
          </w:p>
        </w:tc>
      </w:tr>
      <w:tr w:rsidR="00163103" w:rsidRPr="00BF7E57" w14:paraId="27622DE3" w14:textId="77777777" w:rsidTr="00EA2E4C">
        <w:trPr>
          <w:trHeight w:val="433"/>
        </w:trPr>
        <w:tc>
          <w:tcPr>
            <w:tcW w:w="2804" w:type="dxa"/>
          </w:tcPr>
          <w:p w14:paraId="19675334" w14:textId="77777777" w:rsidR="00163103" w:rsidRPr="00BF7E57" w:rsidRDefault="00163103" w:rsidP="00EA2E4C">
            <w:pPr>
              <w:pStyle w:val="1"/>
              <w:spacing w:line="240" w:lineRule="auto"/>
            </w:pPr>
            <w:r w:rsidRPr="00BF7E57">
              <w:t>GURS</w:t>
            </w:r>
          </w:p>
        </w:tc>
        <w:tc>
          <w:tcPr>
            <w:tcW w:w="6484" w:type="dxa"/>
          </w:tcPr>
          <w:p w14:paraId="2BEFBE3E" w14:textId="77777777" w:rsidR="00163103" w:rsidRPr="00BF7E57" w:rsidRDefault="00163103" w:rsidP="00EA2E4C">
            <w:pPr>
              <w:pStyle w:val="1"/>
              <w:spacing w:line="240" w:lineRule="auto"/>
            </w:pPr>
            <w:r w:rsidRPr="00BF7E57">
              <w:t>Geodetska uprava Republike Slovenije</w:t>
            </w:r>
          </w:p>
        </w:tc>
      </w:tr>
      <w:tr w:rsidR="00163103" w:rsidRPr="00BF7E57" w14:paraId="2DDA70F3" w14:textId="77777777" w:rsidTr="00EA2E4C">
        <w:trPr>
          <w:trHeight w:val="433"/>
        </w:trPr>
        <w:tc>
          <w:tcPr>
            <w:tcW w:w="2804" w:type="dxa"/>
          </w:tcPr>
          <w:p w14:paraId="7C871D60" w14:textId="77777777" w:rsidR="00163103" w:rsidRPr="00BF7E57" w:rsidRDefault="00163103" w:rsidP="00EA2E4C">
            <w:pPr>
              <w:pStyle w:val="1"/>
              <w:spacing w:line="240" w:lineRule="auto"/>
            </w:pPr>
            <w:r w:rsidRPr="00BF7E57">
              <w:t>ZSRR-2</w:t>
            </w:r>
          </w:p>
        </w:tc>
        <w:tc>
          <w:tcPr>
            <w:tcW w:w="6484" w:type="dxa"/>
          </w:tcPr>
          <w:p w14:paraId="667EE9C1" w14:textId="77777777" w:rsidR="00163103" w:rsidRPr="00BF7E57" w:rsidRDefault="00163103" w:rsidP="00EA2E4C">
            <w:pPr>
              <w:pStyle w:val="1"/>
              <w:spacing w:line="240" w:lineRule="auto"/>
            </w:pPr>
            <w:r w:rsidRPr="00BF7E57">
              <w:t>Zakon o spodbujanju skladnega regionalnega razvoja</w:t>
            </w:r>
          </w:p>
        </w:tc>
      </w:tr>
      <w:tr w:rsidR="00163103" w:rsidRPr="00BF7E57" w14:paraId="7DF50295" w14:textId="77777777" w:rsidTr="00EA2E4C">
        <w:trPr>
          <w:trHeight w:val="457"/>
        </w:trPr>
        <w:tc>
          <w:tcPr>
            <w:tcW w:w="2804" w:type="dxa"/>
          </w:tcPr>
          <w:p w14:paraId="302BD9F8" w14:textId="77777777" w:rsidR="00163103" w:rsidRPr="00BF7E57" w:rsidRDefault="00163103" w:rsidP="00EA2E4C">
            <w:pPr>
              <w:pStyle w:val="1"/>
              <w:spacing w:line="240" w:lineRule="auto"/>
            </w:pPr>
            <w:r w:rsidRPr="00BF7E57">
              <w:t>EU</w:t>
            </w:r>
          </w:p>
        </w:tc>
        <w:tc>
          <w:tcPr>
            <w:tcW w:w="6484" w:type="dxa"/>
          </w:tcPr>
          <w:p w14:paraId="1D55C1B5" w14:textId="77777777" w:rsidR="00163103" w:rsidRPr="00BF7E57" w:rsidRDefault="00163103" w:rsidP="00EA2E4C">
            <w:pPr>
              <w:pStyle w:val="1"/>
              <w:spacing w:line="240" w:lineRule="auto"/>
            </w:pPr>
            <w:r w:rsidRPr="00BF7E57">
              <w:t>Evropska unija</w:t>
            </w:r>
          </w:p>
        </w:tc>
      </w:tr>
      <w:tr w:rsidR="00163103" w:rsidRPr="00BF7E57" w14:paraId="1450A64E" w14:textId="77777777" w:rsidTr="00EA2E4C">
        <w:trPr>
          <w:trHeight w:val="433"/>
        </w:trPr>
        <w:tc>
          <w:tcPr>
            <w:tcW w:w="2804" w:type="dxa"/>
          </w:tcPr>
          <w:p w14:paraId="3B71196C" w14:textId="77777777" w:rsidR="00163103" w:rsidRPr="00BF7E57" w:rsidRDefault="00163103" w:rsidP="00EA2E4C">
            <w:pPr>
              <w:pStyle w:val="1"/>
              <w:spacing w:line="240" w:lineRule="auto"/>
            </w:pPr>
            <w:r w:rsidRPr="00BF7E57">
              <w:t>RS</w:t>
            </w:r>
          </w:p>
        </w:tc>
        <w:tc>
          <w:tcPr>
            <w:tcW w:w="6484" w:type="dxa"/>
          </w:tcPr>
          <w:p w14:paraId="7CE9117B" w14:textId="77777777" w:rsidR="00163103" w:rsidRPr="00BF7E57" w:rsidRDefault="00163103" w:rsidP="00EA2E4C">
            <w:pPr>
              <w:pStyle w:val="1"/>
              <w:spacing w:line="240" w:lineRule="auto"/>
            </w:pPr>
            <w:r w:rsidRPr="00BF7E57">
              <w:t>Republika Slovenija</w:t>
            </w:r>
          </w:p>
        </w:tc>
      </w:tr>
      <w:tr w:rsidR="00163103" w:rsidRPr="00BF7E57" w14:paraId="7C9EFF25" w14:textId="77777777" w:rsidTr="00EA2E4C">
        <w:trPr>
          <w:trHeight w:val="433"/>
        </w:trPr>
        <w:tc>
          <w:tcPr>
            <w:tcW w:w="2804" w:type="dxa"/>
          </w:tcPr>
          <w:p w14:paraId="7508B34F" w14:textId="77777777" w:rsidR="00163103" w:rsidRPr="00BF7E57" w:rsidRDefault="00163103" w:rsidP="00EA2E4C">
            <w:pPr>
              <w:pStyle w:val="1"/>
              <w:spacing w:line="240" w:lineRule="auto"/>
            </w:pPr>
            <w:r w:rsidRPr="00BF7E57">
              <w:t>UMAR</w:t>
            </w:r>
          </w:p>
        </w:tc>
        <w:tc>
          <w:tcPr>
            <w:tcW w:w="6484" w:type="dxa"/>
          </w:tcPr>
          <w:p w14:paraId="69D3C7A5" w14:textId="77777777" w:rsidR="00163103" w:rsidRPr="00BF7E57" w:rsidRDefault="00163103" w:rsidP="00EA2E4C">
            <w:pPr>
              <w:pStyle w:val="1"/>
              <w:spacing w:line="240" w:lineRule="auto"/>
            </w:pPr>
            <w:r w:rsidRPr="00BF7E57">
              <w:t>Urad Republike Slovenije za makroekonomske analize in razvoj</w:t>
            </w:r>
          </w:p>
        </w:tc>
      </w:tr>
      <w:tr w:rsidR="00163103" w:rsidRPr="00BF7E57" w14:paraId="72F8ECEA" w14:textId="77777777" w:rsidTr="00EA2E4C">
        <w:trPr>
          <w:trHeight w:val="457"/>
        </w:trPr>
        <w:tc>
          <w:tcPr>
            <w:tcW w:w="2804" w:type="dxa"/>
          </w:tcPr>
          <w:p w14:paraId="7AAF3875" w14:textId="77777777" w:rsidR="00163103" w:rsidRPr="00BF7E57" w:rsidRDefault="00163103" w:rsidP="00EA2E4C">
            <w:pPr>
              <w:pStyle w:val="1"/>
              <w:spacing w:line="240" w:lineRule="auto"/>
            </w:pPr>
            <w:r w:rsidRPr="00BF7E57">
              <w:t>BDP</w:t>
            </w:r>
          </w:p>
        </w:tc>
        <w:tc>
          <w:tcPr>
            <w:tcW w:w="6484" w:type="dxa"/>
          </w:tcPr>
          <w:p w14:paraId="2F15D0D3" w14:textId="77777777" w:rsidR="00163103" w:rsidRPr="00BF7E57" w:rsidRDefault="00163103" w:rsidP="00EA2E4C">
            <w:pPr>
              <w:pStyle w:val="1"/>
              <w:spacing w:line="240" w:lineRule="auto"/>
            </w:pPr>
            <w:r w:rsidRPr="00BF7E57">
              <w:t>Bruto domači proizvod</w:t>
            </w:r>
          </w:p>
        </w:tc>
      </w:tr>
      <w:tr w:rsidR="00163103" w:rsidRPr="00BF7E57" w14:paraId="4DD94B2F" w14:textId="77777777" w:rsidTr="00EA2E4C">
        <w:trPr>
          <w:trHeight w:val="457"/>
        </w:trPr>
        <w:tc>
          <w:tcPr>
            <w:tcW w:w="2804" w:type="dxa"/>
          </w:tcPr>
          <w:p w14:paraId="52A5CB09" w14:textId="77777777" w:rsidR="00163103" w:rsidRPr="00BF7E57" w:rsidRDefault="00163103" w:rsidP="00EA2E4C">
            <w:pPr>
              <w:pStyle w:val="1"/>
              <w:spacing w:line="240" w:lineRule="auto"/>
            </w:pPr>
            <w:r w:rsidRPr="00BF7E57">
              <w:t>IRO</w:t>
            </w:r>
          </w:p>
        </w:tc>
        <w:tc>
          <w:tcPr>
            <w:tcW w:w="6484" w:type="dxa"/>
          </w:tcPr>
          <w:p w14:paraId="3D6B0631" w14:textId="77777777" w:rsidR="00163103" w:rsidRPr="00BF7E57" w:rsidRDefault="00163103" w:rsidP="00EA2E4C">
            <w:pPr>
              <w:pStyle w:val="1"/>
              <w:spacing w:line="240" w:lineRule="auto"/>
            </w:pPr>
            <w:r w:rsidRPr="00BF7E57">
              <w:t>Indeks razvojne ogroženosti</w:t>
            </w:r>
          </w:p>
        </w:tc>
      </w:tr>
      <w:tr w:rsidR="00163103" w:rsidRPr="00BF7E57" w14:paraId="2DEEB273" w14:textId="77777777" w:rsidTr="00EA2E4C">
        <w:trPr>
          <w:trHeight w:val="457"/>
        </w:trPr>
        <w:tc>
          <w:tcPr>
            <w:tcW w:w="2804" w:type="dxa"/>
          </w:tcPr>
          <w:p w14:paraId="24262B8F" w14:textId="77777777" w:rsidR="00163103" w:rsidRPr="00BF7E57" w:rsidRDefault="00163103" w:rsidP="00EA2E4C">
            <w:pPr>
              <w:pStyle w:val="1"/>
              <w:spacing w:line="240" w:lineRule="auto"/>
            </w:pPr>
            <w:r w:rsidRPr="00BF7E57">
              <w:t>CRPOV</w:t>
            </w:r>
          </w:p>
        </w:tc>
        <w:tc>
          <w:tcPr>
            <w:tcW w:w="6484" w:type="dxa"/>
          </w:tcPr>
          <w:p w14:paraId="6761CC7D" w14:textId="77777777" w:rsidR="00163103" w:rsidRPr="00BF7E57" w:rsidRDefault="00163103" w:rsidP="00EA2E4C">
            <w:pPr>
              <w:pStyle w:val="1"/>
              <w:spacing w:line="240" w:lineRule="auto"/>
            </w:pPr>
            <w:r w:rsidRPr="00BF7E57">
              <w:t>Celostni razvoj podeželja in obnove vasi</w:t>
            </w:r>
          </w:p>
        </w:tc>
      </w:tr>
      <w:tr w:rsidR="00163103" w:rsidRPr="00BF7E57" w14:paraId="02D5B519" w14:textId="77777777" w:rsidTr="00EA2E4C">
        <w:trPr>
          <w:trHeight w:val="457"/>
        </w:trPr>
        <w:tc>
          <w:tcPr>
            <w:tcW w:w="2804" w:type="dxa"/>
          </w:tcPr>
          <w:p w14:paraId="3940B3DA" w14:textId="77777777" w:rsidR="00163103" w:rsidRPr="00BF7E57" w:rsidRDefault="00163103" w:rsidP="00EA2E4C">
            <w:pPr>
              <w:pStyle w:val="1"/>
              <w:spacing w:line="240" w:lineRule="auto"/>
            </w:pPr>
            <w:r w:rsidRPr="00BF7E57">
              <w:t>LEADER</w:t>
            </w:r>
          </w:p>
        </w:tc>
        <w:tc>
          <w:tcPr>
            <w:tcW w:w="6484" w:type="dxa"/>
          </w:tcPr>
          <w:p w14:paraId="02409661" w14:textId="77777777" w:rsidR="00163103" w:rsidRPr="00BF7E57" w:rsidRDefault="00163103" w:rsidP="00EA2E4C">
            <w:pPr>
              <w:pStyle w:val="1"/>
              <w:spacing w:line="240" w:lineRule="auto"/>
            </w:pPr>
            <w:r w:rsidRPr="00BF7E57">
              <w:t>Liaison Entre Actions de Développement de l'Économie Rurale/ Povezave med ukrepi za razvoj podeželskega gospodarstva</w:t>
            </w:r>
          </w:p>
        </w:tc>
      </w:tr>
      <w:tr w:rsidR="00163103" w:rsidRPr="00BF7E57" w14:paraId="0FBE526B" w14:textId="77777777" w:rsidTr="00EA2E4C">
        <w:trPr>
          <w:trHeight w:val="457"/>
        </w:trPr>
        <w:tc>
          <w:tcPr>
            <w:tcW w:w="2804" w:type="dxa"/>
          </w:tcPr>
          <w:p w14:paraId="5B9139DA" w14:textId="77777777" w:rsidR="00163103" w:rsidRPr="00BF7E57" w:rsidRDefault="00163103" w:rsidP="00EA2E4C">
            <w:pPr>
              <w:pStyle w:val="1"/>
              <w:spacing w:line="240" w:lineRule="auto"/>
            </w:pPr>
            <w:r w:rsidRPr="00BF7E57">
              <w:t>AJPES</w:t>
            </w:r>
          </w:p>
        </w:tc>
        <w:tc>
          <w:tcPr>
            <w:tcW w:w="6484" w:type="dxa"/>
          </w:tcPr>
          <w:p w14:paraId="6D6552C1" w14:textId="77777777" w:rsidR="00163103" w:rsidRPr="00BF7E57" w:rsidRDefault="00163103" w:rsidP="00EA2E4C">
            <w:pPr>
              <w:pStyle w:val="1"/>
              <w:spacing w:line="240" w:lineRule="auto"/>
              <w:rPr>
                <w:bCs/>
              </w:rPr>
            </w:pPr>
            <w:r w:rsidRPr="00BF7E57">
              <w:rPr>
                <w:bCs/>
              </w:rPr>
              <w:t>Agencija Republike Slovenije za javnopravne evidence In storitve</w:t>
            </w:r>
          </w:p>
          <w:p w14:paraId="6324A442" w14:textId="77777777" w:rsidR="00163103" w:rsidRPr="00BF7E57" w:rsidRDefault="00163103" w:rsidP="00EA2E4C">
            <w:pPr>
              <w:pStyle w:val="1"/>
              <w:spacing w:line="240" w:lineRule="auto"/>
            </w:pPr>
          </w:p>
        </w:tc>
      </w:tr>
      <w:tr w:rsidR="00163103" w:rsidRPr="00BF7E57" w14:paraId="2A759E4E" w14:textId="77777777" w:rsidTr="00EA2E4C">
        <w:trPr>
          <w:trHeight w:val="457"/>
        </w:trPr>
        <w:tc>
          <w:tcPr>
            <w:tcW w:w="2804" w:type="dxa"/>
          </w:tcPr>
          <w:p w14:paraId="136C8F91" w14:textId="77777777" w:rsidR="00163103" w:rsidRPr="00BF7E57" w:rsidRDefault="00163103" w:rsidP="00EA2E4C">
            <w:pPr>
              <w:pStyle w:val="1"/>
              <w:spacing w:line="240" w:lineRule="auto"/>
            </w:pPr>
            <w:r w:rsidRPr="00BF7E57">
              <w:t>IKT</w:t>
            </w:r>
          </w:p>
        </w:tc>
        <w:tc>
          <w:tcPr>
            <w:tcW w:w="6484" w:type="dxa"/>
          </w:tcPr>
          <w:p w14:paraId="46CC6619" w14:textId="77777777" w:rsidR="00163103" w:rsidRPr="00BF7E57" w:rsidRDefault="00163103" w:rsidP="00EA2E4C">
            <w:pPr>
              <w:pStyle w:val="1"/>
              <w:spacing w:line="240" w:lineRule="auto"/>
            </w:pPr>
            <w:r w:rsidRPr="00BF7E57">
              <w:t>Informacijsko-komunikacijska tehnologija</w:t>
            </w:r>
          </w:p>
        </w:tc>
      </w:tr>
      <w:tr w:rsidR="00163103" w:rsidRPr="00BF7E57" w14:paraId="3E1DD70B" w14:textId="77777777" w:rsidTr="00EA2E4C">
        <w:trPr>
          <w:trHeight w:val="457"/>
        </w:trPr>
        <w:tc>
          <w:tcPr>
            <w:tcW w:w="2804" w:type="dxa"/>
          </w:tcPr>
          <w:p w14:paraId="7D46EC46" w14:textId="77777777" w:rsidR="00163103" w:rsidRPr="00BF7E57" w:rsidRDefault="00163103" w:rsidP="00EA2E4C">
            <w:pPr>
              <w:pStyle w:val="1"/>
              <w:spacing w:line="240" w:lineRule="auto"/>
            </w:pPr>
            <w:r w:rsidRPr="00BF7E57">
              <w:rPr>
                <w:rFonts w:eastAsia="Arial"/>
                <w:color w:val="000000" w:themeColor="text1"/>
              </w:rPr>
              <w:t>ZVKD-1</w:t>
            </w:r>
          </w:p>
        </w:tc>
        <w:tc>
          <w:tcPr>
            <w:tcW w:w="6484" w:type="dxa"/>
          </w:tcPr>
          <w:p w14:paraId="24E346BF" w14:textId="77777777" w:rsidR="00163103" w:rsidRPr="00BF7E57" w:rsidRDefault="00163103" w:rsidP="00EA2E4C">
            <w:pPr>
              <w:pStyle w:val="1"/>
              <w:spacing w:line="240" w:lineRule="auto"/>
            </w:pPr>
            <w:r w:rsidRPr="00BF7E57">
              <w:rPr>
                <w:rFonts w:eastAsia="Arial"/>
                <w:color w:val="000000" w:themeColor="text1"/>
              </w:rPr>
              <w:t>Zakon o varstvu kulturne dediščine</w:t>
            </w:r>
          </w:p>
        </w:tc>
      </w:tr>
      <w:tr w:rsidR="00163103" w:rsidRPr="00BF7E57" w14:paraId="6DD263EF" w14:textId="77777777" w:rsidTr="00EA2E4C">
        <w:trPr>
          <w:trHeight w:val="457"/>
        </w:trPr>
        <w:tc>
          <w:tcPr>
            <w:tcW w:w="2804" w:type="dxa"/>
          </w:tcPr>
          <w:p w14:paraId="19CF89AE" w14:textId="77777777" w:rsidR="00163103" w:rsidRPr="00BF7E57" w:rsidRDefault="00163103" w:rsidP="00EA2E4C">
            <w:pPr>
              <w:pStyle w:val="1"/>
              <w:spacing w:line="240" w:lineRule="auto"/>
            </w:pPr>
            <w:r w:rsidRPr="00BF7E57">
              <w:t>BDV</w:t>
            </w:r>
          </w:p>
        </w:tc>
        <w:tc>
          <w:tcPr>
            <w:tcW w:w="6484" w:type="dxa"/>
          </w:tcPr>
          <w:p w14:paraId="49E19308" w14:textId="77777777" w:rsidR="00163103" w:rsidRPr="00BF7E57" w:rsidRDefault="00163103" w:rsidP="00EA2E4C">
            <w:pPr>
              <w:pStyle w:val="1"/>
              <w:spacing w:line="240" w:lineRule="auto"/>
            </w:pPr>
            <w:r w:rsidRPr="00BF7E57">
              <w:t>Bruto dodana vrednost</w:t>
            </w:r>
          </w:p>
        </w:tc>
      </w:tr>
      <w:tr w:rsidR="00163103" w:rsidRPr="00BF7E57" w14:paraId="08407B6C" w14:textId="77777777" w:rsidTr="00EA2E4C">
        <w:trPr>
          <w:trHeight w:val="457"/>
        </w:trPr>
        <w:tc>
          <w:tcPr>
            <w:tcW w:w="2804" w:type="dxa"/>
          </w:tcPr>
          <w:p w14:paraId="3B50B359" w14:textId="77777777" w:rsidR="00163103" w:rsidRPr="00BF7E57" w:rsidRDefault="00163103" w:rsidP="00EA2E4C">
            <w:pPr>
              <w:pStyle w:val="1"/>
              <w:spacing w:line="240" w:lineRule="auto"/>
            </w:pPr>
            <w:r w:rsidRPr="00BF7E57">
              <w:t>LAS</w:t>
            </w:r>
          </w:p>
        </w:tc>
        <w:tc>
          <w:tcPr>
            <w:tcW w:w="6484" w:type="dxa"/>
          </w:tcPr>
          <w:p w14:paraId="21FD29FC" w14:textId="77777777" w:rsidR="00163103" w:rsidRPr="00BF7E57" w:rsidRDefault="00163103" w:rsidP="00EA2E4C">
            <w:pPr>
              <w:pStyle w:val="1"/>
              <w:spacing w:line="240" w:lineRule="auto"/>
            </w:pPr>
            <w:r w:rsidRPr="00BF7E57">
              <w:t>Lokalna akcijska skupina</w:t>
            </w:r>
          </w:p>
        </w:tc>
      </w:tr>
      <w:tr w:rsidR="00163103" w:rsidRPr="00BF7E57" w14:paraId="4E2CFCAD" w14:textId="77777777" w:rsidTr="00EA2E4C">
        <w:trPr>
          <w:trHeight w:val="457"/>
        </w:trPr>
        <w:tc>
          <w:tcPr>
            <w:tcW w:w="2804" w:type="dxa"/>
          </w:tcPr>
          <w:p w14:paraId="2CCB8DAA" w14:textId="77777777" w:rsidR="00163103" w:rsidRPr="00BF7E57" w:rsidRDefault="00163103" w:rsidP="00EA2E4C">
            <w:pPr>
              <w:pStyle w:val="1"/>
              <w:spacing w:line="240" w:lineRule="auto"/>
            </w:pPr>
            <w:r w:rsidRPr="00BF7E57">
              <w:t>RRA</w:t>
            </w:r>
          </w:p>
        </w:tc>
        <w:tc>
          <w:tcPr>
            <w:tcW w:w="6484" w:type="dxa"/>
          </w:tcPr>
          <w:p w14:paraId="18068BC6" w14:textId="77777777" w:rsidR="00163103" w:rsidRPr="00BF7E57" w:rsidRDefault="00163103" w:rsidP="00EA2E4C">
            <w:pPr>
              <w:pStyle w:val="1"/>
              <w:spacing w:line="240" w:lineRule="auto"/>
            </w:pPr>
            <w:r w:rsidRPr="00BF7E57">
              <w:t>Regionalna razvojna agencija</w:t>
            </w:r>
          </w:p>
        </w:tc>
      </w:tr>
      <w:tr w:rsidR="00163103" w:rsidRPr="00BF7E57" w14:paraId="4EF5658C" w14:textId="77777777" w:rsidTr="00EA2E4C">
        <w:trPr>
          <w:trHeight w:val="457"/>
        </w:trPr>
        <w:tc>
          <w:tcPr>
            <w:tcW w:w="2804" w:type="dxa"/>
          </w:tcPr>
          <w:p w14:paraId="2EE65935" w14:textId="77777777" w:rsidR="00163103" w:rsidRPr="00BF7E57" w:rsidRDefault="00163103" w:rsidP="00EA2E4C">
            <w:pPr>
              <w:pStyle w:val="1"/>
              <w:spacing w:line="240" w:lineRule="auto"/>
            </w:pPr>
            <w:r w:rsidRPr="00BF7E57">
              <w:t>CLLD</w:t>
            </w:r>
          </w:p>
        </w:tc>
        <w:tc>
          <w:tcPr>
            <w:tcW w:w="6484" w:type="dxa"/>
          </w:tcPr>
          <w:p w14:paraId="55F9105B" w14:textId="77777777" w:rsidR="00163103" w:rsidRPr="00BF7E57" w:rsidRDefault="00163103" w:rsidP="00EA2E4C">
            <w:pPr>
              <w:pStyle w:val="1"/>
              <w:spacing w:line="240" w:lineRule="auto"/>
            </w:pPr>
            <w:r w:rsidRPr="00BF7E57">
              <w:t>Community-Led Local Development/ Lokalni razvoj, ki ga vodi skupnost</w:t>
            </w:r>
          </w:p>
        </w:tc>
      </w:tr>
      <w:tr w:rsidR="00163103" w:rsidRPr="00BF7E57" w14:paraId="6BB07ECD" w14:textId="77777777" w:rsidTr="00EA2E4C">
        <w:trPr>
          <w:trHeight w:val="457"/>
        </w:trPr>
        <w:tc>
          <w:tcPr>
            <w:tcW w:w="2804" w:type="dxa"/>
          </w:tcPr>
          <w:p w14:paraId="37459AAE" w14:textId="77777777" w:rsidR="00163103" w:rsidRPr="00BF7E57" w:rsidRDefault="00163103" w:rsidP="00EA2E4C">
            <w:pPr>
              <w:pStyle w:val="1"/>
              <w:spacing w:line="240" w:lineRule="auto"/>
            </w:pPr>
            <w:r w:rsidRPr="00BF7E57">
              <w:t>EKSRP</w:t>
            </w:r>
          </w:p>
        </w:tc>
        <w:tc>
          <w:tcPr>
            <w:tcW w:w="6484" w:type="dxa"/>
          </w:tcPr>
          <w:p w14:paraId="044BD17E" w14:textId="77777777" w:rsidR="00163103" w:rsidRPr="00BF7E57" w:rsidRDefault="00163103" w:rsidP="00EA2E4C">
            <w:pPr>
              <w:pStyle w:val="1"/>
              <w:spacing w:line="240" w:lineRule="auto"/>
            </w:pPr>
            <w:r w:rsidRPr="00BF7E57">
              <w:t>Evropski kmetijski sklad za razvoj podeželja</w:t>
            </w:r>
          </w:p>
        </w:tc>
      </w:tr>
      <w:tr w:rsidR="00163103" w:rsidRPr="00BF7E57" w14:paraId="196B5D9A" w14:textId="77777777" w:rsidTr="00EA2E4C">
        <w:trPr>
          <w:trHeight w:val="457"/>
        </w:trPr>
        <w:tc>
          <w:tcPr>
            <w:tcW w:w="2804" w:type="dxa"/>
          </w:tcPr>
          <w:p w14:paraId="6CFD68DE" w14:textId="77777777" w:rsidR="00163103" w:rsidRPr="00BF7E57" w:rsidRDefault="00163103" w:rsidP="00EA2E4C">
            <w:pPr>
              <w:pStyle w:val="1"/>
              <w:spacing w:line="240" w:lineRule="auto"/>
            </w:pPr>
            <w:r w:rsidRPr="00BF7E57">
              <w:t>PRP</w:t>
            </w:r>
          </w:p>
        </w:tc>
        <w:tc>
          <w:tcPr>
            <w:tcW w:w="6484" w:type="dxa"/>
          </w:tcPr>
          <w:p w14:paraId="50AD0A27" w14:textId="77777777" w:rsidR="00163103" w:rsidRPr="00BF7E57" w:rsidRDefault="00163103" w:rsidP="00EA2E4C">
            <w:pPr>
              <w:pStyle w:val="1"/>
              <w:spacing w:line="240" w:lineRule="auto"/>
            </w:pPr>
            <w:r w:rsidRPr="00BF7E57">
              <w:t>Program razvoja podeželja</w:t>
            </w:r>
          </w:p>
        </w:tc>
      </w:tr>
      <w:tr w:rsidR="00163103" w:rsidRPr="00BF7E57" w14:paraId="2AB58998" w14:textId="77777777" w:rsidTr="00EA2E4C">
        <w:trPr>
          <w:trHeight w:val="457"/>
        </w:trPr>
        <w:tc>
          <w:tcPr>
            <w:tcW w:w="2804" w:type="dxa"/>
          </w:tcPr>
          <w:p w14:paraId="46F291D8" w14:textId="77777777" w:rsidR="00163103" w:rsidRPr="00BF7E57" w:rsidRDefault="00163103" w:rsidP="00EA2E4C">
            <w:pPr>
              <w:pStyle w:val="1"/>
              <w:spacing w:line="240" w:lineRule="auto"/>
            </w:pPr>
            <w:r w:rsidRPr="00BF7E57">
              <w:t>MKGP</w:t>
            </w:r>
          </w:p>
        </w:tc>
        <w:tc>
          <w:tcPr>
            <w:tcW w:w="6484" w:type="dxa"/>
          </w:tcPr>
          <w:p w14:paraId="62D1EE72" w14:textId="77777777" w:rsidR="00163103" w:rsidRPr="00BF7E57" w:rsidRDefault="00163103" w:rsidP="00EA2E4C">
            <w:pPr>
              <w:pStyle w:val="1"/>
              <w:spacing w:line="240" w:lineRule="auto"/>
            </w:pPr>
            <w:r w:rsidRPr="00BF7E57">
              <w:t>Ministrstvo za kmetijstvo, gozdarstvo in prehrano</w:t>
            </w:r>
          </w:p>
        </w:tc>
      </w:tr>
      <w:tr w:rsidR="00163103" w:rsidRPr="00BF7E57" w14:paraId="22F9F037" w14:textId="77777777" w:rsidTr="00EA2E4C">
        <w:trPr>
          <w:trHeight w:val="457"/>
        </w:trPr>
        <w:tc>
          <w:tcPr>
            <w:tcW w:w="2804" w:type="dxa"/>
          </w:tcPr>
          <w:p w14:paraId="116C6191" w14:textId="77777777" w:rsidR="00163103" w:rsidRPr="00BF7E57" w:rsidRDefault="00163103" w:rsidP="00EA2E4C">
            <w:pPr>
              <w:pStyle w:val="1"/>
              <w:spacing w:line="240" w:lineRule="auto"/>
            </w:pPr>
            <w:r w:rsidRPr="00BF7E57">
              <w:t>ARSKTRP</w:t>
            </w:r>
          </w:p>
        </w:tc>
        <w:tc>
          <w:tcPr>
            <w:tcW w:w="6484" w:type="dxa"/>
          </w:tcPr>
          <w:p w14:paraId="05E7A6E2" w14:textId="77777777" w:rsidR="00163103" w:rsidRPr="00BF7E57" w:rsidRDefault="00163103" w:rsidP="00EA2E4C">
            <w:pPr>
              <w:pStyle w:val="1"/>
              <w:spacing w:line="240" w:lineRule="auto"/>
            </w:pPr>
            <w:r w:rsidRPr="00BF7E57">
              <w:t>Agencija Republike Slovenije za kmetijske trge in razvoj podeželja</w:t>
            </w:r>
          </w:p>
        </w:tc>
      </w:tr>
      <w:tr w:rsidR="00163103" w:rsidRPr="00BF7E57" w14:paraId="4EE3C681" w14:textId="77777777" w:rsidTr="00EA2E4C">
        <w:trPr>
          <w:trHeight w:val="457"/>
        </w:trPr>
        <w:tc>
          <w:tcPr>
            <w:tcW w:w="2804" w:type="dxa"/>
          </w:tcPr>
          <w:p w14:paraId="698125BA" w14:textId="77777777" w:rsidR="00163103" w:rsidRPr="00BF7E57" w:rsidRDefault="00163103" w:rsidP="00EA2E4C">
            <w:pPr>
              <w:pStyle w:val="1"/>
              <w:spacing w:line="240" w:lineRule="auto"/>
            </w:pPr>
            <w:r w:rsidRPr="00BF7E57">
              <w:t>TNP</w:t>
            </w:r>
          </w:p>
        </w:tc>
        <w:tc>
          <w:tcPr>
            <w:tcW w:w="6484" w:type="dxa"/>
          </w:tcPr>
          <w:p w14:paraId="1A912FCF" w14:textId="77777777" w:rsidR="00163103" w:rsidRPr="00BF7E57" w:rsidRDefault="00163103" w:rsidP="00EA2E4C">
            <w:pPr>
              <w:pStyle w:val="1"/>
              <w:spacing w:line="240" w:lineRule="auto"/>
            </w:pPr>
            <w:r w:rsidRPr="00BF7E57">
              <w:t>Triglavski narodni park</w:t>
            </w:r>
          </w:p>
        </w:tc>
      </w:tr>
      <w:tr w:rsidR="00163103" w:rsidRPr="00BF7E57" w14:paraId="6FC4BFFC" w14:textId="77777777" w:rsidTr="00EA2E4C">
        <w:trPr>
          <w:trHeight w:val="457"/>
        </w:trPr>
        <w:tc>
          <w:tcPr>
            <w:tcW w:w="2804" w:type="dxa"/>
          </w:tcPr>
          <w:p w14:paraId="13432672" w14:textId="77777777" w:rsidR="00163103" w:rsidRPr="00BF7E57" w:rsidRDefault="00163103" w:rsidP="00EA2E4C">
            <w:pPr>
              <w:pStyle w:val="1"/>
              <w:spacing w:line="240" w:lineRule="auto"/>
            </w:pPr>
            <w:r w:rsidRPr="00BF7E57">
              <w:t>OP EKP</w:t>
            </w:r>
          </w:p>
        </w:tc>
        <w:tc>
          <w:tcPr>
            <w:tcW w:w="6484" w:type="dxa"/>
          </w:tcPr>
          <w:p w14:paraId="1226A641" w14:textId="77777777" w:rsidR="00163103" w:rsidRPr="00BF7E57" w:rsidRDefault="00163103" w:rsidP="00EA2E4C">
            <w:pPr>
              <w:pStyle w:val="1"/>
              <w:spacing w:line="240" w:lineRule="auto"/>
            </w:pPr>
            <w:r w:rsidRPr="00BF7E57">
              <w:t>Operativni program evropske kohezijske politike</w:t>
            </w:r>
          </w:p>
        </w:tc>
      </w:tr>
      <w:tr w:rsidR="00163103" w:rsidRPr="00BF7E57" w14:paraId="75DD7139" w14:textId="77777777" w:rsidTr="00EA2E4C">
        <w:trPr>
          <w:trHeight w:val="457"/>
        </w:trPr>
        <w:tc>
          <w:tcPr>
            <w:tcW w:w="2804" w:type="dxa"/>
          </w:tcPr>
          <w:p w14:paraId="6A062579" w14:textId="77777777" w:rsidR="00163103" w:rsidRPr="00BF7E57" w:rsidRDefault="00163103" w:rsidP="00EA2E4C">
            <w:pPr>
              <w:pStyle w:val="1"/>
              <w:spacing w:line="240" w:lineRule="auto"/>
            </w:pPr>
            <w:r w:rsidRPr="00BF7E57">
              <w:t>ESPR</w:t>
            </w:r>
          </w:p>
        </w:tc>
        <w:tc>
          <w:tcPr>
            <w:tcW w:w="6484" w:type="dxa"/>
          </w:tcPr>
          <w:p w14:paraId="08D887C6" w14:textId="77777777" w:rsidR="00163103" w:rsidRPr="00BF7E57" w:rsidRDefault="00163103" w:rsidP="00EA2E4C">
            <w:pPr>
              <w:pStyle w:val="1"/>
              <w:spacing w:line="240" w:lineRule="auto"/>
            </w:pPr>
            <w:r w:rsidRPr="00BF7E57">
              <w:t>Evropski sklad za pomorstvo in ribištvo</w:t>
            </w:r>
          </w:p>
        </w:tc>
      </w:tr>
      <w:tr w:rsidR="00163103" w:rsidRPr="00BF7E57" w14:paraId="5E7CF1F4" w14:textId="77777777" w:rsidTr="00EA2E4C">
        <w:trPr>
          <w:trHeight w:val="457"/>
        </w:trPr>
        <w:tc>
          <w:tcPr>
            <w:tcW w:w="2804" w:type="dxa"/>
          </w:tcPr>
          <w:p w14:paraId="4B4D7DAF" w14:textId="77777777" w:rsidR="00163103" w:rsidRPr="00BF7E57" w:rsidRDefault="00163103" w:rsidP="00EA2E4C">
            <w:pPr>
              <w:pStyle w:val="1"/>
              <w:spacing w:line="240" w:lineRule="auto"/>
            </w:pPr>
            <w:r w:rsidRPr="00BF7E57">
              <w:t>OVE</w:t>
            </w:r>
          </w:p>
        </w:tc>
        <w:tc>
          <w:tcPr>
            <w:tcW w:w="6484" w:type="dxa"/>
          </w:tcPr>
          <w:p w14:paraId="76DB84A7" w14:textId="77777777" w:rsidR="00163103" w:rsidRPr="00BF7E57" w:rsidRDefault="00163103" w:rsidP="00EA2E4C">
            <w:pPr>
              <w:pStyle w:val="1"/>
              <w:spacing w:line="240" w:lineRule="auto"/>
            </w:pPr>
            <w:r w:rsidRPr="00BF7E57">
              <w:t>Obnovljivi viri energije</w:t>
            </w:r>
          </w:p>
        </w:tc>
      </w:tr>
      <w:tr w:rsidR="00163103" w:rsidRPr="00BF7E57" w14:paraId="03F011FB" w14:textId="77777777" w:rsidTr="00EA2E4C">
        <w:trPr>
          <w:trHeight w:val="457"/>
        </w:trPr>
        <w:tc>
          <w:tcPr>
            <w:tcW w:w="2804" w:type="dxa"/>
          </w:tcPr>
          <w:p w14:paraId="7A5AFE12" w14:textId="77777777" w:rsidR="00163103" w:rsidRPr="00BF7E57" w:rsidRDefault="00163103" w:rsidP="00EA2E4C">
            <w:pPr>
              <w:pStyle w:val="1"/>
              <w:spacing w:line="240" w:lineRule="auto"/>
            </w:pPr>
            <w:r w:rsidRPr="00BF7E57">
              <w:t>ESRR</w:t>
            </w:r>
          </w:p>
        </w:tc>
        <w:tc>
          <w:tcPr>
            <w:tcW w:w="6484" w:type="dxa"/>
          </w:tcPr>
          <w:p w14:paraId="0FD1EFFA" w14:textId="77777777" w:rsidR="00163103" w:rsidRPr="00BF7E57" w:rsidRDefault="00163103" w:rsidP="00EA2E4C">
            <w:pPr>
              <w:pStyle w:val="1"/>
              <w:spacing w:line="240" w:lineRule="auto"/>
            </w:pPr>
            <w:r w:rsidRPr="00BF7E57">
              <w:t>Evropski sklad za regionalni razvoj</w:t>
            </w:r>
          </w:p>
        </w:tc>
      </w:tr>
    </w:tbl>
    <w:p w14:paraId="2BEE7A97" w14:textId="77777777" w:rsidR="00B42FF0" w:rsidRPr="00BF7E57" w:rsidRDefault="00B42FF0">
      <w:r w:rsidRPr="00BF7E57">
        <w:br w:type="page"/>
      </w:r>
    </w:p>
    <w:p w14:paraId="2A81A79A" w14:textId="419B5763" w:rsidR="009E0216" w:rsidRPr="00BF7E57" w:rsidRDefault="006114CA" w:rsidP="008D32AC">
      <w:pPr>
        <w:pStyle w:val="Naslov2"/>
        <w:keepLines w:val="0"/>
        <w:tabs>
          <w:tab w:val="left" w:pos="0"/>
          <w:tab w:val="left" w:pos="480"/>
          <w:tab w:val="left" w:pos="1276"/>
          <w:tab w:val="left" w:pos="4537"/>
        </w:tabs>
        <w:spacing w:after="200" w:line="360" w:lineRule="auto"/>
        <w:ind w:left="360"/>
        <w:jc w:val="both"/>
        <w:rPr>
          <w:rFonts w:ascii="Arial" w:hAnsi="Arial" w:cs="Arial"/>
          <w:color w:val="auto"/>
          <w:sz w:val="24"/>
          <w:szCs w:val="24"/>
        </w:rPr>
      </w:pPr>
      <w:bookmarkStart w:id="1" w:name="_Toc86826367"/>
      <w:r w:rsidRPr="00BF7E57">
        <w:rPr>
          <w:rFonts w:ascii="Arial" w:hAnsi="Arial" w:cs="Arial"/>
          <w:color w:val="auto"/>
          <w:sz w:val="24"/>
          <w:szCs w:val="24"/>
        </w:rPr>
        <w:lastRenderedPageBreak/>
        <w:t xml:space="preserve">1 </w:t>
      </w:r>
      <w:r w:rsidR="009E0216" w:rsidRPr="00BF7E57">
        <w:rPr>
          <w:rFonts w:ascii="Arial" w:hAnsi="Arial" w:cs="Arial"/>
          <w:color w:val="auto"/>
          <w:sz w:val="24"/>
          <w:szCs w:val="24"/>
        </w:rPr>
        <w:t>SPLOŠNE ZNAČILNOSTI PODEŽELJA</w:t>
      </w:r>
      <w:bookmarkEnd w:id="1"/>
    </w:p>
    <w:p w14:paraId="4B077B56" w14:textId="393ECD34" w:rsidR="009E0216" w:rsidRPr="00BF7E57" w:rsidRDefault="009E0216" w:rsidP="001A69B9">
      <w:pPr>
        <w:pStyle w:val="Naslov2"/>
        <w:keepLines w:val="0"/>
        <w:numPr>
          <w:ilvl w:val="1"/>
          <w:numId w:val="34"/>
        </w:numPr>
        <w:tabs>
          <w:tab w:val="left" w:pos="0"/>
          <w:tab w:val="left" w:pos="480"/>
          <w:tab w:val="left" w:pos="1276"/>
          <w:tab w:val="left" w:pos="4537"/>
        </w:tabs>
        <w:spacing w:after="200" w:line="360" w:lineRule="auto"/>
        <w:rPr>
          <w:rFonts w:ascii="Arial" w:hAnsi="Arial" w:cs="Arial"/>
          <w:color w:val="auto"/>
          <w:sz w:val="24"/>
          <w:szCs w:val="24"/>
        </w:rPr>
      </w:pPr>
      <w:bookmarkStart w:id="2" w:name="_Toc86826368"/>
      <w:r w:rsidRPr="00BF7E57">
        <w:rPr>
          <w:rFonts w:ascii="Arial" w:hAnsi="Arial" w:cs="Arial"/>
          <w:color w:val="auto"/>
          <w:sz w:val="24"/>
          <w:szCs w:val="24"/>
        </w:rPr>
        <w:t>POVRŠINA IN PREBIVALSTVO</w:t>
      </w:r>
      <w:bookmarkEnd w:id="2"/>
      <w:r w:rsidR="001A69B9" w:rsidRPr="00BF7E57">
        <w:rPr>
          <w:rFonts w:ascii="Arial" w:hAnsi="Arial" w:cs="Arial"/>
          <w:color w:val="auto"/>
          <w:sz w:val="24"/>
          <w:szCs w:val="24"/>
        </w:rPr>
        <w:br/>
      </w:r>
    </w:p>
    <w:p w14:paraId="24A9617F" w14:textId="3C9817C7" w:rsidR="00232E6B" w:rsidRPr="00BF7E57" w:rsidRDefault="00232E6B" w:rsidP="00232E6B">
      <w:pPr>
        <w:pStyle w:val="Napis"/>
      </w:pPr>
      <w:bookmarkStart w:id="3" w:name="_Toc86826439"/>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w:t>
      </w:r>
      <w:r w:rsidR="00A30B83" w:rsidRPr="00BF7E57">
        <w:rPr>
          <w:noProof/>
        </w:rPr>
        <w:fldChar w:fldCharType="end"/>
      </w:r>
      <w:r w:rsidRPr="00BF7E57">
        <w:t>: Uporabljeni kazalniki stanja v okviru specifičnega cilja SC8</w:t>
      </w:r>
      <w:bookmarkEnd w:id="3"/>
    </w:p>
    <w:p w14:paraId="098FCD8F" w14:textId="4A6E3E89" w:rsidR="001A69B9" w:rsidRPr="00BF7E57" w:rsidRDefault="001A69B9" w:rsidP="001427AE">
      <w:pPr>
        <w:pStyle w:val="Napis"/>
        <w:rPr>
          <w:sz w:val="20"/>
          <w:szCs w:val="20"/>
        </w:rPr>
      </w:pPr>
    </w:p>
    <w:tbl>
      <w:tblPr>
        <w:tblStyle w:val="Tabelamrea"/>
        <w:tblW w:w="0" w:type="auto"/>
        <w:tblLook w:val="04A0" w:firstRow="1" w:lastRow="0" w:firstColumn="1" w:lastColumn="0" w:noHBand="0" w:noVBand="1"/>
      </w:tblPr>
      <w:tblGrid>
        <w:gridCol w:w="2486"/>
        <w:gridCol w:w="1934"/>
        <w:gridCol w:w="4359"/>
      </w:tblGrid>
      <w:tr w:rsidR="001A69B9" w:rsidRPr="00BF7E57" w14:paraId="01208F37" w14:textId="77777777" w:rsidTr="008C2848">
        <w:tc>
          <w:tcPr>
            <w:tcW w:w="2486" w:type="dxa"/>
            <w:shd w:val="clear" w:color="auto" w:fill="92D050"/>
          </w:tcPr>
          <w:p w14:paraId="6CCDA91C" w14:textId="77777777" w:rsidR="001A69B9" w:rsidRPr="00BF7E57" w:rsidRDefault="001A69B9" w:rsidP="008C2848">
            <w:pPr>
              <w:spacing w:line="360" w:lineRule="auto"/>
              <w:jc w:val="both"/>
              <w:rPr>
                <w:rFonts w:ascii="Arial" w:hAnsi="Arial" w:cs="Arial"/>
                <w:b/>
                <w:sz w:val="20"/>
                <w:szCs w:val="20"/>
              </w:rPr>
            </w:pPr>
            <w:r w:rsidRPr="00BF7E57">
              <w:rPr>
                <w:rFonts w:ascii="Arial" w:hAnsi="Arial" w:cs="Arial"/>
                <w:b/>
                <w:sz w:val="20"/>
                <w:szCs w:val="20"/>
              </w:rPr>
              <w:t>Področje</w:t>
            </w:r>
          </w:p>
        </w:tc>
        <w:tc>
          <w:tcPr>
            <w:tcW w:w="1934" w:type="dxa"/>
            <w:shd w:val="clear" w:color="auto" w:fill="92D050"/>
          </w:tcPr>
          <w:p w14:paraId="28DD7FEC" w14:textId="77777777" w:rsidR="001A69B9" w:rsidRPr="00BF7E57" w:rsidRDefault="001A69B9" w:rsidP="008C2848">
            <w:pPr>
              <w:spacing w:line="360" w:lineRule="auto"/>
              <w:jc w:val="both"/>
              <w:rPr>
                <w:rFonts w:ascii="Arial" w:hAnsi="Arial" w:cs="Arial"/>
                <w:b/>
                <w:sz w:val="20"/>
                <w:szCs w:val="20"/>
              </w:rPr>
            </w:pPr>
            <w:r w:rsidRPr="00BF7E57">
              <w:rPr>
                <w:rFonts w:ascii="Arial" w:hAnsi="Arial" w:cs="Arial"/>
                <w:b/>
                <w:sz w:val="20"/>
                <w:szCs w:val="20"/>
              </w:rPr>
              <w:t>Oznaka kazalnika PMEF</w:t>
            </w:r>
          </w:p>
        </w:tc>
        <w:tc>
          <w:tcPr>
            <w:tcW w:w="4359" w:type="dxa"/>
            <w:shd w:val="clear" w:color="auto" w:fill="92D050"/>
          </w:tcPr>
          <w:p w14:paraId="5481582D" w14:textId="77777777" w:rsidR="001A69B9" w:rsidRPr="00BF7E57" w:rsidRDefault="001A69B9" w:rsidP="008C2848">
            <w:pPr>
              <w:spacing w:line="360" w:lineRule="auto"/>
              <w:jc w:val="both"/>
              <w:rPr>
                <w:rFonts w:ascii="Arial" w:hAnsi="Arial" w:cs="Arial"/>
                <w:b/>
                <w:sz w:val="20"/>
                <w:szCs w:val="20"/>
              </w:rPr>
            </w:pPr>
            <w:r w:rsidRPr="00BF7E57">
              <w:rPr>
                <w:rFonts w:ascii="Arial" w:hAnsi="Arial" w:cs="Arial"/>
                <w:b/>
                <w:sz w:val="20"/>
                <w:szCs w:val="20"/>
              </w:rPr>
              <w:t>Kazalnik PMEF</w:t>
            </w:r>
          </w:p>
        </w:tc>
      </w:tr>
      <w:tr w:rsidR="001A69B9" w:rsidRPr="00BF7E57" w14:paraId="6F7A324D" w14:textId="77777777" w:rsidTr="008C2848">
        <w:tc>
          <w:tcPr>
            <w:tcW w:w="2486" w:type="dxa"/>
            <w:vMerge w:val="restart"/>
          </w:tcPr>
          <w:p w14:paraId="5922F4CA"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Prebivalstvo</w:t>
            </w:r>
          </w:p>
        </w:tc>
        <w:tc>
          <w:tcPr>
            <w:tcW w:w="1934" w:type="dxa"/>
          </w:tcPr>
          <w:p w14:paraId="2D15D1FC"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 xml:space="preserve">C.01 </w:t>
            </w:r>
          </w:p>
        </w:tc>
        <w:tc>
          <w:tcPr>
            <w:tcW w:w="4359" w:type="dxa"/>
          </w:tcPr>
          <w:p w14:paraId="3925855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Število prebivalcev</w:t>
            </w:r>
          </w:p>
        </w:tc>
      </w:tr>
      <w:tr w:rsidR="001A69B9" w:rsidRPr="00BF7E57" w14:paraId="72D117B4" w14:textId="77777777" w:rsidTr="008C2848">
        <w:tc>
          <w:tcPr>
            <w:tcW w:w="2486" w:type="dxa"/>
            <w:vMerge/>
          </w:tcPr>
          <w:p w14:paraId="3DE894EE"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1EA64A1A"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 xml:space="preserve">C.02 </w:t>
            </w:r>
          </w:p>
        </w:tc>
        <w:tc>
          <w:tcPr>
            <w:tcW w:w="4359" w:type="dxa"/>
          </w:tcPr>
          <w:p w14:paraId="6C75808A"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Gostota prebivalstva</w:t>
            </w:r>
          </w:p>
        </w:tc>
      </w:tr>
      <w:tr w:rsidR="001A69B9" w:rsidRPr="00BF7E57" w14:paraId="2C546591" w14:textId="77777777" w:rsidTr="008C2848">
        <w:tc>
          <w:tcPr>
            <w:tcW w:w="2486" w:type="dxa"/>
            <w:vMerge/>
          </w:tcPr>
          <w:p w14:paraId="5A87520B"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1463615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 xml:space="preserve">C.03 </w:t>
            </w:r>
          </w:p>
        </w:tc>
        <w:tc>
          <w:tcPr>
            <w:tcW w:w="4359" w:type="dxa"/>
          </w:tcPr>
          <w:p w14:paraId="439AFFC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Starostna struktura prebivalstva</w:t>
            </w:r>
          </w:p>
        </w:tc>
      </w:tr>
      <w:tr w:rsidR="001A69B9" w:rsidRPr="00BF7E57" w14:paraId="3124CEA5" w14:textId="77777777" w:rsidTr="008C2848">
        <w:tc>
          <w:tcPr>
            <w:tcW w:w="2486" w:type="dxa"/>
          </w:tcPr>
          <w:p w14:paraId="3CC93C73"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Površina</w:t>
            </w:r>
          </w:p>
        </w:tc>
        <w:tc>
          <w:tcPr>
            <w:tcW w:w="1934" w:type="dxa"/>
          </w:tcPr>
          <w:p w14:paraId="0F20DA47"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C.04</w:t>
            </w:r>
          </w:p>
        </w:tc>
        <w:tc>
          <w:tcPr>
            <w:tcW w:w="4359" w:type="dxa"/>
          </w:tcPr>
          <w:p w14:paraId="7A6288B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Celotna površina</w:t>
            </w:r>
          </w:p>
        </w:tc>
      </w:tr>
      <w:tr w:rsidR="001A69B9" w:rsidRPr="00BF7E57" w14:paraId="61CFF18E" w14:textId="77777777" w:rsidTr="008C2848">
        <w:trPr>
          <w:trHeight w:val="64"/>
        </w:trPr>
        <w:tc>
          <w:tcPr>
            <w:tcW w:w="2486" w:type="dxa"/>
            <w:vMerge w:val="restart"/>
          </w:tcPr>
          <w:p w14:paraId="6C185FE3"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Trg dela</w:t>
            </w:r>
          </w:p>
        </w:tc>
        <w:tc>
          <w:tcPr>
            <w:tcW w:w="1934" w:type="dxa"/>
          </w:tcPr>
          <w:p w14:paraId="7E238065"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C.06</w:t>
            </w:r>
          </w:p>
        </w:tc>
        <w:tc>
          <w:tcPr>
            <w:tcW w:w="4359" w:type="dxa"/>
          </w:tcPr>
          <w:p w14:paraId="3301A97D"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Stopnja zaposlenosti</w:t>
            </w:r>
          </w:p>
        </w:tc>
      </w:tr>
      <w:tr w:rsidR="001A69B9" w:rsidRPr="00BF7E57" w14:paraId="0FEDD1A6" w14:textId="77777777" w:rsidTr="008C2848">
        <w:trPr>
          <w:trHeight w:val="64"/>
        </w:trPr>
        <w:tc>
          <w:tcPr>
            <w:tcW w:w="2486" w:type="dxa"/>
            <w:vMerge/>
          </w:tcPr>
          <w:p w14:paraId="0172C9EE"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2BB94DCF"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C.07</w:t>
            </w:r>
          </w:p>
        </w:tc>
        <w:tc>
          <w:tcPr>
            <w:tcW w:w="4359" w:type="dxa"/>
          </w:tcPr>
          <w:p w14:paraId="7EEAC754"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Stopnja brezposelnosti</w:t>
            </w:r>
          </w:p>
        </w:tc>
      </w:tr>
      <w:tr w:rsidR="001A69B9" w:rsidRPr="00BF7E57" w14:paraId="6188A192" w14:textId="77777777" w:rsidTr="008C2848">
        <w:trPr>
          <w:trHeight w:val="64"/>
        </w:trPr>
        <w:tc>
          <w:tcPr>
            <w:tcW w:w="2486" w:type="dxa"/>
            <w:vMerge/>
          </w:tcPr>
          <w:p w14:paraId="31908D5F"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118C349B"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C.08</w:t>
            </w:r>
          </w:p>
        </w:tc>
        <w:tc>
          <w:tcPr>
            <w:tcW w:w="4359" w:type="dxa"/>
          </w:tcPr>
          <w:p w14:paraId="4ACACF89"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Zaposlovanje</w:t>
            </w:r>
          </w:p>
        </w:tc>
      </w:tr>
      <w:tr w:rsidR="001A69B9" w:rsidRPr="00BF7E57" w14:paraId="30D1F0E5" w14:textId="77777777" w:rsidTr="008C2848">
        <w:trPr>
          <w:trHeight w:val="64"/>
        </w:trPr>
        <w:tc>
          <w:tcPr>
            <w:tcW w:w="2486" w:type="dxa"/>
            <w:vMerge w:val="restart"/>
          </w:tcPr>
          <w:p w14:paraId="51AB3FF8"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Gospodarstvo</w:t>
            </w:r>
          </w:p>
        </w:tc>
        <w:tc>
          <w:tcPr>
            <w:tcW w:w="1934" w:type="dxa"/>
          </w:tcPr>
          <w:p w14:paraId="31C1F672"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C.09</w:t>
            </w:r>
          </w:p>
        </w:tc>
        <w:tc>
          <w:tcPr>
            <w:tcW w:w="4359" w:type="dxa"/>
          </w:tcPr>
          <w:p w14:paraId="791835B9"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BDP na prebivalca</w:t>
            </w:r>
          </w:p>
        </w:tc>
      </w:tr>
      <w:tr w:rsidR="001A69B9" w:rsidRPr="00BF7E57" w14:paraId="07573107" w14:textId="77777777" w:rsidTr="008C2848">
        <w:trPr>
          <w:trHeight w:val="64"/>
        </w:trPr>
        <w:tc>
          <w:tcPr>
            <w:tcW w:w="2486" w:type="dxa"/>
            <w:vMerge/>
          </w:tcPr>
          <w:p w14:paraId="0113503F"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5CFA2633"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C.10</w:t>
            </w:r>
          </w:p>
        </w:tc>
        <w:tc>
          <w:tcPr>
            <w:tcW w:w="4359" w:type="dxa"/>
          </w:tcPr>
          <w:p w14:paraId="03985DE8"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Stopnja revščine</w:t>
            </w:r>
          </w:p>
        </w:tc>
      </w:tr>
      <w:tr w:rsidR="001A69B9" w:rsidRPr="00BF7E57" w14:paraId="72ED8F97" w14:textId="77777777" w:rsidTr="008C2848">
        <w:trPr>
          <w:trHeight w:val="64"/>
        </w:trPr>
        <w:tc>
          <w:tcPr>
            <w:tcW w:w="2486" w:type="dxa"/>
            <w:vMerge/>
          </w:tcPr>
          <w:p w14:paraId="37007F4F"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2920C228"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C.11</w:t>
            </w:r>
          </w:p>
        </w:tc>
        <w:tc>
          <w:tcPr>
            <w:tcW w:w="4359" w:type="dxa"/>
          </w:tcPr>
          <w:p w14:paraId="68C544C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Bruto dodana vrednost</w:t>
            </w:r>
          </w:p>
        </w:tc>
      </w:tr>
      <w:tr w:rsidR="001A69B9" w:rsidRPr="00BF7E57" w14:paraId="2FCBACE4" w14:textId="77777777" w:rsidTr="008C2848">
        <w:trPr>
          <w:trHeight w:val="64"/>
        </w:trPr>
        <w:tc>
          <w:tcPr>
            <w:tcW w:w="2486" w:type="dxa"/>
          </w:tcPr>
          <w:p w14:paraId="1EAA7E42"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Dopolnilne dejavnosti</w:t>
            </w:r>
          </w:p>
        </w:tc>
        <w:tc>
          <w:tcPr>
            <w:tcW w:w="1934" w:type="dxa"/>
          </w:tcPr>
          <w:p w14:paraId="0DBA5AC2"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 xml:space="preserve">C.31 </w:t>
            </w:r>
          </w:p>
        </w:tc>
        <w:tc>
          <w:tcPr>
            <w:tcW w:w="4359" w:type="dxa"/>
          </w:tcPr>
          <w:p w14:paraId="41388178"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Turistična infrastruktura</w:t>
            </w:r>
          </w:p>
        </w:tc>
      </w:tr>
      <w:tr w:rsidR="001A69B9" w:rsidRPr="00BF7E57" w14:paraId="1D4D6304" w14:textId="77777777" w:rsidTr="008C2848">
        <w:trPr>
          <w:trHeight w:val="64"/>
        </w:trPr>
        <w:tc>
          <w:tcPr>
            <w:tcW w:w="2486" w:type="dxa"/>
          </w:tcPr>
          <w:p w14:paraId="33B46791"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Energija</w:t>
            </w:r>
          </w:p>
        </w:tc>
        <w:tc>
          <w:tcPr>
            <w:tcW w:w="1934" w:type="dxa"/>
          </w:tcPr>
          <w:p w14:paraId="2AF5FD1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C.41</w:t>
            </w:r>
          </w:p>
        </w:tc>
        <w:tc>
          <w:tcPr>
            <w:tcW w:w="4359" w:type="dxa"/>
          </w:tcPr>
          <w:p w14:paraId="39FC40C4"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Proizvodnja obnovljive energije v kmetijstvu in gozdarstvu</w:t>
            </w:r>
          </w:p>
        </w:tc>
      </w:tr>
    </w:tbl>
    <w:p w14:paraId="3953168A" w14:textId="77777777" w:rsidR="001A69B9" w:rsidRPr="00BF7E57" w:rsidRDefault="001A69B9" w:rsidP="001A69B9"/>
    <w:p w14:paraId="33079F34" w14:textId="77777777" w:rsidR="007D2690" w:rsidRPr="00BF7E57" w:rsidRDefault="007D2690" w:rsidP="007D2690">
      <w:pPr>
        <w:pStyle w:val="Napis"/>
        <w:spacing w:after="120" w:line="360" w:lineRule="auto"/>
        <w:jc w:val="both"/>
        <w:rPr>
          <w:sz w:val="20"/>
          <w:szCs w:val="20"/>
        </w:rPr>
      </w:pPr>
      <w:r w:rsidRPr="00BF7E57">
        <w:rPr>
          <w:sz w:val="20"/>
          <w:szCs w:val="20"/>
        </w:rPr>
        <w:t xml:space="preserve">Površina Slovenije je 20.271 km² in je razdeljena na dve kohezijski regiji (Vzhodna Slovenija, Zahodna Slovenija), 12 statističnih regij (pomurska, podravska, koroška, savinjska, zasavska, posavska, </w:t>
      </w:r>
      <w:r w:rsidRPr="00BF7E57">
        <w:rPr>
          <w:sz w:val="20"/>
          <w:szCs w:val="20"/>
        </w:rPr>
        <w:lastRenderedPageBreak/>
        <w:t xml:space="preserve">jugovzhodna Slovenija, primorsko-notranjska, osrednjeslovenska, gorenjska, goriška in obalno-kraška), 212 občin in 5.978 naselij. </w:t>
      </w:r>
    </w:p>
    <w:p w14:paraId="302C7539" w14:textId="71033765" w:rsidR="00376357" w:rsidRPr="00BF7E57" w:rsidRDefault="00376357" w:rsidP="001427AE">
      <w:pPr>
        <w:pStyle w:val="Napis"/>
        <w:rPr>
          <w:noProof/>
          <w:sz w:val="20"/>
          <w:szCs w:val="24"/>
          <w:lang w:eastAsia="sl-SI"/>
        </w:rPr>
      </w:pPr>
      <w:bookmarkStart w:id="4" w:name="_Toc55913753"/>
      <w:bookmarkStart w:id="5" w:name="_Toc86826392"/>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w:t>
      </w:r>
      <w:r w:rsidR="00A30B83" w:rsidRPr="00BF7E57">
        <w:rPr>
          <w:noProof/>
        </w:rPr>
        <w:fldChar w:fldCharType="end"/>
      </w:r>
      <w:r w:rsidRPr="00BF7E57">
        <w:t>: Statistične regije in kohezijski regiji</w:t>
      </w:r>
      <w:bookmarkEnd w:id="5"/>
    </w:p>
    <w:bookmarkEnd w:id="4"/>
    <w:p w14:paraId="46735F0A" w14:textId="329794BB" w:rsidR="007D2690" w:rsidRPr="00BF7E57" w:rsidRDefault="007D2690" w:rsidP="001427AE">
      <w:pPr>
        <w:pStyle w:val="Napis"/>
        <w:rPr>
          <w:b/>
          <w:noProof/>
          <w:color w:val="4F81BD" w:themeColor="accent1"/>
          <w:sz w:val="20"/>
          <w:szCs w:val="24"/>
          <w:lang w:eastAsia="sl-SI"/>
        </w:rPr>
      </w:pPr>
    </w:p>
    <w:p w14:paraId="5311D19B" w14:textId="77777777" w:rsidR="007D2690" w:rsidRPr="00BF7E57" w:rsidRDefault="007D2690" w:rsidP="007D2690">
      <w:pPr>
        <w:spacing w:after="240"/>
        <w:jc w:val="center"/>
        <w:rPr>
          <w:rFonts w:ascii="Arial" w:hAnsi="Arial"/>
          <w:sz w:val="20"/>
        </w:rPr>
      </w:pPr>
      <w:r w:rsidRPr="00BF7E57">
        <w:rPr>
          <w:rFonts w:ascii="Arial" w:hAnsi="Arial" w:cs="Arial"/>
          <w:noProof/>
          <w:sz w:val="20"/>
          <w:lang w:eastAsia="sl-SI"/>
        </w:rPr>
        <w:drawing>
          <wp:inline distT="0" distB="0" distL="0" distR="0" wp14:anchorId="081ADA0F" wp14:editId="092C2A8C">
            <wp:extent cx="5019679" cy="3503596"/>
            <wp:effectExtent l="0" t="0" r="0" b="1905"/>
            <wp:docPr id="1631865563" name="Slika 163186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63" name="zemljevid-regije2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7835" cy="3509289"/>
                    </a:xfrm>
                    <a:prstGeom prst="rect">
                      <a:avLst/>
                    </a:prstGeom>
                  </pic:spPr>
                </pic:pic>
              </a:graphicData>
            </a:graphic>
          </wp:inline>
        </w:drawing>
      </w:r>
    </w:p>
    <w:p w14:paraId="6DA31261" w14:textId="77777777" w:rsidR="007D2690" w:rsidRPr="00BF7E57" w:rsidRDefault="007D2690" w:rsidP="007D2690">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Kohezijska regija Vzhodna Slovenija obsega 12.432 km</w:t>
      </w:r>
      <w:r w:rsidRPr="00BF7E57">
        <w:rPr>
          <w:rFonts w:ascii="Arial" w:eastAsia="Times New Roman" w:hAnsi="Arial" w:cs="Arial"/>
          <w:sz w:val="20"/>
          <w:szCs w:val="20"/>
          <w:vertAlign w:val="superscript"/>
          <w:lang w:eastAsia="en-GB"/>
        </w:rPr>
        <w:t>2</w:t>
      </w:r>
      <w:r w:rsidRPr="00BF7E57">
        <w:rPr>
          <w:rFonts w:ascii="Arial" w:eastAsia="Times New Roman" w:hAnsi="Arial" w:cs="Arial"/>
          <w:sz w:val="20"/>
          <w:szCs w:val="20"/>
          <w:lang w:eastAsia="en-GB"/>
        </w:rPr>
        <w:t>, kar predstavlja 61,3 % površine RS. Sestavlja jo osem statističnih regij (pomurska, podravska, koroška, savinjska, zasavska, posavska, jugovzhodna Slovenija in primorsko–notranjska) oziroma 148 občin. V Vzhodni Sloveniji živi 1.100.012 prebivalcev, kar predstavlja 52,5 % vseh prebivalcev Slovenije.</w:t>
      </w:r>
    </w:p>
    <w:p w14:paraId="240502BC" w14:textId="77777777" w:rsidR="007D2690" w:rsidRPr="00BF7E57" w:rsidRDefault="007D2690" w:rsidP="007D2690">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Kohezijska regija Zahodna Slovenija obsega 7.839 km</w:t>
      </w:r>
      <w:r w:rsidRPr="00BF7E57">
        <w:rPr>
          <w:rFonts w:ascii="Arial" w:eastAsia="Times New Roman" w:hAnsi="Arial" w:cs="Arial"/>
          <w:sz w:val="20"/>
          <w:szCs w:val="20"/>
          <w:vertAlign w:val="superscript"/>
          <w:lang w:eastAsia="en-GB"/>
        </w:rPr>
        <w:t>2</w:t>
      </w:r>
      <w:r w:rsidRPr="00BF7E57">
        <w:rPr>
          <w:rFonts w:ascii="Arial" w:eastAsia="Times New Roman" w:hAnsi="Arial" w:cs="Arial"/>
          <w:sz w:val="20"/>
          <w:szCs w:val="20"/>
          <w:lang w:eastAsia="en-GB"/>
        </w:rPr>
        <w:t>, kar predstavlja 38,7 % površine RS. Sestavljajo jo štiri statistične regije (osrednjeslovenska, gorenjska, goriška in obalno–kraška) oziroma 64 občin. V Zahodni Sloveniji živi 995.849 prebivalcev, kar predstavlja 47,5 % vseh prebivalcev Slovenije.</w:t>
      </w:r>
    </w:p>
    <w:p w14:paraId="6F46A48F" w14:textId="5EC43D82" w:rsidR="007D2690" w:rsidRPr="00BF7E57" w:rsidRDefault="007D2690" w:rsidP="007D2690">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 xml:space="preserve">Slovenija je glede na odstotek prebivalcev, ki živijo v </w:t>
      </w:r>
      <w:r w:rsidR="00685AC3" w:rsidRPr="00BF7E57">
        <w:rPr>
          <w:rFonts w:ascii="Arial" w:eastAsia="Times New Roman" w:hAnsi="Arial" w:cs="Arial"/>
          <w:sz w:val="20"/>
          <w:szCs w:val="20"/>
          <w:lang w:eastAsia="en-GB"/>
        </w:rPr>
        <w:t>podeželskih naseljih</w:t>
      </w:r>
      <w:r w:rsidRPr="00BF7E57">
        <w:rPr>
          <w:rFonts w:ascii="Arial" w:eastAsia="Times New Roman" w:hAnsi="Arial" w:cs="Arial"/>
          <w:sz w:val="20"/>
          <w:szCs w:val="20"/>
          <w:lang w:eastAsia="en-GB"/>
        </w:rPr>
        <w:t xml:space="preserve">, glede na tipologijo OECD razdeljena na vmesne in podeželske regije. Od tega je 27,2 % vmesnih regij ter 72,8 % podeželskih regij. </w:t>
      </w:r>
    </w:p>
    <w:p w14:paraId="5821ECE9" w14:textId="707EC732" w:rsidR="00232E6B" w:rsidRPr="00BF7E57" w:rsidRDefault="00232E6B" w:rsidP="001427AE">
      <w:pPr>
        <w:pStyle w:val="Napis"/>
        <w:jc w:val="both"/>
      </w:pPr>
      <w:bookmarkStart w:id="6" w:name="_Toc55913715"/>
      <w:bookmarkStart w:id="7" w:name="_Toc86826440"/>
      <w:r w:rsidRPr="00BF7E57">
        <w:lastRenderedPageBreak/>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w:t>
      </w:r>
      <w:r w:rsidR="00A30B83" w:rsidRPr="00BF7E57">
        <w:rPr>
          <w:noProof/>
        </w:rPr>
        <w:fldChar w:fldCharType="end"/>
      </w:r>
      <w:r w:rsidRPr="00BF7E57">
        <w:t>: Porazdelitev površine po vrstah regij</w:t>
      </w:r>
      <w:bookmarkEnd w:id="7"/>
    </w:p>
    <w:bookmarkEnd w:id="6"/>
    <w:p w14:paraId="0423FFFC" w14:textId="7AF7FBD8" w:rsidR="007D2690" w:rsidRPr="00BF7E57" w:rsidRDefault="007D2690" w:rsidP="007D2690">
      <w:pPr>
        <w:keepNext/>
        <w:keepLines/>
        <w:spacing w:before="240" w:after="120"/>
        <w:jc w:val="both"/>
        <w:rPr>
          <w:rFonts w:ascii="Arial" w:hAnsi="Arial"/>
          <w:sz w:val="20"/>
        </w:rPr>
      </w:pPr>
    </w:p>
    <w:tbl>
      <w:tblPr>
        <w:tblW w:w="5000" w:type="pct"/>
        <w:tblCellMar>
          <w:left w:w="70" w:type="dxa"/>
          <w:right w:w="70" w:type="dxa"/>
        </w:tblCellMar>
        <w:tblLook w:val="04A0" w:firstRow="1" w:lastRow="0" w:firstColumn="1" w:lastColumn="0" w:noHBand="0" w:noVBand="1"/>
      </w:tblPr>
      <w:tblGrid>
        <w:gridCol w:w="521"/>
        <w:gridCol w:w="467"/>
        <w:gridCol w:w="7383"/>
        <w:gridCol w:w="691"/>
      </w:tblGrid>
      <w:tr w:rsidR="00146365" w:rsidRPr="00BF7E57" w14:paraId="455DBBFC" w14:textId="77777777" w:rsidTr="001B2A9C">
        <w:trPr>
          <w:trHeight w:val="315"/>
        </w:trPr>
        <w:tc>
          <w:tcPr>
            <w:tcW w:w="28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42007BD" w14:textId="77777777" w:rsidR="00146365" w:rsidRPr="00BF7E57" w:rsidRDefault="00146365" w:rsidP="007D2690">
            <w:pPr>
              <w:keepNext/>
              <w:keepLines/>
              <w:rPr>
                <w:rFonts w:ascii="Arial" w:hAnsi="Arial" w:cs="Arial"/>
                <w:b/>
                <w:bCs/>
                <w:color w:val="000000"/>
                <w:sz w:val="18"/>
                <w:szCs w:val="18"/>
                <w:lang w:eastAsia="sl-SI"/>
              </w:rPr>
            </w:pPr>
            <w:r w:rsidRPr="00BF7E57">
              <w:rPr>
                <w:rFonts w:ascii="Arial" w:hAnsi="Arial" w:cs="Arial"/>
                <w:b/>
                <w:bCs/>
                <w:color w:val="000000"/>
                <w:sz w:val="18"/>
                <w:szCs w:val="18"/>
                <w:lang w:eastAsia="sl-SI"/>
              </w:rPr>
              <w:t>C.04</w:t>
            </w:r>
          </w:p>
        </w:tc>
        <w:tc>
          <w:tcPr>
            <w:tcW w:w="258" w:type="pct"/>
            <w:tcBorders>
              <w:top w:val="single" w:sz="4" w:space="0" w:color="auto"/>
              <w:left w:val="nil"/>
              <w:bottom w:val="single" w:sz="4" w:space="0" w:color="auto"/>
              <w:right w:val="nil"/>
            </w:tcBorders>
            <w:shd w:val="clear" w:color="000000" w:fill="92D050"/>
          </w:tcPr>
          <w:p w14:paraId="2EB72713" w14:textId="77777777" w:rsidR="00146365" w:rsidRPr="00BF7E57" w:rsidRDefault="00146365" w:rsidP="007D2690">
            <w:pPr>
              <w:keepNext/>
              <w:keepLines/>
              <w:rPr>
                <w:rFonts w:ascii="Arial" w:hAnsi="Arial" w:cs="Arial"/>
                <w:b/>
                <w:bCs/>
                <w:color w:val="000000"/>
                <w:sz w:val="18"/>
                <w:szCs w:val="18"/>
                <w:lang w:eastAsia="sl-SI"/>
              </w:rPr>
            </w:pPr>
          </w:p>
        </w:tc>
        <w:tc>
          <w:tcPr>
            <w:tcW w:w="4074" w:type="pct"/>
            <w:tcBorders>
              <w:top w:val="single" w:sz="4" w:space="0" w:color="auto"/>
              <w:left w:val="nil"/>
              <w:bottom w:val="single" w:sz="4" w:space="0" w:color="auto"/>
              <w:right w:val="single" w:sz="4" w:space="0" w:color="auto"/>
            </w:tcBorders>
            <w:shd w:val="clear" w:color="000000" w:fill="92D050"/>
            <w:noWrap/>
            <w:vAlign w:val="bottom"/>
            <w:hideMark/>
          </w:tcPr>
          <w:p w14:paraId="0BD5C969" w14:textId="5AF2C688" w:rsidR="00146365" w:rsidRPr="00BF7E57" w:rsidRDefault="00146365" w:rsidP="007D2690">
            <w:pPr>
              <w:keepNext/>
              <w:keepLines/>
              <w:rPr>
                <w:rFonts w:ascii="Arial" w:hAnsi="Arial" w:cs="Arial"/>
                <w:b/>
                <w:bCs/>
                <w:color w:val="000000"/>
                <w:sz w:val="18"/>
                <w:szCs w:val="18"/>
                <w:lang w:eastAsia="sl-SI"/>
              </w:rPr>
            </w:pPr>
            <w:r w:rsidRPr="00BF7E57">
              <w:rPr>
                <w:rFonts w:ascii="Arial" w:hAnsi="Arial" w:cs="Arial"/>
                <w:b/>
                <w:bCs/>
                <w:color w:val="000000"/>
                <w:sz w:val="18"/>
                <w:szCs w:val="18"/>
                <w:lang w:eastAsia="sl-SI"/>
              </w:rPr>
              <w:t>Celotna površina</w:t>
            </w:r>
          </w:p>
        </w:tc>
        <w:tc>
          <w:tcPr>
            <w:tcW w:w="381" w:type="pct"/>
            <w:tcBorders>
              <w:top w:val="single" w:sz="4" w:space="0" w:color="auto"/>
              <w:left w:val="nil"/>
              <w:bottom w:val="single" w:sz="4" w:space="0" w:color="auto"/>
              <w:right w:val="single" w:sz="4" w:space="0" w:color="auto"/>
            </w:tcBorders>
            <w:shd w:val="clear" w:color="000000" w:fill="92D050"/>
            <w:noWrap/>
            <w:vAlign w:val="center"/>
            <w:hideMark/>
          </w:tcPr>
          <w:p w14:paraId="239C7C6A" w14:textId="219FB62D" w:rsidR="00146365" w:rsidRPr="00BF7E57" w:rsidRDefault="00146365" w:rsidP="007D2690">
            <w:pPr>
              <w:keepNext/>
              <w:keepLines/>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2020</w:t>
            </w:r>
          </w:p>
        </w:tc>
      </w:tr>
      <w:tr w:rsidR="00146365" w:rsidRPr="00BF7E57" w14:paraId="4775DE79" w14:textId="77777777" w:rsidTr="001B2A9C">
        <w:trPr>
          <w:trHeight w:val="315"/>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18558" w14:textId="77777777"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258" w:type="pct"/>
            <w:tcBorders>
              <w:top w:val="nil"/>
              <w:left w:val="nil"/>
              <w:bottom w:val="single" w:sz="4" w:space="0" w:color="auto"/>
              <w:right w:val="nil"/>
            </w:tcBorders>
          </w:tcPr>
          <w:p w14:paraId="649CEE6E" w14:textId="77777777" w:rsidR="00146365" w:rsidRPr="00BF7E57"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2D654FCB" w14:textId="6B422BF3"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Porazdelitev površine po vrstah regij - vmesne regije (%)</w:t>
            </w:r>
          </w:p>
        </w:tc>
        <w:tc>
          <w:tcPr>
            <w:tcW w:w="381" w:type="pct"/>
            <w:tcBorders>
              <w:top w:val="nil"/>
              <w:left w:val="nil"/>
              <w:bottom w:val="single" w:sz="4" w:space="0" w:color="auto"/>
              <w:right w:val="single" w:sz="4" w:space="0" w:color="auto"/>
            </w:tcBorders>
            <w:shd w:val="clear" w:color="auto" w:fill="auto"/>
            <w:noWrap/>
            <w:vAlign w:val="center"/>
            <w:hideMark/>
          </w:tcPr>
          <w:p w14:paraId="22B2FBE2" w14:textId="77777777" w:rsidR="00146365" w:rsidRPr="00BF7E57" w:rsidRDefault="00146365" w:rsidP="007D2690">
            <w:pPr>
              <w:keepNext/>
              <w:keepLines/>
              <w:jc w:val="right"/>
              <w:rPr>
                <w:rFonts w:ascii="Arial" w:hAnsi="Arial" w:cs="Arial"/>
                <w:color w:val="000000"/>
                <w:sz w:val="18"/>
                <w:szCs w:val="18"/>
                <w:lang w:eastAsia="sl-SI"/>
              </w:rPr>
            </w:pPr>
            <w:r w:rsidRPr="00BF7E57">
              <w:rPr>
                <w:rFonts w:ascii="Arial" w:hAnsi="Arial" w:cs="Arial"/>
                <w:color w:val="000000"/>
                <w:sz w:val="18"/>
                <w:szCs w:val="18"/>
                <w:lang w:eastAsia="sl-SI"/>
              </w:rPr>
              <w:t>27,20</w:t>
            </w:r>
          </w:p>
        </w:tc>
      </w:tr>
      <w:tr w:rsidR="00146365" w:rsidRPr="00BF7E57" w14:paraId="6921BFC1" w14:textId="77777777" w:rsidTr="001B2A9C">
        <w:trPr>
          <w:trHeight w:val="31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FE4ABD7" w14:textId="77777777" w:rsidR="00146365" w:rsidRPr="00BF7E57" w:rsidRDefault="00146365" w:rsidP="007D2690">
            <w:pPr>
              <w:keepNext/>
              <w:keepLines/>
              <w:rPr>
                <w:rFonts w:ascii="Arial" w:hAnsi="Arial" w:cs="Arial"/>
                <w:color w:val="000000"/>
                <w:sz w:val="18"/>
                <w:szCs w:val="18"/>
                <w:lang w:eastAsia="sl-SI"/>
              </w:rPr>
            </w:pPr>
          </w:p>
        </w:tc>
        <w:tc>
          <w:tcPr>
            <w:tcW w:w="258" w:type="pct"/>
            <w:tcBorders>
              <w:top w:val="nil"/>
              <w:left w:val="nil"/>
              <w:bottom w:val="single" w:sz="4" w:space="0" w:color="auto"/>
              <w:right w:val="nil"/>
            </w:tcBorders>
          </w:tcPr>
          <w:p w14:paraId="1608350F" w14:textId="77777777" w:rsidR="00146365" w:rsidRPr="00BF7E57"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52A10F73" w14:textId="46F73DBC"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Porazdelitev površine po vrstah regij - podeželske regije (%)</w:t>
            </w:r>
          </w:p>
        </w:tc>
        <w:tc>
          <w:tcPr>
            <w:tcW w:w="381" w:type="pct"/>
            <w:tcBorders>
              <w:top w:val="nil"/>
              <w:left w:val="nil"/>
              <w:bottom w:val="single" w:sz="4" w:space="0" w:color="auto"/>
              <w:right w:val="single" w:sz="4" w:space="0" w:color="auto"/>
            </w:tcBorders>
            <w:shd w:val="clear" w:color="auto" w:fill="auto"/>
            <w:noWrap/>
            <w:vAlign w:val="center"/>
            <w:hideMark/>
          </w:tcPr>
          <w:p w14:paraId="07DA9F66" w14:textId="77777777" w:rsidR="00146365" w:rsidRPr="00BF7E57" w:rsidRDefault="00146365" w:rsidP="007D2690">
            <w:pPr>
              <w:keepNext/>
              <w:keepLines/>
              <w:jc w:val="right"/>
              <w:rPr>
                <w:rFonts w:ascii="Arial" w:hAnsi="Arial" w:cs="Arial"/>
                <w:color w:val="000000"/>
                <w:sz w:val="18"/>
                <w:szCs w:val="18"/>
                <w:lang w:eastAsia="sl-SI"/>
              </w:rPr>
            </w:pPr>
            <w:r w:rsidRPr="00BF7E57">
              <w:rPr>
                <w:rFonts w:ascii="Arial" w:hAnsi="Arial" w:cs="Arial"/>
                <w:color w:val="000000"/>
                <w:sz w:val="18"/>
                <w:szCs w:val="18"/>
                <w:lang w:eastAsia="sl-SI"/>
              </w:rPr>
              <w:t>72,80</w:t>
            </w:r>
          </w:p>
        </w:tc>
      </w:tr>
      <w:tr w:rsidR="00146365" w:rsidRPr="00BF7E57" w14:paraId="11D3EAD7" w14:textId="77777777" w:rsidTr="001B2A9C">
        <w:trPr>
          <w:trHeight w:val="28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4EC635B1" w14:textId="77777777" w:rsidR="00146365" w:rsidRPr="00BF7E57" w:rsidRDefault="00146365" w:rsidP="007D2690">
            <w:pPr>
              <w:keepNext/>
              <w:keepLines/>
              <w:rPr>
                <w:rFonts w:ascii="Arial" w:hAnsi="Arial" w:cs="Arial"/>
                <w:color w:val="000000"/>
                <w:sz w:val="18"/>
                <w:szCs w:val="18"/>
                <w:lang w:eastAsia="sl-SI"/>
              </w:rPr>
            </w:pPr>
          </w:p>
        </w:tc>
        <w:tc>
          <w:tcPr>
            <w:tcW w:w="258" w:type="pct"/>
            <w:tcBorders>
              <w:top w:val="single" w:sz="4" w:space="0" w:color="auto"/>
              <w:left w:val="nil"/>
              <w:bottom w:val="single" w:sz="4" w:space="0" w:color="auto"/>
              <w:right w:val="nil"/>
            </w:tcBorders>
          </w:tcPr>
          <w:p w14:paraId="317C556D" w14:textId="77777777" w:rsidR="00146365" w:rsidRPr="00BF7E57" w:rsidRDefault="00146365" w:rsidP="007D2690">
            <w:pPr>
              <w:keepNext/>
              <w:keepLines/>
              <w:rPr>
                <w:rFonts w:ascii="Arial" w:hAnsi="Arial" w:cs="Arial"/>
                <w:color w:val="000000"/>
                <w:sz w:val="18"/>
                <w:szCs w:val="18"/>
                <w:lang w:eastAsia="sl-SI"/>
              </w:rPr>
            </w:pPr>
          </w:p>
        </w:tc>
        <w:tc>
          <w:tcPr>
            <w:tcW w:w="4074" w:type="pct"/>
            <w:tcBorders>
              <w:top w:val="single" w:sz="4" w:space="0" w:color="auto"/>
              <w:left w:val="nil"/>
              <w:bottom w:val="single" w:sz="4" w:space="0" w:color="auto"/>
              <w:right w:val="single" w:sz="4" w:space="0" w:color="auto"/>
            </w:tcBorders>
            <w:shd w:val="clear" w:color="auto" w:fill="auto"/>
            <w:noWrap/>
            <w:vAlign w:val="bottom"/>
            <w:hideMark/>
          </w:tcPr>
          <w:p w14:paraId="25069454" w14:textId="2B8F3F4E"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Porazdelitev površine po vrstah regij - urbane regije (%)</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14:paraId="087529DE" w14:textId="77777777" w:rsidR="00146365" w:rsidRPr="00BF7E57" w:rsidRDefault="00146365" w:rsidP="007D2690">
            <w:pPr>
              <w:keepNext/>
              <w:keepLines/>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146365" w:rsidRPr="00BF7E57" w14:paraId="5D3DAA59" w14:textId="77777777" w:rsidTr="001B2A9C">
        <w:trPr>
          <w:trHeight w:val="31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9E4EEA2" w14:textId="77777777" w:rsidR="00146365" w:rsidRPr="00BF7E57" w:rsidRDefault="00146365" w:rsidP="007D2690">
            <w:pPr>
              <w:keepNext/>
              <w:keepLines/>
              <w:rPr>
                <w:rFonts w:ascii="Arial" w:hAnsi="Arial" w:cs="Arial"/>
                <w:color w:val="000000"/>
                <w:sz w:val="18"/>
                <w:szCs w:val="18"/>
                <w:lang w:eastAsia="sl-SI"/>
              </w:rPr>
            </w:pPr>
          </w:p>
        </w:tc>
        <w:tc>
          <w:tcPr>
            <w:tcW w:w="258" w:type="pct"/>
            <w:tcBorders>
              <w:top w:val="nil"/>
              <w:left w:val="nil"/>
              <w:bottom w:val="single" w:sz="4" w:space="0" w:color="auto"/>
              <w:right w:val="nil"/>
            </w:tcBorders>
          </w:tcPr>
          <w:p w14:paraId="55CBDB77" w14:textId="77777777" w:rsidR="00146365" w:rsidRPr="00BF7E57"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2EA37CFE" w14:textId="057E3535"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Površina skupaj (km2)</w:t>
            </w:r>
          </w:p>
        </w:tc>
        <w:tc>
          <w:tcPr>
            <w:tcW w:w="381" w:type="pct"/>
            <w:tcBorders>
              <w:top w:val="nil"/>
              <w:left w:val="nil"/>
              <w:bottom w:val="single" w:sz="4" w:space="0" w:color="auto"/>
              <w:right w:val="single" w:sz="4" w:space="0" w:color="auto"/>
            </w:tcBorders>
            <w:shd w:val="clear" w:color="auto" w:fill="auto"/>
            <w:vAlign w:val="center"/>
            <w:hideMark/>
          </w:tcPr>
          <w:p w14:paraId="50FEE255" w14:textId="77777777" w:rsidR="00146365" w:rsidRPr="00BF7E57" w:rsidRDefault="00146365" w:rsidP="007D2690">
            <w:pPr>
              <w:keepNext/>
              <w:keepLines/>
              <w:jc w:val="right"/>
              <w:rPr>
                <w:rFonts w:ascii="Arial" w:hAnsi="Arial" w:cs="Arial"/>
                <w:color w:val="000000"/>
                <w:sz w:val="18"/>
                <w:szCs w:val="18"/>
                <w:lang w:eastAsia="sl-SI"/>
              </w:rPr>
            </w:pPr>
            <w:r w:rsidRPr="00BF7E57">
              <w:rPr>
                <w:rFonts w:ascii="Arial" w:hAnsi="Arial" w:cs="Arial"/>
                <w:color w:val="000000"/>
                <w:sz w:val="18"/>
                <w:szCs w:val="18"/>
                <w:lang w:eastAsia="sl-SI"/>
              </w:rPr>
              <w:t>20.273</w:t>
            </w:r>
          </w:p>
        </w:tc>
      </w:tr>
    </w:tbl>
    <w:p w14:paraId="21BCFF83" w14:textId="5B5AFFB1" w:rsidR="007D2690" w:rsidRPr="00BF7E57" w:rsidRDefault="007D2690" w:rsidP="007D2690">
      <w:pPr>
        <w:spacing w:after="240"/>
        <w:rPr>
          <w:rFonts w:ascii="Arial" w:hAnsi="Arial" w:cs="Arial"/>
          <w:sz w:val="16"/>
          <w:szCs w:val="16"/>
        </w:rPr>
      </w:pPr>
      <w:r w:rsidRPr="00BF7E57">
        <w:rPr>
          <w:rFonts w:ascii="Arial" w:hAnsi="Arial" w:cs="Arial"/>
          <w:sz w:val="16"/>
          <w:szCs w:val="16"/>
        </w:rPr>
        <w:t xml:space="preserve">Vir: </w:t>
      </w:r>
      <w:r w:rsidRPr="00BF7E57">
        <w:rPr>
          <w:rFonts w:ascii="Arial" w:eastAsia="Calibri" w:hAnsi="Arial"/>
          <w:sz w:val="16"/>
          <w:szCs w:val="16"/>
        </w:rPr>
        <w:t>C.04 - Dashboard Indicators</w:t>
      </w:r>
      <w:r w:rsidRPr="00BF7E57">
        <w:rPr>
          <w:rFonts w:ascii="Arial" w:hAnsi="Arial" w:cs="Arial"/>
          <w:sz w:val="16"/>
          <w:szCs w:val="16"/>
        </w:rPr>
        <w:t xml:space="preserve"> (</w:t>
      </w:r>
      <w:hyperlink r:id="rId14" w:history="1">
        <w:r w:rsidR="000577FA" w:rsidRPr="00BF7E57">
          <w:rPr>
            <w:rStyle w:val="Hiperpovezava"/>
            <w:rFonts w:ascii="Arial" w:hAnsi="Arial" w:cs="Arial"/>
            <w:sz w:val="16"/>
            <w:szCs w:val="16"/>
          </w:rPr>
          <w:t>https://agridata.ec.europa.eu/extensions/DashboardIndicators/DataExplorer.html?select=EU27_FLAG,1</w:t>
        </w:r>
      </w:hyperlink>
      <w:r w:rsidRPr="00BF7E57">
        <w:rPr>
          <w:rFonts w:ascii="Arial" w:hAnsi="Arial" w:cs="Arial"/>
          <w:sz w:val="16"/>
          <w:szCs w:val="16"/>
        </w:rPr>
        <w:t>)</w:t>
      </w:r>
    </w:p>
    <w:p w14:paraId="174A15F9" w14:textId="263AF9A8" w:rsidR="000577FA" w:rsidRPr="00BF7E57" w:rsidRDefault="000577FA" w:rsidP="000577FA">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Le tri statistične regije (osrednjeslovenska, gorenjska in obalno kraška) se uvrščajo v vmesne regije, vse ostale pa sodijo v podeželske regije, zato se celotno ozemlje Slovenije obravnava kot podeželsko. Tudi podatki stopnje urbanizacije po občinah kažejo na ruralnost Slovenije, saj se samo dve slovenski občini uvrščata med gosto naseljena območja, 44 občin se uvršča med območja srednje gostote, 166 občin oziroma več kot 50 % prebivalcev RS pa med redko poseljena območja (Vir: SURS).</w:t>
      </w:r>
    </w:p>
    <w:p w14:paraId="310A91D5" w14:textId="673B1B14" w:rsidR="00376357" w:rsidRPr="00BF7E57" w:rsidRDefault="00376357" w:rsidP="001427AE">
      <w:pPr>
        <w:pStyle w:val="Napis"/>
      </w:pPr>
      <w:bookmarkStart w:id="8" w:name="_Toc55913754"/>
      <w:bookmarkStart w:id="9" w:name="_Toc86826393"/>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w:t>
      </w:r>
      <w:r w:rsidR="00A30B83" w:rsidRPr="00BF7E57">
        <w:rPr>
          <w:noProof/>
        </w:rPr>
        <w:fldChar w:fldCharType="end"/>
      </w:r>
      <w:r w:rsidRPr="00BF7E57">
        <w:t>: Vmesne in podeželske regije</w:t>
      </w:r>
      <w:bookmarkEnd w:id="9"/>
    </w:p>
    <w:bookmarkEnd w:id="8"/>
    <w:p w14:paraId="41BDE462" w14:textId="77777777" w:rsidR="000577FA" w:rsidRPr="00BF7E57" w:rsidRDefault="000577FA" w:rsidP="000577FA">
      <w:pPr>
        <w:keepNext/>
        <w:rPr>
          <w:rFonts w:ascii="Arial" w:hAnsi="Arial"/>
          <w:sz w:val="20"/>
        </w:rPr>
      </w:pPr>
      <w:r w:rsidRPr="00BF7E57">
        <w:rPr>
          <w:rFonts w:ascii="Arial" w:hAnsi="Arial" w:cs="Arial"/>
          <w:noProof/>
          <w:sz w:val="20"/>
          <w:lang w:eastAsia="sl-SI"/>
        </w:rPr>
        <w:drawing>
          <wp:inline distT="0" distB="0" distL="0" distR="0" wp14:anchorId="2CE50106" wp14:editId="5EC245B7">
            <wp:extent cx="4226944" cy="2863415"/>
            <wp:effectExtent l="0" t="0" r="254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157" t="23545" r="21458" b="15344"/>
                    <a:stretch/>
                  </pic:blipFill>
                  <pic:spPr bwMode="auto">
                    <a:xfrm>
                      <a:off x="0" y="0"/>
                      <a:ext cx="4241846" cy="2873510"/>
                    </a:xfrm>
                    <a:prstGeom prst="rect">
                      <a:avLst/>
                    </a:prstGeom>
                    <a:ln>
                      <a:noFill/>
                    </a:ln>
                    <a:extLst>
                      <a:ext uri="{53640926-AAD7-44D8-BBD7-CCE9431645EC}">
                        <a14:shadowObscured xmlns:a14="http://schemas.microsoft.com/office/drawing/2010/main"/>
                      </a:ext>
                    </a:extLst>
                  </pic:spPr>
                </pic:pic>
              </a:graphicData>
            </a:graphic>
          </wp:inline>
        </w:drawing>
      </w:r>
    </w:p>
    <w:p w14:paraId="2CEF6130" w14:textId="77777777" w:rsidR="000577FA" w:rsidRPr="00BF7E57" w:rsidRDefault="000577FA" w:rsidP="000577FA">
      <w:pPr>
        <w:keepNext/>
        <w:spacing w:after="120"/>
        <w:rPr>
          <w:rFonts w:ascii="Arial" w:hAnsi="Arial" w:cs="Arial"/>
          <w:bCs/>
          <w:sz w:val="16"/>
          <w:szCs w:val="16"/>
        </w:rPr>
      </w:pPr>
      <w:r w:rsidRPr="00BF7E57">
        <w:rPr>
          <w:rFonts w:ascii="Arial" w:hAnsi="Arial" w:cs="Arial"/>
          <w:bCs/>
          <w:sz w:val="16"/>
          <w:szCs w:val="16"/>
        </w:rPr>
        <w:t>Vir: SURS (zmerno ruralna regija = vmesna regija; pretežno ruralna regija = podeželska regija)</w:t>
      </w:r>
    </w:p>
    <w:p w14:paraId="76704341" w14:textId="77777777" w:rsidR="000577FA" w:rsidRPr="00BF7E57" w:rsidRDefault="000577FA" w:rsidP="000577FA">
      <w:pPr>
        <w:spacing w:after="240"/>
        <w:rPr>
          <w:rFonts w:ascii="Arial" w:hAnsi="Arial" w:cs="Arial"/>
          <w:sz w:val="20"/>
        </w:rPr>
      </w:pPr>
    </w:p>
    <w:p w14:paraId="2D937E65" w14:textId="238CA453" w:rsidR="00D96209" w:rsidRPr="00BF7E57" w:rsidRDefault="00D96209" w:rsidP="00D96209">
      <w:pPr>
        <w:keepNext/>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Slovenija se uvršča med države z manjšim številom prebivalcev v EU-2</w:t>
      </w:r>
      <w:r w:rsidR="00685AC3" w:rsidRPr="00BF7E57">
        <w:rPr>
          <w:rFonts w:ascii="Arial" w:eastAsia="Times New Roman" w:hAnsi="Arial" w:cs="Arial"/>
          <w:sz w:val="20"/>
          <w:szCs w:val="20"/>
          <w:lang w:eastAsia="en-GB"/>
        </w:rPr>
        <w:t>7</w:t>
      </w:r>
      <w:r w:rsidRPr="00BF7E57">
        <w:rPr>
          <w:rFonts w:ascii="Arial" w:eastAsia="Times New Roman" w:hAnsi="Arial" w:cs="Arial"/>
          <w:sz w:val="20"/>
          <w:szCs w:val="20"/>
          <w:lang w:eastAsia="en-GB"/>
        </w:rPr>
        <w:t>. V Sloveniji je leta 2020 živelo 2.095.861 prebivalcev</w:t>
      </w:r>
      <w:r w:rsidR="00D202AF" w:rsidRPr="00BF7E57">
        <w:rPr>
          <w:rFonts w:ascii="Arial" w:eastAsia="Times New Roman" w:hAnsi="Arial" w:cs="Arial"/>
          <w:sz w:val="20"/>
          <w:szCs w:val="20"/>
          <w:lang w:eastAsia="en-GB"/>
        </w:rPr>
        <w:t xml:space="preserve"> (v pričetku leta 2021 </w:t>
      </w:r>
      <w:r w:rsidR="00D202AF" w:rsidRPr="00BF7E57">
        <w:rPr>
          <w:rFonts w:ascii="Arial" w:hAnsi="Arial" w:cs="Arial"/>
          <w:sz w:val="20"/>
          <w:szCs w:val="20"/>
        </w:rPr>
        <w:t>2.108.977)</w:t>
      </w:r>
      <w:r w:rsidRPr="00BF7E57">
        <w:rPr>
          <w:rFonts w:ascii="Arial" w:eastAsia="Times New Roman" w:hAnsi="Arial" w:cs="Arial"/>
          <w:sz w:val="20"/>
          <w:szCs w:val="20"/>
          <w:lang w:eastAsia="en-GB"/>
        </w:rPr>
        <w:t>. Število državljanov RS se zmanjšuje, število tujih državljanov pa povečuje (</w:t>
      </w:r>
      <w:r w:rsidR="00D168A7" w:rsidRPr="00BF7E57">
        <w:rPr>
          <w:rFonts w:ascii="Arial" w:eastAsia="Times New Roman" w:hAnsi="Arial" w:cs="Arial"/>
          <w:sz w:val="20"/>
          <w:szCs w:val="20"/>
          <w:lang w:eastAsia="en-GB"/>
        </w:rPr>
        <w:t xml:space="preserve">168.651 </w:t>
      </w:r>
      <w:r w:rsidRPr="00BF7E57">
        <w:rPr>
          <w:rFonts w:ascii="Arial" w:eastAsia="Times New Roman" w:hAnsi="Arial" w:cs="Arial"/>
          <w:sz w:val="20"/>
          <w:szCs w:val="20"/>
          <w:lang w:eastAsia="en-GB"/>
        </w:rPr>
        <w:t>tujcev je pre</w:t>
      </w:r>
      <w:r w:rsidR="00D168A7" w:rsidRPr="00BF7E57">
        <w:rPr>
          <w:rFonts w:ascii="Arial" w:eastAsia="Times New Roman" w:hAnsi="Arial" w:cs="Arial"/>
          <w:sz w:val="20"/>
          <w:szCs w:val="20"/>
          <w:lang w:eastAsia="en-GB"/>
        </w:rPr>
        <w:t>dstavljalo 8</w:t>
      </w:r>
      <w:r w:rsidRPr="00BF7E57">
        <w:rPr>
          <w:rFonts w:ascii="Arial" w:eastAsia="Times New Roman" w:hAnsi="Arial" w:cs="Arial"/>
          <w:sz w:val="20"/>
          <w:szCs w:val="20"/>
          <w:lang w:eastAsia="en-GB"/>
        </w:rPr>
        <w:t xml:space="preserve"> % vseh prebivalcev Slovenije). </w:t>
      </w:r>
    </w:p>
    <w:p w14:paraId="0675DBE6" w14:textId="416F94FE" w:rsidR="00232E6B" w:rsidRPr="00BF7E57" w:rsidRDefault="00D96209" w:rsidP="00D96209">
      <w:pPr>
        <w:spacing w:before="240" w:after="120"/>
        <w:jc w:val="both"/>
      </w:pPr>
      <w:bookmarkStart w:id="10" w:name="_Toc55913716"/>
      <w:r w:rsidRPr="00BF7E57">
        <w:rPr>
          <w:rFonts w:ascii="Arial" w:hAnsi="Arial"/>
          <w:sz w:val="20"/>
        </w:rPr>
        <w:t xml:space="preserve"> </w:t>
      </w:r>
    </w:p>
    <w:p w14:paraId="7281B409" w14:textId="1626E069" w:rsidR="00232E6B" w:rsidRPr="00BF7E57" w:rsidRDefault="00232E6B" w:rsidP="001427AE">
      <w:pPr>
        <w:pStyle w:val="Napis"/>
        <w:jc w:val="both"/>
      </w:pPr>
      <w:bookmarkStart w:id="11" w:name="_Toc86826441"/>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w:t>
      </w:r>
      <w:r w:rsidR="00A30B83" w:rsidRPr="00BF7E57">
        <w:rPr>
          <w:noProof/>
        </w:rPr>
        <w:fldChar w:fldCharType="end"/>
      </w:r>
      <w:r w:rsidRPr="00BF7E57">
        <w:t>: Prebivalstvo v Sloveniji po regijah</w:t>
      </w:r>
      <w:bookmarkEnd w:id="11"/>
    </w:p>
    <w:bookmarkEnd w:id="10"/>
    <w:p w14:paraId="0E64A157" w14:textId="70B3B933" w:rsidR="00D96209" w:rsidRPr="00BF7E57" w:rsidRDefault="00D96209" w:rsidP="00D96209">
      <w:pPr>
        <w:spacing w:before="240" w:after="120"/>
        <w:jc w:val="both"/>
        <w:rPr>
          <w:rFonts w:ascii="Arial" w:hAnsi="Arial"/>
          <w:sz w:val="20"/>
        </w:rPr>
      </w:pPr>
    </w:p>
    <w:tbl>
      <w:tblPr>
        <w:tblW w:w="5001" w:type="pct"/>
        <w:tblCellMar>
          <w:left w:w="70" w:type="dxa"/>
          <w:right w:w="70" w:type="dxa"/>
        </w:tblCellMar>
        <w:tblLook w:val="04A0" w:firstRow="1" w:lastRow="0" w:firstColumn="1" w:lastColumn="0" w:noHBand="0" w:noVBand="1"/>
      </w:tblPr>
      <w:tblGrid>
        <w:gridCol w:w="766"/>
        <w:gridCol w:w="2652"/>
        <w:gridCol w:w="941"/>
        <w:gridCol w:w="941"/>
        <w:gridCol w:w="941"/>
        <w:gridCol w:w="941"/>
        <w:gridCol w:w="941"/>
        <w:gridCol w:w="941"/>
      </w:tblGrid>
      <w:tr w:rsidR="00685AC3" w:rsidRPr="00BF7E57" w14:paraId="76B30AE2" w14:textId="77777777" w:rsidTr="00685AC3">
        <w:trPr>
          <w:trHeight w:val="315"/>
        </w:trPr>
        <w:tc>
          <w:tcPr>
            <w:tcW w:w="44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58E465F" w14:textId="77777777" w:rsidR="00D168A7" w:rsidRPr="00BF7E57" w:rsidRDefault="00D168A7" w:rsidP="00D168A7">
            <w:pPr>
              <w:rPr>
                <w:rFonts w:ascii="Arial" w:hAnsi="Arial" w:cs="Arial"/>
                <w:b/>
                <w:bCs/>
                <w:color w:val="000000"/>
                <w:sz w:val="18"/>
                <w:szCs w:val="18"/>
                <w:lang w:eastAsia="sl-SI"/>
              </w:rPr>
            </w:pPr>
            <w:r w:rsidRPr="00BF7E57">
              <w:rPr>
                <w:rFonts w:ascii="Arial" w:hAnsi="Arial" w:cs="Arial"/>
                <w:b/>
                <w:bCs/>
                <w:color w:val="000000"/>
                <w:sz w:val="18"/>
                <w:szCs w:val="18"/>
                <w:lang w:eastAsia="sl-SI"/>
              </w:rPr>
              <w:lastRenderedPageBreak/>
              <w:t>C.01</w:t>
            </w:r>
          </w:p>
        </w:tc>
        <w:tc>
          <w:tcPr>
            <w:tcW w:w="1481" w:type="pct"/>
            <w:tcBorders>
              <w:top w:val="single" w:sz="4" w:space="0" w:color="auto"/>
              <w:left w:val="nil"/>
              <w:bottom w:val="single" w:sz="4" w:space="0" w:color="auto"/>
              <w:right w:val="single" w:sz="4" w:space="0" w:color="auto"/>
            </w:tcBorders>
            <w:shd w:val="clear" w:color="000000" w:fill="92D050"/>
            <w:noWrap/>
            <w:vAlign w:val="bottom"/>
            <w:hideMark/>
          </w:tcPr>
          <w:p w14:paraId="7E2E7416" w14:textId="77777777" w:rsidR="00D168A7" w:rsidRPr="00BF7E57" w:rsidRDefault="00D168A7" w:rsidP="00D168A7">
            <w:pPr>
              <w:rPr>
                <w:rFonts w:ascii="Arial" w:hAnsi="Arial" w:cs="Arial"/>
                <w:b/>
                <w:bCs/>
                <w:color w:val="000000"/>
                <w:sz w:val="18"/>
                <w:szCs w:val="18"/>
                <w:lang w:eastAsia="sl-SI"/>
              </w:rPr>
            </w:pPr>
            <w:r w:rsidRPr="00BF7E57">
              <w:rPr>
                <w:rFonts w:ascii="Arial" w:hAnsi="Arial" w:cs="Arial"/>
                <w:b/>
                <w:bCs/>
                <w:color w:val="000000"/>
                <w:sz w:val="18"/>
                <w:szCs w:val="18"/>
                <w:lang w:eastAsia="sl-SI"/>
              </w:rPr>
              <w:t>Število prebivalcev</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57287E6E"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2010</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47872757"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2013</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26FD053B"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2016</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53BE6CFE"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2018</w:t>
            </w:r>
          </w:p>
        </w:tc>
        <w:tc>
          <w:tcPr>
            <w:tcW w:w="513" w:type="pct"/>
            <w:tcBorders>
              <w:top w:val="single" w:sz="4" w:space="0" w:color="auto"/>
              <w:left w:val="single" w:sz="4" w:space="0" w:color="auto"/>
              <w:bottom w:val="single" w:sz="4" w:space="0" w:color="auto"/>
              <w:right w:val="single" w:sz="4" w:space="0" w:color="auto"/>
            </w:tcBorders>
            <w:shd w:val="clear" w:color="000000" w:fill="92D050"/>
            <w:vAlign w:val="center"/>
          </w:tcPr>
          <w:p w14:paraId="2A0A80EC" w14:textId="566B02FA"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2019</w:t>
            </w:r>
          </w:p>
        </w:tc>
        <w:tc>
          <w:tcPr>
            <w:tcW w:w="513"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B682DD4" w14:textId="5014D768"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2020</w:t>
            </w:r>
          </w:p>
        </w:tc>
      </w:tr>
      <w:tr w:rsidR="00685AC3" w:rsidRPr="00BF7E57" w14:paraId="72086DCD" w14:textId="77777777" w:rsidTr="00685AC3">
        <w:trPr>
          <w:trHeight w:val="434"/>
        </w:trPr>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4DB57D62"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 </w:t>
            </w:r>
          </w:p>
        </w:tc>
        <w:tc>
          <w:tcPr>
            <w:tcW w:w="1481" w:type="pct"/>
            <w:tcBorders>
              <w:top w:val="nil"/>
              <w:left w:val="nil"/>
              <w:bottom w:val="single" w:sz="4" w:space="0" w:color="auto"/>
              <w:right w:val="single" w:sz="4" w:space="0" w:color="auto"/>
            </w:tcBorders>
            <w:shd w:val="clear" w:color="000000" w:fill="FFFFFF"/>
            <w:vAlign w:val="bottom"/>
            <w:hideMark/>
          </w:tcPr>
          <w:p w14:paraId="4697E70D" w14:textId="77777777" w:rsidR="00D168A7" w:rsidRPr="00BF7E57" w:rsidRDefault="00D168A7" w:rsidP="00D168A7">
            <w:pPr>
              <w:rPr>
                <w:rFonts w:ascii="Arial" w:hAnsi="Arial" w:cs="Arial"/>
                <w:color w:val="000000"/>
                <w:sz w:val="18"/>
                <w:szCs w:val="18"/>
                <w:lang w:eastAsia="sl-SI"/>
              </w:rPr>
            </w:pPr>
            <w:r w:rsidRPr="00BF7E57">
              <w:rPr>
                <w:rFonts w:ascii="Arial" w:hAnsi="Arial" w:cs="Arial"/>
                <w:color w:val="000000"/>
                <w:sz w:val="18"/>
                <w:szCs w:val="18"/>
                <w:lang w:eastAsia="sl-SI"/>
              </w:rPr>
              <w:t>Porazdelitev prebivalstva po tipu regije - vmesne regije (%)</w:t>
            </w:r>
          </w:p>
        </w:tc>
        <w:tc>
          <w:tcPr>
            <w:tcW w:w="513" w:type="pct"/>
            <w:tcBorders>
              <w:top w:val="nil"/>
              <w:left w:val="nil"/>
              <w:bottom w:val="single" w:sz="4" w:space="0" w:color="auto"/>
              <w:right w:val="single" w:sz="4" w:space="0" w:color="auto"/>
            </w:tcBorders>
            <w:shd w:val="clear" w:color="auto" w:fill="auto"/>
            <w:noWrap/>
            <w:vAlign w:val="center"/>
            <w:hideMark/>
          </w:tcPr>
          <w:p w14:paraId="4C87BE61"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40,46</w:t>
            </w:r>
          </w:p>
        </w:tc>
        <w:tc>
          <w:tcPr>
            <w:tcW w:w="513" w:type="pct"/>
            <w:tcBorders>
              <w:top w:val="nil"/>
              <w:left w:val="nil"/>
              <w:bottom w:val="single" w:sz="4" w:space="0" w:color="auto"/>
              <w:right w:val="single" w:sz="4" w:space="0" w:color="auto"/>
            </w:tcBorders>
            <w:shd w:val="clear" w:color="auto" w:fill="auto"/>
            <w:noWrap/>
            <w:vAlign w:val="center"/>
            <w:hideMark/>
          </w:tcPr>
          <w:p w14:paraId="0E9F7538"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40,93</w:t>
            </w:r>
          </w:p>
        </w:tc>
        <w:tc>
          <w:tcPr>
            <w:tcW w:w="513" w:type="pct"/>
            <w:tcBorders>
              <w:top w:val="nil"/>
              <w:left w:val="nil"/>
              <w:bottom w:val="single" w:sz="4" w:space="0" w:color="auto"/>
              <w:right w:val="single" w:sz="4" w:space="0" w:color="auto"/>
            </w:tcBorders>
            <w:shd w:val="clear" w:color="auto" w:fill="auto"/>
            <w:noWrap/>
            <w:vAlign w:val="center"/>
            <w:hideMark/>
          </w:tcPr>
          <w:p w14:paraId="1660A0FD"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41,37</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140CD3DE"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41,60</w:t>
            </w:r>
          </w:p>
        </w:tc>
        <w:tc>
          <w:tcPr>
            <w:tcW w:w="513" w:type="pct"/>
            <w:tcBorders>
              <w:top w:val="single" w:sz="4" w:space="0" w:color="auto"/>
              <w:left w:val="single" w:sz="4" w:space="0" w:color="auto"/>
              <w:bottom w:val="single" w:sz="4" w:space="0" w:color="auto"/>
              <w:right w:val="single" w:sz="4" w:space="0" w:color="auto"/>
            </w:tcBorders>
            <w:vAlign w:val="center"/>
          </w:tcPr>
          <w:p w14:paraId="66F3EF8C" w14:textId="625E24A8"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41,75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A9D7" w14:textId="7D4B9193"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41,88</w:t>
            </w:r>
          </w:p>
        </w:tc>
      </w:tr>
      <w:tr w:rsidR="00685AC3" w:rsidRPr="00BF7E57" w14:paraId="472BD940" w14:textId="77777777" w:rsidTr="00685AC3">
        <w:trPr>
          <w:trHeight w:val="514"/>
        </w:trPr>
        <w:tc>
          <w:tcPr>
            <w:tcW w:w="441" w:type="pct"/>
            <w:vMerge/>
            <w:tcBorders>
              <w:top w:val="nil"/>
              <w:left w:val="single" w:sz="4" w:space="0" w:color="auto"/>
              <w:bottom w:val="single" w:sz="4" w:space="0" w:color="auto"/>
              <w:right w:val="single" w:sz="4" w:space="0" w:color="auto"/>
            </w:tcBorders>
            <w:vAlign w:val="center"/>
            <w:hideMark/>
          </w:tcPr>
          <w:p w14:paraId="4869435D" w14:textId="77777777" w:rsidR="00D168A7" w:rsidRPr="00BF7E57"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094A2439" w14:textId="77777777" w:rsidR="00D168A7" w:rsidRPr="00BF7E57" w:rsidRDefault="00D168A7" w:rsidP="00D168A7">
            <w:pPr>
              <w:rPr>
                <w:rFonts w:ascii="Arial" w:hAnsi="Arial" w:cs="Arial"/>
                <w:color w:val="000000"/>
                <w:sz w:val="18"/>
                <w:szCs w:val="18"/>
                <w:lang w:eastAsia="sl-SI"/>
              </w:rPr>
            </w:pPr>
            <w:r w:rsidRPr="00BF7E57">
              <w:rPr>
                <w:rFonts w:ascii="Arial" w:hAnsi="Arial" w:cs="Arial"/>
                <w:color w:val="000000"/>
                <w:sz w:val="18"/>
                <w:szCs w:val="18"/>
                <w:lang w:eastAsia="sl-SI"/>
              </w:rPr>
              <w:t>Porazdelitev prebivalstva po tipu regije - podeželske regije (%)</w:t>
            </w:r>
          </w:p>
        </w:tc>
        <w:tc>
          <w:tcPr>
            <w:tcW w:w="513" w:type="pct"/>
            <w:tcBorders>
              <w:top w:val="nil"/>
              <w:left w:val="nil"/>
              <w:bottom w:val="single" w:sz="4" w:space="0" w:color="auto"/>
              <w:right w:val="single" w:sz="4" w:space="0" w:color="auto"/>
            </w:tcBorders>
            <w:shd w:val="clear" w:color="auto" w:fill="auto"/>
            <w:noWrap/>
            <w:vAlign w:val="center"/>
            <w:hideMark/>
          </w:tcPr>
          <w:p w14:paraId="7C5C6596"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59,54</w:t>
            </w:r>
          </w:p>
        </w:tc>
        <w:tc>
          <w:tcPr>
            <w:tcW w:w="513" w:type="pct"/>
            <w:tcBorders>
              <w:top w:val="nil"/>
              <w:left w:val="nil"/>
              <w:bottom w:val="single" w:sz="4" w:space="0" w:color="auto"/>
              <w:right w:val="single" w:sz="4" w:space="0" w:color="auto"/>
            </w:tcBorders>
            <w:shd w:val="clear" w:color="auto" w:fill="auto"/>
            <w:noWrap/>
            <w:vAlign w:val="center"/>
            <w:hideMark/>
          </w:tcPr>
          <w:p w14:paraId="7FB2253F"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59,07</w:t>
            </w:r>
          </w:p>
        </w:tc>
        <w:tc>
          <w:tcPr>
            <w:tcW w:w="513" w:type="pct"/>
            <w:tcBorders>
              <w:top w:val="nil"/>
              <w:left w:val="nil"/>
              <w:bottom w:val="single" w:sz="4" w:space="0" w:color="auto"/>
              <w:right w:val="single" w:sz="4" w:space="0" w:color="auto"/>
            </w:tcBorders>
            <w:shd w:val="clear" w:color="auto" w:fill="auto"/>
            <w:noWrap/>
            <w:vAlign w:val="center"/>
            <w:hideMark/>
          </w:tcPr>
          <w:p w14:paraId="704BE888"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58,63</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2B2492FB"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58,40</w:t>
            </w:r>
          </w:p>
        </w:tc>
        <w:tc>
          <w:tcPr>
            <w:tcW w:w="513" w:type="pct"/>
            <w:tcBorders>
              <w:top w:val="single" w:sz="4" w:space="0" w:color="auto"/>
              <w:left w:val="single" w:sz="4" w:space="0" w:color="auto"/>
              <w:bottom w:val="single" w:sz="4" w:space="0" w:color="auto"/>
              <w:right w:val="single" w:sz="4" w:space="0" w:color="auto"/>
            </w:tcBorders>
            <w:vAlign w:val="center"/>
          </w:tcPr>
          <w:p w14:paraId="3B368070" w14:textId="50B13A31"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58,25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7E7A" w14:textId="1B5F7E38"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58,12</w:t>
            </w:r>
          </w:p>
        </w:tc>
      </w:tr>
      <w:tr w:rsidR="00685AC3" w:rsidRPr="00BF7E57" w14:paraId="110219A0" w14:textId="77777777" w:rsidTr="00685AC3">
        <w:trPr>
          <w:trHeight w:val="310"/>
        </w:trPr>
        <w:tc>
          <w:tcPr>
            <w:tcW w:w="441" w:type="pct"/>
            <w:vMerge/>
            <w:tcBorders>
              <w:top w:val="nil"/>
              <w:left w:val="single" w:sz="4" w:space="0" w:color="auto"/>
              <w:bottom w:val="single" w:sz="4" w:space="0" w:color="auto"/>
              <w:right w:val="single" w:sz="4" w:space="0" w:color="auto"/>
            </w:tcBorders>
            <w:vAlign w:val="center"/>
            <w:hideMark/>
          </w:tcPr>
          <w:p w14:paraId="783A384D" w14:textId="77777777" w:rsidR="00D168A7" w:rsidRPr="00BF7E57"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6C8EC9D2" w14:textId="77777777" w:rsidR="00D168A7" w:rsidRPr="00BF7E57" w:rsidRDefault="00D168A7" w:rsidP="00D168A7">
            <w:pPr>
              <w:rPr>
                <w:rFonts w:ascii="Arial" w:hAnsi="Arial" w:cs="Arial"/>
                <w:color w:val="000000"/>
                <w:sz w:val="18"/>
                <w:szCs w:val="18"/>
                <w:lang w:eastAsia="sl-SI"/>
              </w:rPr>
            </w:pPr>
            <w:r w:rsidRPr="00BF7E57">
              <w:rPr>
                <w:rFonts w:ascii="Arial" w:hAnsi="Arial" w:cs="Arial"/>
                <w:color w:val="000000"/>
                <w:sz w:val="18"/>
                <w:szCs w:val="18"/>
                <w:lang w:eastAsia="sl-SI"/>
              </w:rPr>
              <w:t>Prebivalstvo skupaj</w:t>
            </w:r>
          </w:p>
        </w:tc>
        <w:tc>
          <w:tcPr>
            <w:tcW w:w="513" w:type="pct"/>
            <w:tcBorders>
              <w:top w:val="nil"/>
              <w:left w:val="nil"/>
              <w:bottom w:val="single" w:sz="4" w:space="0" w:color="auto"/>
              <w:right w:val="single" w:sz="4" w:space="0" w:color="auto"/>
            </w:tcBorders>
            <w:shd w:val="clear" w:color="auto" w:fill="auto"/>
            <w:vAlign w:val="center"/>
            <w:hideMark/>
          </w:tcPr>
          <w:p w14:paraId="3CE17433"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2.046.976</w:t>
            </w:r>
          </w:p>
        </w:tc>
        <w:tc>
          <w:tcPr>
            <w:tcW w:w="513" w:type="pct"/>
            <w:tcBorders>
              <w:top w:val="nil"/>
              <w:left w:val="nil"/>
              <w:bottom w:val="single" w:sz="4" w:space="0" w:color="auto"/>
              <w:right w:val="single" w:sz="4" w:space="0" w:color="auto"/>
            </w:tcBorders>
            <w:shd w:val="clear" w:color="auto" w:fill="auto"/>
            <w:vAlign w:val="center"/>
            <w:hideMark/>
          </w:tcPr>
          <w:p w14:paraId="3033AC8F"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2.058.821</w:t>
            </w:r>
          </w:p>
        </w:tc>
        <w:tc>
          <w:tcPr>
            <w:tcW w:w="513" w:type="pct"/>
            <w:tcBorders>
              <w:top w:val="nil"/>
              <w:left w:val="nil"/>
              <w:bottom w:val="single" w:sz="4" w:space="0" w:color="auto"/>
              <w:right w:val="single" w:sz="4" w:space="0" w:color="auto"/>
            </w:tcBorders>
            <w:shd w:val="clear" w:color="auto" w:fill="auto"/>
            <w:vAlign w:val="center"/>
            <w:hideMark/>
          </w:tcPr>
          <w:p w14:paraId="496FB03B"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2.064.188</w:t>
            </w: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5CC8AFCF"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2.066.880</w:t>
            </w:r>
          </w:p>
        </w:tc>
        <w:tc>
          <w:tcPr>
            <w:tcW w:w="513" w:type="pct"/>
            <w:tcBorders>
              <w:top w:val="single" w:sz="4" w:space="0" w:color="auto"/>
              <w:left w:val="single" w:sz="4" w:space="0" w:color="auto"/>
              <w:bottom w:val="single" w:sz="4" w:space="0" w:color="auto"/>
              <w:right w:val="single" w:sz="4" w:space="0" w:color="auto"/>
            </w:tcBorders>
            <w:vAlign w:val="center"/>
          </w:tcPr>
          <w:p w14:paraId="17075207" w14:textId="3A1238A0"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2.080.908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D7304" w14:textId="04005D3A" w:rsidR="00D168A7" w:rsidRPr="00BF7E57" w:rsidRDefault="00D168A7" w:rsidP="00926F22">
            <w:pPr>
              <w:jc w:val="right"/>
              <w:rPr>
                <w:rFonts w:ascii="Arial" w:hAnsi="Arial" w:cs="Arial"/>
                <w:color w:val="000000"/>
                <w:sz w:val="18"/>
                <w:szCs w:val="18"/>
                <w:lang w:eastAsia="sl-SI"/>
              </w:rPr>
            </w:pPr>
            <w:r w:rsidRPr="00BF7E57">
              <w:rPr>
                <w:rFonts w:ascii="Arial" w:hAnsi="Arial" w:cs="Arial"/>
                <w:color w:val="000000"/>
                <w:sz w:val="18"/>
                <w:szCs w:val="18"/>
                <w:lang w:eastAsia="sl-SI"/>
              </w:rPr>
              <w:t>2.095.861</w:t>
            </w:r>
          </w:p>
        </w:tc>
      </w:tr>
      <w:tr w:rsidR="00685AC3" w:rsidRPr="00BF7E57" w14:paraId="5C7C55BD" w14:textId="77777777" w:rsidTr="00685AC3">
        <w:trPr>
          <w:trHeight w:val="345"/>
        </w:trPr>
        <w:tc>
          <w:tcPr>
            <w:tcW w:w="441" w:type="pct"/>
            <w:vMerge/>
            <w:tcBorders>
              <w:top w:val="nil"/>
              <w:left w:val="single" w:sz="4" w:space="0" w:color="auto"/>
              <w:bottom w:val="single" w:sz="4" w:space="0" w:color="auto"/>
              <w:right w:val="single" w:sz="4" w:space="0" w:color="auto"/>
            </w:tcBorders>
            <w:vAlign w:val="center"/>
            <w:hideMark/>
          </w:tcPr>
          <w:p w14:paraId="189DD94F" w14:textId="77777777" w:rsidR="00D168A7" w:rsidRPr="00BF7E57"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7AA6586E" w14:textId="77777777" w:rsidR="00D168A7" w:rsidRPr="00BF7E57" w:rsidRDefault="00D168A7" w:rsidP="00D168A7">
            <w:pPr>
              <w:rPr>
                <w:rFonts w:ascii="Arial" w:hAnsi="Arial" w:cs="Arial"/>
                <w:color w:val="000000"/>
                <w:sz w:val="18"/>
                <w:szCs w:val="18"/>
                <w:lang w:eastAsia="sl-SI"/>
              </w:rPr>
            </w:pPr>
            <w:r w:rsidRPr="00BF7E57">
              <w:rPr>
                <w:rFonts w:ascii="Arial" w:hAnsi="Arial" w:cs="Arial"/>
                <w:color w:val="000000"/>
                <w:sz w:val="18"/>
                <w:szCs w:val="18"/>
                <w:lang w:eastAsia="sl-SI"/>
              </w:rPr>
              <w:t>Podeželsko prebivalstvo skupaj</w:t>
            </w:r>
          </w:p>
        </w:tc>
        <w:tc>
          <w:tcPr>
            <w:tcW w:w="513" w:type="pct"/>
            <w:tcBorders>
              <w:top w:val="nil"/>
              <w:left w:val="nil"/>
              <w:bottom w:val="single" w:sz="4" w:space="0" w:color="auto"/>
              <w:right w:val="single" w:sz="4" w:space="0" w:color="auto"/>
            </w:tcBorders>
            <w:shd w:val="clear" w:color="auto" w:fill="auto"/>
            <w:vAlign w:val="center"/>
            <w:hideMark/>
          </w:tcPr>
          <w:p w14:paraId="5A9B5EA8"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1.218.754</w:t>
            </w:r>
          </w:p>
        </w:tc>
        <w:tc>
          <w:tcPr>
            <w:tcW w:w="513" w:type="pct"/>
            <w:tcBorders>
              <w:top w:val="nil"/>
              <w:left w:val="nil"/>
              <w:bottom w:val="single" w:sz="4" w:space="0" w:color="auto"/>
              <w:right w:val="single" w:sz="4" w:space="0" w:color="auto"/>
            </w:tcBorders>
            <w:shd w:val="clear" w:color="auto" w:fill="auto"/>
            <w:vAlign w:val="center"/>
            <w:hideMark/>
          </w:tcPr>
          <w:p w14:paraId="158B460D"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1.216.200</w:t>
            </w:r>
          </w:p>
        </w:tc>
        <w:tc>
          <w:tcPr>
            <w:tcW w:w="513" w:type="pct"/>
            <w:tcBorders>
              <w:top w:val="nil"/>
              <w:left w:val="nil"/>
              <w:bottom w:val="single" w:sz="4" w:space="0" w:color="auto"/>
              <w:right w:val="single" w:sz="4" w:space="0" w:color="auto"/>
            </w:tcBorders>
            <w:shd w:val="clear" w:color="auto" w:fill="auto"/>
            <w:vAlign w:val="center"/>
            <w:hideMark/>
          </w:tcPr>
          <w:p w14:paraId="1B0B0D3C"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1.210.257</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14:paraId="1207663B"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1.206.977</w:t>
            </w:r>
          </w:p>
        </w:tc>
        <w:tc>
          <w:tcPr>
            <w:tcW w:w="513" w:type="pct"/>
            <w:tcBorders>
              <w:top w:val="single" w:sz="4" w:space="0" w:color="auto"/>
              <w:left w:val="single" w:sz="4" w:space="0" w:color="auto"/>
              <w:bottom w:val="single" w:sz="4" w:space="0" w:color="auto"/>
              <w:right w:val="single" w:sz="4" w:space="0" w:color="auto"/>
            </w:tcBorders>
            <w:vAlign w:val="center"/>
          </w:tcPr>
          <w:p w14:paraId="22B080AE" w14:textId="68132F42"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1.212.051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99816" w14:textId="194AC492"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1.218.053</w:t>
            </w:r>
          </w:p>
        </w:tc>
      </w:tr>
    </w:tbl>
    <w:p w14:paraId="28F21405" w14:textId="77777777" w:rsidR="00D96209" w:rsidRPr="00BF7E57" w:rsidRDefault="00D96209" w:rsidP="00D96209">
      <w:pPr>
        <w:spacing w:after="240"/>
        <w:rPr>
          <w:rFonts w:ascii="Arial" w:hAnsi="Arial"/>
          <w:sz w:val="20"/>
          <w:szCs w:val="20"/>
        </w:rPr>
      </w:pPr>
      <w:r w:rsidRPr="00BF7E57">
        <w:rPr>
          <w:rFonts w:ascii="Arial" w:hAnsi="Arial" w:cs="Arial"/>
          <w:sz w:val="16"/>
          <w:szCs w:val="16"/>
        </w:rPr>
        <w:t xml:space="preserve">Vir: </w:t>
      </w:r>
      <w:r w:rsidRPr="00BF7E57">
        <w:rPr>
          <w:rFonts w:ascii="Arial" w:eastAsia="Calibri" w:hAnsi="Arial"/>
          <w:sz w:val="16"/>
          <w:szCs w:val="16"/>
        </w:rPr>
        <w:t>C.01 - Dashboard Indicators</w:t>
      </w:r>
      <w:r w:rsidRPr="00BF7E57">
        <w:rPr>
          <w:rFonts w:ascii="Arial" w:hAnsi="Arial" w:cs="Arial"/>
          <w:sz w:val="16"/>
          <w:szCs w:val="16"/>
        </w:rPr>
        <w:t xml:space="preserve"> (https://agridata.ec.europa.eu/extensions/DashboardIndicators/DataExplorer.html?select=EU27_FLAG,1)</w:t>
      </w:r>
    </w:p>
    <w:p w14:paraId="69F6CDEB" w14:textId="66FFE599" w:rsidR="00D96209" w:rsidRPr="00BF7E57" w:rsidRDefault="00D96209" w:rsidP="00D96209">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Prebivalstvo, ki živi v podeželskih regijah, predstavlja 58,</w:t>
      </w:r>
      <w:r w:rsidR="00D168A7" w:rsidRPr="00BF7E57">
        <w:rPr>
          <w:rFonts w:ascii="Arial" w:eastAsia="Times New Roman" w:hAnsi="Arial" w:cs="Arial"/>
          <w:sz w:val="20"/>
          <w:szCs w:val="20"/>
          <w:lang w:eastAsia="en-GB"/>
        </w:rPr>
        <w:t>12</w:t>
      </w:r>
      <w:r w:rsidRPr="00BF7E57">
        <w:rPr>
          <w:rFonts w:ascii="Arial" w:eastAsia="Times New Roman" w:hAnsi="Arial" w:cs="Arial"/>
          <w:sz w:val="20"/>
          <w:szCs w:val="20"/>
          <w:lang w:eastAsia="en-GB"/>
        </w:rPr>
        <w:t xml:space="preserve"> %, v </w:t>
      </w:r>
      <w:r w:rsidR="00D168A7" w:rsidRPr="00BF7E57">
        <w:rPr>
          <w:rFonts w:ascii="Arial" w:eastAsia="Times New Roman" w:hAnsi="Arial" w:cs="Arial"/>
          <w:sz w:val="20"/>
          <w:szCs w:val="20"/>
          <w:lang w:eastAsia="en-GB"/>
        </w:rPr>
        <w:t>vmesnih</w:t>
      </w:r>
      <w:r w:rsidRPr="00BF7E57">
        <w:rPr>
          <w:rFonts w:ascii="Arial" w:eastAsia="Times New Roman" w:hAnsi="Arial" w:cs="Arial"/>
          <w:sz w:val="20"/>
          <w:szCs w:val="20"/>
          <w:lang w:eastAsia="en-GB"/>
        </w:rPr>
        <w:t xml:space="preserve"> regijah pa 41,48</w:t>
      </w:r>
      <w:r w:rsidR="002C4564" w:rsidRPr="00BF7E57">
        <w:rPr>
          <w:rFonts w:ascii="Arial" w:eastAsia="Times New Roman" w:hAnsi="Arial" w:cs="Arial"/>
          <w:sz w:val="20"/>
          <w:szCs w:val="20"/>
          <w:lang w:eastAsia="en-GB"/>
        </w:rPr>
        <w:t xml:space="preserve"> </w:t>
      </w:r>
      <w:r w:rsidRPr="00BF7E57">
        <w:rPr>
          <w:rFonts w:ascii="Arial" w:eastAsia="Times New Roman" w:hAnsi="Arial" w:cs="Arial"/>
          <w:sz w:val="20"/>
          <w:szCs w:val="20"/>
          <w:lang w:eastAsia="en-GB"/>
        </w:rPr>
        <w:t xml:space="preserve">% celotnega prebivalstva RS. Število prebivalstva </w:t>
      </w:r>
      <w:r w:rsidR="00685AC3" w:rsidRPr="00BF7E57">
        <w:rPr>
          <w:rFonts w:ascii="Arial" w:eastAsia="Times New Roman" w:hAnsi="Arial" w:cs="Arial"/>
          <w:sz w:val="20"/>
          <w:szCs w:val="20"/>
          <w:lang w:eastAsia="en-GB"/>
        </w:rPr>
        <w:t>v podeželskih regijah</w:t>
      </w:r>
      <w:r w:rsidRPr="00BF7E57">
        <w:rPr>
          <w:rFonts w:ascii="Arial" w:eastAsia="Times New Roman" w:hAnsi="Arial" w:cs="Arial"/>
          <w:sz w:val="20"/>
          <w:szCs w:val="20"/>
          <w:lang w:eastAsia="en-GB"/>
        </w:rPr>
        <w:t xml:space="preserve"> se počasi zmanjšuje</w:t>
      </w:r>
      <w:r w:rsidR="00685AC3" w:rsidRPr="00BF7E57">
        <w:rPr>
          <w:rFonts w:ascii="Arial" w:eastAsia="Times New Roman" w:hAnsi="Arial" w:cs="Arial"/>
          <w:sz w:val="20"/>
          <w:szCs w:val="20"/>
          <w:lang w:eastAsia="en-GB"/>
        </w:rPr>
        <w:t>.</w:t>
      </w:r>
    </w:p>
    <w:p w14:paraId="3C46A2DD" w14:textId="5D715081" w:rsidR="00D96209" w:rsidRPr="00BF7E57" w:rsidRDefault="00D96209" w:rsidP="00D96209">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Za Slovenijo je značilna razpršena in redka poselitev in veliko število majhnih naselij, kar je posledica pestrih naravnih razmer. Prebivalstvo je zgoščeno v večjih urbanih središčih, reliefno razgibana območja s slabšimi naravnogeografskimi pogoji in prometno težje dostopna območja pa so redkeje poseljena. Glede na gostoto naseljenosti se Slovenija uvršča v sredino držav članic EU-2</w:t>
      </w:r>
      <w:r w:rsidR="000577FA" w:rsidRPr="00BF7E57">
        <w:rPr>
          <w:rFonts w:ascii="Arial" w:eastAsia="Times New Roman" w:hAnsi="Arial" w:cs="Arial"/>
          <w:sz w:val="20"/>
          <w:szCs w:val="20"/>
          <w:lang w:eastAsia="en-GB"/>
        </w:rPr>
        <w:t>7</w:t>
      </w:r>
      <w:r w:rsidRPr="00BF7E57">
        <w:rPr>
          <w:rFonts w:ascii="Arial" w:eastAsia="Times New Roman" w:hAnsi="Arial" w:cs="Arial"/>
          <w:sz w:val="20"/>
          <w:szCs w:val="20"/>
          <w:lang w:eastAsia="en-GB"/>
        </w:rPr>
        <w:t xml:space="preserve">. </w:t>
      </w:r>
    </w:p>
    <w:p w14:paraId="3F1DCABD" w14:textId="7F945F33" w:rsidR="00232E6B" w:rsidRPr="00BF7E57" w:rsidRDefault="00232E6B" w:rsidP="001427AE">
      <w:pPr>
        <w:pStyle w:val="Napis"/>
        <w:rPr>
          <w:sz w:val="20"/>
        </w:rPr>
      </w:pPr>
      <w:bookmarkStart w:id="12" w:name="_Toc55913717"/>
      <w:bookmarkStart w:id="13" w:name="_Toc86826442"/>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4</w:t>
      </w:r>
      <w:r w:rsidR="00A30B83" w:rsidRPr="00BF7E57">
        <w:rPr>
          <w:noProof/>
        </w:rPr>
        <w:fldChar w:fldCharType="end"/>
      </w:r>
      <w:r w:rsidRPr="00BF7E57">
        <w:t>: Gostota prebivalstva v Sloveniji</w:t>
      </w:r>
      <w:bookmarkEnd w:id="13"/>
    </w:p>
    <w:bookmarkEnd w:id="12"/>
    <w:p w14:paraId="7CE2C0BD" w14:textId="34C4E738" w:rsidR="00D96209" w:rsidRPr="00BF7E57" w:rsidRDefault="00D96209" w:rsidP="001427AE">
      <w:pPr>
        <w:pStyle w:val="Napis"/>
        <w:rPr>
          <w:sz w:val="20"/>
        </w:rPr>
      </w:pPr>
    </w:p>
    <w:tbl>
      <w:tblPr>
        <w:tblW w:w="5000" w:type="pct"/>
        <w:jc w:val="center"/>
        <w:tblCellMar>
          <w:left w:w="70" w:type="dxa"/>
          <w:right w:w="70" w:type="dxa"/>
        </w:tblCellMar>
        <w:tblLook w:val="04A0" w:firstRow="1" w:lastRow="0" w:firstColumn="1" w:lastColumn="0" w:noHBand="0" w:noVBand="1"/>
      </w:tblPr>
      <w:tblGrid>
        <w:gridCol w:w="529"/>
        <w:gridCol w:w="4933"/>
        <w:gridCol w:w="602"/>
        <w:gridCol w:w="602"/>
        <w:gridCol w:w="602"/>
        <w:gridCol w:w="602"/>
        <w:gridCol w:w="598"/>
        <w:gridCol w:w="594"/>
      </w:tblGrid>
      <w:tr w:rsidR="007F3D0E" w:rsidRPr="00BF7E57" w14:paraId="291529C4" w14:textId="77777777" w:rsidTr="000577FA">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209054D"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C.02</w:t>
            </w:r>
          </w:p>
        </w:tc>
        <w:tc>
          <w:tcPr>
            <w:tcW w:w="2722" w:type="pct"/>
            <w:tcBorders>
              <w:top w:val="single" w:sz="4" w:space="0" w:color="auto"/>
              <w:left w:val="nil"/>
              <w:bottom w:val="single" w:sz="4" w:space="0" w:color="auto"/>
              <w:right w:val="single" w:sz="4" w:space="0" w:color="auto"/>
            </w:tcBorders>
            <w:shd w:val="clear" w:color="000000" w:fill="92D050"/>
            <w:noWrap/>
            <w:vAlign w:val="center"/>
            <w:hideMark/>
          </w:tcPr>
          <w:p w14:paraId="4F1D3184"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Gostota prebivalstva</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2E0166ED"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2010</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06D66100"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2013</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6953FABD"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2016</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55C71846"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2017</w:t>
            </w:r>
          </w:p>
        </w:tc>
        <w:tc>
          <w:tcPr>
            <w:tcW w:w="330" w:type="pct"/>
            <w:tcBorders>
              <w:top w:val="single" w:sz="4" w:space="0" w:color="auto"/>
              <w:left w:val="nil"/>
              <w:bottom w:val="single" w:sz="4" w:space="0" w:color="auto"/>
              <w:right w:val="single" w:sz="4" w:space="0" w:color="auto"/>
            </w:tcBorders>
            <w:shd w:val="clear" w:color="000000" w:fill="92D050"/>
          </w:tcPr>
          <w:p w14:paraId="75619085" w14:textId="2552D5E6"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2018</w:t>
            </w:r>
          </w:p>
        </w:tc>
        <w:tc>
          <w:tcPr>
            <w:tcW w:w="328" w:type="pct"/>
            <w:tcBorders>
              <w:top w:val="single" w:sz="4" w:space="0" w:color="auto"/>
              <w:left w:val="nil"/>
              <w:bottom w:val="single" w:sz="4" w:space="0" w:color="auto"/>
              <w:right w:val="single" w:sz="4" w:space="0" w:color="auto"/>
            </w:tcBorders>
            <w:shd w:val="clear" w:color="000000" w:fill="92D050"/>
          </w:tcPr>
          <w:p w14:paraId="51FB19AF" w14:textId="5917A806"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2019</w:t>
            </w:r>
          </w:p>
        </w:tc>
      </w:tr>
      <w:tr w:rsidR="007F3D0E" w:rsidRPr="00BF7E57" w14:paraId="37D4C79A" w14:textId="77777777" w:rsidTr="000577FA">
        <w:trPr>
          <w:trHeight w:val="373"/>
          <w:jc w:val="center"/>
        </w:trPr>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14:paraId="2BEFF9DA"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 </w:t>
            </w:r>
          </w:p>
        </w:tc>
        <w:tc>
          <w:tcPr>
            <w:tcW w:w="2722" w:type="pct"/>
            <w:tcBorders>
              <w:top w:val="nil"/>
              <w:left w:val="nil"/>
              <w:bottom w:val="single" w:sz="4" w:space="0" w:color="auto"/>
              <w:right w:val="single" w:sz="4" w:space="0" w:color="auto"/>
            </w:tcBorders>
            <w:shd w:val="clear" w:color="000000" w:fill="FFFFFF"/>
            <w:noWrap/>
            <w:vAlign w:val="center"/>
            <w:hideMark/>
          </w:tcPr>
          <w:p w14:paraId="3050FC22" w14:textId="77777777" w:rsidR="007F3D0E" w:rsidRPr="00BF7E57" w:rsidRDefault="007F3D0E" w:rsidP="007F3D0E">
            <w:pPr>
              <w:rPr>
                <w:rFonts w:ascii="Arial" w:hAnsi="Arial" w:cs="Arial"/>
                <w:color w:val="000000"/>
                <w:sz w:val="16"/>
                <w:szCs w:val="16"/>
                <w:lang w:eastAsia="sl-SI"/>
              </w:rPr>
            </w:pPr>
            <w:r w:rsidRPr="00BF7E57">
              <w:rPr>
                <w:rFonts w:ascii="Arial" w:hAnsi="Arial" w:cs="Arial"/>
                <w:color w:val="000000"/>
                <w:sz w:val="16"/>
                <w:szCs w:val="16"/>
                <w:lang w:eastAsia="sl-SI"/>
              </w:rPr>
              <w:t>Gostota prebivalstva (prebivalcev/km2)</w:t>
            </w:r>
          </w:p>
        </w:tc>
        <w:tc>
          <w:tcPr>
            <w:tcW w:w="332" w:type="pct"/>
            <w:tcBorders>
              <w:top w:val="nil"/>
              <w:left w:val="nil"/>
              <w:bottom w:val="single" w:sz="4" w:space="0" w:color="auto"/>
              <w:right w:val="single" w:sz="4" w:space="0" w:color="auto"/>
            </w:tcBorders>
            <w:shd w:val="clear" w:color="auto" w:fill="auto"/>
            <w:noWrap/>
            <w:vAlign w:val="center"/>
            <w:hideMark/>
          </w:tcPr>
          <w:p w14:paraId="2DE57952" w14:textId="77777777"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101,7</w:t>
            </w:r>
          </w:p>
        </w:tc>
        <w:tc>
          <w:tcPr>
            <w:tcW w:w="332" w:type="pct"/>
            <w:tcBorders>
              <w:top w:val="nil"/>
              <w:left w:val="nil"/>
              <w:bottom w:val="single" w:sz="4" w:space="0" w:color="auto"/>
              <w:right w:val="single" w:sz="4" w:space="0" w:color="auto"/>
            </w:tcBorders>
            <w:shd w:val="clear" w:color="auto" w:fill="auto"/>
            <w:noWrap/>
            <w:vAlign w:val="center"/>
            <w:hideMark/>
          </w:tcPr>
          <w:p w14:paraId="576C17E1" w14:textId="77777777"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102,3</w:t>
            </w:r>
          </w:p>
        </w:tc>
        <w:tc>
          <w:tcPr>
            <w:tcW w:w="332" w:type="pct"/>
            <w:tcBorders>
              <w:top w:val="nil"/>
              <w:left w:val="nil"/>
              <w:bottom w:val="single" w:sz="4" w:space="0" w:color="auto"/>
              <w:right w:val="single" w:sz="4" w:space="0" w:color="auto"/>
            </w:tcBorders>
            <w:shd w:val="clear" w:color="auto" w:fill="auto"/>
            <w:noWrap/>
            <w:vAlign w:val="center"/>
            <w:hideMark/>
          </w:tcPr>
          <w:p w14:paraId="68DCEB74" w14:textId="77777777"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102,5</w:t>
            </w:r>
          </w:p>
        </w:tc>
        <w:tc>
          <w:tcPr>
            <w:tcW w:w="332" w:type="pct"/>
            <w:tcBorders>
              <w:top w:val="nil"/>
              <w:left w:val="nil"/>
              <w:bottom w:val="single" w:sz="4" w:space="0" w:color="auto"/>
              <w:right w:val="single" w:sz="4" w:space="0" w:color="auto"/>
            </w:tcBorders>
            <w:shd w:val="clear" w:color="auto" w:fill="auto"/>
            <w:noWrap/>
            <w:vAlign w:val="center"/>
            <w:hideMark/>
          </w:tcPr>
          <w:p w14:paraId="7E419D60" w14:textId="77777777"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102,6</w:t>
            </w:r>
          </w:p>
        </w:tc>
        <w:tc>
          <w:tcPr>
            <w:tcW w:w="330" w:type="pct"/>
            <w:tcBorders>
              <w:top w:val="nil"/>
              <w:left w:val="nil"/>
              <w:bottom w:val="single" w:sz="4" w:space="0" w:color="auto"/>
              <w:right w:val="single" w:sz="4" w:space="0" w:color="auto"/>
            </w:tcBorders>
          </w:tcPr>
          <w:p w14:paraId="767B5258" w14:textId="75E497F1"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102,9</w:t>
            </w:r>
          </w:p>
        </w:tc>
        <w:tc>
          <w:tcPr>
            <w:tcW w:w="328" w:type="pct"/>
            <w:tcBorders>
              <w:top w:val="nil"/>
              <w:left w:val="nil"/>
              <w:bottom w:val="single" w:sz="4" w:space="0" w:color="auto"/>
              <w:right w:val="single" w:sz="4" w:space="0" w:color="auto"/>
            </w:tcBorders>
          </w:tcPr>
          <w:p w14:paraId="363F5CB8" w14:textId="1BC32D92"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103,7</w:t>
            </w:r>
          </w:p>
        </w:tc>
      </w:tr>
      <w:tr w:rsidR="007F3D0E" w:rsidRPr="00BF7E57" w14:paraId="3D3B4B8F" w14:textId="77777777" w:rsidTr="000577FA">
        <w:trPr>
          <w:trHeight w:val="373"/>
          <w:jc w:val="center"/>
        </w:trPr>
        <w:tc>
          <w:tcPr>
            <w:tcW w:w="292" w:type="pct"/>
            <w:vMerge/>
            <w:tcBorders>
              <w:top w:val="nil"/>
              <w:left w:val="single" w:sz="4" w:space="0" w:color="auto"/>
              <w:bottom w:val="single" w:sz="4" w:space="0" w:color="auto"/>
              <w:right w:val="single" w:sz="4" w:space="0" w:color="auto"/>
            </w:tcBorders>
            <w:vAlign w:val="center"/>
            <w:hideMark/>
          </w:tcPr>
          <w:p w14:paraId="78FA20BB" w14:textId="77777777" w:rsidR="007F3D0E" w:rsidRPr="00BF7E57" w:rsidRDefault="007F3D0E" w:rsidP="00D96209">
            <w:pPr>
              <w:rPr>
                <w:rFonts w:ascii="Arial" w:hAnsi="Arial" w:cs="Arial"/>
                <w:b/>
                <w:bCs/>
                <w:color w:val="000000"/>
                <w:sz w:val="16"/>
                <w:szCs w:val="16"/>
                <w:lang w:eastAsia="sl-SI"/>
              </w:rPr>
            </w:pPr>
          </w:p>
        </w:tc>
        <w:tc>
          <w:tcPr>
            <w:tcW w:w="2722" w:type="pct"/>
            <w:tcBorders>
              <w:top w:val="nil"/>
              <w:left w:val="nil"/>
              <w:bottom w:val="single" w:sz="4" w:space="0" w:color="auto"/>
              <w:right w:val="single" w:sz="4" w:space="0" w:color="auto"/>
            </w:tcBorders>
            <w:shd w:val="clear" w:color="000000" w:fill="FFFFFF"/>
            <w:noWrap/>
            <w:vAlign w:val="center"/>
            <w:hideMark/>
          </w:tcPr>
          <w:p w14:paraId="2EC69235" w14:textId="77777777" w:rsidR="007F3D0E" w:rsidRPr="00BF7E57" w:rsidRDefault="007F3D0E" w:rsidP="00D96209">
            <w:pPr>
              <w:rPr>
                <w:rFonts w:ascii="Arial" w:hAnsi="Arial" w:cs="Arial"/>
                <w:color w:val="000000"/>
                <w:sz w:val="16"/>
                <w:szCs w:val="16"/>
                <w:lang w:eastAsia="sl-SI"/>
              </w:rPr>
            </w:pPr>
            <w:r w:rsidRPr="00BF7E57">
              <w:rPr>
                <w:rFonts w:ascii="Arial" w:hAnsi="Arial" w:cs="Arial"/>
                <w:color w:val="000000"/>
                <w:sz w:val="16"/>
                <w:szCs w:val="16"/>
                <w:lang w:eastAsia="sl-SI"/>
              </w:rPr>
              <w:t>Gostota prebivalstva v podeželskih regijah (prebivalcev/km2)</w:t>
            </w:r>
          </w:p>
        </w:tc>
        <w:tc>
          <w:tcPr>
            <w:tcW w:w="332" w:type="pct"/>
            <w:tcBorders>
              <w:top w:val="nil"/>
              <w:left w:val="nil"/>
              <w:bottom w:val="single" w:sz="4" w:space="0" w:color="auto"/>
              <w:right w:val="single" w:sz="4" w:space="0" w:color="auto"/>
            </w:tcBorders>
            <w:shd w:val="clear" w:color="auto" w:fill="auto"/>
            <w:vAlign w:val="center"/>
            <w:hideMark/>
          </w:tcPr>
          <w:p w14:paraId="12E3C0DE" w14:textId="77777777" w:rsidR="007F3D0E" w:rsidRPr="00BF7E57" w:rsidRDefault="007F3D0E" w:rsidP="00D96209">
            <w:pPr>
              <w:jc w:val="right"/>
              <w:rPr>
                <w:rFonts w:ascii="Arial" w:hAnsi="Arial" w:cs="Arial"/>
                <w:b/>
                <w:bCs/>
                <w:color w:val="000000"/>
                <w:sz w:val="16"/>
                <w:szCs w:val="16"/>
                <w:lang w:eastAsia="sl-SI"/>
              </w:rPr>
            </w:pPr>
            <w:r w:rsidRPr="00BF7E57">
              <w:rPr>
                <w:rFonts w:ascii="Arial" w:hAnsi="Arial" w:cs="Arial"/>
                <w:b/>
                <w:bCs/>
                <w:color w:val="000000"/>
                <w:sz w:val="16"/>
                <w:szCs w:val="16"/>
                <w:lang w:eastAsia="sl-SI"/>
              </w:rPr>
              <w:t>-</w:t>
            </w:r>
          </w:p>
        </w:tc>
        <w:tc>
          <w:tcPr>
            <w:tcW w:w="332" w:type="pct"/>
            <w:tcBorders>
              <w:top w:val="nil"/>
              <w:left w:val="nil"/>
              <w:bottom w:val="single" w:sz="4" w:space="0" w:color="auto"/>
              <w:right w:val="single" w:sz="4" w:space="0" w:color="auto"/>
            </w:tcBorders>
            <w:shd w:val="clear" w:color="auto" w:fill="auto"/>
            <w:noWrap/>
            <w:vAlign w:val="center"/>
            <w:hideMark/>
          </w:tcPr>
          <w:p w14:paraId="466AAE4F" w14:textId="77777777" w:rsidR="007F3D0E" w:rsidRPr="00BF7E57" w:rsidRDefault="007F3D0E" w:rsidP="00D96209">
            <w:pPr>
              <w:jc w:val="right"/>
              <w:rPr>
                <w:rFonts w:ascii="Arial" w:hAnsi="Arial" w:cs="Arial"/>
                <w:color w:val="000000"/>
                <w:sz w:val="16"/>
                <w:szCs w:val="16"/>
                <w:lang w:eastAsia="sl-SI"/>
              </w:rPr>
            </w:pPr>
            <w:r w:rsidRPr="00BF7E57">
              <w:rPr>
                <w:rFonts w:ascii="Arial" w:hAnsi="Arial" w:cs="Arial"/>
                <w:color w:val="000000"/>
                <w:sz w:val="16"/>
                <w:szCs w:val="16"/>
                <w:lang w:eastAsia="sl-SI"/>
              </w:rPr>
              <w:t>82,90</w:t>
            </w:r>
          </w:p>
        </w:tc>
        <w:tc>
          <w:tcPr>
            <w:tcW w:w="332" w:type="pct"/>
            <w:tcBorders>
              <w:top w:val="nil"/>
              <w:left w:val="nil"/>
              <w:bottom w:val="single" w:sz="4" w:space="0" w:color="auto"/>
              <w:right w:val="single" w:sz="4" w:space="0" w:color="auto"/>
            </w:tcBorders>
            <w:shd w:val="clear" w:color="auto" w:fill="auto"/>
            <w:noWrap/>
            <w:vAlign w:val="center"/>
            <w:hideMark/>
          </w:tcPr>
          <w:p w14:paraId="05ADE63E" w14:textId="77777777" w:rsidR="007F3D0E" w:rsidRPr="00BF7E57" w:rsidRDefault="007F3D0E" w:rsidP="00D96209">
            <w:pPr>
              <w:jc w:val="right"/>
              <w:rPr>
                <w:rFonts w:ascii="Arial" w:hAnsi="Arial" w:cs="Arial"/>
                <w:color w:val="000000"/>
                <w:sz w:val="16"/>
                <w:szCs w:val="16"/>
                <w:lang w:eastAsia="sl-SI"/>
              </w:rPr>
            </w:pPr>
            <w:r w:rsidRPr="00BF7E57">
              <w:rPr>
                <w:rFonts w:ascii="Arial" w:hAnsi="Arial" w:cs="Arial"/>
                <w:color w:val="000000"/>
                <w:sz w:val="16"/>
                <w:szCs w:val="16"/>
                <w:lang w:eastAsia="sl-SI"/>
              </w:rPr>
              <w:t>82,60</w:t>
            </w:r>
          </w:p>
        </w:tc>
        <w:tc>
          <w:tcPr>
            <w:tcW w:w="332" w:type="pct"/>
            <w:tcBorders>
              <w:top w:val="nil"/>
              <w:left w:val="nil"/>
              <w:bottom w:val="single" w:sz="4" w:space="0" w:color="auto"/>
              <w:right w:val="single" w:sz="4" w:space="0" w:color="auto"/>
            </w:tcBorders>
            <w:shd w:val="clear" w:color="auto" w:fill="auto"/>
            <w:noWrap/>
            <w:vAlign w:val="center"/>
            <w:hideMark/>
          </w:tcPr>
          <w:p w14:paraId="7B668E52" w14:textId="77777777" w:rsidR="007F3D0E" w:rsidRPr="00BF7E57" w:rsidRDefault="007F3D0E" w:rsidP="00D96209">
            <w:pPr>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330" w:type="pct"/>
            <w:tcBorders>
              <w:top w:val="nil"/>
              <w:left w:val="nil"/>
              <w:bottom w:val="single" w:sz="4" w:space="0" w:color="auto"/>
              <w:right w:val="nil"/>
            </w:tcBorders>
          </w:tcPr>
          <w:p w14:paraId="161FE6CD" w14:textId="77777777" w:rsidR="007F3D0E" w:rsidRPr="00BF7E57" w:rsidRDefault="007F3D0E" w:rsidP="00D96209">
            <w:pPr>
              <w:jc w:val="right"/>
              <w:rPr>
                <w:rFonts w:ascii="Arial" w:hAnsi="Arial" w:cs="Arial"/>
                <w:color w:val="000000"/>
                <w:sz w:val="16"/>
                <w:szCs w:val="16"/>
                <w:lang w:eastAsia="sl-SI"/>
              </w:rPr>
            </w:pPr>
          </w:p>
        </w:tc>
        <w:tc>
          <w:tcPr>
            <w:tcW w:w="328" w:type="pct"/>
            <w:tcBorders>
              <w:top w:val="nil"/>
              <w:left w:val="nil"/>
              <w:bottom w:val="single" w:sz="4" w:space="0" w:color="auto"/>
              <w:right w:val="single" w:sz="4" w:space="0" w:color="auto"/>
            </w:tcBorders>
          </w:tcPr>
          <w:p w14:paraId="286EC9AA" w14:textId="7412F3CD" w:rsidR="007F3D0E" w:rsidRPr="00BF7E57" w:rsidRDefault="007F3D0E" w:rsidP="00D96209">
            <w:pPr>
              <w:jc w:val="right"/>
              <w:rPr>
                <w:rFonts w:ascii="Arial" w:hAnsi="Arial" w:cs="Arial"/>
                <w:color w:val="000000"/>
                <w:sz w:val="16"/>
                <w:szCs w:val="16"/>
                <w:lang w:eastAsia="sl-SI"/>
              </w:rPr>
            </w:pPr>
          </w:p>
        </w:tc>
      </w:tr>
    </w:tbl>
    <w:p w14:paraId="26CE8DC2" w14:textId="77777777" w:rsidR="00D96209" w:rsidRPr="00BF7E57" w:rsidRDefault="00D96209" w:rsidP="00D96209">
      <w:pPr>
        <w:spacing w:before="120" w:after="240" w:line="264" w:lineRule="auto"/>
        <w:rPr>
          <w:rFonts w:ascii="Arial" w:eastAsia="Arial" w:hAnsi="Arial" w:cs="Arial"/>
          <w:bCs/>
          <w:sz w:val="16"/>
          <w:szCs w:val="16"/>
        </w:rPr>
      </w:pPr>
      <w:r w:rsidRPr="00BF7E57">
        <w:rPr>
          <w:rFonts w:ascii="Arial" w:eastAsia="Arial" w:hAnsi="Arial" w:cs="Arial"/>
          <w:bCs/>
          <w:sz w:val="16"/>
          <w:szCs w:val="16"/>
        </w:rPr>
        <w:t xml:space="preserve">Vir: C.02 - </w:t>
      </w:r>
      <w:r w:rsidRPr="00BF7E57">
        <w:rPr>
          <w:rFonts w:ascii="Arial" w:eastAsia="Calibri" w:hAnsi="Arial"/>
          <w:sz w:val="16"/>
          <w:szCs w:val="16"/>
        </w:rPr>
        <w:t>- Dashboard Indicators</w:t>
      </w:r>
      <w:r w:rsidRPr="00BF7E57">
        <w:rPr>
          <w:rFonts w:ascii="Arial" w:hAnsi="Arial" w:cs="Arial"/>
          <w:sz w:val="16"/>
          <w:szCs w:val="16"/>
        </w:rPr>
        <w:t xml:space="preserve"> </w:t>
      </w:r>
      <w:r w:rsidRPr="00BF7E57">
        <w:rPr>
          <w:rFonts w:ascii="Arial" w:eastAsia="Arial" w:hAnsi="Arial" w:cs="Arial"/>
          <w:bCs/>
          <w:sz w:val="16"/>
          <w:szCs w:val="16"/>
        </w:rPr>
        <w:t>https://agridata.ec.europa.eu/extensions/DashboardIndicators/DataExplorer.html?select=EU27_FLAG,1)</w:t>
      </w:r>
    </w:p>
    <w:p w14:paraId="5D211907" w14:textId="27F3FB94" w:rsidR="00D96209" w:rsidRPr="00BF7E57" w:rsidRDefault="00D96209" w:rsidP="00D96209">
      <w:pPr>
        <w:spacing w:before="120" w:after="240" w:line="360" w:lineRule="auto"/>
        <w:jc w:val="both"/>
        <w:rPr>
          <w:rFonts w:ascii="Arial" w:hAnsi="Arial" w:cs="Arial"/>
          <w:sz w:val="20"/>
          <w:szCs w:val="20"/>
        </w:rPr>
      </w:pPr>
      <w:r w:rsidRPr="00BF7E57">
        <w:rPr>
          <w:rFonts w:ascii="Arial" w:eastAsia="Arial" w:hAnsi="Arial" w:cs="Arial"/>
          <w:bCs/>
          <w:sz w:val="20"/>
          <w:szCs w:val="20"/>
        </w:rPr>
        <w:t>Za Slovenijo so značilna izredno redko poseljena obmejna območja.</w:t>
      </w:r>
      <w:r w:rsidRPr="00BF7E57">
        <w:rPr>
          <w:rFonts w:ascii="Arial" w:eastAsia="Arial" w:hAnsi="Arial" w:cs="Arial"/>
          <w:sz w:val="20"/>
          <w:szCs w:val="20"/>
        </w:rPr>
        <w:t xml:space="preserve"> V obmejna problemska območja sodi kar 85 občin, ki zajemajo 48 % </w:t>
      </w:r>
      <w:r w:rsidR="00AF7D91" w:rsidRPr="00BF7E57">
        <w:rPr>
          <w:rFonts w:ascii="Arial" w:eastAsia="Arial" w:hAnsi="Arial" w:cs="Arial"/>
          <w:sz w:val="20"/>
          <w:szCs w:val="20"/>
        </w:rPr>
        <w:t xml:space="preserve">površine </w:t>
      </w:r>
      <w:r w:rsidRPr="00BF7E57">
        <w:rPr>
          <w:rFonts w:ascii="Arial" w:eastAsia="Arial" w:hAnsi="Arial" w:cs="Arial"/>
          <w:sz w:val="20"/>
          <w:szCs w:val="20"/>
        </w:rPr>
        <w:t xml:space="preserve">in </w:t>
      </w:r>
      <w:r w:rsidRPr="00BF7E57">
        <w:rPr>
          <w:rFonts w:ascii="Arial" w:hAnsi="Arial" w:cs="Arial"/>
          <w:sz w:val="20"/>
          <w:szCs w:val="20"/>
        </w:rPr>
        <w:t>21,8 % prebivalcev</w:t>
      </w:r>
      <w:r w:rsidR="00AF7D91" w:rsidRPr="00BF7E57">
        <w:rPr>
          <w:rFonts w:ascii="Arial" w:hAnsi="Arial" w:cs="Arial"/>
          <w:sz w:val="20"/>
          <w:szCs w:val="20"/>
        </w:rPr>
        <w:t xml:space="preserve"> Slovenije</w:t>
      </w:r>
      <w:r w:rsidRPr="00BF7E57">
        <w:rPr>
          <w:rFonts w:ascii="Arial" w:hAnsi="Arial" w:cs="Arial"/>
          <w:sz w:val="20"/>
          <w:szCs w:val="20"/>
        </w:rPr>
        <w:t>. Obmejna območja s slabo socialno-ekonomsko strukturo so zlasti v vzhodni in južni Sloveniji</w:t>
      </w:r>
      <w:r w:rsidR="002C4564" w:rsidRPr="00BF7E57">
        <w:rPr>
          <w:rFonts w:ascii="Arial" w:hAnsi="Arial" w:cs="Arial"/>
          <w:sz w:val="20"/>
          <w:szCs w:val="20"/>
        </w:rPr>
        <w:t>.</w:t>
      </w:r>
      <w:r w:rsidRPr="00BF7E57">
        <w:rPr>
          <w:rFonts w:ascii="Arial" w:hAnsi="Arial" w:cs="Arial"/>
          <w:sz w:val="20"/>
          <w:szCs w:val="20"/>
        </w:rPr>
        <w:t xml:space="preserve"> </w:t>
      </w:r>
      <w:r w:rsidR="002C4564" w:rsidRPr="00BF7E57">
        <w:rPr>
          <w:rFonts w:ascii="Arial" w:hAnsi="Arial" w:cs="Arial"/>
          <w:sz w:val="20"/>
          <w:szCs w:val="20"/>
        </w:rPr>
        <w:t>O</w:t>
      </w:r>
      <w:r w:rsidRPr="00BF7E57">
        <w:rPr>
          <w:rFonts w:ascii="Arial" w:hAnsi="Arial" w:cs="Arial"/>
          <w:sz w:val="20"/>
          <w:szCs w:val="20"/>
        </w:rPr>
        <w:t>bmočja s slabo prostorsko strukturo so Posočje, Koroška, območja v jugovzhodni Sloveniji</w:t>
      </w:r>
      <w:r w:rsidR="002C4564" w:rsidRPr="00BF7E57">
        <w:rPr>
          <w:rFonts w:ascii="Arial" w:hAnsi="Arial" w:cs="Arial"/>
          <w:sz w:val="20"/>
          <w:szCs w:val="20"/>
        </w:rPr>
        <w:t>,</w:t>
      </w:r>
      <w:r w:rsidRPr="00BF7E57">
        <w:rPr>
          <w:rFonts w:ascii="Arial" w:hAnsi="Arial" w:cs="Arial"/>
          <w:sz w:val="20"/>
          <w:szCs w:val="20"/>
        </w:rPr>
        <w:t xml:space="preserve"> razvojno najbolj ogrožena območja pa so Goričko, deli Koroške in Pokolpje</w:t>
      </w:r>
      <w:r w:rsidRPr="00BF7E57">
        <w:rPr>
          <w:rFonts w:ascii="Arial" w:hAnsi="Arial" w:cs="Arial"/>
          <w:sz w:val="20"/>
          <w:szCs w:val="20"/>
          <w:vertAlign w:val="superscript"/>
        </w:rPr>
        <w:footnoteReference w:id="2"/>
      </w:r>
      <w:r w:rsidRPr="00BF7E57">
        <w:rPr>
          <w:rFonts w:ascii="Arial" w:hAnsi="Arial" w:cs="Arial"/>
          <w:sz w:val="20"/>
          <w:szCs w:val="20"/>
        </w:rPr>
        <w:t>.</w:t>
      </w:r>
    </w:p>
    <w:p w14:paraId="59C9FB4E" w14:textId="7CAB5A9C" w:rsidR="00D96209" w:rsidRPr="00BF7E57" w:rsidRDefault="00D96209" w:rsidP="00D96209">
      <w:pPr>
        <w:spacing w:before="120" w:after="240" w:line="360" w:lineRule="auto"/>
        <w:jc w:val="both"/>
        <w:rPr>
          <w:rFonts w:ascii="Arial" w:hAnsi="Arial" w:cs="Arial"/>
          <w:sz w:val="20"/>
          <w:szCs w:val="20"/>
        </w:rPr>
      </w:pPr>
      <w:r w:rsidRPr="00BF7E57">
        <w:rPr>
          <w:rFonts w:ascii="Arial" w:hAnsi="Arial" w:cs="Arial"/>
          <w:sz w:val="20"/>
          <w:szCs w:val="20"/>
        </w:rPr>
        <w:t>Slovenija ima danes star demografski režim z nizko rodnostjo in smrtnostjo. Povprečna starost prebivalstva RS v letu 2020 je bila 43,5 leta; indeks staranja pa 134,3. Povečuje se delež prebivalcev starejših od 65 let. V letu 2020 je</w:t>
      </w:r>
      <w:r w:rsidRPr="00BF7E57">
        <w:rPr>
          <w:rFonts w:ascii="Arial" w:hAnsi="Arial" w:cs="Arial"/>
          <w:sz w:val="20"/>
        </w:rPr>
        <w:t xml:space="preserve"> delež </w:t>
      </w:r>
      <w:r w:rsidRPr="00BF7E57">
        <w:rPr>
          <w:rFonts w:ascii="Arial" w:hAnsi="Arial" w:cs="Arial"/>
          <w:sz w:val="20"/>
          <w:szCs w:val="20"/>
        </w:rPr>
        <w:t>prebivalcev, mlajših od 15 let, 15,1 % od celotnega števila prebivalcev Slovenije in se rahlo povečuje</w:t>
      </w:r>
      <w:r w:rsidR="002C4564" w:rsidRPr="00BF7E57">
        <w:rPr>
          <w:rFonts w:ascii="Arial" w:hAnsi="Arial" w:cs="Arial"/>
          <w:sz w:val="20"/>
          <w:szCs w:val="20"/>
        </w:rPr>
        <w:t>,</w:t>
      </w:r>
      <w:r w:rsidRPr="00BF7E57">
        <w:rPr>
          <w:rFonts w:ascii="Arial" w:hAnsi="Arial" w:cs="Arial"/>
          <w:sz w:val="20"/>
          <w:szCs w:val="20"/>
        </w:rPr>
        <w:t xml:space="preserve"> delež starejših od 65 let pa 20,2 % in se povečuje. Dolgoletno povprečje kaže, da delež prebivalcev starih 65 let in več presega dolgoletno povprečje prebivalcev starih pod 15 let. </w:t>
      </w:r>
    </w:p>
    <w:p w14:paraId="20EA4326" w14:textId="5958F785" w:rsidR="00232E6B" w:rsidRPr="00BF7E57" w:rsidRDefault="00232E6B" w:rsidP="001427AE">
      <w:pPr>
        <w:pStyle w:val="Napis"/>
      </w:pPr>
      <w:bookmarkStart w:id="14" w:name="_Ref84597323"/>
      <w:bookmarkStart w:id="15" w:name="_Ref84597311"/>
      <w:bookmarkStart w:id="16" w:name="_Ref29974531"/>
      <w:bookmarkStart w:id="17" w:name="_Toc55913719"/>
      <w:bookmarkStart w:id="18" w:name="_Toc86826443"/>
      <w:r w:rsidRPr="00BF7E57">
        <w:lastRenderedPageBreak/>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5</w:t>
      </w:r>
      <w:r w:rsidR="00A30B83" w:rsidRPr="00BF7E57">
        <w:rPr>
          <w:noProof/>
        </w:rPr>
        <w:fldChar w:fldCharType="end"/>
      </w:r>
      <w:bookmarkEnd w:id="14"/>
      <w:r w:rsidRPr="00BF7E57">
        <w:t>: Starostna struktura prebivalstva v Sloveniji</w:t>
      </w:r>
      <w:bookmarkEnd w:id="15"/>
      <w:bookmarkEnd w:id="18"/>
    </w:p>
    <w:bookmarkEnd w:id="16"/>
    <w:bookmarkEnd w:id="17"/>
    <w:p w14:paraId="3B54A914" w14:textId="143F53E0" w:rsidR="00D96209" w:rsidRPr="00BF7E57" w:rsidRDefault="00D96209" w:rsidP="001427AE">
      <w:pPr>
        <w:pStyle w:val="Napis"/>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4272"/>
        <w:gridCol w:w="611"/>
        <w:gridCol w:w="611"/>
        <w:gridCol w:w="631"/>
        <w:gridCol w:w="600"/>
        <w:gridCol w:w="600"/>
        <w:gridCol w:w="600"/>
        <w:gridCol w:w="594"/>
      </w:tblGrid>
      <w:tr w:rsidR="00135CC4" w:rsidRPr="00BF7E57" w14:paraId="3126588A" w14:textId="77777777" w:rsidTr="000577FA">
        <w:trPr>
          <w:trHeight w:val="315"/>
        </w:trPr>
        <w:tc>
          <w:tcPr>
            <w:tcW w:w="300" w:type="pct"/>
            <w:shd w:val="clear" w:color="000000" w:fill="92D050"/>
            <w:noWrap/>
            <w:vAlign w:val="bottom"/>
            <w:hideMark/>
          </w:tcPr>
          <w:p w14:paraId="39E72887" w14:textId="77777777" w:rsidR="00135CC4" w:rsidRPr="00BF7E57" w:rsidRDefault="00135CC4" w:rsidP="00135CC4">
            <w:pPr>
              <w:rPr>
                <w:rFonts w:ascii="Arial" w:hAnsi="Arial" w:cs="Arial"/>
                <w:b/>
                <w:bCs/>
                <w:color w:val="000000"/>
                <w:sz w:val="16"/>
                <w:szCs w:val="16"/>
                <w:lang w:eastAsia="sl-SI"/>
              </w:rPr>
            </w:pPr>
            <w:r w:rsidRPr="00BF7E57">
              <w:rPr>
                <w:rFonts w:ascii="Arial" w:hAnsi="Arial" w:cs="Arial"/>
                <w:b/>
                <w:bCs/>
                <w:color w:val="000000"/>
                <w:sz w:val="16"/>
                <w:szCs w:val="16"/>
                <w:lang w:eastAsia="sl-SI"/>
              </w:rPr>
              <w:t>C.03</w:t>
            </w:r>
          </w:p>
        </w:tc>
        <w:tc>
          <w:tcPr>
            <w:tcW w:w="2357" w:type="pct"/>
            <w:shd w:val="clear" w:color="000000" w:fill="92D050"/>
            <w:noWrap/>
            <w:vAlign w:val="bottom"/>
            <w:hideMark/>
          </w:tcPr>
          <w:p w14:paraId="740A88B9" w14:textId="77777777" w:rsidR="00135CC4" w:rsidRPr="00BF7E57" w:rsidRDefault="00135CC4" w:rsidP="00135CC4">
            <w:pPr>
              <w:rPr>
                <w:rFonts w:ascii="Arial" w:hAnsi="Arial" w:cs="Arial"/>
                <w:b/>
                <w:bCs/>
                <w:color w:val="000000"/>
                <w:sz w:val="16"/>
                <w:szCs w:val="16"/>
                <w:lang w:eastAsia="sl-SI"/>
              </w:rPr>
            </w:pPr>
            <w:r w:rsidRPr="00BF7E57">
              <w:rPr>
                <w:rFonts w:ascii="Arial" w:hAnsi="Arial" w:cs="Arial"/>
                <w:b/>
                <w:bCs/>
                <w:color w:val="000000"/>
                <w:sz w:val="16"/>
                <w:szCs w:val="16"/>
                <w:lang w:eastAsia="sl-SI"/>
              </w:rPr>
              <w:t>Starostna struktura prebivalstva</w:t>
            </w:r>
          </w:p>
        </w:tc>
        <w:tc>
          <w:tcPr>
            <w:tcW w:w="337" w:type="pct"/>
            <w:shd w:val="clear" w:color="000000" w:fill="92D050"/>
            <w:noWrap/>
            <w:vAlign w:val="center"/>
            <w:hideMark/>
          </w:tcPr>
          <w:p w14:paraId="532C1E90"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2010</w:t>
            </w:r>
          </w:p>
        </w:tc>
        <w:tc>
          <w:tcPr>
            <w:tcW w:w="337" w:type="pct"/>
            <w:shd w:val="clear" w:color="000000" w:fill="92D050"/>
            <w:noWrap/>
            <w:vAlign w:val="center"/>
            <w:hideMark/>
          </w:tcPr>
          <w:p w14:paraId="5E9D4FCE"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2013</w:t>
            </w:r>
          </w:p>
        </w:tc>
        <w:tc>
          <w:tcPr>
            <w:tcW w:w="348" w:type="pct"/>
            <w:shd w:val="clear" w:color="000000" w:fill="92D050"/>
            <w:noWrap/>
            <w:vAlign w:val="center"/>
            <w:hideMark/>
          </w:tcPr>
          <w:p w14:paraId="540B7557"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2016</w:t>
            </w:r>
          </w:p>
        </w:tc>
        <w:tc>
          <w:tcPr>
            <w:tcW w:w="331" w:type="pct"/>
            <w:shd w:val="clear" w:color="000000" w:fill="92D050"/>
            <w:noWrap/>
            <w:vAlign w:val="center"/>
            <w:hideMark/>
          </w:tcPr>
          <w:p w14:paraId="56A16CD6"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2017</w:t>
            </w:r>
          </w:p>
        </w:tc>
        <w:tc>
          <w:tcPr>
            <w:tcW w:w="331" w:type="pct"/>
            <w:shd w:val="clear" w:color="000000" w:fill="92D050"/>
            <w:noWrap/>
            <w:vAlign w:val="center"/>
            <w:hideMark/>
          </w:tcPr>
          <w:p w14:paraId="09D92C9B"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2018</w:t>
            </w:r>
          </w:p>
        </w:tc>
        <w:tc>
          <w:tcPr>
            <w:tcW w:w="331" w:type="pct"/>
            <w:shd w:val="clear" w:color="000000" w:fill="92D050"/>
            <w:vAlign w:val="center"/>
          </w:tcPr>
          <w:p w14:paraId="0FA63006" w14:textId="0DE25C3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2019</w:t>
            </w:r>
          </w:p>
        </w:tc>
        <w:tc>
          <w:tcPr>
            <w:tcW w:w="328" w:type="pct"/>
            <w:shd w:val="clear" w:color="000000" w:fill="92D050"/>
            <w:noWrap/>
            <w:vAlign w:val="center"/>
            <w:hideMark/>
          </w:tcPr>
          <w:p w14:paraId="6B90E822" w14:textId="566C3E3A"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2020</w:t>
            </w:r>
          </w:p>
        </w:tc>
      </w:tr>
      <w:tr w:rsidR="00135CC4" w:rsidRPr="00BF7E57" w14:paraId="5F9ADFCF" w14:textId="77777777" w:rsidTr="000577FA">
        <w:trPr>
          <w:trHeight w:val="315"/>
        </w:trPr>
        <w:tc>
          <w:tcPr>
            <w:tcW w:w="300" w:type="pct"/>
            <w:vMerge w:val="restart"/>
            <w:shd w:val="clear" w:color="auto" w:fill="auto"/>
            <w:noWrap/>
            <w:vAlign w:val="bottom"/>
            <w:hideMark/>
          </w:tcPr>
          <w:p w14:paraId="271F6719"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 </w:t>
            </w:r>
          </w:p>
        </w:tc>
        <w:tc>
          <w:tcPr>
            <w:tcW w:w="2357" w:type="pct"/>
            <w:shd w:val="clear" w:color="auto" w:fill="auto"/>
            <w:vAlign w:val="bottom"/>
            <w:hideMark/>
          </w:tcPr>
          <w:p w14:paraId="7AC2F010"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v podeželskih regijah po starostnih skupinah - 15-64 let</w:t>
            </w:r>
          </w:p>
        </w:tc>
        <w:tc>
          <w:tcPr>
            <w:tcW w:w="337" w:type="pct"/>
            <w:shd w:val="clear" w:color="auto" w:fill="auto"/>
            <w:noWrap/>
            <w:vAlign w:val="center"/>
            <w:hideMark/>
          </w:tcPr>
          <w:p w14:paraId="238088AE"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69,47</w:t>
            </w:r>
          </w:p>
        </w:tc>
        <w:tc>
          <w:tcPr>
            <w:tcW w:w="337" w:type="pct"/>
            <w:shd w:val="clear" w:color="auto" w:fill="auto"/>
            <w:noWrap/>
            <w:vAlign w:val="center"/>
            <w:hideMark/>
          </w:tcPr>
          <w:p w14:paraId="15084039"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68,55</w:t>
            </w:r>
          </w:p>
        </w:tc>
        <w:tc>
          <w:tcPr>
            <w:tcW w:w="348" w:type="pct"/>
            <w:shd w:val="clear" w:color="auto" w:fill="auto"/>
            <w:noWrap/>
            <w:vAlign w:val="center"/>
            <w:hideMark/>
          </w:tcPr>
          <w:p w14:paraId="78948958"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66,85</w:t>
            </w:r>
          </w:p>
        </w:tc>
        <w:tc>
          <w:tcPr>
            <w:tcW w:w="331" w:type="pct"/>
            <w:shd w:val="clear" w:color="auto" w:fill="auto"/>
            <w:noWrap/>
            <w:vAlign w:val="center"/>
            <w:hideMark/>
          </w:tcPr>
          <w:p w14:paraId="7565EF79"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66,26</w:t>
            </w:r>
          </w:p>
        </w:tc>
        <w:tc>
          <w:tcPr>
            <w:tcW w:w="331" w:type="pct"/>
            <w:shd w:val="clear" w:color="auto" w:fill="auto"/>
            <w:noWrap/>
            <w:vAlign w:val="center"/>
            <w:hideMark/>
          </w:tcPr>
          <w:p w14:paraId="62A0F48F"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65,60</w:t>
            </w:r>
          </w:p>
        </w:tc>
        <w:tc>
          <w:tcPr>
            <w:tcW w:w="331" w:type="pct"/>
            <w:shd w:val="clear" w:color="auto" w:fill="auto"/>
            <w:vAlign w:val="center"/>
          </w:tcPr>
          <w:p w14:paraId="415325B3" w14:textId="3FF86F4A"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65,02</w:t>
            </w:r>
          </w:p>
        </w:tc>
        <w:tc>
          <w:tcPr>
            <w:tcW w:w="328" w:type="pct"/>
            <w:shd w:val="clear" w:color="auto" w:fill="auto"/>
            <w:noWrap/>
            <w:vAlign w:val="center"/>
            <w:hideMark/>
          </w:tcPr>
          <w:p w14:paraId="53D2F8AD" w14:textId="35FAECC9"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64,57</w:t>
            </w:r>
          </w:p>
        </w:tc>
      </w:tr>
      <w:tr w:rsidR="00135CC4" w:rsidRPr="00BF7E57" w14:paraId="30696B9E" w14:textId="77777777" w:rsidTr="000577FA">
        <w:trPr>
          <w:trHeight w:val="315"/>
        </w:trPr>
        <w:tc>
          <w:tcPr>
            <w:tcW w:w="300" w:type="pct"/>
            <w:vMerge/>
            <w:vAlign w:val="center"/>
            <w:hideMark/>
          </w:tcPr>
          <w:p w14:paraId="5388F5AB"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4845896C"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v podeželskih regijah po starostnih skupinah - 65 let ali več</w:t>
            </w:r>
          </w:p>
        </w:tc>
        <w:tc>
          <w:tcPr>
            <w:tcW w:w="337" w:type="pct"/>
            <w:shd w:val="clear" w:color="auto" w:fill="auto"/>
            <w:noWrap/>
            <w:vAlign w:val="center"/>
            <w:hideMark/>
          </w:tcPr>
          <w:p w14:paraId="2EB5C815"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16,75</w:t>
            </w:r>
          </w:p>
        </w:tc>
        <w:tc>
          <w:tcPr>
            <w:tcW w:w="337" w:type="pct"/>
            <w:shd w:val="clear" w:color="auto" w:fill="auto"/>
            <w:noWrap/>
            <w:vAlign w:val="center"/>
            <w:hideMark/>
          </w:tcPr>
          <w:p w14:paraId="0EC98AE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17,39</w:t>
            </w:r>
          </w:p>
        </w:tc>
        <w:tc>
          <w:tcPr>
            <w:tcW w:w="348" w:type="pct"/>
            <w:shd w:val="clear" w:color="auto" w:fill="auto"/>
            <w:noWrap/>
            <w:vAlign w:val="center"/>
            <w:hideMark/>
          </w:tcPr>
          <w:p w14:paraId="64E34989"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18,77</w:t>
            </w:r>
          </w:p>
        </w:tc>
        <w:tc>
          <w:tcPr>
            <w:tcW w:w="331" w:type="pct"/>
            <w:shd w:val="clear" w:color="auto" w:fill="auto"/>
            <w:noWrap/>
            <w:vAlign w:val="center"/>
            <w:hideMark/>
          </w:tcPr>
          <w:p w14:paraId="7E8909BF"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19,28</w:t>
            </w:r>
          </w:p>
        </w:tc>
        <w:tc>
          <w:tcPr>
            <w:tcW w:w="331" w:type="pct"/>
            <w:shd w:val="clear" w:color="auto" w:fill="auto"/>
            <w:noWrap/>
            <w:vAlign w:val="center"/>
            <w:hideMark/>
          </w:tcPr>
          <w:p w14:paraId="6A47E3B0"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19,84</w:t>
            </w:r>
          </w:p>
        </w:tc>
        <w:tc>
          <w:tcPr>
            <w:tcW w:w="331" w:type="pct"/>
            <w:shd w:val="clear" w:color="auto" w:fill="auto"/>
            <w:vAlign w:val="center"/>
          </w:tcPr>
          <w:p w14:paraId="24201AAB" w14:textId="38D24466"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20,36</w:t>
            </w:r>
          </w:p>
        </w:tc>
        <w:tc>
          <w:tcPr>
            <w:tcW w:w="328" w:type="pct"/>
            <w:shd w:val="clear" w:color="auto" w:fill="auto"/>
            <w:noWrap/>
            <w:vAlign w:val="center"/>
            <w:hideMark/>
          </w:tcPr>
          <w:p w14:paraId="62F6C827" w14:textId="021BA4C3"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20,80</w:t>
            </w:r>
          </w:p>
        </w:tc>
      </w:tr>
      <w:tr w:rsidR="00135CC4" w:rsidRPr="00BF7E57" w14:paraId="1B5B2B60" w14:textId="77777777" w:rsidTr="000577FA">
        <w:trPr>
          <w:trHeight w:val="345"/>
        </w:trPr>
        <w:tc>
          <w:tcPr>
            <w:tcW w:w="300" w:type="pct"/>
            <w:vMerge/>
            <w:vAlign w:val="center"/>
            <w:hideMark/>
          </w:tcPr>
          <w:p w14:paraId="57525201"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0C20E6C1"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v podeželskih regijah po starostnih skupinah - manj kot 15 let</w:t>
            </w:r>
          </w:p>
        </w:tc>
        <w:tc>
          <w:tcPr>
            <w:tcW w:w="337" w:type="pct"/>
            <w:shd w:val="clear" w:color="auto" w:fill="auto"/>
            <w:noWrap/>
            <w:vAlign w:val="center"/>
            <w:hideMark/>
          </w:tcPr>
          <w:p w14:paraId="65412D4A"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13,78</w:t>
            </w:r>
          </w:p>
        </w:tc>
        <w:tc>
          <w:tcPr>
            <w:tcW w:w="337" w:type="pct"/>
            <w:shd w:val="clear" w:color="auto" w:fill="auto"/>
            <w:noWrap/>
            <w:vAlign w:val="center"/>
            <w:hideMark/>
          </w:tcPr>
          <w:p w14:paraId="10734C0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14,07</w:t>
            </w:r>
          </w:p>
        </w:tc>
        <w:tc>
          <w:tcPr>
            <w:tcW w:w="348" w:type="pct"/>
            <w:shd w:val="clear" w:color="auto" w:fill="auto"/>
            <w:noWrap/>
            <w:vAlign w:val="center"/>
            <w:hideMark/>
          </w:tcPr>
          <w:p w14:paraId="32392BDF"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14,38</w:t>
            </w:r>
          </w:p>
        </w:tc>
        <w:tc>
          <w:tcPr>
            <w:tcW w:w="331" w:type="pct"/>
            <w:shd w:val="clear" w:color="auto" w:fill="auto"/>
            <w:noWrap/>
            <w:vAlign w:val="center"/>
            <w:hideMark/>
          </w:tcPr>
          <w:p w14:paraId="5654D6BD"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14,46</w:t>
            </w:r>
          </w:p>
        </w:tc>
        <w:tc>
          <w:tcPr>
            <w:tcW w:w="331" w:type="pct"/>
            <w:shd w:val="clear" w:color="auto" w:fill="auto"/>
            <w:noWrap/>
            <w:vAlign w:val="center"/>
            <w:hideMark/>
          </w:tcPr>
          <w:p w14:paraId="0FBEEA81"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14,56</w:t>
            </w:r>
          </w:p>
        </w:tc>
        <w:tc>
          <w:tcPr>
            <w:tcW w:w="331" w:type="pct"/>
            <w:shd w:val="clear" w:color="auto" w:fill="auto"/>
            <w:vAlign w:val="center"/>
          </w:tcPr>
          <w:p w14:paraId="1F7A883D" w14:textId="1B0805FC"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14,62</w:t>
            </w:r>
          </w:p>
        </w:tc>
        <w:tc>
          <w:tcPr>
            <w:tcW w:w="328" w:type="pct"/>
            <w:shd w:val="clear" w:color="auto" w:fill="auto"/>
            <w:noWrap/>
            <w:vAlign w:val="center"/>
          </w:tcPr>
          <w:p w14:paraId="2A37022C" w14:textId="71ED47AD"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14,62</w:t>
            </w:r>
          </w:p>
        </w:tc>
      </w:tr>
      <w:tr w:rsidR="00135CC4" w:rsidRPr="00BF7E57" w14:paraId="0FD7F798" w14:textId="77777777" w:rsidTr="000577FA">
        <w:trPr>
          <w:trHeight w:val="315"/>
        </w:trPr>
        <w:tc>
          <w:tcPr>
            <w:tcW w:w="300" w:type="pct"/>
            <w:vMerge/>
            <w:vAlign w:val="center"/>
            <w:hideMark/>
          </w:tcPr>
          <w:p w14:paraId="139BD01A"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5B8B4132"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skupaj po starostnih skupinah - 15-64 let</w:t>
            </w:r>
          </w:p>
        </w:tc>
        <w:tc>
          <w:tcPr>
            <w:tcW w:w="337" w:type="pct"/>
            <w:shd w:val="clear" w:color="auto" w:fill="auto"/>
            <w:noWrap/>
            <w:vAlign w:val="center"/>
            <w:hideMark/>
          </w:tcPr>
          <w:p w14:paraId="08510D82"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69,44</w:t>
            </w:r>
          </w:p>
        </w:tc>
        <w:tc>
          <w:tcPr>
            <w:tcW w:w="337" w:type="pct"/>
            <w:shd w:val="clear" w:color="auto" w:fill="auto"/>
            <w:noWrap/>
            <w:vAlign w:val="center"/>
            <w:hideMark/>
          </w:tcPr>
          <w:p w14:paraId="287FEEBF"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68,42</w:t>
            </w:r>
          </w:p>
        </w:tc>
        <w:tc>
          <w:tcPr>
            <w:tcW w:w="348" w:type="pct"/>
            <w:shd w:val="clear" w:color="auto" w:fill="auto"/>
            <w:noWrap/>
            <w:vAlign w:val="center"/>
            <w:hideMark/>
          </w:tcPr>
          <w:p w14:paraId="4EF6E9E8"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66,743</w:t>
            </w:r>
          </w:p>
        </w:tc>
        <w:tc>
          <w:tcPr>
            <w:tcW w:w="331" w:type="pct"/>
            <w:shd w:val="clear" w:color="auto" w:fill="auto"/>
            <w:noWrap/>
            <w:vAlign w:val="center"/>
            <w:hideMark/>
          </w:tcPr>
          <w:p w14:paraId="71783EE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66,16</w:t>
            </w:r>
          </w:p>
        </w:tc>
        <w:tc>
          <w:tcPr>
            <w:tcW w:w="331" w:type="pct"/>
            <w:shd w:val="clear" w:color="auto" w:fill="auto"/>
            <w:noWrap/>
            <w:vAlign w:val="center"/>
            <w:hideMark/>
          </w:tcPr>
          <w:p w14:paraId="2D12D52D"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65,56</w:t>
            </w:r>
          </w:p>
        </w:tc>
        <w:tc>
          <w:tcPr>
            <w:tcW w:w="331" w:type="pct"/>
            <w:shd w:val="clear" w:color="auto" w:fill="auto"/>
            <w:vAlign w:val="center"/>
          </w:tcPr>
          <w:p w14:paraId="577E0C29" w14:textId="1DDA532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65,08</w:t>
            </w:r>
          </w:p>
        </w:tc>
        <w:tc>
          <w:tcPr>
            <w:tcW w:w="328" w:type="pct"/>
            <w:shd w:val="clear" w:color="auto" w:fill="auto"/>
            <w:noWrap/>
            <w:vAlign w:val="center"/>
          </w:tcPr>
          <w:p w14:paraId="4688F97C" w14:textId="2F491401" w:rsidR="00135CC4" w:rsidRPr="00BF7E57" w:rsidRDefault="00135CC4" w:rsidP="00926F22">
            <w:pPr>
              <w:jc w:val="right"/>
              <w:rPr>
                <w:rFonts w:ascii="Arial" w:hAnsi="Arial" w:cs="Arial"/>
                <w:color w:val="000000"/>
                <w:sz w:val="16"/>
                <w:szCs w:val="16"/>
                <w:lang w:eastAsia="sl-SI"/>
              </w:rPr>
            </w:pPr>
            <w:r w:rsidRPr="00BF7E57">
              <w:rPr>
                <w:rFonts w:ascii="Arial" w:hAnsi="Arial" w:cs="Arial"/>
                <w:color w:val="000000"/>
                <w:sz w:val="16"/>
                <w:szCs w:val="16"/>
                <w:lang w:eastAsia="sl-SI"/>
              </w:rPr>
              <w:t>64,70</w:t>
            </w:r>
          </w:p>
        </w:tc>
      </w:tr>
      <w:tr w:rsidR="00135CC4" w:rsidRPr="00BF7E57" w14:paraId="223A2DA5" w14:textId="77777777" w:rsidTr="000577FA">
        <w:trPr>
          <w:trHeight w:val="315"/>
        </w:trPr>
        <w:tc>
          <w:tcPr>
            <w:tcW w:w="300" w:type="pct"/>
            <w:vMerge/>
            <w:vAlign w:val="center"/>
            <w:hideMark/>
          </w:tcPr>
          <w:p w14:paraId="6B424B1F"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6948DA59"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skupaj po starostnih skupinah - 65 let ali več</w:t>
            </w:r>
          </w:p>
        </w:tc>
        <w:tc>
          <w:tcPr>
            <w:tcW w:w="337" w:type="pct"/>
            <w:shd w:val="clear" w:color="auto" w:fill="auto"/>
            <w:noWrap/>
            <w:vAlign w:val="center"/>
            <w:hideMark/>
          </w:tcPr>
          <w:p w14:paraId="2AED6C5D"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16,53</w:t>
            </w:r>
          </w:p>
        </w:tc>
        <w:tc>
          <w:tcPr>
            <w:tcW w:w="337" w:type="pct"/>
            <w:shd w:val="clear" w:color="auto" w:fill="auto"/>
            <w:noWrap/>
            <w:vAlign w:val="center"/>
            <w:hideMark/>
          </w:tcPr>
          <w:p w14:paraId="7162F211"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17,10</w:t>
            </w:r>
          </w:p>
        </w:tc>
        <w:tc>
          <w:tcPr>
            <w:tcW w:w="348" w:type="pct"/>
            <w:shd w:val="clear" w:color="auto" w:fill="auto"/>
            <w:noWrap/>
            <w:vAlign w:val="center"/>
            <w:hideMark/>
          </w:tcPr>
          <w:p w14:paraId="7BED5E8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18,414</w:t>
            </w:r>
          </w:p>
        </w:tc>
        <w:tc>
          <w:tcPr>
            <w:tcW w:w="331" w:type="pct"/>
            <w:shd w:val="clear" w:color="auto" w:fill="auto"/>
            <w:noWrap/>
            <w:vAlign w:val="center"/>
            <w:hideMark/>
          </w:tcPr>
          <w:p w14:paraId="5C51221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18,90</w:t>
            </w:r>
          </w:p>
        </w:tc>
        <w:tc>
          <w:tcPr>
            <w:tcW w:w="331" w:type="pct"/>
            <w:shd w:val="clear" w:color="auto" w:fill="auto"/>
            <w:noWrap/>
            <w:vAlign w:val="center"/>
            <w:hideMark/>
          </w:tcPr>
          <w:p w14:paraId="2F9672C0"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19,41</w:t>
            </w:r>
          </w:p>
        </w:tc>
        <w:tc>
          <w:tcPr>
            <w:tcW w:w="331" w:type="pct"/>
            <w:shd w:val="clear" w:color="auto" w:fill="auto"/>
            <w:vAlign w:val="center"/>
          </w:tcPr>
          <w:p w14:paraId="774073D8" w14:textId="5BB4BCA5"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19,85</w:t>
            </w:r>
          </w:p>
        </w:tc>
        <w:tc>
          <w:tcPr>
            <w:tcW w:w="328" w:type="pct"/>
            <w:shd w:val="clear" w:color="auto" w:fill="auto"/>
            <w:noWrap/>
            <w:vAlign w:val="center"/>
          </w:tcPr>
          <w:p w14:paraId="39BCFCC7" w14:textId="6FB098D9"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20,23</w:t>
            </w:r>
          </w:p>
        </w:tc>
      </w:tr>
      <w:tr w:rsidR="00135CC4" w:rsidRPr="00BF7E57" w14:paraId="5CE8849C" w14:textId="77777777" w:rsidTr="000577FA">
        <w:trPr>
          <w:trHeight w:val="315"/>
        </w:trPr>
        <w:tc>
          <w:tcPr>
            <w:tcW w:w="300" w:type="pct"/>
            <w:vMerge/>
            <w:vAlign w:val="center"/>
            <w:hideMark/>
          </w:tcPr>
          <w:p w14:paraId="2CF5D421"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6DD7D0E0"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skupaj po starostnih skupinah - manj kot 15 let</w:t>
            </w:r>
          </w:p>
        </w:tc>
        <w:tc>
          <w:tcPr>
            <w:tcW w:w="337" w:type="pct"/>
            <w:shd w:val="clear" w:color="auto" w:fill="auto"/>
            <w:noWrap/>
            <w:vAlign w:val="center"/>
            <w:hideMark/>
          </w:tcPr>
          <w:p w14:paraId="0B7507E1"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14,03</w:t>
            </w:r>
          </w:p>
        </w:tc>
        <w:tc>
          <w:tcPr>
            <w:tcW w:w="337" w:type="pct"/>
            <w:shd w:val="clear" w:color="auto" w:fill="auto"/>
            <w:noWrap/>
            <w:vAlign w:val="center"/>
            <w:hideMark/>
          </w:tcPr>
          <w:p w14:paraId="23BC08C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14,48</w:t>
            </w:r>
          </w:p>
        </w:tc>
        <w:tc>
          <w:tcPr>
            <w:tcW w:w="348" w:type="pct"/>
            <w:shd w:val="clear" w:color="auto" w:fill="auto"/>
            <w:noWrap/>
            <w:vAlign w:val="center"/>
            <w:hideMark/>
          </w:tcPr>
          <w:p w14:paraId="7FAA4D93"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14,843</w:t>
            </w:r>
          </w:p>
        </w:tc>
        <w:tc>
          <w:tcPr>
            <w:tcW w:w="331" w:type="pct"/>
            <w:shd w:val="clear" w:color="auto" w:fill="auto"/>
            <w:noWrap/>
            <w:vAlign w:val="center"/>
            <w:hideMark/>
          </w:tcPr>
          <w:p w14:paraId="436F0DF1"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14,94</w:t>
            </w:r>
          </w:p>
        </w:tc>
        <w:tc>
          <w:tcPr>
            <w:tcW w:w="331" w:type="pct"/>
            <w:shd w:val="clear" w:color="auto" w:fill="auto"/>
            <w:noWrap/>
            <w:vAlign w:val="center"/>
            <w:hideMark/>
          </w:tcPr>
          <w:p w14:paraId="1676B50A"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15,03</w:t>
            </w:r>
          </w:p>
        </w:tc>
        <w:tc>
          <w:tcPr>
            <w:tcW w:w="331" w:type="pct"/>
            <w:shd w:val="clear" w:color="auto" w:fill="auto"/>
            <w:vAlign w:val="center"/>
          </w:tcPr>
          <w:p w14:paraId="3B4D7B44" w14:textId="3FB5F459"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15,08</w:t>
            </w:r>
          </w:p>
        </w:tc>
        <w:tc>
          <w:tcPr>
            <w:tcW w:w="328" w:type="pct"/>
            <w:shd w:val="clear" w:color="auto" w:fill="auto"/>
            <w:noWrap/>
            <w:vAlign w:val="center"/>
          </w:tcPr>
          <w:p w14:paraId="630BF5FB" w14:textId="0287E356"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15,07</w:t>
            </w:r>
          </w:p>
        </w:tc>
      </w:tr>
    </w:tbl>
    <w:p w14:paraId="5F343A20" w14:textId="77777777" w:rsidR="00D96209" w:rsidRPr="00BF7E57" w:rsidRDefault="00D96209" w:rsidP="00D96209">
      <w:pPr>
        <w:spacing w:after="240"/>
        <w:rPr>
          <w:rFonts w:ascii="Arial" w:hAnsi="Arial" w:cs="Arial"/>
          <w:sz w:val="16"/>
          <w:szCs w:val="16"/>
        </w:rPr>
      </w:pPr>
      <w:r w:rsidRPr="00BF7E57">
        <w:rPr>
          <w:rFonts w:ascii="Arial" w:hAnsi="Arial" w:cs="Arial"/>
          <w:sz w:val="16"/>
          <w:szCs w:val="16"/>
        </w:rPr>
        <w:t>Vir: Eurostat, SURS</w:t>
      </w:r>
    </w:p>
    <w:p w14:paraId="71A6B537" w14:textId="1BAB4B31" w:rsidR="00D96209" w:rsidRPr="00BF7E57" w:rsidRDefault="00D96209" w:rsidP="00D96209">
      <w:pPr>
        <w:spacing w:after="120" w:line="360" w:lineRule="auto"/>
        <w:rPr>
          <w:rFonts w:ascii="Arial" w:hAnsi="Arial" w:cs="Arial"/>
          <w:sz w:val="20"/>
          <w:szCs w:val="20"/>
        </w:rPr>
      </w:pPr>
      <w:r w:rsidRPr="00BF7E57">
        <w:rPr>
          <w:rFonts w:ascii="Arial" w:hAnsi="Arial" w:cs="Arial"/>
          <w:sz w:val="20"/>
          <w:szCs w:val="20"/>
        </w:rPr>
        <w:t>Delež prebivalstva, starejšega od 65 let, v podeželskih regijah prav tako narašča (20,</w:t>
      </w:r>
      <w:r w:rsidR="00135CC4" w:rsidRPr="00BF7E57">
        <w:rPr>
          <w:rFonts w:ascii="Arial" w:hAnsi="Arial" w:cs="Arial"/>
          <w:sz w:val="20"/>
          <w:szCs w:val="20"/>
        </w:rPr>
        <w:t xml:space="preserve">8 </w:t>
      </w:r>
      <w:r w:rsidRPr="00BF7E57">
        <w:rPr>
          <w:rFonts w:ascii="Arial" w:hAnsi="Arial" w:cs="Arial"/>
          <w:sz w:val="20"/>
          <w:szCs w:val="20"/>
        </w:rPr>
        <w:t xml:space="preserve">% v letu </w:t>
      </w:r>
      <w:r w:rsidR="00135CC4" w:rsidRPr="00BF7E57">
        <w:rPr>
          <w:rFonts w:ascii="Arial" w:hAnsi="Arial" w:cs="Arial"/>
          <w:sz w:val="20"/>
          <w:szCs w:val="20"/>
        </w:rPr>
        <w:t xml:space="preserve">2020 </w:t>
      </w:r>
      <w:r w:rsidRPr="00BF7E57">
        <w:rPr>
          <w:rFonts w:ascii="Arial" w:hAnsi="Arial" w:cs="Arial"/>
          <w:sz w:val="20"/>
          <w:szCs w:val="20"/>
        </w:rPr>
        <w:t>vs. 16,8 % v letu 2010). Pozi</w:t>
      </w:r>
      <w:r w:rsidR="000577FA" w:rsidRPr="00BF7E57">
        <w:rPr>
          <w:rFonts w:ascii="Arial" w:hAnsi="Arial" w:cs="Arial"/>
          <w:sz w:val="20"/>
          <w:szCs w:val="20"/>
        </w:rPr>
        <w:t xml:space="preserve">tiven trend se kaže pri deležu </w:t>
      </w:r>
      <w:r w:rsidRPr="00BF7E57">
        <w:rPr>
          <w:rFonts w:ascii="Arial" w:hAnsi="Arial" w:cs="Arial"/>
          <w:sz w:val="20"/>
          <w:szCs w:val="20"/>
        </w:rPr>
        <w:t xml:space="preserve">prebivalstva, mlajšega od 15 let, saj od leta 2010 do </w:t>
      </w:r>
      <w:r w:rsidR="00583FBD" w:rsidRPr="00BF7E57">
        <w:rPr>
          <w:rFonts w:ascii="Arial" w:hAnsi="Arial" w:cs="Arial"/>
          <w:sz w:val="20"/>
          <w:szCs w:val="20"/>
        </w:rPr>
        <w:t xml:space="preserve">2020 </w:t>
      </w:r>
      <w:r w:rsidRPr="00BF7E57">
        <w:rPr>
          <w:rFonts w:ascii="Arial" w:hAnsi="Arial" w:cs="Arial"/>
          <w:sz w:val="20"/>
          <w:szCs w:val="20"/>
        </w:rPr>
        <w:t xml:space="preserve">zmerno narašča, tako pri primerjavi podeželskih regij (13,8 % leta 2010 vs. 14,6 % leta </w:t>
      </w:r>
      <w:r w:rsidR="00583FBD" w:rsidRPr="00BF7E57">
        <w:rPr>
          <w:rFonts w:ascii="Arial" w:hAnsi="Arial" w:cs="Arial"/>
          <w:sz w:val="20"/>
          <w:szCs w:val="20"/>
        </w:rPr>
        <w:t>2020</w:t>
      </w:r>
      <w:r w:rsidRPr="00BF7E57">
        <w:rPr>
          <w:rFonts w:ascii="Arial" w:hAnsi="Arial" w:cs="Arial"/>
          <w:sz w:val="20"/>
          <w:szCs w:val="20"/>
        </w:rPr>
        <w:t>), kot pri celotnem prebivalstvu (14,0 % vs. 15,1 %).</w:t>
      </w:r>
      <w:bookmarkStart w:id="19" w:name="_Ref29976610"/>
      <w:r w:rsidRPr="00BF7E57">
        <w:rPr>
          <w:rFonts w:ascii="Arial" w:hAnsi="Arial" w:cs="Arial"/>
          <w:sz w:val="20"/>
          <w:szCs w:val="20"/>
        </w:rPr>
        <w:t xml:space="preserve"> </w:t>
      </w:r>
    </w:p>
    <w:p w14:paraId="0E98ECAD" w14:textId="04ABBFA1" w:rsidR="00376357" w:rsidRPr="00BF7E57" w:rsidRDefault="00376357" w:rsidP="001427AE">
      <w:pPr>
        <w:pStyle w:val="Napis"/>
      </w:pPr>
      <w:bookmarkStart w:id="20" w:name="_Toc55913755"/>
      <w:bookmarkStart w:id="21" w:name="_Toc86826394"/>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w:t>
      </w:r>
      <w:r w:rsidR="00A30B83" w:rsidRPr="00BF7E57">
        <w:rPr>
          <w:noProof/>
        </w:rPr>
        <w:fldChar w:fldCharType="end"/>
      </w:r>
      <w:r w:rsidRPr="00BF7E57">
        <w:t>: Delež podeželskega prebivalstva, 65 let in več ter pod 15 let starosti</w:t>
      </w:r>
      <w:bookmarkEnd w:id="21"/>
    </w:p>
    <w:bookmarkEnd w:id="19"/>
    <w:bookmarkEnd w:id="20"/>
    <w:p w14:paraId="6FB60B96" w14:textId="77777777" w:rsidR="00D96209" w:rsidRPr="00BF7E57" w:rsidRDefault="00D96209" w:rsidP="00D96209">
      <w:pPr>
        <w:keepNext/>
        <w:keepLines/>
        <w:spacing w:after="240"/>
        <w:rPr>
          <w:rFonts w:ascii="Arial" w:hAnsi="Arial" w:cs="Arial"/>
          <w:sz w:val="16"/>
          <w:szCs w:val="16"/>
        </w:rPr>
      </w:pPr>
      <w:r w:rsidRPr="00BF7E57">
        <w:rPr>
          <w:rFonts w:ascii="Arial" w:hAnsi="Arial" w:cs="Arial"/>
          <w:noProof/>
          <w:sz w:val="20"/>
          <w:lang w:eastAsia="sl-SI"/>
        </w:rPr>
        <w:drawing>
          <wp:inline distT="0" distB="0" distL="0" distR="0" wp14:anchorId="35E762D8" wp14:editId="08C7BAEF">
            <wp:extent cx="5760720" cy="1803400"/>
            <wp:effectExtent l="0" t="0" r="11430" b="635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F7E57">
        <w:rPr>
          <w:rFonts w:ascii="Arial" w:hAnsi="Arial" w:cs="Arial"/>
          <w:sz w:val="16"/>
          <w:szCs w:val="16"/>
        </w:rPr>
        <w:t>Vir: Eurostat, SURS</w:t>
      </w:r>
    </w:p>
    <w:p w14:paraId="4011DB67" w14:textId="0A39E8CE" w:rsidR="007D2690" w:rsidRPr="00BF7E57" w:rsidRDefault="007D2690" w:rsidP="007D2690">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Za slovensko podeželje kot območje zunaj večjih mest veljajo naslednje značilnosti: manjša gostota prebivalstva, prevladujeta kmetijska in gozdarska dejavnost oziroma raba prostora, povezovanje nekmetijskih dejavnosti s kmetijsko pridelavo in kmečkim prebivalstvom, počasnejša prebivalstvena rast, manjša socialna slojevitost, tesnejše vezi med prebivalci in manjša naselja z nižjimi stopnjami centralnosti.</w:t>
      </w:r>
    </w:p>
    <w:p w14:paraId="76958EE9" w14:textId="4119A779" w:rsidR="00596906" w:rsidRPr="00BF7E57" w:rsidRDefault="00596906" w:rsidP="00596906">
      <w:pPr>
        <w:spacing w:before="200" w:line="360" w:lineRule="auto"/>
        <w:jc w:val="both"/>
        <w:rPr>
          <w:rFonts w:ascii="Arial" w:hAnsi="Arial" w:cs="Arial"/>
          <w:sz w:val="20"/>
          <w:szCs w:val="20"/>
        </w:rPr>
      </w:pPr>
      <w:r w:rsidRPr="00BF7E57">
        <w:rPr>
          <w:rFonts w:ascii="Arial" w:hAnsi="Arial" w:cs="Arial"/>
          <w:sz w:val="20"/>
          <w:szCs w:val="20"/>
        </w:rPr>
        <w:t>Za namen Strateškega načrta, specifičnega cilja 8</w:t>
      </w:r>
      <w:r w:rsidR="000577FA" w:rsidRPr="00BF7E57">
        <w:rPr>
          <w:rFonts w:ascii="Arial" w:hAnsi="Arial" w:cs="Arial"/>
          <w:sz w:val="20"/>
          <w:szCs w:val="20"/>
        </w:rPr>
        <w:t xml:space="preserve">, </w:t>
      </w:r>
      <w:r w:rsidRPr="00BF7E57">
        <w:rPr>
          <w:rFonts w:ascii="Arial" w:hAnsi="Arial" w:cs="Arial"/>
          <w:sz w:val="20"/>
          <w:szCs w:val="20"/>
        </w:rPr>
        <w:t>podeželje</w:t>
      </w:r>
      <w:r w:rsidR="000577FA" w:rsidRPr="00BF7E57">
        <w:rPr>
          <w:rFonts w:ascii="Arial" w:hAnsi="Arial" w:cs="Arial"/>
          <w:sz w:val="20"/>
          <w:szCs w:val="20"/>
        </w:rPr>
        <w:t xml:space="preserve"> za izvajanje intervencije LEADER</w:t>
      </w:r>
      <w:r w:rsidRPr="00BF7E57">
        <w:rPr>
          <w:rFonts w:ascii="Arial" w:hAnsi="Arial" w:cs="Arial"/>
          <w:sz w:val="20"/>
          <w:szCs w:val="20"/>
        </w:rPr>
        <w:t xml:space="preserve"> obsega vsa naselja z manj kot 10.00</w:t>
      </w:r>
      <w:r w:rsidR="00DD0F74" w:rsidRPr="00BF7E57">
        <w:rPr>
          <w:rFonts w:ascii="Arial" w:hAnsi="Arial" w:cs="Arial"/>
          <w:sz w:val="20"/>
          <w:szCs w:val="20"/>
        </w:rPr>
        <w:t>0 prebivalcev. Pri intervenciji, ki bo naslavljala</w:t>
      </w:r>
      <w:r w:rsidR="000577FA" w:rsidRPr="00BF7E57">
        <w:rPr>
          <w:rFonts w:ascii="Arial" w:hAnsi="Arial" w:cs="Arial"/>
          <w:sz w:val="20"/>
          <w:szCs w:val="20"/>
        </w:rPr>
        <w:t xml:space="preserve"> področje </w:t>
      </w:r>
      <w:r w:rsidRPr="00BF7E57">
        <w:rPr>
          <w:rFonts w:ascii="Arial" w:hAnsi="Arial" w:cs="Arial"/>
          <w:sz w:val="20"/>
          <w:szCs w:val="20"/>
        </w:rPr>
        <w:t>nekmetijskih dopolnilnih dejavnosti na kmetiji</w:t>
      </w:r>
      <w:r w:rsidR="005110D9" w:rsidRPr="00BF7E57">
        <w:rPr>
          <w:rFonts w:ascii="Arial" w:hAnsi="Arial" w:cs="Arial"/>
          <w:sz w:val="20"/>
          <w:szCs w:val="20"/>
        </w:rPr>
        <w:t>,</w:t>
      </w:r>
      <w:r w:rsidRPr="00BF7E57">
        <w:rPr>
          <w:rFonts w:ascii="Arial" w:hAnsi="Arial" w:cs="Arial"/>
          <w:sz w:val="20"/>
          <w:szCs w:val="20"/>
        </w:rPr>
        <w:t xml:space="preserve"> pa bo </w:t>
      </w:r>
      <w:r w:rsidR="00DD0F74" w:rsidRPr="00BF7E57">
        <w:rPr>
          <w:rFonts w:ascii="Arial" w:hAnsi="Arial" w:cs="Arial"/>
          <w:sz w:val="20"/>
          <w:szCs w:val="20"/>
        </w:rPr>
        <w:t xml:space="preserve">podeželje </w:t>
      </w:r>
      <w:r w:rsidRPr="00BF7E57">
        <w:rPr>
          <w:rFonts w:ascii="Arial" w:hAnsi="Arial" w:cs="Arial"/>
          <w:sz w:val="20"/>
          <w:szCs w:val="20"/>
        </w:rPr>
        <w:t xml:space="preserve">zajemalo celotno ozemlje Slovenije. </w:t>
      </w:r>
    </w:p>
    <w:p w14:paraId="6ECC7F32" w14:textId="3BDC03A6" w:rsidR="00503C7A" w:rsidRPr="00BF7E57" w:rsidRDefault="00503C7A" w:rsidP="00D774BC">
      <w:pPr>
        <w:spacing w:line="360" w:lineRule="auto"/>
        <w:jc w:val="both"/>
        <w:rPr>
          <w:rFonts w:ascii="Arial" w:hAnsi="Arial" w:cs="Arial"/>
          <w:sz w:val="20"/>
          <w:szCs w:val="20"/>
        </w:rPr>
      </w:pPr>
      <w:r w:rsidRPr="00BF7E57">
        <w:rPr>
          <w:rFonts w:ascii="Arial" w:hAnsi="Arial" w:cs="Arial"/>
          <w:sz w:val="20"/>
          <w:szCs w:val="20"/>
        </w:rPr>
        <w:t>Glede na opredelitev podeželja v tem specifičnem cilju podeželje obsega 90 % površine Slovenije</w:t>
      </w:r>
      <w:r w:rsidR="00D202AF" w:rsidRPr="00BF7E57">
        <w:rPr>
          <w:rFonts w:ascii="Arial" w:hAnsi="Arial" w:cs="Arial"/>
          <w:sz w:val="20"/>
          <w:szCs w:val="20"/>
        </w:rPr>
        <w:t xml:space="preserve"> in slabih 60 % prebivalcev (1.251.486).</w:t>
      </w:r>
    </w:p>
    <w:p w14:paraId="31CD5385" w14:textId="77777777" w:rsidR="009E0216" w:rsidRPr="00BF7E57" w:rsidRDefault="009E0216" w:rsidP="00DD0F74">
      <w:pPr>
        <w:tabs>
          <w:tab w:val="left" w:pos="5685"/>
        </w:tabs>
        <w:spacing w:line="360" w:lineRule="auto"/>
        <w:jc w:val="both"/>
        <w:rPr>
          <w:rFonts w:ascii="Arial" w:eastAsia="Arial" w:hAnsi="Arial" w:cs="Arial"/>
          <w:bCs/>
          <w:sz w:val="20"/>
          <w:szCs w:val="20"/>
        </w:rPr>
      </w:pPr>
      <w:r w:rsidRPr="00BF7E57">
        <w:rPr>
          <w:rFonts w:ascii="Arial" w:hAnsi="Arial" w:cs="Arial"/>
          <w:sz w:val="20"/>
          <w:szCs w:val="20"/>
        </w:rPr>
        <w:lastRenderedPageBreak/>
        <w:t>Za podeželje veljajo naslednje značilnosti: manjša gostota prebivalstva, prevladujeta kmetijska in gozdarska raba prostora, povezovanje kmetijskih dejavnosti s kmetijsko pridelavo in kmečkim prebivalstvom, počasnejša prebivalstvena rast, manjša socialna slojevitost, tesnejše vezi med prebivalci in manjša naselja z nižjimi stopnjami centralnosti.</w:t>
      </w:r>
      <w:r w:rsidRPr="00BF7E57">
        <w:rPr>
          <w:rFonts w:ascii="Arial" w:eastAsia="Arial" w:hAnsi="Arial" w:cs="Arial"/>
          <w:sz w:val="20"/>
          <w:szCs w:val="20"/>
        </w:rPr>
        <w:t xml:space="preserve"> Na podeželju so se neagrarne dejavnosti pričele razvijati s širjenjem urbanega načina življenja in z zmanjševanjem pomena kmetijstva. To so oskrbne in storitvene dejavnosti, ki so namenjene lokalnemu prebivalstvu ter dejavnosti (turizem, rekreacija), ki jih koristijo tudi prebivalci urbanih območij (Klemenčič, Lampič in Potočnik Slavič, 2008, str. 114).</w:t>
      </w:r>
    </w:p>
    <w:p w14:paraId="5F537D2C" w14:textId="35EE5E59" w:rsidR="00F17E13" w:rsidRPr="00BF7E57" w:rsidRDefault="009E0216" w:rsidP="00DD0F74">
      <w:pPr>
        <w:tabs>
          <w:tab w:val="left" w:pos="5685"/>
        </w:tabs>
        <w:spacing w:line="360" w:lineRule="auto"/>
        <w:jc w:val="both"/>
        <w:rPr>
          <w:rFonts w:ascii="Arial" w:hAnsi="Arial" w:cs="Arial"/>
          <w:sz w:val="20"/>
          <w:szCs w:val="20"/>
        </w:rPr>
      </w:pPr>
      <w:r w:rsidRPr="00BF7E57">
        <w:rPr>
          <w:rFonts w:ascii="Arial" w:hAnsi="Arial" w:cs="Arial"/>
          <w:sz w:val="20"/>
          <w:szCs w:val="20"/>
        </w:rPr>
        <w:t>Slovenija ima danes star demografski režim z nizko rodnostjo in smrtnostjo.</w:t>
      </w:r>
      <w:r w:rsidR="00F17E13" w:rsidRPr="00BF7E57">
        <w:rPr>
          <w:rFonts w:ascii="Arial" w:hAnsi="Arial" w:cs="Arial"/>
          <w:sz w:val="20"/>
          <w:szCs w:val="20"/>
        </w:rPr>
        <w:t xml:space="preserve"> Analiza podatkov SURS za podeželje kaže, da število prebivalcev rahlo niha. Prebivalstvo na podeželju se stara, vendar podobno hitro kot v povprečju v Sloveniji (</w:t>
      </w:r>
      <w:r w:rsidR="005110D9" w:rsidRPr="00BF7E57">
        <w:rPr>
          <w:rFonts w:ascii="Arial" w:hAnsi="Arial" w:cs="Arial"/>
          <w:sz w:val="20"/>
          <w:szCs w:val="20"/>
        </w:rPr>
        <w:fldChar w:fldCharType="begin"/>
      </w:r>
      <w:r w:rsidR="005110D9" w:rsidRPr="00BF7E57">
        <w:rPr>
          <w:rFonts w:ascii="Arial" w:hAnsi="Arial" w:cs="Arial"/>
          <w:sz w:val="20"/>
          <w:szCs w:val="20"/>
        </w:rPr>
        <w:instrText xml:space="preserve"> REF _Ref84597323 \h </w:instrText>
      </w:r>
      <w:r w:rsidR="005110D9" w:rsidRPr="00BF7E57">
        <w:rPr>
          <w:rFonts w:ascii="Arial" w:hAnsi="Arial" w:cs="Arial"/>
          <w:sz w:val="20"/>
          <w:szCs w:val="20"/>
        </w:rPr>
      </w:r>
      <w:r w:rsidR="00BF7E57">
        <w:rPr>
          <w:rFonts w:ascii="Arial" w:hAnsi="Arial" w:cs="Arial"/>
          <w:sz w:val="20"/>
          <w:szCs w:val="20"/>
        </w:rPr>
        <w:instrText xml:space="preserve"> \* MERGEFORMAT </w:instrText>
      </w:r>
      <w:r w:rsidR="005110D9" w:rsidRPr="00BF7E57">
        <w:rPr>
          <w:rFonts w:ascii="Arial" w:hAnsi="Arial" w:cs="Arial"/>
          <w:sz w:val="20"/>
          <w:szCs w:val="20"/>
        </w:rPr>
        <w:fldChar w:fldCharType="separate"/>
      </w:r>
      <w:r w:rsidR="00236865" w:rsidRPr="00BF7E57">
        <w:t xml:space="preserve">Tabela </w:t>
      </w:r>
      <w:r w:rsidR="00236865">
        <w:rPr>
          <w:noProof/>
        </w:rPr>
        <w:t>5</w:t>
      </w:r>
      <w:r w:rsidR="005110D9" w:rsidRPr="00BF7E57">
        <w:rPr>
          <w:rFonts w:ascii="Arial" w:hAnsi="Arial" w:cs="Arial"/>
          <w:sz w:val="20"/>
          <w:szCs w:val="20"/>
        </w:rPr>
        <w:fldChar w:fldCharType="end"/>
      </w:r>
      <w:r w:rsidR="00F17E13" w:rsidRPr="00BF7E57">
        <w:rPr>
          <w:rFonts w:ascii="Arial" w:hAnsi="Arial" w:cs="Arial"/>
          <w:sz w:val="20"/>
          <w:szCs w:val="20"/>
        </w:rPr>
        <w:t>). Delež otrok v starostni skupini 0-14 let na podeželju je nekoliko višji od slovenskega povprečja ter od leta 2008 minimalno raste (leta 2008 14 %, v letu 2018 pa 15,4 % vseh prebivalcev na podeželju</w:t>
      </w:r>
      <w:r w:rsidR="00D202AF" w:rsidRPr="00BF7E57">
        <w:rPr>
          <w:rFonts w:ascii="Arial" w:hAnsi="Arial" w:cs="Arial"/>
          <w:sz w:val="20"/>
          <w:szCs w:val="20"/>
        </w:rPr>
        <w:t>, vendar leta 2021 ponovno 15 %</w:t>
      </w:r>
      <w:r w:rsidR="00F17E13" w:rsidRPr="00BF7E57">
        <w:rPr>
          <w:rFonts w:ascii="Arial" w:hAnsi="Arial" w:cs="Arial"/>
          <w:sz w:val="20"/>
          <w:szCs w:val="20"/>
        </w:rPr>
        <w:t>). Slabši je podatek deleža mladih (15-26 let), ki ga je v vseh primerjalnih letih v povprečju več v celotni Sloveniji kot na podeželju in se tako z leti na podeželju in v slovenskem povprečju zmanjšuje (leta 2008 15,7 % prebivalcev, leta 2018 pa 10,9 % prebivalcev podeželja). Delež mladih se tudi v EU zmanjšuje, leta 2016 je znašal 18,3 %, kar je nad slovenskim povprečjem. Na podeželju se je delež mladih od leta 2005 zmanjšal iz 17 % na 11 % prebivalcev v letu 2019; delež starih na podeželju pa se je od leta 2005 povečal iz 15 % na 20 % v letu 2020 (</w:t>
      </w:r>
      <w:r w:rsidR="005110D9" w:rsidRPr="00BF7E57">
        <w:rPr>
          <w:rFonts w:ascii="Arial" w:hAnsi="Arial" w:cs="Arial"/>
          <w:sz w:val="20"/>
          <w:szCs w:val="20"/>
        </w:rPr>
        <w:fldChar w:fldCharType="begin"/>
      </w:r>
      <w:r w:rsidR="005110D9" w:rsidRPr="00BF7E57">
        <w:rPr>
          <w:rFonts w:ascii="Arial" w:hAnsi="Arial" w:cs="Arial"/>
          <w:sz w:val="20"/>
          <w:szCs w:val="20"/>
        </w:rPr>
        <w:instrText xml:space="preserve"> REF _Ref84597373 \h </w:instrText>
      </w:r>
      <w:r w:rsidR="005110D9" w:rsidRPr="00BF7E57">
        <w:rPr>
          <w:rFonts w:ascii="Arial" w:hAnsi="Arial" w:cs="Arial"/>
          <w:sz w:val="20"/>
          <w:szCs w:val="20"/>
        </w:rPr>
      </w:r>
      <w:r w:rsidR="00BF7E57">
        <w:rPr>
          <w:rFonts w:ascii="Arial" w:hAnsi="Arial" w:cs="Arial"/>
          <w:sz w:val="20"/>
          <w:szCs w:val="20"/>
        </w:rPr>
        <w:instrText xml:space="preserve"> \* MERGEFORMAT </w:instrText>
      </w:r>
      <w:r w:rsidR="005110D9" w:rsidRPr="00BF7E57">
        <w:rPr>
          <w:rFonts w:ascii="Arial" w:hAnsi="Arial" w:cs="Arial"/>
          <w:sz w:val="20"/>
          <w:szCs w:val="20"/>
        </w:rPr>
        <w:fldChar w:fldCharType="separate"/>
      </w:r>
      <w:r w:rsidR="00236865" w:rsidRPr="00BF7E57">
        <w:t xml:space="preserve">Tabela </w:t>
      </w:r>
      <w:r w:rsidR="00236865">
        <w:rPr>
          <w:noProof/>
        </w:rPr>
        <w:t>6</w:t>
      </w:r>
      <w:r w:rsidR="005110D9" w:rsidRPr="00BF7E57">
        <w:rPr>
          <w:rFonts w:ascii="Arial" w:hAnsi="Arial" w:cs="Arial"/>
          <w:sz w:val="20"/>
          <w:szCs w:val="20"/>
        </w:rPr>
        <w:fldChar w:fldCharType="end"/>
      </w:r>
      <w:r w:rsidR="00F17E13" w:rsidRPr="00BF7E57">
        <w:rPr>
          <w:rFonts w:ascii="Arial" w:hAnsi="Arial" w:cs="Arial"/>
          <w:sz w:val="20"/>
          <w:szCs w:val="20"/>
        </w:rPr>
        <w:t xml:space="preserve">, </w:t>
      </w:r>
      <w:r w:rsidR="005110D9" w:rsidRPr="00BF7E57">
        <w:rPr>
          <w:rFonts w:ascii="Arial" w:hAnsi="Arial" w:cs="Arial"/>
          <w:sz w:val="20"/>
          <w:szCs w:val="20"/>
        </w:rPr>
        <w:fldChar w:fldCharType="begin"/>
      </w:r>
      <w:r w:rsidR="005110D9" w:rsidRPr="00BF7E57">
        <w:rPr>
          <w:rFonts w:ascii="Arial" w:hAnsi="Arial" w:cs="Arial"/>
          <w:sz w:val="20"/>
          <w:szCs w:val="20"/>
        </w:rPr>
        <w:instrText xml:space="preserve"> REF _Ref84597424 \h </w:instrText>
      </w:r>
      <w:r w:rsidR="005110D9" w:rsidRPr="00BF7E57">
        <w:rPr>
          <w:rFonts w:ascii="Arial" w:hAnsi="Arial" w:cs="Arial"/>
          <w:sz w:val="20"/>
          <w:szCs w:val="20"/>
        </w:rPr>
      </w:r>
      <w:r w:rsidR="00BF7E57">
        <w:rPr>
          <w:rFonts w:ascii="Arial" w:hAnsi="Arial" w:cs="Arial"/>
          <w:sz w:val="20"/>
          <w:szCs w:val="20"/>
        </w:rPr>
        <w:instrText xml:space="preserve"> \* MERGEFORMAT </w:instrText>
      </w:r>
      <w:r w:rsidR="005110D9" w:rsidRPr="00BF7E57">
        <w:rPr>
          <w:rFonts w:ascii="Arial" w:hAnsi="Arial" w:cs="Arial"/>
          <w:sz w:val="20"/>
          <w:szCs w:val="20"/>
        </w:rPr>
        <w:fldChar w:fldCharType="separate"/>
      </w:r>
      <w:r w:rsidR="00236865" w:rsidRPr="00BF7E57">
        <w:t xml:space="preserve">Slika </w:t>
      </w:r>
      <w:r w:rsidR="00236865">
        <w:rPr>
          <w:noProof/>
        </w:rPr>
        <w:t>4</w:t>
      </w:r>
      <w:r w:rsidR="005110D9" w:rsidRPr="00BF7E57">
        <w:rPr>
          <w:rFonts w:ascii="Arial" w:hAnsi="Arial" w:cs="Arial"/>
          <w:sz w:val="20"/>
          <w:szCs w:val="20"/>
        </w:rPr>
        <w:fldChar w:fldCharType="end"/>
      </w:r>
      <w:r w:rsidR="00F17E13" w:rsidRPr="00BF7E57">
        <w:rPr>
          <w:rFonts w:ascii="Arial" w:hAnsi="Arial" w:cs="Arial"/>
          <w:sz w:val="20"/>
          <w:szCs w:val="20"/>
        </w:rPr>
        <w:t>). Delež starih (65+ let) se vztrajno povečuje, vendar na podeželju počasneje kot v slovenskem povprečju (leta 2008 15 % prebivalstva, leta 2018 20 %</w:t>
      </w:r>
      <w:r w:rsidR="00D202AF" w:rsidRPr="00BF7E57">
        <w:rPr>
          <w:rFonts w:ascii="Arial" w:hAnsi="Arial" w:cs="Arial"/>
          <w:sz w:val="20"/>
          <w:szCs w:val="20"/>
        </w:rPr>
        <w:t>, leta 2021 pa 20,9 % prebivalstva na podeželju</w:t>
      </w:r>
      <w:r w:rsidR="00F17E13" w:rsidRPr="00BF7E57">
        <w:rPr>
          <w:rFonts w:ascii="Arial" w:hAnsi="Arial" w:cs="Arial"/>
          <w:sz w:val="20"/>
          <w:szCs w:val="20"/>
        </w:rPr>
        <w:t xml:space="preserve"> prebivalstva na podeželju).</w:t>
      </w:r>
      <w:r w:rsidR="00D202AF" w:rsidRPr="00BF7E57">
        <w:rPr>
          <w:rFonts w:ascii="Arial" w:hAnsi="Arial" w:cs="Arial"/>
          <w:sz w:val="20"/>
          <w:szCs w:val="20"/>
        </w:rPr>
        <w:t xml:space="preserve"> Starostna struktura je podobna kot evropsko povprečje (EU-27), čeprav je v Sloveniji še nekoliko manjši delež mladih in večji delež starih nad 65 let. </w:t>
      </w:r>
    </w:p>
    <w:p w14:paraId="052103C8" w14:textId="4ACB1D6C" w:rsidR="00232E6B" w:rsidRPr="00BF7E57" w:rsidRDefault="00232E6B" w:rsidP="001427AE">
      <w:pPr>
        <w:pStyle w:val="Napis"/>
      </w:pPr>
      <w:bookmarkStart w:id="22" w:name="_Ref84597373"/>
      <w:bookmarkStart w:id="23" w:name="_Toc86826444"/>
      <w:r w:rsidRPr="00BF7E57">
        <w:lastRenderedPageBreak/>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6</w:t>
      </w:r>
      <w:r w:rsidR="00A30B83" w:rsidRPr="00BF7E57">
        <w:rPr>
          <w:noProof/>
        </w:rPr>
        <w:fldChar w:fldCharType="end"/>
      </w:r>
      <w:bookmarkEnd w:id="22"/>
      <w:r w:rsidRPr="00BF7E57">
        <w:t>: Število in starostna struktura prebivalstva na podeželju</w:t>
      </w:r>
      <w:bookmarkEnd w:id="23"/>
    </w:p>
    <w:p w14:paraId="07AB0A53" w14:textId="1F53320F" w:rsidR="00596906" w:rsidRPr="00BF7E57" w:rsidRDefault="00232E6B" w:rsidP="001427AE">
      <w:pPr>
        <w:pStyle w:val="Napis"/>
      </w:pPr>
      <w:r w:rsidRPr="00BF7E57" w:rsidDel="00232E6B">
        <w:t xml:space="preserve"> </w:t>
      </w:r>
    </w:p>
    <w:tbl>
      <w:tblPr>
        <w:tblW w:w="8980" w:type="dxa"/>
        <w:tblInd w:w="70" w:type="dxa"/>
        <w:tblCellMar>
          <w:left w:w="70" w:type="dxa"/>
          <w:right w:w="70" w:type="dxa"/>
        </w:tblCellMar>
        <w:tblLook w:val="04A0" w:firstRow="1" w:lastRow="0" w:firstColumn="1" w:lastColumn="0" w:noHBand="0" w:noVBand="1"/>
      </w:tblPr>
      <w:tblGrid>
        <w:gridCol w:w="1153"/>
        <w:gridCol w:w="2409"/>
        <w:gridCol w:w="1354"/>
        <w:gridCol w:w="1421"/>
        <w:gridCol w:w="1439"/>
        <w:gridCol w:w="1204"/>
      </w:tblGrid>
      <w:tr w:rsidR="009E0216" w:rsidRPr="00BF7E57" w14:paraId="60C66F63" w14:textId="77777777" w:rsidTr="001B2A9C">
        <w:trPr>
          <w:trHeight w:val="271"/>
        </w:trPr>
        <w:tc>
          <w:tcPr>
            <w:tcW w:w="1153"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14:paraId="767AD8FD" w14:textId="77777777" w:rsidR="009E0216" w:rsidRPr="00BF7E57" w:rsidRDefault="009E0216" w:rsidP="00F25C63">
            <w:pPr>
              <w:keepNext/>
              <w:keepLines/>
              <w:spacing w:after="0" w:line="264" w:lineRule="auto"/>
              <w:rPr>
                <w:rFonts w:ascii="Arial" w:hAnsi="Arial" w:cs="Arial"/>
                <w:b/>
                <w:color w:val="000000"/>
                <w:sz w:val="18"/>
                <w:szCs w:val="18"/>
              </w:rPr>
            </w:pPr>
            <w:r w:rsidRPr="00BF7E57">
              <w:rPr>
                <w:rFonts w:ascii="Arial" w:hAnsi="Arial" w:cs="Arial"/>
                <w:b/>
                <w:color w:val="000000"/>
                <w:sz w:val="18"/>
                <w:szCs w:val="18"/>
              </w:rPr>
              <w:t>Leto</w:t>
            </w:r>
          </w:p>
        </w:tc>
        <w:tc>
          <w:tcPr>
            <w:tcW w:w="2409" w:type="dxa"/>
            <w:tcBorders>
              <w:top w:val="single" w:sz="8" w:space="0" w:color="auto"/>
              <w:left w:val="nil"/>
              <w:bottom w:val="single" w:sz="8" w:space="0" w:color="auto"/>
              <w:right w:val="single" w:sz="8" w:space="0" w:color="auto"/>
            </w:tcBorders>
            <w:shd w:val="clear" w:color="auto" w:fill="92D050"/>
            <w:noWrap/>
            <w:vAlign w:val="center"/>
            <w:hideMark/>
          </w:tcPr>
          <w:p w14:paraId="591AD425" w14:textId="0A34F07A" w:rsidR="00BF74B9" w:rsidRPr="00BF7E57" w:rsidRDefault="00A801C3" w:rsidP="00F25C63">
            <w:pPr>
              <w:keepNext/>
              <w:keepLines/>
              <w:spacing w:after="0" w:line="264" w:lineRule="auto"/>
              <w:rPr>
                <w:rFonts w:ascii="Arial" w:hAnsi="Arial" w:cs="Arial"/>
                <w:b/>
                <w:color w:val="000000"/>
                <w:sz w:val="18"/>
                <w:szCs w:val="18"/>
              </w:rPr>
            </w:pPr>
            <w:r w:rsidRPr="00BF7E57">
              <w:rPr>
                <w:rFonts w:ascii="Arial" w:hAnsi="Arial" w:cs="Arial"/>
                <w:b/>
                <w:color w:val="000000"/>
                <w:sz w:val="18"/>
                <w:szCs w:val="18"/>
              </w:rPr>
              <w:t xml:space="preserve">C.01 </w:t>
            </w:r>
          </w:p>
          <w:p w14:paraId="61E3669B" w14:textId="65C8881E" w:rsidR="009E0216" w:rsidRPr="00BF7E57" w:rsidRDefault="00A801C3" w:rsidP="00F25C63">
            <w:pPr>
              <w:keepNext/>
              <w:keepLines/>
              <w:spacing w:after="0" w:line="264" w:lineRule="auto"/>
              <w:rPr>
                <w:rFonts w:ascii="Arial" w:hAnsi="Arial" w:cs="Arial"/>
                <w:b/>
                <w:color w:val="000000"/>
                <w:sz w:val="18"/>
                <w:szCs w:val="18"/>
              </w:rPr>
            </w:pPr>
            <w:r w:rsidRPr="00BF7E57">
              <w:rPr>
                <w:rFonts w:ascii="Arial" w:hAnsi="Arial" w:cs="Arial"/>
                <w:b/>
                <w:color w:val="000000"/>
                <w:sz w:val="18"/>
                <w:szCs w:val="18"/>
              </w:rPr>
              <w:t>š</w:t>
            </w:r>
            <w:r w:rsidR="009E0216" w:rsidRPr="00BF7E57">
              <w:rPr>
                <w:rFonts w:ascii="Arial" w:hAnsi="Arial" w:cs="Arial"/>
                <w:b/>
                <w:color w:val="000000"/>
                <w:sz w:val="18"/>
                <w:szCs w:val="18"/>
              </w:rPr>
              <w:t>t. prebivalcev</w:t>
            </w:r>
          </w:p>
        </w:tc>
        <w:tc>
          <w:tcPr>
            <w:tcW w:w="1354" w:type="dxa"/>
            <w:tcBorders>
              <w:top w:val="single" w:sz="8" w:space="0" w:color="auto"/>
              <w:left w:val="nil"/>
              <w:bottom w:val="single" w:sz="8" w:space="0" w:color="auto"/>
              <w:right w:val="single" w:sz="8" w:space="0" w:color="auto"/>
            </w:tcBorders>
            <w:shd w:val="clear" w:color="auto" w:fill="92D050"/>
            <w:noWrap/>
            <w:vAlign w:val="center"/>
            <w:hideMark/>
          </w:tcPr>
          <w:p w14:paraId="6BE43C85" w14:textId="77777777" w:rsidR="009E0216" w:rsidRPr="00BF7E57" w:rsidRDefault="009E0216"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0-14 let</w:t>
            </w:r>
          </w:p>
        </w:tc>
        <w:tc>
          <w:tcPr>
            <w:tcW w:w="1421" w:type="dxa"/>
            <w:tcBorders>
              <w:top w:val="single" w:sz="8" w:space="0" w:color="auto"/>
              <w:left w:val="nil"/>
              <w:bottom w:val="single" w:sz="8" w:space="0" w:color="auto"/>
              <w:right w:val="nil"/>
            </w:tcBorders>
            <w:shd w:val="clear" w:color="auto" w:fill="92D050"/>
            <w:vAlign w:val="center"/>
            <w:hideMark/>
          </w:tcPr>
          <w:p w14:paraId="34078524" w14:textId="1F9F2AD2" w:rsidR="00AE37BC" w:rsidRPr="00BF7E57" w:rsidRDefault="00A801C3"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Mladi</w:t>
            </w:r>
            <w:r w:rsidR="00503C7A" w:rsidRPr="00BF7E57">
              <w:rPr>
                <w:rFonts w:ascii="Arial" w:hAnsi="Arial" w:cs="Arial"/>
                <w:b/>
                <w:bCs/>
                <w:color w:val="000000"/>
                <w:sz w:val="18"/>
                <w:szCs w:val="18"/>
              </w:rPr>
              <w:t xml:space="preserve"> </w:t>
            </w:r>
          </w:p>
          <w:p w14:paraId="2DF2AFF5" w14:textId="73E85B67" w:rsidR="009E0216" w:rsidRPr="00BF7E57" w:rsidRDefault="00503C7A"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(15-26 let)</w:t>
            </w:r>
            <w:r w:rsidR="009E0216" w:rsidRPr="00BF7E57">
              <w:rPr>
                <w:rFonts w:ascii="Arial" w:hAnsi="Arial" w:cs="Arial"/>
                <w:b/>
                <w:bCs/>
                <w:color w:val="000000"/>
                <w:sz w:val="18"/>
                <w:szCs w:val="18"/>
              </w:rPr>
              <w:t xml:space="preserve"> </w:t>
            </w:r>
          </w:p>
        </w:tc>
        <w:tc>
          <w:tcPr>
            <w:tcW w:w="1439" w:type="dxa"/>
            <w:tcBorders>
              <w:top w:val="single" w:sz="8" w:space="0" w:color="auto"/>
              <w:left w:val="single" w:sz="8" w:space="0" w:color="auto"/>
              <w:bottom w:val="single" w:sz="8" w:space="0" w:color="auto"/>
              <w:right w:val="single" w:sz="4" w:space="0" w:color="auto"/>
            </w:tcBorders>
            <w:shd w:val="clear" w:color="auto" w:fill="92D050"/>
            <w:noWrap/>
            <w:vAlign w:val="center"/>
            <w:hideMark/>
          </w:tcPr>
          <w:p w14:paraId="5255045F" w14:textId="77777777" w:rsidR="009E0216" w:rsidRPr="00BF7E57" w:rsidRDefault="009E0216"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15-64 let</w:t>
            </w:r>
          </w:p>
        </w:tc>
        <w:tc>
          <w:tcPr>
            <w:tcW w:w="1204" w:type="dxa"/>
            <w:tcBorders>
              <w:top w:val="single" w:sz="4" w:space="0" w:color="auto"/>
              <w:left w:val="single" w:sz="4" w:space="0" w:color="auto"/>
              <w:bottom w:val="single" w:sz="8" w:space="0" w:color="auto"/>
              <w:right w:val="single" w:sz="4" w:space="0" w:color="auto"/>
            </w:tcBorders>
            <w:shd w:val="clear" w:color="auto" w:fill="92D050"/>
            <w:noWrap/>
            <w:vAlign w:val="center"/>
            <w:hideMark/>
          </w:tcPr>
          <w:p w14:paraId="22959D76" w14:textId="77777777" w:rsidR="009E0216" w:rsidRPr="00BF7E57" w:rsidRDefault="009E0216"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65 + let</w:t>
            </w:r>
          </w:p>
        </w:tc>
      </w:tr>
      <w:tr w:rsidR="009E0216" w:rsidRPr="00BF7E57" w14:paraId="1EA59D79"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37AC19A8"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2008</w:t>
            </w:r>
          </w:p>
        </w:tc>
        <w:tc>
          <w:tcPr>
            <w:tcW w:w="2409" w:type="dxa"/>
            <w:tcBorders>
              <w:top w:val="nil"/>
              <w:left w:val="nil"/>
              <w:bottom w:val="single" w:sz="8" w:space="0" w:color="auto"/>
              <w:right w:val="single" w:sz="8" w:space="0" w:color="auto"/>
            </w:tcBorders>
            <w:shd w:val="clear" w:color="auto" w:fill="auto"/>
            <w:noWrap/>
            <w:vAlign w:val="center"/>
            <w:hideMark/>
          </w:tcPr>
          <w:p w14:paraId="60612310" w14:textId="540D2135"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w:t>
            </w:r>
            <w:r w:rsidR="00620624" w:rsidRPr="00BF7E57">
              <w:rPr>
                <w:rFonts w:ascii="Arial" w:hAnsi="Arial" w:cs="Arial"/>
                <w:color w:val="000000"/>
                <w:sz w:val="18"/>
                <w:szCs w:val="18"/>
              </w:rPr>
              <w:t>lovenija</w:t>
            </w:r>
          </w:p>
        </w:tc>
        <w:tc>
          <w:tcPr>
            <w:tcW w:w="1354" w:type="dxa"/>
            <w:tcBorders>
              <w:top w:val="nil"/>
              <w:left w:val="nil"/>
              <w:bottom w:val="single" w:sz="8" w:space="0" w:color="auto"/>
              <w:right w:val="single" w:sz="8" w:space="0" w:color="auto"/>
            </w:tcBorders>
            <w:shd w:val="clear" w:color="auto" w:fill="auto"/>
            <w:noWrap/>
            <w:vAlign w:val="center"/>
            <w:hideMark/>
          </w:tcPr>
          <w:p w14:paraId="098AFF46" w14:textId="5956264E"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281</w:t>
            </w:r>
            <w:r w:rsidR="00A801C3" w:rsidRPr="00BF7E57">
              <w:rPr>
                <w:rFonts w:ascii="Arial" w:hAnsi="Arial" w:cs="Arial"/>
                <w:color w:val="000000"/>
                <w:sz w:val="18"/>
                <w:szCs w:val="18"/>
              </w:rPr>
              <w:t>.</w:t>
            </w:r>
            <w:r w:rsidRPr="00BF7E57">
              <w:rPr>
                <w:rFonts w:ascii="Arial" w:hAnsi="Arial" w:cs="Arial"/>
                <w:color w:val="000000"/>
                <w:sz w:val="18"/>
                <w:szCs w:val="18"/>
              </w:rPr>
              <w:t>081</w:t>
            </w:r>
          </w:p>
        </w:tc>
        <w:tc>
          <w:tcPr>
            <w:tcW w:w="1421" w:type="dxa"/>
            <w:tcBorders>
              <w:top w:val="nil"/>
              <w:left w:val="nil"/>
              <w:bottom w:val="single" w:sz="8" w:space="0" w:color="auto"/>
              <w:right w:val="nil"/>
            </w:tcBorders>
            <w:shd w:val="clear" w:color="auto" w:fill="auto"/>
            <w:noWrap/>
            <w:vAlign w:val="center"/>
            <w:hideMark/>
          </w:tcPr>
          <w:p w14:paraId="346FC778" w14:textId="6676BD0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310</w:t>
            </w:r>
            <w:r w:rsidR="00620624" w:rsidRPr="00BF7E57">
              <w:rPr>
                <w:rFonts w:ascii="Arial" w:hAnsi="Arial" w:cs="Arial"/>
                <w:color w:val="000000"/>
                <w:sz w:val="18"/>
                <w:szCs w:val="18"/>
              </w:rPr>
              <w:t>.</w:t>
            </w:r>
            <w:r w:rsidRPr="00BF7E57">
              <w:rPr>
                <w:rFonts w:ascii="Arial" w:hAnsi="Arial" w:cs="Arial"/>
                <w:color w:val="000000"/>
                <w:sz w:val="18"/>
                <w:szCs w:val="18"/>
              </w:rPr>
              <w:t>290</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3F44126C" w14:textId="12E2CC21"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w:t>
            </w:r>
            <w:r w:rsidR="00620624" w:rsidRPr="00BF7E57">
              <w:rPr>
                <w:rFonts w:ascii="Arial" w:hAnsi="Arial" w:cs="Arial"/>
                <w:color w:val="000000"/>
                <w:sz w:val="18"/>
                <w:szCs w:val="18"/>
              </w:rPr>
              <w:t>.</w:t>
            </w:r>
            <w:r w:rsidRPr="00BF7E57">
              <w:rPr>
                <w:rFonts w:ascii="Arial" w:hAnsi="Arial" w:cs="Arial"/>
                <w:color w:val="000000"/>
                <w:sz w:val="18"/>
                <w:szCs w:val="18"/>
              </w:rPr>
              <w:t>417</w:t>
            </w:r>
            <w:r w:rsidR="00620624" w:rsidRPr="00BF7E57">
              <w:rPr>
                <w:rFonts w:ascii="Arial" w:hAnsi="Arial" w:cs="Arial"/>
                <w:color w:val="000000"/>
                <w:sz w:val="18"/>
                <w:szCs w:val="18"/>
              </w:rPr>
              <w:t>.</w:t>
            </w:r>
            <w:r w:rsidRPr="00BF7E57">
              <w:rPr>
                <w:rFonts w:ascii="Arial" w:hAnsi="Arial" w:cs="Arial"/>
                <w:color w:val="000000"/>
                <w:sz w:val="18"/>
                <w:szCs w:val="18"/>
              </w:rPr>
              <w:t>938</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838C2E" w14:textId="2B4591C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326</w:t>
            </w:r>
            <w:r w:rsidR="00620624" w:rsidRPr="00BF7E57">
              <w:rPr>
                <w:rFonts w:ascii="Arial" w:hAnsi="Arial" w:cs="Arial"/>
                <w:color w:val="000000"/>
                <w:sz w:val="18"/>
                <w:szCs w:val="18"/>
              </w:rPr>
              <w:t>.</w:t>
            </w:r>
            <w:r w:rsidRPr="00BF7E57">
              <w:rPr>
                <w:rFonts w:ascii="Arial" w:hAnsi="Arial" w:cs="Arial"/>
                <w:color w:val="000000"/>
                <w:sz w:val="18"/>
                <w:szCs w:val="18"/>
              </w:rPr>
              <w:t>847</w:t>
            </w:r>
          </w:p>
        </w:tc>
      </w:tr>
      <w:tr w:rsidR="009E0216" w:rsidRPr="00BF7E57" w14:paraId="431AB5F9"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296FFDA"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05E22052"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4EFEA043"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13,9</w:t>
            </w:r>
          </w:p>
        </w:tc>
        <w:tc>
          <w:tcPr>
            <w:tcW w:w="1421" w:type="dxa"/>
            <w:tcBorders>
              <w:top w:val="nil"/>
              <w:left w:val="nil"/>
              <w:bottom w:val="single" w:sz="8" w:space="0" w:color="auto"/>
              <w:right w:val="single" w:sz="8" w:space="0" w:color="auto"/>
            </w:tcBorders>
            <w:shd w:val="clear" w:color="auto" w:fill="auto"/>
            <w:noWrap/>
            <w:vAlign w:val="center"/>
            <w:hideMark/>
          </w:tcPr>
          <w:p w14:paraId="1957063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15,3</w:t>
            </w:r>
          </w:p>
        </w:tc>
        <w:tc>
          <w:tcPr>
            <w:tcW w:w="1439" w:type="dxa"/>
            <w:tcBorders>
              <w:top w:val="nil"/>
              <w:left w:val="nil"/>
              <w:bottom w:val="single" w:sz="8" w:space="0" w:color="auto"/>
              <w:right w:val="single" w:sz="4" w:space="0" w:color="auto"/>
            </w:tcBorders>
            <w:shd w:val="clear" w:color="auto" w:fill="auto"/>
            <w:noWrap/>
            <w:vAlign w:val="center"/>
            <w:hideMark/>
          </w:tcPr>
          <w:p w14:paraId="3A95C6E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70,0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EFBF60B"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16,1</w:t>
            </w:r>
          </w:p>
        </w:tc>
      </w:tr>
      <w:tr w:rsidR="009E0216" w:rsidRPr="00BF7E57" w14:paraId="60A6E63D"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2C3F136"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209AA10"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27CE14FC" w14:textId="02F355D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174</w:t>
            </w:r>
            <w:r w:rsidR="00A801C3" w:rsidRPr="00BF7E57">
              <w:rPr>
                <w:rFonts w:ascii="Arial" w:hAnsi="Arial" w:cs="Arial"/>
                <w:color w:val="000000"/>
                <w:sz w:val="18"/>
                <w:szCs w:val="18"/>
              </w:rPr>
              <w:t>.</w:t>
            </w:r>
            <w:r w:rsidRPr="00BF7E57">
              <w:rPr>
                <w:rFonts w:ascii="Arial" w:hAnsi="Arial" w:cs="Arial"/>
                <w:color w:val="000000"/>
                <w:sz w:val="18"/>
                <w:szCs w:val="18"/>
              </w:rPr>
              <w:t>245</w:t>
            </w:r>
          </w:p>
        </w:tc>
        <w:tc>
          <w:tcPr>
            <w:tcW w:w="1421" w:type="dxa"/>
            <w:tcBorders>
              <w:top w:val="nil"/>
              <w:left w:val="nil"/>
              <w:bottom w:val="single" w:sz="8" w:space="0" w:color="auto"/>
              <w:right w:val="nil"/>
            </w:tcBorders>
            <w:shd w:val="clear" w:color="auto" w:fill="auto"/>
            <w:noWrap/>
            <w:vAlign w:val="center"/>
            <w:hideMark/>
          </w:tcPr>
          <w:p w14:paraId="2807D3FA" w14:textId="0268BBD8"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190</w:t>
            </w:r>
            <w:r w:rsidR="00620624" w:rsidRPr="00BF7E57">
              <w:rPr>
                <w:rFonts w:ascii="Arial" w:hAnsi="Arial" w:cs="Arial"/>
                <w:color w:val="000000"/>
                <w:sz w:val="18"/>
                <w:szCs w:val="18"/>
              </w:rPr>
              <w:t>.</w:t>
            </w:r>
            <w:r w:rsidRPr="00BF7E57">
              <w:rPr>
                <w:rFonts w:ascii="Arial" w:hAnsi="Arial" w:cs="Arial"/>
                <w:color w:val="000000"/>
                <w:sz w:val="18"/>
                <w:szCs w:val="18"/>
              </w:rPr>
              <w:t>292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4F5BDBC9" w14:textId="19A89465"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843</w:t>
            </w:r>
            <w:r w:rsidR="00620624" w:rsidRPr="00BF7E57">
              <w:rPr>
                <w:rFonts w:ascii="Arial" w:hAnsi="Arial" w:cs="Arial"/>
                <w:color w:val="000000"/>
                <w:sz w:val="18"/>
                <w:szCs w:val="18"/>
              </w:rPr>
              <w:t>.</w:t>
            </w:r>
            <w:r w:rsidRPr="00BF7E57">
              <w:rPr>
                <w:rFonts w:ascii="Arial" w:hAnsi="Arial" w:cs="Arial"/>
                <w:color w:val="000000"/>
                <w:sz w:val="18"/>
                <w:szCs w:val="18"/>
              </w:rPr>
              <w:t>948</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20B902E" w14:textId="3AAC64C2"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190</w:t>
            </w:r>
            <w:r w:rsidR="00620624" w:rsidRPr="00BF7E57">
              <w:rPr>
                <w:rFonts w:ascii="Arial" w:hAnsi="Arial" w:cs="Arial"/>
                <w:color w:val="000000"/>
                <w:sz w:val="18"/>
                <w:szCs w:val="18"/>
              </w:rPr>
              <w:t>.</w:t>
            </w:r>
            <w:r w:rsidRPr="00BF7E57">
              <w:rPr>
                <w:rFonts w:ascii="Arial" w:hAnsi="Arial" w:cs="Arial"/>
                <w:color w:val="000000"/>
                <w:sz w:val="18"/>
                <w:szCs w:val="18"/>
              </w:rPr>
              <w:t>289</w:t>
            </w:r>
          </w:p>
        </w:tc>
      </w:tr>
      <w:tr w:rsidR="009E0216" w:rsidRPr="00BF7E57" w14:paraId="7B9DA0FC"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DDB8E78"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AF58967"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68A51F57"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w:t>
            </w:r>
          </w:p>
        </w:tc>
        <w:tc>
          <w:tcPr>
            <w:tcW w:w="1421" w:type="dxa"/>
            <w:tcBorders>
              <w:top w:val="nil"/>
              <w:left w:val="nil"/>
              <w:bottom w:val="single" w:sz="8" w:space="0" w:color="auto"/>
              <w:right w:val="nil"/>
            </w:tcBorders>
            <w:shd w:val="clear" w:color="auto" w:fill="auto"/>
            <w:noWrap/>
            <w:vAlign w:val="center"/>
            <w:hideMark/>
          </w:tcPr>
          <w:p w14:paraId="21B02E3D"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7EEAA7A2"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70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B2DEB0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w:t>
            </w:r>
          </w:p>
        </w:tc>
      </w:tr>
      <w:tr w:rsidR="009E0216" w:rsidRPr="00BF7E57" w14:paraId="6BFD1B27"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6935EE03"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2010</w:t>
            </w:r>
          </w:p>
        </w:tc>
        <w:tc>
          <w:tcPr>
            <w:tcW w:w="2409" w:type="dxa"/>
            <w:tcBorders>
              <w:top w:val="nil"/>
              <w:left w:val="nil"/>
              <w:bottom w:val="single" w:sz="8" w:space="0" w:color="auto"/>
              <w:right w:val="single" w:sz="8" w:space="0" w:color="auto"/>
            </w:tcBorders>
            <w:shd w:val="clear" w:color="auto" w:fill="auto"/>
            <w:noWrap/>
            <w:vAlign w:val="center"/>
            <w:hideMark/>
          </w:tcPr>
          <w:p w14:paraId="54F8DCB4" w14:textId="2C922892"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w:t>
            </w:r>
            <w:r w:rsidR="00620624" w:rsidRPr="00BF7E57">
              <w:rPr>
                <w:rFonts w:ascii="Arial" w:hAnsi="Arial" w:cs="Arial"/>
                <w:color w:val="000000"/>
                <w:sz w:val="18"/>
                <w:szCs w:val="18"/>
              </w:rPr>
              <w:t>lovenija</w:t>
            </w:r>
          </w:p>
        </w:tc>
        <w:tc>
          <w:tcPr>
            <w:tcW w:w="1354" w:type="dxa"/>
            <w:tcBorders>
              <w:top w:val="nil"/>
              <w:left w:val="nil"/>
              <w:bottom w:val="single" w:sz="8" w:space="0" w:color="auto"/>
              <w:right w:val="single" w:sz="8" w:space="0" w:color="auto"/>
            </w:tcBorders>
            <w:shd w:val="clear" w:color="auto" w:fill="auto"/>
            <w:noWrap/>
            <w:vAlign w:val="center"/>
            <w:hideMark/>
          </w:tcPr>
          <w:p w14:paraId="6A37C9A4" w14:textId="45F26AE1"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287</w:t>
            </w:r>
            <w:r w:rsidR="00A801C3" w:rsidRPr="00BF7E57">
              <w:rPr>
                <w:rFonts w:ascii="Arial" w:hAnsi="Arial" w:cs="Arial"/>
                <w:color w:val="000000"/>
                <w:sz w:val="18"/>
                <w:szCs w:val="18"/>
              </w:rPr>
              <w:t>.</w:t>
            </w:r>
            <w:r w:rsidRPr="00BF7E57">
              <w:rPr>
                <w:rFonts w:ascii="Arial" w:hAnsi="Arial" w:cs="Arial"/>
                <w:color w:val="000000"/>
                <w:sz w:val="18"/>
                <w:szCs w:val="18"/>
              </w:rPr>
              <w:t>275</w:t>
            </w:r>
          </w:p>
        </w:tc>
        <w:tc>
          <w:tcPr>
            <w:tcW w:w="1421" w:type="dxa"/>
            <w:tcBorders>
              <w:top w:val="nil"/>
              <w:left w:val="nil"/>
              <w:bottom w:val="single" w:sz="8" w:space="0" w:color="auto"/>
              <w:right w:val="nil"/>
            </w:tcBorders>
            <w:shd w:val="clear" w:color="auto" w:fill="auto"/>
            <w:noWrap/>
            <w:vAlign w:val="center"/>
            <w:hideMark/>
          </w:tcPr>
          <w:p w14:paraId="793F9A20" w14:textId="22E9B342"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294</w:t>
            </w:r>
            <w:r w:rsidR="00620624" w:rsidRPr="00BF7E57">
              <w:rPr>
                <w:rFonts w:ascii="Arial" w:hAnsi="Arial" w:cs="Arial"/>
                <w:color w:val="000000"/>
                <w:sz w:val="18"/>
                <w:szCs w:val="18"/>
              </w:rPr>
              <w:t>.</w:t>
            </w:r>
            <w:r w:rsidRPr="00BF7E57">
              <w:rPr>
                <w:rFonts w:ascii="Arial" w:hAnsi="Arial" w:cs="Arial"/>
                <w:color w:val="000000"/>
                <w:sz w:val="18"/>
                <w:szCs w:val="18"/>
              </w:rPr>
              <w:t>847</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1808C001" w14:textId="7550032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w:t>
            </w:r>
            <w:r w:rsidR="00620624" w:rsidRPr="00BF7E57">
              <w:rPr>
                <w:rFonts w:ascii="Arial" w:hAnsi="Arial" w:cs="Arial"/>
                <w:color w:val="000000"/>
                <w:sz w:val="18"/>
                <w:szCs w:val="18"/>
              </w:rPr>
              <w:t>.</w:t>
            </w:r>
            <w:r w:rsidRPr="00BF7E57">
              <w:rPr>
                <w:rFonts w:ascii="Arial" w:hAnsi="Arial" w:cs="Arial"/>
                <w:color w:val="000000"/>
                <w:sz w:val="18"/>
                <w:szCs w:val="18"/>
              </w:rPr>
              <w:t>421</w:t>
            </w:r>
            <w:r w:rsidR="00620624" w:rsidRPr="00BF7E57">
              <w:rPr>
                <w:rFonts w:ascii="Arial" w:hAnsi="Arial" w:cs="Arial"/>
                <w:color w:val="000000"/>
                <w:sz w:val="18"/>
                <w:szCs w:val="18"/>
              </w:rPr>
              <w:t>.</w:t>
            </w:r>
            <w:r w:rsidRPr="00BF7E57">
              <w:rPr>
                <w:rFonts w:ascii="Arial" w:hAnsi="Arial" w:cs="Arial"/>
                <w:color w:val="000000"/>
                <w:sz w:val="18"/>
                <w:szCs w:val="18"/>
              </w:rPr>
              <w:t>436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BA9BF0" w14:textId="76F19AA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338</w:t>
            </w:r>
            <w:r w:rsidR="00620624" w:rsidRPr="00BF7E57">
              <w:rPr>
                <w:rFonts w:ascii="Arial" w:hAnsi="Arial" w:cs="Arial"/>
                <w:color w:val="000000"/>
                <w:sz w:val="18"/>
                <w:szCs w:val="18"/>
              </w:rPr>
              <w:t>.</w:t>
            </w:r>
            <w:r w:rsidRPr="00BF7E57">
              <w:rPr>
                <w:rFonts w:ascii="Arial" w:hAnsi="Arial" w:cs="Arial"/>
                <w:color w:val="000000"/>
                <w:sz w:val="18"/>
                <w:szCs w:val="18"/>
              </w:rPr>
              <w:t>265</w:t>
            </w:r>
          </w:p>
        </w:tc>
      </w:tr>
      <w:tr w:rsidR="009E0216" w:rsidRPr="00BF7E57" w14:paraId="2E8151E3"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6807A69E"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088FFA8E"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168BD66E"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14,0</w:t>
            </w:r>
          </w:p>
        </w:tc>
        <w:tc>
          <w:tcPr>
            <w:tcW w:w="1421" w:type="dxa"/>
            <w:tcBorders>
              <w:top w:val="nil"/>
              <w:left w:val="nil"/>
              <w:bottom w:val="single" w:sz="8" w:space="0" w:color="auto"/>
              <w:right w:val="nil"/>
            </w:tcBorders>
            <w:shd w:val="clear" w:color="auto" w:fill="auto"/>
            <w:noWrap/>
            <w:vAlign w:val="center"/>
            <w:hideMark/>
          </w:tcPr>
          <w:p w14:paraId="0DAE0052"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14,4</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74F12C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69,4</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F8FE642"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16,5</w:t>
            </w:r>
          </w:p>
        </w:tc>
      </w:tr>
      <w:tr w:rsidR="009E0216" w:rsidRPr="00BF7E57" w14:paraId="32669B53"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322F3820"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5888E21D"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16575F1C" w14:textId="04431BDE"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177</w:t>
            </w:r>
            <w:r w:rsidR="00A801C3" w:rsidRPr="00BF7E57">
              <w:rPr>
                <w:rFonts w:ascii="Arial" w:hAnsi="Arial" w:cs="Arial"/>
                <w:color w:val="000000"/>
                <w:sz w:val="18"/>
                <w:szCs w:val="18"/>
              </w:rPr>
              <w:t>.</w:t>
            </w:r>
            <w:r w:rsidRPr="00BF7E57">
              <w:rPr>
                <w:rFonts w:ascii="Arial" w:hAnsi="Arial" w:cs="Arial"/>
                <w:color w:val="000000"/>
                <w:sz w:val="18"/>
                <w:szCs w:val="18"/>
              </w:rPr>
              <w:t>026</w:t>
            </w:r>
          </w:p>
        </w:tc>
        <w:tc>
          <w:tcPr>
            <w:tcW w:w="1421" w:type="dxa"/>
            <w:tcBorders>
              <w:top w:val="nil"/>
              <w:left w:val="nil"/>
              <w:bottom w:val="single" w:sz="8" w:space="0" w:color="auto"/>
              <w:right w:val="nil"/>
            </w:tcBorders>
            <w:shd w:val="clear" w:color="auto" w:fill="auto"/>
            <w:noWrap/>
            <w:vAlign w:val="center"/>
            <w:hideMark/>
          </w:tcPr>
          <w:p w14:paraId="30E87037" w14:textId="3EA2723D"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172</w:t>
            </w:r>
            <w:r w:rsidR="00620624" w:rsidRPr="00BF7E57">
              <w:rPr>
                <w:rFonts w:ascii="Arial" w:hAnsi="Arial" w:cs="Arial"/>
                <w:color w:val="000000"/>
                <w:sz w:val="18"/>
                <w:szCs w:val="18"/>
              </w:rPr>
              <w:t>.</w:t>
            </w:r>
            <w:r w:rsidRPr="00BF7E57">
              <w:rPr>
                <w:rFonts w:ascii="Arial" w:hAnsi="Arial" w:cs="Arial"/>
                <w:color w:val="000000"/>
                <w:sz w:val="18"/>
                <w:szCs w:val="18"/>
              </w:rPr>
              <w:t>412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025CCEA" w14:textId="11C90F8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839</w:t>
            </w:r>
            <w:r w:rsidR="00620624" w:rsidRPr="00BF7E57">
              <w:rPr>
                <w:rFonts w:ascii="Arial" w:hAnsi="Arial" w:cs="Arial"/>
                <w:color w:val="000000"/>
                <w:sz w:val="18"/>
                <w:szCs w:val="18"/>
              </w:rPr>
              <w:t>.</w:t>
            </w:r>
            <w:r w:rsidRPr="00BF7E57">
              <w:rPr>
                <w:rFonts w:ascii="Arial" w:hAnsi="Arial" w:cs="Arial"/>
                <w:color w:val="000000"/>
                <w:sz w:val="18"/>
                <w:szCs w:val="18"/>
              </w:rPr>
              <w:t>914</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330C2B" w14:textId="310869C1"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197</w:t>
            </w:r>
            <w:r w:rsidR="00620624" w:rsidRPr="00BF7E57">
              <w:rPr>
                <w:rFonts w:ascii="Arial" w:hAnsi="Arial" w:cs="Arial"/>
                <w:color w:val="000000"/>
                <w:sz w:val="18"/>
                <w:szCs w:val="18"/>
              </w:rPr>
              <w:t>.</w:t>
            </w:r>
            <w:r w:rsidRPr="00BF7E57">
              <w:rPr>
                <w:rFonts w:ascii="Arial" w:hAnsi="Arial" w:cs="Arial"/>
                <w:color w:val="000000"/>
                <w:sz w:val="18"/>
                <w:szCs w:val="18"/>
              </w:rPr>
              <w:t>541</w:t>
            </w:r>
          </w:p>
        </w:tc>
      </w:tr>
      <w:tr w:rsidR="009E0216" w:rsidRPr="00BF7E57" w14:paraId="3964506F"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2561807E"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288B243D"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7CF9F00E"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14,6</w:t>
            </w:r>
          </w:p>
        </w:tc>
        <w:tc>
          <w:tcPr>
            <w:tcW w:w="1421" w:type="dxa"/>
            <w:tcBorders>
              <w:top w:val="nil"/>
              <w:left w:val="nil"/>
              <w:bottom w:val="single" w:sz="8" w:space="0" w:color="auto"/>
              <w:right w:val="nil"/>
            </w:tcBorders>
            <w:shd w:val="clear" w:color="auto" w:fill="auto"/>
            <w:noWrap/>
            <w:vAlign w:val="center"/>
            <w:hideMark/>
          </w:tcPr>
          <w:p w14:paraId="1B7B3642"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0DD4E7A"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69,2</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18899F"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16,3</w:t>
            </w:r>
          </w:p>
        </w:tc>
      </w:tr>
      <w:tr w:rsidR="009E0216" w:rsidRPr="00BF7E57" w14:paraId="519F151A"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86E8A97"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2015</w:t>
            </w:r>
          </w:p>
        </w:tc>
        <w:tc>
          <w:tcPr>
            <w:tcW w:w="2409" w:type="dxa"/>
            <w:tcBorders>
              <w:top w:val="nil"/>
              <w:left w:val="nil"/>
              <w:bottom w:val="single" w:sz="8" w:space="0" w:color="auto"/>
              <w:right w:val="single" w:sz="8" w:space="0" w:color="auto"/>
            </w:tcBorders>
            <w:shd w:val="clear" w:color="auto" w:fill="auto"/>
            <w:noWrap/>
            <w:vAlign w:val="center"/>
            <w:hideMark/>
          </w:tcPr>
          <w:p w14:paraId="23C79BA6" w14:textId="1456ADE8" w:rsidR="009E0216" w:rsidRPr="00BF7E57" w:rsidRDefault="00620624"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Slovenija</w:t>
            </w:r>
          </w:p>
        </w:tc>
        <w:tc>
          <w:tcPr>
            <w:tcW w:w="1354" w:type="dxa"/>
            <w:tcBorders>
              <w:top w:val="nil"/>
              <w:left w:val="nil"/>
              <w:bottom w:val="single" w:sz="8" w:space="0" w:color="auto"/>
              <w:right w:val="single" w:sz="8" w:space="0" w:color="auto"/>
            </w:tcBorders>
            <w:shd w:val="clear" w:color="auto" w:fill="auto"/>
            <w:noWrap/>
            <w:vAlign w:val="center"/>
            <w:hideMark/>
          </w:tcPr>
          <w:p w14:paraId="3BAAEC26" w14:textId="5D2AF856"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306</w:t>
            </w:r>
            <w:r w:rsidR="00A801C3" w:rsidRPr="00BF7E57">
              <w:rPr>
                <w:rFonts w:ascii="Arial" w:hAnsi="Arial" w:cs="Arial"/>
                <w:color w:val="000000"/>
                <w:sz w:val="18"/>
                <w:szCs w:val="18"/>
              </w:rPr>
              <w:t>.</w:t>
            </w:r>
            <w:r w:rsidRPr="00BF7E57">
              <w:rPr>
                <w:rFonts w:ascii="Arial" w:hAnsi="Arial" w:cs="Arial"/>
                <w:color w:val="000000"/>
                <w:sz w:val="18"/>
                <w:szCs w:val="18"/>
              </w:rPr>
              <w:t>390</w:t>
            </w:r>
          </w:p>
        </w:tc>
        <w:tc>
          <w:tcPr>
            <w:tcW w:w="1421" w:type="dxa"/>
            <w:tcBorders>
              <w:top w:val="nil"/>
              <w:left w:val="nil"/>
              <w:bottom w:val="single" w:sz="8" w:space="0" w:color="auto"/>
              <w:right w:val="nil"/>
            </w:tcBorders>
            <w:shd w:val="clear" w:color="auto" w:fill="auto"/>
            <w:noWrap/>
            <w:vAlign w:val="center"/>
            <w:hideMark/>
          </w:tcPr>
          <w:p w14:paraId="2732342A" w14:textId="265F9A05"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246</w:t>
            </w:r>
            <w:r w:rsidR="00620624" w:rsidRPr="00BF7E57">
              <w:rPr>
                <w:rFonts w:ascii="Arial" w:hAnsi="Arial" w:cs="Arial"/>
                <w:color w:val="000000"/>
                <w:sz w:val="18"/>
                <w:szCs w:val="18"/>
              </w:rPr>
              <w:t>.</w:t>
            </w:r>
            <w:r w:rsidRPr="00BF7E57">
              <w:rPr>
                <w:rFonts w:ascii="Arial" w:hAnsi="Arial" w:cs="Arial"/>
                <w:color w:val="000000"/>
                <w:sz w:val="18"/>
                <w:szCs w:val="18"/>
              </w:rPr>
              <w:t>964</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4C07F83D" w14:textId="65B3103A"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w:t>
            </w:r>
            <w:r w:rsidR="00620624" w:rsidRPr="00BF7E57">
              <w:rPr>
                <w:rFonts w:ascii="Arial" w:hAnsi="Arial" w:cs="Arial"/>
                <w:color w:val="000000"/>
                <w:sz w:val="18"/>
                <w:szCs w:val="18"/>
              </w:rPr>
              <w:t>.</w:t>
            </w:r>
            <w:r w:rsidRPr="00BF7E57">
              <w:rPr>
                <w:rFonts w:ascii="Arial" w:hAnsi="Arial" w:cs="Arial"/>
                <w:color w:val="000000"/>
                <w:sz w:val="18"/>
                <w:szCs w:val="18"/>
              </w:rPr>
              <w:t>377</w:t>
            </w:r>
            <w:r w:rsidR="00620624" w:rsidRPr="00BF7E57">
              <w:rPr>
                <w:rFonts w:ascii="Arial" w:hAnsi="Arial" w:cs="Arial"/>
                <w:color w:val="000000"/>
                <w:sz w:val="18"/>
                <w:szCs w:val="18"/>
              </w:rPr>
              <w:t>.</w:t>
            </w:r>
            <w:r w:rsidRPr="00BF7E57">
              <w:rPr>
                <w:rFonts w:ascii="Arial" w:hAnsi="Arial" w:cs="Arial"/>
                <w:color w:val="000000"/>
                <w:sz w:val="18"/>
                <w:szCs w:val="18"/>
              </w:rPr>
              <w:t>696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CB12DA" w14:textId="1A18C76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380</w:t>
            </w:r>
            <w:r w:rsidR="00620624" w:rsidRPr="00BF7E57">
              <w:rPr>
                <w:rFonts w:ascii="Arial" w:hAnsi="Arial" w:cs="Arial"/>
                <w:color w:val="000000"/>
                <w:sz w:val="18"/>
                <w:szCs w:val="18"/>
              </w:rPr>
              <w:t>.</w:t>
            </w:r>
            <w:r w:rsidRPr="00BF7E57">
              <w:rPr>
                <w:rFonts w:ascii="Arial" w:hAnsi="Arial" w:cs="Arial"/>
                <w:color w:val="000000"/>
                <w:sz w:val="18"/>
                <w:szCs w:val="18"/>
              </w:rPr>
              <w:t>102</w:t>
            </w:r>
          </w:p>
        </w:tc>
      </w:tr>
      <w:tr w:rsidR="009E0216" w:rsidRPr="00BF7E57" w14:paraId="5715E6EA"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EF97377"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22CF8116"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0D97EF3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14,8</w:t>
            </w:r>
          </w:p>
        </w:tc>
        <w:tc>
          <w:tcPr>
            <w:tcW w:w="1421" w:type="dxa"/>
            <w:tcBorders>
              <w:top w:val="nil"/>
              <w:left w:val="nil"/>
              <w:bottom w:val="single" w:sz="8" w:space="0" w:color="auto"/>
              <w:right w:val="nil"/>
            </w:tcBorders>
            <w:shd w:val="clear" w:color="auto" w:fill="auto"/>
            <w:noWrap/>
            <w:vAlign w:val="center"/>
            <w:hideMark/>
          </w:tcPr>
          <w:p w14:paraId="18C058F0"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12,0</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2620A7C3"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66,7</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DD09CA3"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18,4</w:t>
            </w:r>
          </w:p>
        </w:tc>
      </w:tr>
      <w:tr w:rsidR="009E0216" w:rsidRPr="00BF7E57" w14:paraId="1073D962"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E4886B5"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3F64B694"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15BD2A1A" w14:textId="20E6E68E"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185</w:t>
            </w:r>
            <w:r w:rsidR="00A801C3" w:rsidRPr="00BF7E57">
              <w:rPr>
                <w:rFonts w:ascii="Arial" w:hAnsi="Arial" w:cs="Arial"/>
                <w:color w:val="000000"/>
                <w:sz w:val="18"/>
                <w:szCs w:val="18"/>
              </w:rPr>
              <w:t>.</w:t>
            </w:r>
            <w:r w:rsidRPr="00BF7E57">
              <w:rPr>
                <w:rFonts w:ascii="Arial" w:hAnsi="Arial" w:cs="Arial"/>
                <w:color w:val="000000"/>
                <w:sz w:val="18"/>
                <w:szCs w:val="18"/>
              </w:rPr>
              <w:t>504</w:t>
            </w:r>
          </w:p>
        </w:tc>
        <w:tc>
          <w:tcPr>
            <w:tcW w:w="1421" w:type="dxa"/>
            <w:tcBorders>
              <w:top w:val="nil"/>
              <w:left w:val="nil"/>
              <w:bottom w:val="single" w:sz="8" w:space="0" w:color="auto"/>
              <w:right w:val="nil"/>
            </w:tcBorders>
            <w:shd w:val="clear" w:color="auto" w:fill="auto"/>
            <w:noWrap/>
            <w:vAlign w:val="center"/>
            <w:hideMark/>
          </w:tcPr>
          <w:p w14:paraId="1504F539" w14:textId="1DF9418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142</w:t>
            </w:r>
            <w:r w:rsidR="00620624" w:rsidRPr="00BF7E57">
              <w:rPr>
                <w:rFonts w:ascii="Arial" w:hAnsi="Arial" w:cs="Arial"/>
                <w:color w:val="000000"/>
                <w:sz w:val="18"/>
                <w:szCs w:val="18"/>
              </w:rPr>
              <w:t>.</w:t>
            </w:r>
            <w:r w:rsidRPr="00BF7E57">
              <w:rPr>
                <w:rFonts w:ascii="Arial" w:hAnsi="Arial" w:cs="Arial"/>
                <w:color w:val="000000"/>
                <w:sz w:val="18"/>
                <w:szCs w:val="18"/>
              </w:rPr>
              <w:t>012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7A405402" w14:textId="2D5362D1"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815</w:t>
            </w:r>
            <w:r w:rsidR="00620624" w:rsidRPr="00BF7E57">
              <w:rPr>
                <w:rFonts w:ascii="Arial" w:hAnsi="Arial" w:cs="Arial"/>
                <w:color w:val="000000"/>
                <w:sz w:val="18"/>
                <w:szCs w:val="18"/>
              </w:rPr>
              <w:t>.</w:t>
            </w:r>
            <w:r w:rsidRPr="00BF7E57">
              <w:rPr>
                <w:rFonts w:ascii="Arial" w:hAnsi="Arial" w:cs="Arial"/>
                <w:color w:val="000000"/>
                <w:sz w:val="18"/>
                <w:szCs w:val="18"/>
              </w:rPr>
              <w:t>635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0E3DBCC" w14:textId="6D8F6D46"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222</w:t>
            </w:r>
            <w:r w:rsidR="00620624" w:rsidRPr="00BF7E57">
              <w:rPr>
                <w:rFonts w:ascii="Arial" w:hAnsi="Arial" w:cs="Arial"/>
                <w:color w:val="000000"/>
                <w:sz w:val="18"/>
                <w:szCs w:val="18"/>
              </w:rPr>
              <w:t>.</w:t>
            </w:r>
            <w:r w:rsidRPr="00BF7E57">
              <w:rPr>
                <w:rFonts w:ascii="Arial" w:hAnsi="Arial" w:cs="Arial"/>
                <w:color w:val="000000"/>
                <w:sz w:val="18"/>
                <w:szCs w:val="18"/>
              </w:rPr>
              <w:t>846</w:t>
            </w:r>
          </w:p>
        </w:tc>
      </w:tr>
      <w:tr w:rsidR="009E0216" w:rsidRPr="00BF7E57" w14:paraId="06F622CB"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476747E3"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03DADA6"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393B9F82" w14:textId="383A8D8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15,2</w:t>
            </w:r>
          </w:p>
        </w:tc>
        <w:tc>
          <w:tcPr>
            <w:tcW w:w="1421" w:type="dxa"/>
            <w:tcBorders>
              <w:top w:val="nil"/>
              <w:left w:val="nil"/>
              <w:bottom w:val="single" w:sz="8" w:space="0" w:color="auto"/>
              <w:right w:val="nil"/>
            </w:tcBorders>
            <w:shd w:val="clear" w:color="auto" w:fill="auto"/>
            <w:noWrap/>
            <w:vAlign w:val="center"/>
            <w:hideMark/>
          </w:tcPr>
          <w:p w14:paraId="3F630EC6" w14:textId="3954930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11,6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563AA5E2" w14:textId="7C99D16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66,6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FAB4C8" w14:textId="3403566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18,2</w:t>
            </w:r>
          </w:p>
        </w:tc>
      </w:tr>
      <w:tr w:rsidR="009E0216" w:rsidRPr="00BF7E57" w14:paraId="63A58040"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2BA179D3" w14:textId="336702AF" w:rsidR="009E0216" w:rsidRPr="00BF7E57" w:rsidRDefault="00D202AF"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2018/</w:t>
            </w:r>
            <w:r w:rsidR="009E0216" w:rsidRPr="00BF7E57">
              <w:rPr>
                <w:rFonts w:ascii="Arial" w:hAnsi="Arial" w:cs="Arial"/>
                <w:b/>
                <w:bCs/>
                <w:color w:val="000000"/>
                <w:sz w:val="18"/>
                <w:szCs w:val="18"/>
              </w:rPr>
              <w:t>2019</w:t>
            </w:r>
          </w:p>
        </w:tc>
        <w:tc>
          <w:tcPr>
            <w:tcW w:w="2409" w:type="dxa"/>
            <w:tcBorders>
              <w:top w:val="nil"/>
              <w:left w:val="nil"/>
              <w:bottom w:val="single" w:sz="8" w:space="0" w:color="auto"/>
              <w:right w:val="single" w:sz="8" w:space="0" w:color="auto"/>
            </w:tcBorders>
            <w:shd w:val="clear" w:color="auto" w:fill="auto"/>
            <w:noWrap/>
            <w:vAlign w:val="center"/>
            <w:hideMark/>
          </w:tcPr>
          <w:p w14:paraId="6CCB5058" w14:textId="571EF9DA" w:rsidR="009E0216" w:rsidRPr="00BF7E57" w:rsidRDefault="00620624"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Slovenija</w:t>
            </w:r>
          </w:p>
        </w:tc>
        <w:tc>
          <w:tcPr>
            <w:tcW w:w="1354" w:type="dxa"/>
            <w:tcBorders>
              <w:top w:val="nil"/>
              <w:left w:val="nil"/>
              <w:bottom w:val="single" w:sz="8" w:space="0" w:color="auto"/>
              <w:right w:val="single" w:sz="8" w:space="0" w:color="auto"/>
            </w:tcBorders>
            <w:shd w:val="clear" w:color="auto" w:fill="auto"/>
            <w:noWrap/>
            <w:vAlign w:val="center"/>
            <w:hideMark/>
          </w:tcPr>
          <w:p w14:paraId="4ED61EC1" w14:textId="7AC8C20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315</w:t>
            </w:r>
            <w:r w:rsidR="00A801C3" w:rsidRPr="00BF7E57">
              <w:rPr>
                <w:rFonts w:ascii="Arial" w:hAnsi="Arial" w:cs="Arial"/>
                <w:color w:val="000000"/>
                <w:sz w:val="18"/>
                <w:szCs w:val="18"/>
              </w:rPr>
              <w:t>.</w:t>
            </w:r>
            <w:r w:rsidRPr="00BF7E57">
              <w:rPr>
                <w:rFonts w:ascii="Arial" w:hAnsi="Arial" w:cs="Arial"/>
                <w:color w:val="000000"/>
                <w:sz w:val="18"/>
                <w:szCs w:val="18"/>
              </w:rPr>
              <w:t>802</w:t>
            </w:r>
          </w:p>
        </w:tc>
        <w:tc>
          <w:tcPr>
            <w:tcW w:w="1421" w:type="dxa"/>
            <w:tcBorders>
              <w:top w:val="nil"/>
              <w:left w:val="nil"/>
              <w:bottom w:val="single" w:sz="8" w:space="0" w:color="auto"/>
              <w:right w:val="nil"/>
            </w:tcBorders>
            <w:shd w:val="clear" w:color="auto" w:fill="auto"/>
            <w:noWrap/>
            <w:vAlign w:val="center"/>
            <w:hideMark/>
          </w:tcPr>
          <w:p w14:paraId="0766A36A" w14:textId="54AE2ECF"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240</w:t>
            </w:r>
            <w:r w:rsidR="00620624" w:rsidRPr="00BF7E57">
              <w:rPr>
                <w:rFonts w:ascii="Arial" w:hAnsi="Arial" w:cs="Arial"/>
                <w:color w:val="000000"/>
                <w:sz w:val="18"/>
                <w:szCs w:val="18"/>
              </w:rPr>
              <w:t>.</w:t>
            </w:r>
            <w:r w:rsidRPr="00BF7E57">
              <w:rPr>
                <w:rFonts w:ascii="Arial" w:hAnsi="Arial" w:cs="Arial"/>
                <w:color w:val="000000"/>
                <w:sz w:val="18"/>
                <w:szCs w:val="18"/>
              </w:rPr>
              <w:t>666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0797D00F" w14:textId="77E906D3"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w:t>
            </w:r>
            <w:r w:rsidR="00620624" w:rsidRPr="00BF7E57">
              <w:rPr>
                <w:rFonts w:ascii="Arial" w:hAnsi="Arial" w:cs="Arial"/>
                <w:color w:val="000000"/>
                <w:sz w:val="18"/>
                <w:szCs w:val="18"/>
              </w:rPr>
              <w:t>.</w:t>
            </w:r>
            <w:r w:rsidRPr="00BF7E57">
              <w:rPr>
                <w:rFonts w:ascii="Arial" w:hAnsi="Arial" w:cs="Arial"/>
                <w:color w:val="000000"/>
                <w:sz w:val="18"/>
                <w:szCs w:val="18"/>
              </w:rPr>
              <w:t>356</w:t>
            </w:r>
            <w:r w:rsidR="00620624" w:rsidRPr="00BF7E57">
              <w:rPr>
                <w:rFonts w:ascii="Arial" w:hAnsi="Arial" w:cs="Arial"/>
                <w:color w:val="000000"/>
                <w:sz w:val="18"/>
                <w:szCs w:val="18"/>
              </w:rPr>
              <w:t>.</w:t>
            </w:r>
            <w:r w:rsidRPr="00BF7E57">
              <w:rPr>
                <w:rFonts w:ascii="Arial" w:hAnsi="Arial" w:cs="Arial"/>
                <w:color w:val="000000"/>
                <w:sz w:val="18"/>
                <w:szCs w:val="18"/>
              </w:rPr>
              <w:t>055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6158BEA" w14:textId="380820B8"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424</w:t>
            </w:r>
            <w:r w:rsidR="00620624" w:rsidRPr="00BF7E57">
              <w:rPr>
                <w:rFonts w:ascii="Arial" w:hAnsi="Arial" w:cs="Arial"/>
                <w:color w:val="000000"/>
                <w:sz w:val="18"/>
                <w:szCs w:val="18"/>
              </w:rPr>
              <w:t>.</w:t>
            </w:r>
            <w:r w:rsidRPr="00BF7E57">
              <w:rPr>
                <w:rFonts w:ascii="Arial" w:hAnsi="Arial" w:cs="Arial"/>
                <w:color w:val="000000"/>
                <w:sz w:val="18"/>
                <w:szCs w:val="18"/>
              </w:rPr>
              <w:t>004</w:t>
            </w:r>
          </w:p>
        </w:tc>
      </w:tr>
      <w:tr w:rsidR="009E0216" w:rsidRPr="00BF7E57" w14:paraId="6AFACB36"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F35F4D5"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33FE8A90"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47168177"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15,1</w:t>
            </w:r>
          </w:p>
        </w:tc>
        <w:tc>
          <w:tcPr>
            <w:tcW w:w="1421" w:type="dxa"/>
            <w:tcBorders>
              <w:top w:val="nil"/>
              <w:left w:val="nil"/>
              <w:bottom w:val="single" w:sz="8" w:space="0" w:color="auto"/>
              <w:right w:val="nil"/>
            </w:tcBorders>
            <w:shd w:val="clear" w:color="auto" w:fill="auto"/>
            <w:noWrap/>
            <w:vAlign w:val="center"/>
            <w:hideMark/>
          </w:tcPr>
          <w:p w14:paraId="45719330"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11,5</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312873ED"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64,7</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7F41C9E"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20,2</w:t>
            </w:r>
          </w:p>
        </w:tc>
      </w:tr>
      <w:tr w:rsidR="009E0216" w:rsidRPr="00BF7E57" w14:paraId="66AA48C1" w14:textId="77777777" w:rsidTr="00146365">
        <w:trPr>
          <w:trHeight w:val="271"/>
        </w:trPr>
        <w:tc>
          <w:tcPr>
            <w:tcW w:w="1153" w:type="dxa"/>
            <w:tcBorders>
              <w:top w:val="nil"/>
              <w:left w:val="single" w:sz="8" w:space="0" w:color="auto"/>
              <w:bottom w:val="nil"/>
              <w:right w:val="single" w:sz="8" w:space="0" w:color="auto"/>
            </w:tcBorders>
            <w:shd w:val="clear" w:color="auto" w:fill="auto"/>
            <w:noWrap/>
            <w:vAlign w:val="center"/>
            <w:hideMark/>
          </w:tcPr>
          <w:p w14:paraId="3252D386"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nil"/>
              <w:right w:val="single" w:sz="8" w:space="0" w:color="auto"/>
            </w:tcBorders>
            <w:shd w:val="clear" w:color="auto" w:fill="auto"/>
            <w:noWrap/>
            <w:vAlign w:val="center"/>
            <w:hideMark/>
          </w:tcPr>
          <w:p w14:paraId="2E898DBA"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nil"/>
              <w:left w:val="nil"/>
              <w:bottom w:val="nil"/>
              <w:right w:val="single" w:sz="8" w:space="0" w:color="auto"/>
            </w:tcBorders>
            <w:shd w:val="clear" w:color="auto" w:fill="auto"/>
            <w:noWrap/>
            <w:vAlign w:val="center"/>
            <w:hideMark/>
          </w:tcPr>
          <w:p w14:paraId="6E0EEE70" w14:textId="5AF2ED04"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190</w:t>
            </w:r>
            <w:r w:rsidR="00A801C3" w:rsidRPr="00BF7E57">
              <w:rPr>
                <w:rFonts w:ascii="Arial" w:hAnsi="Arial" w:cs="Arial"/>
                <w:color w:val="000000"/>
                <w:sz w:val="18"/>
                <w:szCs w:val="18"/>
              </w:rPr>
              <w:t>.</w:t>
            </w:r>
            <w:r w:rsidRPr="00BF7E57">
              <w:rPr>
                <w:rFonts w:ascii="Arial" w:hAnsi="Arial" w:cs="Arial"/>
                <w:color w:val="000000"/>
                <w:sz w:val="18"/>
                <w:szCs w:val="18"/>
              </w:rPr>
              <w:t>350</w:t>
            </w:r>
          </w:p>
        </w:tc>
        <w:tc>
          <w:tcPr>
            <w:tcW w:w="1421" w:type="dxa"/>
            <w:tcBorders>
              <w:top w:val="nil"/>
              <w:left w:val="nil"/>
              <w:bottom w:val="nil"/>
              <w:right w:val="nil"/>
            </w:tcBorders>
            <w:shd w:val="clear" w:color="auto" w:fill="auto"/>
            <w:noWrap/>
            <w:vAlign w:val="center"/>
            <w:hideMark/>
          </w:tcPr>
          <w:p w14:paraId="4DDE1EAC" w14:textId="5343363C"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135</w:t>
            </w:r>
            <w:r w:rsidR="00620624" w:rsidRPr="00BF7E57">
              <w:rPr>
                <w:rFonts w:ascii="Arial" w:hAnsi="Arial" w:cs="Arial"/>
                <w:color w:val="000000"/>
                <w:sz w:val="18"/>
                <w:szCs w:val="18"/>
              </w:rPr>
              <w:t>.</w:t>
            </w:r>
            <w:r w:rsidRPr="00BF7E57">
              <w:rPr>
                <w:rFonts w:ascii="Arial" w:hAnsi="Arial" w:cs="Arial"/>
                <w:color w:val="000000"/>
                <w:sz w:val="18"/>
                <w:szCs w:val="18"/>
              </w:rPr>
              <w:t>396</w:t>
            </w:r>
          </w:p>
        </w:tc>
        <w:tc>
          <w:tcPr>
            <w:tcW w:w="1439" w:type="dxa"/>
            <w:tcBorders>
              <w:top w:val="nil"/>
              <w:left w:val="single" w:sz="8" w:space="0" w:color="auto"/>
              <w:bottom w:val="nil"/>
              <w:right w:val="single" w:sz="4" w:space="0" w:color="auto"/>
            </w:tcBorders>
            <w:shd w:val="clear" w:color="auto" w:fill="auto"/>
            <w:noWrap/>
            <w:vAlign w:val="center"/>
            <w:hideMark/>
          </w:tcPr>
          <w:p w14:paraId="5D4B7A2F" w14:textId="078E4B64"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799</w:t>
            </w:r>
            <w:r w:rsidR="00620624" w:rsidRPr="00BF7E57">
              <w:rPr>
                <w:rFonts w:ascii="Arial" w:hAnsi="Arial" w:cs="Arial"/>
                <w:color w:val="000000"/>
                <w:sz w:val="18"/>
                <w:szCs w:val="18"/>
              </w:rPr>
              <w:t>.</w:t>
            </w:r>
            <w:r w:rsidRPr="00BF7E57">
              <w:rPr>
                <w:rFonts w:ascii="Arial" w:hAnsi="Arial" w:cs="Arial"/>
                <w:color w:val="000000"/>
                <w:sz w:val="18"/>
                <w:szCs w:val="18"/>
              </w:rPr>
              <w:t>670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39B44C7" w14:textId="3FA605C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249</w:t>
            </w:r>
            <w:r w:rsidR="00620624" w:rsidRPr="00BF7E57">
              <w:rPr>
                <w:rFonts w:ascii="Arial" w:hAnsi="Arial" w:cs="Arial"/>
                <w:color w:val="000000"/>
                <w:sz w:val="18"/>
                <w:szCs w:val="18"/>
              </w:rPr>
              <w:t>.</w:t>
            </w:r>
            <w:r w:rsidRPr="00BF7E57">
              <w:rPr>
                <w:rFonts w:ascii="Arial" w:hAnsi="Arial" w:cs="Arial"/>
                <w:color w:val="000000"/>
                <w:sz w:val="18"/>
                <w:szCs w:val="18"/>
              </w:rPr>
              <w:t>177</w:t>
            </w:r>
          </w:p>
        </w:tc>
      </w:tr>
      <w:tr w:rsidR="009E0216" w:rsidRPr="00BF7E57" w14:paraId="6179CE2F"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B5F260"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single" w:sz="8" w:space="0" w:color="auto"/>
              <w:left w:val="nil"/>
              <w:bottom w:val="single" w:sz="8" w:space="0" w:color="auto"/>
              <w:right w:val="single" w:sz="4" w:space="0" w:color="auto"/>
            </w:tcBorders>
            <w:shd w:val="clear" w:color="auto" w:fill="auto"/>
            <w:noWrap/>
            <w:vAlign w:val="center"/>
            <w:hideMark/>
          </w:tcPr>
          <w:p w14:paraId="382013AF"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hideMark/>
          </w:tcPr>
          <w:p w14:paraId="419FED00"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15,4</w:t>
            </w:r>
          </w:p>
        </w:tc>
        <w:tc>
          <w:tcPr>
            <w:tcW w:w="1421" w:type="dxa"/>
            <w:tcBorders>
              <w:top w:val="single" w:sz="8" w:space="0" w:color="auto"/>
              <w:left w:val="nil"/>
              <w:bottom w:val="single" w:sz="8" w:space="0" w:color="auto"/>
              <w:right w:val="single" w:sz="8" w:space="0" w:color="auto"/>
            </w:tcBorders>
            <w:shd w:val="clear" w:color="auto" w:fill="auto"/>
            <w:noWrap/>
            <w:vAlign w:val="center"/>
            <w:hideMark/>
          </w:tcPr>
          <w:p w14:paraId="2F53FD55"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10,9</w:t>
            </w:r>
          </w:p>
        </w:tc>
        <w:tc>
          <w:tcPr>
            <w:tcW w:w="1439" w:type="dxa"/>
            <w:tcBorders>
              <w:top w:val="single" w:sz="8" w:space="0" w:color="auto"/>
              <w:left w:val="nil"/>
              <w:bottom w:val="single" w:sz="8" w:space="0" w:color="auto"/>
              <w:right w:val="single" w:sz="4" w:space="0" w:color="auto"/>
            </w:tcBorders>
            <w:shd w:val="clear" w:color="auto" w:fill="auto"/>
            <w:noWrap/>
            <w:vAlign w:val="center"/>
            <w:hideMark/>
          </w:tcPr>
          <w:p w14:paraId="442A61AC"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64,5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8F1DB61"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20,1</w:t>
            </w:r>
          </w:p>
        </w:tc>
      </w:tr>
      <w:tr w:rsidR="00D202AF" w:rsidRPr="00BF7E57" w14:paraId="5DCDB5B1"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CEA489E" w14:textId="550F8AD6"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b/>
                <w:color w:val="000000"/>
                <w:sz w:val="18"/>
                <w:szCs w:val="18"/>
              </w:rPr>
              <w:t>2021</w:t>
            </w: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52F0BA1A" w14:textId="504E0D6E"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Slovenija</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78205614" w14:textId="5D661F0F"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0B9326EB" w14:textId="31C26415"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2748BD58" w14:textId="0986471C"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C94A6BF" w14:textId="7F62A99A"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r>
      <w:tr w:rsidR="00D202AF" w:rsidRPr="00BF7E57" w14:paraId="1891E5F5"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5FD7400" w14:textId="77777777" w:rsidR="00D202AF" w:rsidRPr="00BF7E57"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77580AF3" w14:textId="07116E23"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07A8FC26" w14:textId="42BAEB7D"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15,0</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78DDF89F" w14:textId="17E8EBC9"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7697DC27" w14:textId="5DAA3B89"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64,3</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AE5AFB1" w14:textId="66BAD57A"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20,7</w:t>
            </w:r>
          </w:p>
        </w:tc>
      </w:tr>
      <w:tr w:rsidR="00D202AF" w:rsidRPr="00BF7E57" w14:paraId="697B3FB0"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E9470AA" w14:textId="77777777" w:rsidR="00D202AF" w:rsidRPr="00BF7E57"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7FB30BAF" w14:textId="289C99F0"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12D4484A" w14:textId="1ACA6641"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74E60157" w14:textId="61C18BD3"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36CE6B3B" w14:textId="591E110A"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7F47D64" w14:textId="7180A258"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r>
      <w:tr w:rsidR="00D202AF" w:rsidRPr="00BF7E57" w14:paraId="12DCC531"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2513AF1" w14:textId="77777777" w:rsidR="00D202AF" w:rsidRPr="00BF7E57"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414F0019" w14:textId="6EE0F184"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0EC3A30A" w14:textId="469E565B"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15,0</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025275F4" w14:textId="4363AF35"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3083B169" w14:textId="62456F66"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64,1</w:t>
            </w:r>
          </w:p>
        </w:tc>
        <w:tc>
          <w:tcPr>
            <w:tcW w:w="1204"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39E396" w14:textId="1CCF9285"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20,9</w:t>
            </w:r>
          </w:p>
        </w:tc>
      </w:tr>
    </w:tbl>
    <w:p w14:paraId="18E7D8E3" w14:textId="77777777" w:rsidR="009E0216" w:rsidRPr="00BF7E57" w:rsidRDefault="00A52F41" w:rsidP="00EA2E4C">
      <w:pPr>
        <w:spacing w:line="360" w:lineRule="auto"/>
        <w:jc w:val="both"/>
        <w:rPr>
          <w:rFonts w:ascii="Arial" w:hAnsi="Arial" w:cs="Arial"/>
          <w:color w:val="000000"/>
          <w:sz w:val="16"/>
          <w:szCs w:val="16"/>
          <w:lang w:eastAsia="sl-SI"/>
        </w:rPr>
      </w:pPr>
      <w:r w:rsidRPr="00BF7E57">
        <w:rPr>
          <w:rFonts w:ascii="Arial" w:hAnsi="Arial" w:cs="Arial"/>
          <w:color w:val="000000"/>
          <w:sz w:val="16"/>
          <w:szCs w:val="16"/>
          <w:lang w:eastAsia="sl-SI"/>
        </w:rPr>
        <w:t>Vir: SURS</w:t>
      </w:r>
      <w:r w:rsidR="009E0216" w:rsidRPr="00BF7E57">
        <w:rPr>
          <w:rFonts w:ascii="Arial" w:hAnsi="Arial" w:cs="Arial"/>
          <w:color w:val="000000"/>
          <w:sz w:val="16"/>
          <w:szCs w:val="16"/>
          <w:lang w:eastAsia="sl-SI"/>
        </w:rPr>
        <w:t>, lastni preračuni</w:t>
      </w:r>
    </w:p>
    <w:p w14:paraId="72645D59" w14:textId="61FA2CEC" w:rsidR="00376357" w:rsidRPr="00BF7E57" w:rsidRDefault="00376357" w:rsidP="00376357">
      <w:pPr>
        <w:pStyle w:val="Napis"/>
      </w:pPr>
      <w:bookmarkStart w:id="24" w:name="_Ref84597424"/>
      <w:bookmarkStart w:id="25" w:name="_Toc86826395"/>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w:t>
      </w:r>
      <w:r w:rsidR="00A30B83" w:rsidRPr="00BF7E57">
        <w:rPr>
          <w:noProof/>
        </w:rPr>
        <w:fldChar w:fldCharType="end"/>
      </w:r>
      <w:bookmarkEnd w:id="24"/>
      <w:r w:rsidRPr="00BF7E57">
        <w:t>: Delež strukture prebivalstva v Sloveniji in na podeželju</w:t>
      </w:r>
      <w:bookmarkEnd w:id="25"/>
    </w:p>
    <w:p w14:paraId="7FFDD0B7" w14:textId="0EEDD2A0" w:rsidR="009E0216" w:rsidRPr="00BF7E57" w:rsidRDefault="009E0216" w:rsidP="009F18EF">
      <w:pPr>
        <w:pStyle w:val="SCslika"/>
        <w:keepNext/>
        <w:keepLines/>
        <w:spacing w:before="0" w:after="0" w:line="240" w:lineRule="auto"/>
        <w:jc w:val="left"/>
        <w:rPr>
          <w:sz w:val="16"/>
          <w:szCs w:val="16"/>
        </w:rPr>
      </w:pPr>
      <w:r w:rsidRPr="00BF7E57">
        <w:rPr>
          <w:sz w:val="16"/>
          <w:szCs w:val="16"/>
        </w:rPr>
        <w:drawing>
          <wp:inline distT="0" distB="0" distL="0" distR="0" wp14:anchorId="08031F9E" wp14:editId="420E7585">
            <wp:extent cx="5909094" cy="3148330"/>
            <wp:effectExtent l="0" t="0" r="15875" b="1397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3D0719" w14:textId="77777777" w:rsidR="00A52F41" w:rsidRPr="00BF7E57" w:rsidRDefault="00A52F41" w:rsidP="00EA2E4C">
      <w:pPr>
        <w:spacing w:line="360" w:lineRule="auto"/>
        <w:jc w:val="both"/>
        <w:rPr>
          <w:rFonts w:ascii="Arial" w:hAnsi="Arial" w:cs="Arial"/>
          <w:color w:val="000000"/>
          <w:sz w:val="16"/>
          <w:szCs w:val="16"/>
          <w:lang w:eastAsia="sl-SI"/>
        </w:rPr>
      </w:pPr>
      <w:r w:rsidRPr="00BF7E57">
        <w:rPr>
          <w:rFonts w:ascii="Arial" w:hAnsi="Arial" w:cs="Arial"/>
          <w:color w:val="000000"/>
          <w:sz w:val="16"/>
          <w:szCs w:val="16"/>
          <w:lang w:eastAsia="sl-SI"/>
        </w:rPr>
        <w:t>Vir: SURS, lastni preračuni</w:t>
      </w:r>
    </w:p>
    <w:p w14:paraId="0FA8E09E" w14:textId="43AB739D" w:rsidR="00376357" w:rsidRPr="00BF7E57" w:rsidRDefault="00376357" w:rsidP="001427AE">
      <w:pPr>
        <w:pStyle w:val="Napis"/>
      </w:pPr>
      <w:bookmarkStart w:id="26" w:name="_Toc86826396"/>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5</w:t>
      </w:r>
      <w:r w:rsidR="00A30B83" w:rsidRPr="00BF7E57">
        <w:rPr>
          <w:noProof/>
        </w:rPr>
        <w:fldChar w:fldCharType="end"/>
      </w:r>
      <w:r w:rsidRPr="00BF7E57">
        <w:t>: Gibanje števila mladih in starih na podeželju</w:t>
      </w:r>
      <w:bookmarkEnd w:id="26"/>
    </w:p>
    <w:p w14:paraId="1D1663D2" w14:textId="4AA9735E" w:rsidR="009E0216" w:rsidRPr="00BF7E57" w:rsidRDefault="009E0216" w:rsidP="00A801C3">
      <w:pPr>
        <w:pStyle w:val="Napis"/>
        <w:spacing w:line="240" w:lineRule="auto"/>
        <w:jc w:val="both"/>
        <w:rPr>
          <w:sz w:val="20"/>
          <w:szCs w:val="20"/>
        </w:rPr>
      </w:pPr>
      <w:r w:rsidRPr="00BF7E57">
        <w:rPr>
          <w:noProof/>
          <w:sz w:val="20"/>
          <w:szCs w:val="20"/>
          <w:lang w:eastAsia="sl-SI"/>
        </w:rPr>
        <w:drawing>
          <wp:inline distT="0" distB="0" distL="0" distR="0" wp14:anchorId="19BBDA5D" wp14:editId="3FBF5658">
            <wp:extent cx="5908675" cy="2863969"/>
            <wp:effectExtent l="0" t="0" r="15875" b="1270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0042FB" w14:textId="77777777" w:rsidR="00A52F41" w:rsidRPr="00BF7E57" w:rsidRDefault="00A52F41" w:rsidP="00EA2E4C">
      <w:pPr>
        <w:spacing w:line="360" w:lineRule="auto"/>
        <w:jc w:val="both"/>
        <w:rPr>
          <w:rFonts w:ascii="Arial" w:hAnsi="Arial" w:cs="Arial"/>
          <w:color w:val="000000"/>
          <w:sz w:val="16"/>
          <w:szCs w:val="16"/>
          <w:lang w:eastAsia="sl-SI"/>
        </w:rPr>
      </w:pPr>
      <w:r w:rsidRPr="00BF7E57">
        <w:rPr>
          <w:rFonts w:ascii="Arial" w:hAnsi="Arial" w:cs="Arial"/>
          <w:color w:val="000000"/>
          <w:sz w:val="16"/>
          <w:szCs w:val="16"/>
          <w:lang w:eastAsia="sl-SI"/>
        </w:rPr>
        <w:t>Vir: SURS, lastni preračuni</w:t>
      </w:r>
    </w:p>
    <w:p w14:paraId="48169344" w14:textId="77777777" w:rsidR="009E0216" w:rsidRPr="00BF7E57" w:rsidRDefault="009E0216" w:rsidP="00EA2E4C">
      <w:pPr>
        <w:spacing w:before="120" w:line="360" w:lineRule="auto"/>
        <w:jc w:val="both"/>
        <w:rPr>
          <w:rFonts w:ascii="Arial" w:hAnsi="Arial" w:cs="Arial"/>
          <w:sz w:val="20"/>
          <w:szCs w:val="20"/>
        </w:rPr>
      </w:pPr>
      <w:r w:rsidRPr="00BF7E57">
        <w:rPr>
          <w:rFonts w:ascii="Arial" w:hAnsi="Arial" w:cs="Arial"/>
          <w:sz w:val="20"/>
          <w:szCs w:val="20"/>
        </w:rPr>
        <w:t>Največji delež prebivalcev do 26 let je v osrednjeslovenski statistični regiji, najmanjši pa v pomurski, koroški, zasavski, posavski, goriški in notranjski statistični regiji. Delež prebivalcev, starih 0–14 let (%) je nad slovenskim povprečjem v jugovzhodni, osrednjeslovenski, primorsko–notranjski in gorenjski statistični regiji. Pod slovenskim povprečjem je v pomurski in podravski statistični regiji. Največji delež starih nad 65 let pa je v goriški in pomurski regiji.</w:t>
      </w:r>
    </w:p>
    <w:p w14:paraId="251C69C0" w14:textId="2DE26438" w:rsidR="009E0216" w:rsidRPr="00BF7E57" w:rsidRDefault="009E0216" w:rsidP="00EA2E4C">
      <w:pPr>
        <w:pStyle w:val="tevilnatoka"/>
        <w:numPr>
          <w:ilvl w:val="0"/>
          <w:numId w:val="0"/>
        </w:numPr>
        <w:spacing w:line="360" w:lineRule="auto"/>
        <w:rPr>
          <w:sz w:val="20"/>
          <w:szCs w:val="20"/>
        </w:rPr>
      </w:pPr>
      <w:r w:rsidRPr="00BF7E57">
        <w:rPr>
          <w:sz w:val="20"/>
          <w:szCs w:val="20"/>
        </w:rPr>
        <w:t>Zadnje demografske analize (ZRC SAZU, Geografski inštitut Antona Melika, Fakulteta za gradbeništvo in geodezijo) kažejo na zgoščanja prebivalcev v osrednjeslovenski statistični regiji in ob večjem delu avtocestnega križa ter na upad števila prebivalcev v posameznih mestih in obsežnih obmejnih območjih</w:t>
      </w:r>
      <w:r w:rsidR="00D8220A" w:rsidRPr="00BF7E57">
        <w:rPr>
          <w:sz w:val="20"/>
          <w:szCs w:val="20"/>
        </w:rPr>
        <w:t xml:space="preserve">, kot je razvidno iz </w:t>
      </w:r>
      <w:r w:rsidR="003E060D" w:rsidRPr="00BF7E57">
        <w:rPr>
          <w:sz w:val="20"/>
          <w:szCs w:val="20"/>
        </w:rPr>
        <w:fldChar w:fldCharType="begin"/>
      </w:r>
      <w:r w:rsidR="003E060D" w:rsidRPr="00BF7E57">
        <w:rPr>
          <w:sz w:val="20"/>
          <w:szCs w:val="20"/>
        </w:rPr>
        <w:instrText xml:space="preserve"> REF _Ref84597458 \h </w:instrText>
      </w:r>
      <w:r w:rsidR="003E060D" w:rsidRPr="00BF7E57">
        <w:rPr>
          <w:sz w:val="20"/>
          <w:szCs w:val="20"/>
        </w:rPr>
      </w:r>
      <w:r w:rsidR="00BF7E57">
        <w:rPr>
          <w:sz w:val="20"/>
          <w:szCs w:val="20"/>
        </w:rPr>
        <w:instrText xml:space="preserve"> \* MERGEFORMAT </w:instrText>
      </w:r>
      <w:r w:rsidR="003E060D" w:rsidRPr="00BF7E57">
        <w:rPr>
          <w:sz w:val="20"/>
          <w:szCs w:val="20"/>
        </w:rPr>
        <w:fldChar w:fldCharType="separate"/>
      </w:r>
      <w:r w:rsidR="00236865" w:rsidRPr="00BF7E57">
        <w:t xml:space="preserve">Slika </w:t>
      </w:r>
      <w:r w:rsidR="00236865">
        <w:rPr>
          <w:noProof/>
        </w:rPr>
        <w:t>6</w:t>
      </w:r>
      <w:r w:rsidR="003E060D" w:rsidRPr="00BF7E57">
        <w:rPr>
          <w:sz w:val="20"/>
          <w:szCs w:val="20"/>
        </w:rPr>
        <w:fldChar w:fldCharType="end"/>
      </w:r>
      <w:r w:rsidRPr="00BF7E57">
        <w:rPr>
          <w:sz w:val="20"/>
          <w:szCs w:val="20"/>
        </w:rPr>
        <w:t>. Območja, ki se iz vidika poseljenosti praznijo, se zadnjih 20 let širijo in obsegajo  57 % celotne Slovenije (po ocenah študije iz 50 % na 57 % v zadnjih dvajsetih letih). V zadnjih letih se demografsko krepijo predvsem suburbana območja v bližini večjih središč, ki imajo dobro prometno povezavo s centri nacionalnega in regionalnega pomena. Staranje in praznjenje je značilno za območja brez dobrih prometnih povezav, ki so gospodarsko manj uspešna in nimajo dovolj delovnih mest za praviloma bolj izobraženo mlajšo populacijo. Tu je višji delež opuščenih stavb, krajina se zarašča</w:t>
      </w:r>
      <w:r w:rsidR="00503C7A" w:rsidRPr="00BF7E57">
        <w:rPr>
          <w:sz w:val="20"/>
          <w:szCs w:val="20"/>
        </w:rPr>
        <w:t>.</w:t>
      </w:r>
      <w:r w:rsidRPr="00BF7E57">
        <w:rPr>
          <w:sz w:val="20"/>
          <w:szCs w:val="20"/>
        </w:rPr>
        <w:t xml:space="preserve"> Problematična je oskrba prebivalcev s storitvami splošnega (npr. storitve javnega prevoza, poštne in zdravstvene storitve) in splošnega gospodarskega pomena - gospodarske dejavnosti v javnem interesu (Nared, Polajnar Horvat in Razpotnik Visković, 2019).</w:t>
      </w:r>
    </w:p>
    <w:p w14:paraId="4E11C09E" w14:textId="77777777" w:rsidR="00A52F41" w:rsidRPr="00BF7E57" w:rsidRDefault="00A52F41" w:rsidP="00EA2E4C">
      <w:pPr>
        <w:pStyle w:val="tevilnatoka"/>
        <w:numPr>
          <w:ilvl w:val="0"/>
          <w:numId w:val="0"/>
        </w:numPr>
        <w:spacing w:line="360" w:lineRule="auto"/>
        <w:rPr>
          <w:sz w:val="20"/>
          <w:szCs w:val="20"/>
        </w:rPr>
      </w:pPr>
    </w:p>
    <w:p w14:paraId="1BF4D0A6" w14:textId="1536C5E2" w:rsidR="00376357" w:rsidRPr="00BF7E57" w:rsidRDefault="00376357" w:rsidP="001427AE">
      <w:pPr>
        <w:pStyle w:val="Napis"/>
      </w:pPr>
      <w:bookmarkStart w:id="27" w:name="_Ref84597458"/>
      <w:bookmarkStart w:id="28" w:name="_Toc86826397"/>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6</w:t>
      </w:r>
      <w:r w:rsidR="00A30B83" w:rsidRPr="00BF7E57">
        <w:rPr>
          <w:noProof/>
        </w:rPr>
        <w:fldChar w:fldCharType="end"/>
      </w:r>
      <w:bookmarkEnd w:id="27"/>
      <w:r w:rsidRPr="00BF7E57">
        <w:t>: Gibanje števila prebivalcev v slovenskih občinah med letoma 2008 in 2017</w:t>
      </w:r>
      <w:bookmarkEnd w:id="28"/>
    </w:p>
    <w:p w14:paraId="0B00763B" w14:textId="29F995B2" w:rsidR="009E0216" w:rsidRPr="00BF7E57" w:rsidRDefault="005F2786" w:rsidP="005F2786">
      <w:pPr>
        <w:spacing w:after="0" w:line="240" w:lineRule="auto"/>
        <w:jc w:val="both"/>
        <w:rPr>
          <w:rFonts w:ascii="Arial" w:hAnsi="Arial" w:cs="Arial"/>
          <w:i/>
          <w:sz w:val="20"/>
          <w:szCs w:val="20"/>
          <w:lang w:eastAsia="sl-SI"/>
        </w:rPr>
      </w:pPr>
      <w:r w:rsidRPr="00BF7E57">
        <w:rPr>
          <w:rFonts w:ascii="Arial" w:hAnsi="Arial" w:cs="Arial"/>
          <w:i/>
          <w:noProof/>
          <w:sz w:val="20"/>
          <w:szCs w:val="20"/>
          <w:lang w:eastAsia="sl-SI"/>
        </w:rPr>
        <w:drawing>
          <wp:inline distT="0" distB="0" distL="0" distR="0" wp14:anchorId="4F8AB49D" wp14:editId="2A603E72">
            <wp:extent cx="5882544" cy="3864634"/>
            <wp:effectExtent l="19050" t="19050" r="23495" b="215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4446" cy="3865884"/>
                    </a:xfrm>
                    <a:prstGeom prst="rect">
                      <a:avLst/>
                    </a:prstGeom>
                    <a:ln w="6350">
                      <a:solidFill>
                        <a:schemeClr val="tx1"/>
                      </a:solidFill>
                    </a:ln>
                  </pic:spPr>
                </pic:pic>
              </a:graphicData>
            </a:graphic>
          </wp:inline>
        </w:drawing>
      </w:r>
    </w:p>
    <w:p w14:paraId="2BC46FCE" w14:textId="77777777" w:rsidR="00D8220A" w:rsidRPr="00BF7E57" w:rsidRDefault="00D8220A" w:rsidP="00E90755">
      <w:pPr>
        <w:pStyle w:val="Napis"/>
        <w:keepNext w:val="0"/>
        <w:widowControl w:val="0"/>
        <w:spacing w:before="0" w:line="360" w:lineRule="auto"/>
        <w:jc w:val="both"/>
      </w:pPr>
      <w:r w:rsidRPr="00BF7E57">
        <w:t xml:space="preserve">Vir: Nared idr., 2019 </w:t>
      </w:r>
    </w:p>
    <w:p w14:paraId="28A3FEC2" w14:textId="2E12CB4C" w:rsidR="009E0216" w:rsidRPr="00BF7E57" w:rsidRDefault="009E0216" w:rsidP="00146365">
      <w:pPr>
        <w:pStyle w:val="tevilnatoka"/>
        <w:numPr>
          <w:ilvl w:val="0"/>
          <w:numId w:val="0"/>
        </w:numPr>
        <w:shd w:val="clear" w:color="auto" w:fill="FFFFFF" w:themeFill="background1"/>
        <w:spacing w:before="200" w:after="200" w:line="360" w:lineRule="auto"/>
        <w:rPr>
          <w:sz w:val="20"/>
          <w:szCs w:val="20"/>
        </w:rPr>
      </w:pPr>
      <w:r w:rsidRPr="00BF7E57">
        <w:rPr>
          <w:sz w:val="20"/>
          <w:szCs w:val="20"/>
        </w:rPr>
        <w:t>Gibanje števila prebivalcev Slovenije rahlo niha: rahlo raste tako na nivoju celotne Slovenij</w:t>
      </w:r>
      <w:r w:rsidR="008C2848" w:rsidRPr="00BF7E57">
        <w:rPr>
          <w:sz w:val="20"/>
          <w:szCs w:val="20"/>
        </w:rPr>
        <w:t>e</w:t>
      </w:r>
      <w:r w:rsidRPr="00BF7E57">
        <w:rPr>
          <w:sz w:val="20"/>
          <w:szCs w:val="20"/>
        </w:rPr>
        <w:t>, kot tudi na podeželju. Gostota naseljenosti je nižja od evropskega povprečja (leta 201</w:t>
      </w:r>
      <w:r w:rsidR="00D202AF" w:rsidRPr="00BF7E57">
        <w:rPr>
          <w:sz w:val="20"/>
          <w:szCs w:val="20"/>
        </w:rPr>
        <w:t>9</w:t>
      </w:r>
      <w:r w:rsidRPr="00BF7E57">
        <w:rPr>
          <w:sz w:val="20"/>
          <w:szCs w:val="20"/>
        </w:rPr>
        <w:t>: Slovenija 10</w:t>
      </w:r>
      <w:r w:rsidR="00D202AF" w:rsidRPr="00BF7E57">
        <w:rPr>
          <w:sz w:val="20"/>
          <w:szCs w:val="20"/>
        </w:rPr>
        <w:t>4</w:t>
      </w:r>
      <w:r w:rsidRPr="00BF7E57">
        <w:rPr>
          <w:sz w:val="20"/>
          <w:szCs w:val="20"/>
        </w:rPr>
        <w:t xml:space="preserve"> prebivalca/km</w:t>
      </w:r>
      <w:r w:rsidRPr="00BF7E57">
        <w:rPr>
          <w:sz w:val="20"/>
          <w:szCs w:val="20"/>
          <w:vertAlign w:val="superscript"/>
        </w:rPr>
        <w:t>2</w:t>
      </w:r>
      <w:r w:rsidRPr="00BF7E57">
        <w:rPr>
          <w:sz w:val="20"/>
          <w:szCs w:val="20"/>
        </w:rPr>
        <w:t>, EU</w:t>
      </w:r>
      <w:r w:rsidR="00070CA3" w:rsidRPr="00BF7E57">
        <w:rPr>
          <w:sz w:val="20"/>
          <w:szCs w:val="20"/>
        </w:rPr>
        <w:t>-</w:t>
      </w:r>
      <w:r w:rsidRPr="00BF7E57">
        <w:rPr>
          <w:sz w:val="20"/>
          <w:szCs w:val="20"/>
        </w:rPr>
        <w:t>2</w:t>
      </w:r>
      <w:r w:rsidR="00D202AF" w:rsidRPr="00BF7E57">
        <w:rPr>
          <w:sz w:val="20"/>
          <w:szCs w:val="20"/>
        </w:rPr>
        <w:t>7</w:t>
      </w:r>
      <w:r w:rsidRPr="00BF7E57">
        <w:rPr>
          <w:sz w:val="20"/>
          <w:szCs w:val="20"/>
        </w:rPr>
        <w:t xml:space="preserve"> 1</w:t>
      </w:r>
      <w:r w:rsidR="00D202AF" w:rsidRPr="00BF7E57">
        <w:rPr>
          <w:sz w:val="20"/>
          <w:szCs w:val="20"/>
        </w:rPr>
        <w:t>09</w:t>
      </w:r>
      <w:r w:rsidRPr="00BF7E57">
        <w:rPr>
          <w:sz w:val="20"/>
          <w:szCs w:val="20"/>
        </w:rPr>
        <w:t xml:space="preserve"> prebivalcev/km</w:t>
      </w:r>
      <w:r w:rsidRPr="00BF7E57">
        <w:rPr>
          <w:sz w:val="20"/>
          <w:szCs w:val="20"/>
          <w:vertAlign w:val="superscript"/>
        </w:rPr>
        <w:t>2</w:t>
      </w:r>
      <w:r w:rsidRPr="00BF7E57">
        <w:rPr>
          <w:sz w:val="20"/>
          <w:szCs w:val="20"/>
        </w:rPr>
        <w:t>). Gostota se minimalno povečuje tako v povprečju v Sloveniji, kot na podeželju (v letu 20</w:t>
      </w:r>
      <w:r w:rsidR="00D202AF" w:rsidRPr="00BF7E57">
        <w:rPr>
          <w:sz w:val="20"/>
          <w:szCs w:val="20"/>
        </w:rPr>
        <w:t>21</w:t>
      </w:r>
      <w:r w:rsidRPr="00BF7E57">
        <w:rPr>
          <w:sz w:val="20"/>
          <w:szCs w:val="20"/>
        </w:rPr>
        <w:t xml:space="preserve"> znaša 9</w:t>
      </w:r>
      <w:r w:rsidR="00D202AF" w:rsidRPr="00BF7E57">
        <w:rPr>
          <w:sz w:val="20"/>
          <w:szCs w:val="20"/>
        </w:rPr>
        <w:t>6</w:t>
      </w:r>
      <w:r w:rsidRPr="00BF7E57">
        <w:rPr>
          <w:sz w:val="20"/>
          <w:szCs w:val="20"/>
        </w:rPr>
        <w:t xml:space="preserve"> prebivalcev/km</w:t>
      </w:r>
      <w:r w:rsidRPr="00BF7E57">
        <w:rPr>
          <w:sz w:val="20"/>
          <w:szCs w:val="20"/>
          <w:vertAlign w:val="superscript"/>
        </w:rPr>
        <w:t>2</w:t>
      </w:r>
      <w:r w:rsidRPr="00BF7E57">
        <w:rPr>
          <w:sz w:val="20"/>
          <w:szCs w:val="20"/>
        </w:rPr>
        <w:t>). Dolgoletno povprečje deleža podeželskega prebivalstva je 60 % celotnega prebivalstva Slovenije. Število prebivalstva na podeželju (brez mest z več kot 10.000 prebivalci) je bilo leta 2014 1.420.504, leta 2019 pa 1.441.868, kar predstavlja 69 % prebivalstva Slovenije (SURS, 2020).</w:t>
      </w:r>
    </w:p>
    <w:p w14:paraId="440CE938" w14:textId="666B9A96" w:rsidR="00232E6B" w:rsidRPr="00BF7E57" w:rsidRDefault="00232E6B" w:rsidP="00232E6B">
      <w:pPr>
        <w:pStyle w:val="Napis"/>
      </w:pPr>
      <w:bookmarkStart w:id="29" w:name="_Toc8682644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7</w:t>
      </w:r>
      <w:r w:rsidR="00A30B83" w:rsidRPr="00BF7E57">
        <w:rPr>
          <w:noProof/>
        </w:rPr>
        <w:fldChar w:fldCharType="end"/>
      </w:r>
      <w:r w:rsidRPr="00BF7E57">
        <w:t>: Gibanje števila prebivalstva in gostote naseljenosti – primerjava med celotno Slovenijo in podeželjem</w:t>
      </w:r>
      <w:bookmarkEnd w:id="29"/>
    </w:p>
    <w:p w14:paraId="316C3BBB" w14:textId="12AC3F51" w:rsidR="00BF48E7" w:rsidRPr="00BF7E57" w:rsidRDefault="00BF48E7" w:rsidP="00232E6B">
      <w:pPr>
        <w:pStyle w:val="Napis"/>
        <w:rPr>
          <w:sz w:val="20"/>
          <w:szCs w:val="20"/>
        </w:rPr>
      </w:pPr>
    </w:p>
    <w:tbl>
      <w:tblPr>
        <w:tblW w:w="8785" w:type="dxa"/>
        <w:tblInd w:w="-5" w:type="dxa"/>
        <w:tblLayout w:type="fixed"/>
        <w:tblCellMar>
          <w:left w:w="70" w:type="dxa"/>
          <w:right w:w="70" w:type="dxa"/>
        </w:tblCellMar>
        <w:tblLook w:val="04A0" w:firstRow="1" w:lastRow="0" w:firstColumn="1" w:lastColumn="0" w:noHBand="0" w:noVBand="1"/>
      </w:tblPr>
      <w:tblGrid>
        <w:gridCol w:w="1545"/>
        <w:gridCol w:w="1822"/>
        <w:gridCol w:w="1823"/>
        <w:gridCol w:w="1797"/>
        <w:gridCol w:w="1798"/>
      </w:tblGrid>
      <w:tr w:rsidR="009651EF" w:rsidRPr="00BF7E57" w14:paraId="65DC4D82" w14:textId="77777777" w:rsidTr="001B2A9C">
        <w:trPr>
          <w:trHeight w:val="350"/>
        </w:trPr>
        <w:tc>
          <w:tcPr>
            <w:tcW w:w="1545" w:type="dxa"/>
            <w:vMerge w:val="restart"/>
            <w:tcBorders>
              <w:top w:val="single" w:sz="4" w:space="0" w:color="auto"/>
              <w:left w:val="single" w:sz="4" w:space="0" w:color="auto"/>
              <w:right w:val="single" w:sz="4" w:space="0" w:color="auto"/>
            </w:tcBorders>
            <w:shd w:val="clear" w:color="auto" w:fill="92D050"/>
            <w:noWrap/>
            <w:vAlign w:val="center"/>
            <w:hideMark/>
          </w:tcPr>
          <w:p w14:paraId="15BD9425" w14:textId="3993515B"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Leto</w:t>
            </w:r>
          </w:p>
        </w:tc>
        <w:tc>
          <w:tcPr>
            <w:tcW w:w="3645" w:type="dxa"/>
            <w:gridSpan w:val="2"/>
            <w:tcBorders>
              <w:top w:val="single" w:sz="4" w:space="0" w:color="auto"/>
              <w:left w:val="nil"/>
              <w:bottom w:val="single" w:sz="4" w:space="0" w:color="auto"/>
              <w:right w:val="single" w:sz="4" w:space="0" w:color="auto"/>
            </w:tcBorders>
            <w:shd w:val="clear" w:color="auto" w:fill="92D050"/>
            <w:vAlign w:val="center"/>
            <w:hideMark/>
          </w:tcPr>
          <w:p w14:paraId="19474CE0" w14:textId="013B8DE6"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Število prebivalcev (C.01</w:t>
            </w:r>
            <w:r w:rsidRPr="00BF7E57">
              <w:rPr>
                <w:rFonts w:ascii="Arial" w:eastAsia="Times New Roman" w:hAnsi="Arial" w:cs="Arial"/>
                <w:color w:val="000000"/>
                <w:sz w:val="18"/>
                <w:szCs w:val="18"/>
                <w:lang w:eastAsia="sl-SI"/>
              </w:rPr>
              <w:t> </w:t>
            </w:r>
            <w:r w:rsidRPr="00BF7E57">
              <w:rPr>
                <w:rFonts w:ascii="Arial" w:eastAsia="Times New Roman" w:hAnsi="Arial" w:cs="Arial"/>
                <w:b/>
                <w:bCs/>
                <w:color w:val="000000"/>
                <w:sz w:val="18"/>
                <w:szCs w:val="18"/>
                <w:lang w:eastAsia="sl-SI"/>
              </w:rPr>
              <w:t>)</w:t>
            </w:r>
          </w:p>
        </w:tc>
        <w:tc>
          <w:tcPr>
            <w:tcW w:w="3595" w:type="dxa"/>
            <w:gridSpan w:val="2"/>
            <w:tcBorders>
              <w:top w:val="single" w:sz="4" w:space="0" w:color="auto"/>
              <w:left w:val="nil"/>
              <w:bottom w:val="single" w:sz="4" w:space="0" w:color="auto"/>
              <w:right w:val="single" w:sz="4" w:space="0" w:color="auto"/>
            </w:tcBorders>
            <w:shd w:val="clear" w:color="auto" w:fill="92D050"/>
            <w:vAlign w:val="center"/>
            <w:hideMark/>
          </w:tcPr>
          <w:p w14:paraId="0A0B12C9" w14:textId="0BE8D9CA"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Gostota prebivalstva (C.02)</w:t>
            </w:r>
          </w:p>
        </w:tc>
      </w:tr>
      <w:tr w:rsidR="009651EF" w:rsidRPr="00BF7E57" w14:paraId="434421E8" w14:textId="77777777" w:rsidTr="001B2A9C">
        <w:trPr>
          <w:trHeight w:val="410"/>
        </w:trPr>
        <w:tc>
          <w:tcPr>
            <w:tcW w:w="1545" w:type="dxa"/>
            <w:vMerge/>
            <w:tcBorders>
              <w:left w:val="single" w:sz="4" w:space="0" w:color="auto"/>
              <w:bottom w:val="single" w:sz="4" w:space="0" w:color="auto"/>
              <w:right w:val="single" w:sz="4" w:space="0" w:color="auto"/>
            </w:tcBorders>
            <w:shd w:val="clear" w:color="auto" w:fill="92D050"/>
            <w:noWrap/>
            <w:vAlign w:val="bottom"/>
            <w:hideMark/>
          </w:tcPr>
          <w:p w14:paraId="4F965FAC" w14:textId="12B29FBD" w:rsidR="009651EF" w:rsidRPr="00BF7E57" w:rsidRDefault="009651EF" w:rsidP="009651EF">
            <w:pPr>
              <w:keepNext/>
              <w:keepLines/>
              <w:spacing w:before="60" w:after="60" w:line="0" w:lineRule="atLeast"/>
              <w:rPr>
                <w:rFonts w:ascii="Calibri" w:eastAsia="Times New Roman" w:hAnsi="Calibri" w:cs="Calibri"/>
                <w:color w:val="000000"/>
                <w:sz w:val="18"/>
                <w:szCs w:val="18"/>
                <w:lang w:eastAsia="sl-SI"/>
              </w:rPr>
            </w:pPr>
          </w:p>
        </w:tc>
        <w:tc>
          <w:tcPr>
            <w:tcW w:w="1822" w:type="dxa"/>
            <w:tcBorders>
              <w:top w:val="nil"/>
              <w:left w:val="nil"/>
              <w:bottom w:val="single" w:sz="4" w:space="0" w:color="auto"/>
              <w:right w:val="single" w:sz="4" w:space="0" w:color="auto"/>
            </w:tcBorders>
            <w:shd w:val="clear" w:color="auto" w:fill="92D050"/>
            <w:noWrap/>
            <w:vAlign w:val="center"/>
            <w:hideMark/>
          </w:tcPr>
          <w:p w14:paraId="56E13574" w14:textId="77777777"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Slovenija</w:t>
            </w:r>
          </w:p>
        </w:tc>
        <w:tc>
          <w:tcPr>
            <w:tcW w:w="1823" w:type="dxa"/>
            <w:tcBorders>
              <w:top w:val="nil"/>
              <w:left w:val="nil"/>
              <w:bottom w:val="single" w:sz="4" w:space="0" w:color="auto"/>
              <w:right w:val="single" w:sz="4" w:space="0" w:color="auto"/>
            </w:tcBorders>
            <w:shd w:val="clear" w:color="auto" w:fill="92D050"/>
            <w:noWrap/>
            <w:vAlign w:val="center"/>
            <w:hideMark/>
          </w:tcPr>
          <w:p w14:paraId="18CC9988" w14:textId="768405B6" w:rsidR="009651EF" w:rsidRPr="00BF7E57" w:rsidRDefault="00356A8A" w:rsidP="00356A8A">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p</w:t>
            </w:r>
            <w:r w:rsidR="009651EF" w:rsidRPr="00BF7E57">
              <w:rPr>
                <w:rFonts w:ascii="Arial" w:eastAsia="Times New Roman" w:hAnsi="Arial" w:cs="Arial"/>
                <w:b/>
                <w:bCs/>
                <w:color w:val="000000"/>
                <w:sz w:val="18"/>
                <w:szCs w:val="18"/>
                <w:lang w:eastAsia="sl-SI"/>
              </w:rPr>
              <w:t>odeželje</w:t>
            </w:r>
          </w:p>
        </w:tc>
        <w:tc>
          <w:tcPr>
            <w:tcW w:w="1797" w:type="dxa"/>
            <w:tcBorders>
              <w:top w:val="nil"/>
              <w:left w:val="nil"/>
              <w:bottom w:val="single" w:sz="4" w:space="0" w:color="auto"/>
              <w:right w:val="single" w:sz="4" w:space="0" w:color="auto"/>
            </w:tcBorders>
            <w:shd w:val="clear" w:color="auto" w:fill="92D050"/>
            <w:noWrap/>
            <w:vAlign w:val="center"/>
            <w:hideMark/>
          </w:tcPr>
          <w:p w14:paraId="7C2AA994" w14:textId="77777777"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Slovenija</w:t>
            </w:r>
          </w:p>
        </w:tc>
        <w:tc>
          <w:tcPr>
            <w:tcW w:w="1798" w:type="dxa"/>
            <w:tcBorders>
              <w:top w:val="nil"/>
              <w:left w:val="nil"/>
              <w:bottom w:val="single" w:sz="4" w:space="0" w:color="auto"/>
              <w:right w:val="single" w:sz="4" w:space="0" w:color="auto"/>
            </w:tcBorders>
            <w:shd w:val="clear" w:color="auto" w:fill="92D050"/>
            <w:noWrap/>
            <w:vAlign w:val="center"/>
            <w:hideMark/>
          </w:tcPr>
          <w:p w14:paraId="0BB8954B" w14:textId="41DC11ED" w:rsidR="009651EF" w:rsidRPr="00BF7E57" w:rsidRDefault="00356A8A"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p</w:t>
            </w:r>
            <w:r w:rsidR="009651EF" w:rsidRPr="00BF7E57">
              <w:rPr>
                <w:rFonts w:ascii="Arial" w:eastAsia="Times New Roman" w:hAnsi="Arial" w:cs="Arial"/>
                <w:b/>
                <w:bCs/>
                <w:color w:val="000000"/>
                <w:sz w:val="18"/>
                <w:szCs w:val="18"/>
                <w:lang w:eastAsia="sl-SI"/>
              </w:rPr>
              <w:t>odeželje</w:t>
            </w:r>
          </w:p>
        </w:tc>
      </w:tr>
      <w:tr w:rsidR="009651EF" w:rsidRPr="00BF7E57" w14:paraId="067E34D4"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27D59BF2"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2008</w:t>
            </w:r>
          </w:p>
        </w:tc>
        <w:tc>
          <w:tcPr>
            <w:tcW w:w="1822" w:type="dxa"/>
            <w:tcBorders>
              <w:top w:val="nil"/>
              <w:left w:val="nil"/>
              <w:bottom w:val="single" w:sz="4" w:space="0" w:color="auto"/>
              <w:right w:val="single" w:sz="4" w:space="0" w:color="auto"/>
            </w:tcBorders>
            <w:shd w:val="clear" w:color="auto" w:fill="auto"/>
            <w:noWrap/>
            <w:vAlign w:val="center"/>
            <w:hideMark/>
          </w:tcPr>
          <w:p w14:paraId="48CC6483"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2.049.261</w:t>
            </w:r>
          </w:p>
        </w:tc>
        <w:tc>
          <w:tcPr>
            <w:tcW w:w="1823" w:type="dxa"/>
            <w:tcBorders>
              <w:top w:val="nil"/>
              <w:left w:val="nil"/>
              <w:bottom w:val="single" w:sz="4" w:space="0" w:color="auto"/>
              <w:right w:val="single" w:sz="4" w:space="0" w:color="auto"/>
            </w:tcBorders>
            <w:shd w:val="clear" w:color="auto" w:fill="auto"/>
            <w:noWrap/>
            <w:vAlign w:val="center"/>
            <w:hideMark/>
          </w:tcPr>
          <w:p w14:paraId="6438C802"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1.216.589</w:t>
            </w:r>
          </w:p>
        </w:tc>
        <w:tc>
          <w:tcPr>
            <w:tcW w:w="1797" w:type="dxa"/>
            <w:tcBorders>
              <w:top w:val="nil"/>
              <w:left w:val="nil"/>
              <w:bottom w:val="single" w:sz="4" w:space="0" w:color="auto"/>
              <w:right w:val="single" w:sz="4" w:space="0" w:color="auto"/>
            </w:tcBorders>
            <w:shd w:val="clear" w:color="auto" w:fill="auto"/>
            <w:noWrap/>
            <w:vAlign w:val="center"/>
            <w:hideMark/>
          </w:tcPr>
          <w:p w14:paraId="715DED6F"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100</w:t>
            </w:r>
          </w:p>
        </w:tc>
        <w:tc>
          <w:tcPr>
            <w:tcW w:w="1798" w:type="dxa"/>
            <w:tcBorders>
              <w:top w:val="nil"/>
              <w:left w:val="nil"/>
              <w:bottom w:val="single" w:sz="4" w:space="0" w:color="auto"/>
              <w:right w:val="single" w:sz="4" w:space="0" w:color="auto"/>
            </w:tcBorders>
            <w:shd w:val="clear" w:color="auto" w:fill="auto"/>
            <w:noWrap/>
            <w:vAlign w:val="center"/>
            <w:hideMark/>
          </w:tcPr>
          <w:p w14:paraId="3B6AAD11"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w:t>
            </w:r>
          </w:p>
        </w:tc>
      </w:tr>
      <w:tr w:rsidR="009651EF" w:rsidRPr="00BF7E57" w14:paraId="1B7A6F57"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0BB30108"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2010</w:t>
            </w:r>
          </w:p>
        </w:tc>
        <w:tc>
          <w:tcPr>
            <w:tcW w:w="1822" w:type="dxa"/>
            <w:tcBorders>
              <w:top w:val="nil"/>
              <w:left w:val="nil"/>
              <w:bottom w:val="single" w:sz="4" w:space="0" w:color="auto"/>
              <w:right w:val="single" w:sz="4" w:space="0" w:color="auto"/>
            </w:tcBorders>
            <w:shd w:val="clear" w:color="auto" w:fill="auto"/>
            <w:noWrap/>
            <w:vAlign w:val="center"/>
            <w:hideMark/>
          </w:tcPr>
          <w:p w14:paraId="6D3B4B79"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2.049.261</w:t>
            </w:r>
          </w:p>
        </w:tc>
        <w:tc>
          <w:tcPr>
            <w:tcW w:w="1823" w:type="dxa"/>
            <w:tcBorders>
              <w:top w:val="nil"/>
              <w:left w:val="nil"/>
              <w:bottom w:val="single" w:sz="4" w:space="0" w:color="auto"/>
              <w:right w:val="single" w:sz="4" w:space="0" w:color="auto"/>
            </w:tcBorders>
            <w:shd w:val="clear" w:color="auto" w:fill="auto"/>
            <w:noWrap/>
            <w:vAlign w:val="center"/>
            <w:hideMark/>
          </w:tcPr>
          <w:p w14:paraId="16CB4A4F"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1.216.589</w:t>
            </w:r>
          </w:p>
        </w:tc>
        <w:tc>
          <w:tcPr>
            <w:tcW w:w="1797" w:type="dxa"/>
            <w:tcBorders>
              <w:top w:val="nil"/>
              <w:left w:val="nil"/>
              <w:bottom w:val="single" w:sz="4" w:space="0" w:color="auto"/>
              <w:right w:val="single" w:sz="4" w:space="0" w:color="auto"/>
            </w:tcBorders>
            <w:shd w:val="clear" w:color="auto" w:fill="auto"/>
            <w:noWrap/>
            <w:vAlign w:val="center"/>
            <w:hideMark/>
          </w:tcPr>
          <w:p w14:paraId="0FEE7B2A"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101</w:t>
            </w:r>
          </w:p>
        </w:tc>
        <w:tc>
          <w:tcPr>
            <w:tcW w:w="1798" w:type="dxa"/>
            <w:tcBorders>
              <w:top w:val="nil"/>
              <w:left w:val="nil"/>
              <w:bottom w:val="single" w:sz="4" w:space="0" w:color="auto"/>
              <w:right w:val="single" w:sz="4" w:space="0" w:color="auto"/>
            </w:tcBorders>
            <w:shd w:val="clear" w:color="auto" w:fill="auto"/>
            <w:noWrap/>
            <w:vAlign w:val="center"/>
            <w:hideMark/>
          </w:tcPr>
          <w:p w14:paraId="4AF7B227"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91</w:t>
            </w:r>
          </w:p>
        </w:tc>
      </w:tr>
      <w:tr w:rsidR="009651EF" w:rsidRPr="00BF7E57" w14:paraId="5A640FFA"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53D4795F"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2013</w:t>
            </w:r>
          </w:p>
        </w:tc>
        <w:tc>
          <w:tcPr>
            <w:tcW w:w="1822" w:type="dxa"/>
            <w:tcBorders>
              <w:top w:val="nil"/>
              <w:left w:val="nil"/>
              <w:bottom w:val="single" w:sz="4" w:space="0" w:color="auto"/>
              <w:right w:val="single" w:sz="4" w:space="0" w:color="auto"/>
            </w:tcBorders>
            <w:shd w:val="clear" w:color="auto" w:fill="auto"/>
            <w:noWrap/>
            <w:vAlign w:val="center"/>
            <w:hideMark/>
          </w:tcPr>
          <w:p w14:paraId="19412521"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2.059.114</w:t>
            </w:r>
          </w:p>
        </w:tc>
        <w:tc>
          <w:tcPr>
            <w:tcW w:w="1823" w:type="dxa"/>
            <w:tcBorders>
              <w:top w:val="nil"/>
              <w:left w:val="nil"/>
              <w:bottom w:val="single" w:sz="4" w:space="0" w:color="auto"/>
              <w:right w:val="single" w:sz="4" w:space="0" w:color="auto"/>
            </w:tcBorders>
            <w:shd w:val="clear" w:color="auto" w:fill="auto"/>
            <w:noWrap/>
            <w:vAlign w:val="center"/>
            <w:hideMark/>
          </w:tcPr>
          <w:p w14:paraId="733A20E0"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1.222.901</w:t>
            </w:r>
          </w:p>
        </w:tc>
        <w:tc>
          <w:tcPr>
            <w:tcW w:w="1797" w:type="dxa"/>
            <w:tcBorders>
              <w:top w:val="nil"/>
              <w:left w:val="nil"/>
              <w:bottom w:val="single" w:sz="4" w:space="0" w:color="auto"/>
              <w:right w:val="single" w:sz="4" w:space="0" w:color="auto"/>
            </w:tcBorders>
            <w:shd w:val="clear" w:color="auto" w:fill="auto"/>
            <w:noWrap/>
            <w:vAlign w:val="center"/>
            <w:hideMark/>
          </w:tcPr>
          <w:p w14:paraId="180C32EE"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270A8A30"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92</w:t>
            </w:r>
          </w:p>
        </w:tc>
      </w:tr>
      <w:tr w:rsidR="009651EF" w:rsidRPr="00BF7E57" w14:paraId="7515CE8D"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620B6375"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2015</w:t>
            </w:r>
          </w:p>
        </w:tc>
        <w:tc>
          <w:tcPr>
            <w:tcW w:w="1822" w:type="dxa"/>
            <w:tcBorders>
              <w:top w:val="nil"/>
              <w:left w:val="nil"/>
              <w:bottom w:val="single" w:sz="4" w:space="0" w:color="auto"/>
              <w:right w:val="single" w:sz="4" w:space="0" w:color="auto"/>
            </w:tcBorders>
            <w:shd w:val="clear" w:color="auto" w:fill="auto"/>
            <w:noWrap/>
            <w:vAlign w:val="center"/>
            <w:hideMark/>
          </w:tcPr>
          <w:p w14:paraId="69F36A5A"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2.063.077</w:t>
            </w:r>
          </w:p>
        </w:tc>
        <w:tc>
          <w:tcPr>
            <w:tcW w:w="1823" w:type="dxa"/>
            <w:tcBorders>
              <w:top w:val="nil"/>
              <w:left w:val="nil"/>
              <w:bottom w:val="single" w:sz="4" w:space="0" w:color="auto"/>
              <w:right w:val="single" w:sz="4" w:space="0" w:color="auto"/>
            </w:tcBorders>
            <w:shd w:val="clear" w:color="auto" w:fill="auto"/>
            <w:noWrap/>
            <w:vAlign w:val="center"/>
            <w:hideMark/>
          </w:tcPr>
          <w:p w14:paraId="3A43F04A"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1.224.223</w:t>
            </w:r>
          </w:p>
        </w:tc>
        <w:tc>
          <w:tcPr>
            <w:tcW w:w="1797" w:type="dxa"/>
            <w:tcBorders>
              <w:top w:val="nil"/>
              <w:left w:val="nil"/>
              <w:bottom w:val="single" w:sz="4" w:space="0" w:color="auto"/>
              <w:right w:val="single" w:sz="4" w:space="0" w:color="auto"/>
            </w:tcBorders>
            <w:shd w:val="clear" w:color="auto" w:fill="auto"/>
            <w:noWrap/>
            <w:vAlign w:val="center"/>
            <w:hideMark/>
          </w:tcPr>
          <w:p w14:paraId="5B660872"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745ED4C7"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93</w:t>
            </w:r>
          </w:p>
        </w:tc>
      </w:tr>
      <w:tr w:rsidR="009651EF" w:rsidRPr="00BF7E57" w14:paraId="38140058"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6E14F89D"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2018</w:t>
            </w:r>
          </w:p>
        </w:tc>
        <w:tc>
          <w:tcPr>
            <w:tcW w:w="1822" w:type="dxa"/>
            <w:tcBorders>
              <w:top w:val="nil"/>
              <w:left w:val="nil"/>
              <w:bottom w:val="single" w:sz="4" w:space="0" w:color="auto"/>
              <w:right w:val="single" w:sz="4" w:space="0" w:color="auto"/>
            </w:tcBorders>
            <w:shd w:val="clear" w:color="auto" w:fill="auto"/>
            <w:noWrap/>
            <w:vAlign w:val="center"/>
            <w:hideMark/>
          </w:tcPr>
          <w:p w14:paraId="35927E45"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2.070.050</w:t>
            </w:r>
          </w:p>
        </w:tc>
        <w:tc>
          <w:tcPr>
            <w:tcW w:w="1823" w:type="dxa"/>
            <w:tcBorders>
              <w:top w:val="nil"/>
              <w:left w:val="nil"/>
              <w:bottom w:val="single" w:sz="4" w:space="0" w:color="auto"/>
              <w:right w:val="single" w:sz="4" w:space="0" w:color="auto"/>
            </w:tcBorders>
            <w:shd w:val="clear" w:color="auto" w:fill="auto"/>
            <w:noWrap/>
            <w:vAlign w:val="center"/>
            <w:hideMark/>
          </w:tcPr>
          <w:p w14:paraId="5002F1CF"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1.227.785</w:t>
            </w:r>
          </w:p>
        </w:tc>
        <w:tc>
          <w:tcPr>
            <w:tcW w:w="1797" w:type="dxa"/>
            <w:tcBorders>
              <w:top w:val="nil"/>
              <w:left w:val="nil"/>
              <w:bottom w:val="single" w:sz="4" w:space="0" w:color="auto"/>
              <w:right w:val="single" w:sz="4" w:space="0" w:color="auto"/>
            </w:tcBorders>
            <w:shd w:val="clear" w:color="auto" w:fill="auto"/>
            <w:noWrap/>
            <w:vAlign w:val="center"/>
            <w:hideMark/>
          </w:tcPr>
          <w:p w14:paraId="1C037CC0"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4CD59077"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94</w:t>
            </w:r>
          </w:p>
        </w:tc>
      </w:tr>
      <w:tr w:rsidR="009651EF" w:rsidRPr="00BF7E57" w14:paraId="7458F409"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725E0502"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2019</w:t>
            </w:r>
          </w:p>
        </w:tc>
        <w:tc>
          <w:tcPr>
            <w:tcW w:w="1822" w:type="dxa"/>
            <w:tcBorders>
              <w:top w:val="nil"/>
              <w:left w:val="nil"/>
              <w:bottom w:val="single" w:sz="4" w:space="0" w:color="auto"/>
              <w:right w:val="single" w:sz="4" w:space="0" w:color="auto"/>
            </w:tcBorders>
            <w:shd w:val="clear" w:color="auto" w:fill="auto"/>
            <w:noWrap/>
            <w:vAlign w:val="center"/>
            <w:hideMark/>
          </w:tcPr>
          <w:p w14:paraId="1BF32427"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2.089.310</w:t>
            </w:r>
          </w:p>
        </w:tc>
        <w:tc>
          <w:tcPr>
            <w:tcW w:w="1823" w:type="dxa"/>
            <w:tcBorders>
              <w:top w:val="nil"/>
              <w:left w:val="nil"/>
              <w:bottom w:val="single" w:sz="4" w:space="0" w:color="auto"/>
              <w:right w:val="single" w:sz="4" w:space="0" w:color="auto"/>
            </w:tcBorders>
            <w:shd w:val="clear" w:color="auto" w:fill="auto"/>
            <w:noWrap/>
            <w:vAlign w:val="center"/>
            <w:hideMark/>
          </w:tcPr>
          <w:p w14:paraId="59BE9A8C"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1.236.278</w:t>
            </w:r>
          </w:p>
        </w:tc>
        <w:tc>
          <w:tcPr>
            <w:tcW w:w="1797" w:type="dxa"/>
            <w:tcBorders>
              <w:top w:val="nil"/>
              <w:left w:val="nil"/>
              <w:bottom w:val="single" w:sz="4" w:space="0" w:color="auto"/>
              <w:right w:val="single" w:sz="4" w:space="0" w:color="auto"/>
            </w:tcBorders>
            <w:shd w:val="clear" w:color="auto" w:fill="auto"/>
            <w:noWrap/>
            <w:vAlign w:val="center"/>
            <w:hideMark/>
          </w:tcPr>
          <w:p w14:paraId="003BD769"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103</w:t>
            </w:r>
          </w:p>
        </w:tc>
        <w:tc>
          <w:tcPr>
            <w:tcW w:w="1798" w:type="dxa"/>
            <w:tcBorders>
              <w:top w:val="nil"/>
              <w:left w:val="nil"/>
              <w:bottom w:val="single" w:sz="4" w:space="0" w:color="auto"/>
              <w:right w:val="single" w:sz="4" w:space="0" w:color="auto"/>
            </w:tcBorders>
            <w:shd w:val="clear" w:color="auto" w:fill="auto"/>
            <w:noWrap/>
            <w:vAlign w:val="center"/>
            <w:hideMark/>
          </w:tcPr>
          <w:p w14:paraId="12C395DD"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95</w:t>
            </w:r>
          </w:p>
        </w:tc>
      </w:tr>
      <w:tr w:rsidR="00D202AF" w:rsidRPr="00BF7E57" w14:paraId="783A42D9" w14:textId="77777777" w:rsidTr="00287066">
        <w:trPr>
          <w:trHeight w:val="292"/>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51D6" w14:textId="2BE2518F" w:rsidR="00D202AF" w:rsidRPr="00BF7E57" w:rsidRDefault="00D202AF" w:rsidP="00D202A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2021</w:t>
            </w:r>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4FF16039" w14:textId="245FA9B3" w:rsidR="00D202AF" w:rsidRPr="00BF7E57"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2.108.977</w:t>
            </w:r>
          </w:p>
        </w:tc>
        <w:tc>
          <w:tcPr>
            <w:tcW w:w="1823" w:type="dxa"/>
            <w:tcBorders>
              <w:top w:val="single" w:sz="4" w:space="0" w:color="auto"/>
              <w:left w:val="nil"/>
              <w:bottom w:val="single" w:sz="4" w:space="0" w:color="auto"/>
              <w:right w:val="single" w:sz="4" w:space="0" w:color="auto"/>
            </w:tcBorders>
            <w:shd w:val="clear" w:color="auto" w:fill="auto"/>
            <w:noWrap/>
            <w:vAlign w:val="center"/>
          </w:tcPr>
          <w:p w14:paraId="7A05509B" w14:textId="04FE0E33" w:rsidR="00D202AF" w:rsidRPr="00BF7E57"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1.251.486</w:t>
            </w:r>
          </w:p>
        </w:tc>
        <w:tc>
          <w:tcPr>
            <w:tcW w:w="1797" w:type="dxa"/>
            <w:tcBorders>
              <w:top w:val="single" w:sz="4" w:space="0" w:color="auto"/>
              <w:left w:val="nil"/>
              <w:bottom w:val="single" w:sz="4" w:space="0" w:color="auto"/>
              <w:right w:val="single" w:sz="4" w:space="0" w:color="auto"/>
            </w:tcBorders>
            <w:shd w:val="clear" w:color="auto" w:fill="auto"/>
            <w:noWrap/>
            <w:vAlign w:val="center"/>
          </w:tcPr>
          <w:p w14:paraId="38F24BB6" w14:textId="217369A9" w:rsidR="00D202AF" w:rsidRPr="00BF7E57"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104</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424F5345" w14:textId="63A93589" w:rsidR="00D202AF" w:rsidRPr="00BF7E57"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96</w:t>
            </w:r>
          </w:p>
        </w:tc>
      </w:tr>
    </w:tbl>
    <w:p w14:paraId="789FDE87" w14:textId="77777777" w:rsidR="009E0216" w:rsidRPr="00BF7E57" w:rsidRDefault="009E0216" w:rsidP="00EA2E4C">
      <w:pPr>
        <w:pStyle w:val="tevilnatoka"/>
        <w:numPr>
          <w:ilvl w:val="0"/>
          <w:numId w:val="0"/>
        </w:numPr>
        <w:spacing w:line="360" w:lineRule="auto"/>
        <w:rPr>
          <w:sz w:val="16"/>
          <w:szCs w:val="16"/>
        </w:rPr>
      </w:pPr>
      <w:r w:rsidRPr="00BF7E57">
        <w:rPr>
          <w:sz w:val="16"/>
          <w:szCs w:val="16"/>
        </w:rPr>
        <w:t>Vir: SURS, lastni preračuni</w:t>
      </w:r>
    </w:p>
    <w:p w14:paraId="416D559E" w14:textId="5AB57828" w:rsidR="009E0216" w:rsidRPr="00BF7E57" w:rsidRDefault="009E0216" w:rsidP="00F25C63">
      <w:pPr>
        <w:spacing w:before="200" w:line="360" w:lineRule="auto"/>
        <w:jc w:val="both"/>
        <w:rPr>
          <w:rFonts w:ascii="Arial" w:hAnsi="Arial" w:cs="Arial"/>
          <w:sz w:val="20"/>
          <w:szCs w:val="20"/>
        </w:rPr>
      </w:pPr>
      <w:r w:rsidRPr="00BF7E57">
        <w:rPr>
          <w:rFonts w:ascii="Arial" w:hAnsi="Arial" w:cs="Arial"/>
          <w:sz w:val="20"/>
          <w:szCs w:val="20"/>
        </w:rPr>
        <w:lastRenderedPageBreak/>
        <w:t>Slabo demografsko sliko kaže tudi naravni prirast na 1.000 prebivalcev, ki pomeni razmerje med naravnim prirastom v koledarskem letu in številom prebivalstva sredi istega leta na določenem območju, pomnoženo s 1.000, ki po letu 2014 pada. Na podeželju je negativen že od leta 2015 (-0,2), leta 2018 pa je bila negativna vrednost tako za Slovenijo (-0,4), kot za podeželje (-1,2)</w:t>
      </w:r>
      <w:r w:rsidR="00E727D3" w:rsidRPr="00BF7E57">
        <w:rPr>
          <w:rFonts w:ascii="Arial" w:hAnsi="Arial" w:cs="Arial"/>
          <w:sz w:val="20"/>
          <w:szCs w:val="20"/>
        </w:rPr>
        <w:t xml:space="preserve"> (Tabela </w:t>
      </w:r>
      <w:r w:rsidR="008C2848" w:rsidRPr="00BF7E57">
        <w:rPr>
          <w:rFonts w:ascii="Arial" w:hAnsi="Arial" w:cs="Arial"/>
          <w:sz w:val="20"/>
          <w:szCs w:val="20"/>
        </w:rPr>
        <w:t>8</w:t>
      </w:r>
      <w:r w:rsidR="00E727D3" w:rsidRPr="00BF7E57">
        <w:rPr>
          <w:rFonts w:ascii="Arial" w:hAnsi="Arial" w:cs="Arial"/>
          <w:sz w:val="20"/>
          <w:szCs w:val="20"/>
        </w:rPr>
        <w:t>).</w:t>
      </w:r>
      <w:r w:rsidRPr="00BF7E57">
        <w:rPr>
          <w:rFonts w:ascii="Arial" w:hAnsi="Arial" w:cs="Arial"/>
          <w:sz w:val="20"/>
          <w:szCs w:val="20"/>
        </w:rPr>
        <w:t xml:space="preserve"> Število prebivalcev se ohranja na račun priselitev v Slovenijo. Skupni selitveni prirast je sicer v obdobju 2008 - 2015 močno padel, tako v Sloveniji kot na podeželju, najverjetneje zaradi gospodarske krize. V letu 2018 pa je skupni selitveni prirast za Slovenijo ponovno zelo poskočil (7,2), na podeželju pa je za polovico manjši (4,0) (, Slika </w:t>
      </w:r>
      <w:r w:rsidR="008C2848" w:rsidRPr="00BF7E57">
        <w:rPr>
          <w:rFonts w:ascii="Arial" w:hAnsi="Arial" w:cs="Arial"/>
          <w:sz w:val="20"/>
          <w:szCs w:val="20"/>
        </w:rPr>
        <w:t>7</w:t>
      </w:r>
      <w:r w:rsidRPr="00BF7E57">
        <w:rPr>
          <w:rFonts w:ascii="Arial" w:hAnsi="Arial" w:cs="Arial"/>
          <w:sz w:val="20"/>
          <w:szCs w:val="20"/>
        </w:rPr>
        <w:t>).</w:t>
      </w:r>
    </w:p>
    <w:p w14:paraId="009BF7EE" w14:textId="1451B35A" w:rsidR="00232E6B" w:rsidRPr="00BF7E57" w:rsidRDefault="00232E6B" w:rsidP="00232E6B">
      <w:pPr>
        <w:pStyle w:val="Napis"/>
      </w:pPr>
      <w:bookmarkStart w:id="30" w:name="_Toc8682644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8</w:t>
      </w:r>
      <w:r w:rsidR="00A30B83" w:rsidRPr="00BF7E57">
        <w:rPr>
          <w:noProof/>
        </w:rPr>
        <w:fldChar w:fldCharType="end"/>
      </w:r>
      <w:r w:rsidRPr="00BF7E57">
        <w:t>: Naravni prirast (na 1.000 prebivalcev)</w:t>
      </w:r>
      <w:bookmarkEnd w:id="30"/>
    </w:p>
    <w:p w14:paraId="27D28A24" w14:textId="5CEA338D" w:rsidR="00F1027D" w:rsidRPr="00BF7E57" w:rsidRDefault="00F1027D" w:rsidP="00232E6B">
      <w:pPr>
        <w:pStyle w:val="Napis"/>
        <w:rPr>
          <w:sz w:val="20"/>
          <w:szCs w:val="20"/>
        </w:rPr>
      </w:pPr>
    </w:p>
    <w:tbl>
      <w:tblPr>
        <w:tblW w:w="9412" w:type="dxa"/>
        <w:tblInd w:w="65" w:type="dxa"/>
        <w:tblLayout w:type="fixed"/>
        <w:tblCellMar>
          <w:left w:w="70" w:type="dxa"/>
          <w:right w:w="70" w:type="dxa"/>
        </w:tblCellMar>
        <w:tblLook w:val="04A0" w:firstRow="1" w:lastRow="0" w:firstColumn="1" w:lastColumn="0" w:noHBand="0" w:noVBand="1"/>
      </w:tblPr>
      <w:tblGrid>
        <w:gridCol w:w="1423"/>
        <w:gridCol w:w="618"/>
        <w:gridCol w:w="619"/>
        <w:gridCol w:w="618"/>
        <w:gridCol w:w="619"/>
        <w:gridCol w:w="618"/>
        <w:gridCol w:w="619"/>
        <w:gridCol w:w="618"/>
        <w:gridCol w:w="619"/>
        <w:gridCol w:w="618"/>
        <w:gridCol w:w="619"/>
        <w:gridCol w:w="619"/>
        <w:gridCol w:w="1185"/>
      </w:tblGrid>
      <w:tr w:rsidR="009E0216" w:rsidRPr="00BF7E57" w14:paraId="02F4B4C6" w14:textId="77777777" w:rsidTr="001B2A9C">
        <w:trPr>
          <w:trHeight w:val="533"/>
        </w:trPr>
        <w:tc>
          <w:tcPr>
            <w:tcW w:w="142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7790140" w14:textId="2ACC00BC" w:rsidR="009E0216" w:rsidRPr="00BF7E57" w:rsidRDefault="009E0216" w:rsidP="00B26D91">
            <w:pPr>
              <w:spacing w:after="0" w:line="312" w:lineRule="auto"/>
              <w:rPr>
                <w:rFonts w:ascii="Arial" w:hAnsi="Arial" w:cs="Arial"/>
                <w:b/>
                <w:bCs/>
                <w:color w:val="000000"/>
                <w:sz w:val="20"/>
                <w:szCs w:val="20"/>
                <w:lang w:eastAsia="sl-SI"/>
              </w:rPr>
            </w:pP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2831D79B"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2008</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1B29299B"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2009</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152DE00D"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2010</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1BF903CE"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2011</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3B13A857"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2012</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7C2DD56A"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2013</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05612C1D"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2014</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7BE5F786"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2015</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4055C937"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2016</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36150E6F"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2017</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60D78ECA"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2018</w:t>
            </w:r>
          </w:p>
        </w:tc>
        <w:tc>
          <w:tcPr>
            <w:tcW w:w="1185" w:type="dxa"/>
            <w:tcBorders>
              <w:top w:val="single" w:sz="4" w:space="0" w:color="auto"/>
              <w:left w:val="nil"/>
              <w:bottom w:val="single" w:sz="4" w:space="0" w:color="auto"/>
              <w:right w:val="single" w:sz="4" w:space="0" w:color="auto"/>
            </w:tcBorders>
            <w:shd w:val="clear" w:color="auto" w:fill="92D050"/>
            <w:vAlign w:val="bottom"/>
            <w:hideMark/>
          </w:tcPr>
          <w:p w14:paraId="488DCCC0" w14:textId="1DFE6ABD" w:rsidR="009E0216" w:rsidRPr="00BF7E57" w:rsidRDefault="00C84154" w:rsidP="00C84154">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povprečje</w:t>
            </w:r>
          </w:p>
        </w:tc>
      </w:tr>
      <w:tr w:rsidR="009E0216" w:rsidRPr="00BF7E57" w14:paraId="75928F6C" w14:textId="77777777" w:rsidTr="00C84154">
        <w:trPr>
          <w:trHeight w:val="267"/>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00C7CD4D" w14:textId="77777777" w:rsidR="009E0216" w:rsidRPr="00BF7E57" w:rsidRDefault="009E0216" w:rsidP="00B26D91">
            <w:pPr>
              <w:spacing w:after="0" w:line="312" w:lineRule="auto"/>
              <w:jc w:val="both"/>
              <w:rPr>
                <w:rFonts w:ascii="Arial" w:hAnsi="Arial" w:cs="Arial"/>
                <w:bCs/>
                <w:color w:val="000000"/>
                <w:sz w:val="20"/>
                <w:szCs w:val="20"/>
                <w:lang w:eastAsia="sl-SI"/>
              </w:rPr>
            </w:pPr>
            <w:r w:rsidRPr="00BF7E57">
              <w:rPr>
                <w:rFonts w:ascii="Arial" w:hAnsi="Arial" w:cs="Arial"/>
                <w:bCs/>
                <w:color w:val="000000"/>
                <w:sz w:val="20"/>
                <w:szCs w:val="20"/>
                <w:lang w:eastAsia="sl-SI"/>
              </w:rPr>
              <w:t>Slovenija</w:t>
            </w:r>
          </w:p>
        </w:tc>
        <w:tc>
          <w:tcPr>
            <w:tcW w:w="618" w:type="dxa"/>
            <w:tcBorders>
              <w:top w:val="nil"/>
              <w:left w:val="nil"/>
              <w:bottom w:val="single" w:sz="4" w:space="0" w:color="auto"/>
              <w:right w:val="single" w:sz="4" w:space="0" w:color="auto"/>
            </w:tcBorders>
            <w:shd w:val="clear" w:color="auto" w:fill="auto"/>
            <w:noWrap/>
            <w:vAlign w:val="bottom"/>
            <w:hideMark/>
          </w:tcPr>
          <w:p w14:paraId="0C1BAD63"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1,7</w:t>
            </w:r>
          </w:p>
        </w:tc>
        <w:tc>
          <w:tcPr>
            <w:tcW w:w="619" w:type="dxa"/>
            <w:tcBorders>
              <w:top w:val="nil"/>
              <w:left w:val="nil"/>
              <w:bottom w:val="single" w:sz="4" w:space="0" w:color="auto"/>
              <w:right w:val="single" w:sz="4" w:space="0" w:color="auto"/>
            </w:tcBorders>
            <w:shd w:val="clear" w:color="auto" w:fill="auto"/>
            <w:noWrap/>
            <w:vAlign w:val="bottom"/>
            <w:hideMark/>
          </w:tcPr>
          <w:p w14:paraId="1CD77219"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1,5</w:t>
            </w:r>
          </w:p>
        </w:tc>
        <w:tc>
          <w:tcPr>
            <w:tcW w:w="618" w:type="dxa"/>
            <w:tcBorders>
              <w:top w:val="nil"/>
              <w:left w:val="nil"/>
              <w:bottom w:val="single" w:sz="4" w:space="0" w:color="auto"/>
              <w:right w:val="single" w:sz="4" w:space="0" w:color="auto"/>
            </w:tcBorders>
            <w:shd w:val="clear" w:color="auto" w:fill="auto"/>
            <w:noWrap/>
            <w:vAlign w:val="bottom"/>
            <w:hideMark/>
          </w:tcPr>
          <w:p w14:paraId="1040E635"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1,8</w:t>
            </w:r>
          </w:p>
        </w:tc>
        <w:tc>
          <w:tcPr>
            <w:tcW w:w="619" w:type="dxa"/>
            <w:tcBorders>
              <w:top w:val="nil"/>
              <w:left w:val="nil"/>
              <w:bottom w:val="single" w:sz="4" w:space="0" w:color="auto"/>
              <w:right w:val="single" w:sz="4" w:space="0" w:color="auto"/>
            </w:tcBorders>
            <w:shd w:val="clear" w:color="auto" w:fill="auto"/>
            <w:noWrap/>
            <w:vAlign w:val="bottom"/>
            <w:hideMark/>
          </w:tcPr>
          <w:p w14:paraId="24CC42FE"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1,6</w:t>
            </w:r>
          </w:p>
        </w:tc>
        <w:tc>
          <w:tcPr>
            <w:tcW w:w="618" w:type="dxa"/>
            <w:tcBorders>
              <w:top w:val="nil"/>
              <w:left w:val="nil"/>
              <w:bottom w:val="single" w:sz="4" w:space="0" w:color="auto"/>
              <w:right w:val="single" w:sz="4" w:space="0" w:color="auto"/>
            </w:tcBorders>
            <w:shd w:val="clear" w:color="auto" w:fill="auto"/>
            <w:noWrap/>
            <w:vAlign w:val="bottom"/>
            <w:hideMark/>
          </w:tcPr>
          <w:p w14:paraId="4B32C58B"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1,3</w:t>
            </w:r>
          </w:p>
        </w:tc>
        <w:tc>
          <w:tcPr>
            <w:tcW w:w="619" w:type="dxa"/>
            <w:tcBorders>
              <w:top w:val="nil"/>
              <w:left w:val="nil"/>
              <w:bottom w:val="single" w:sz="4" w:space="0" w:color="auto"/>
              <w:right w:val="single" w:sz="4" w:space="0" w:color="auto"/>
            </w:tcBorders>
            <w:shd w:val="clear" w:color="auto" w:fill="auto"/>
            <w:noWrap/>
            <w:vAlign w:val="bottom"/>
            <w:hideMark/>
          </w:tcPr>
          <w:p w14:paraId="75D132F8"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0,9</w:t>
            </w:r>
          </w:p>
        </w:tc>
        <w:tc>
          <w:tcPr>
            <w:tcW w:w="618" w:type="dxa"/>
            <w:tcBorders>
              <w:top w:val="nil"/>
              <w:left w:val="nil"/>
              <w:bottom w:val="single" w:sz="4" w:space="0" w:color="auto"/>
              <w:right w:val="single" w:sz="4" w:space="0" w:color="auto"/>
            </w:tcBorders>
            <w:shd w:val="clear" w:color="auto" w:fill="auto"/>
            <w:noWrap/>
            <w:vAlign w:val="bottom"/>
            <w:hideMark/>
          </w:tcPr>
          <w:p w14:paraId="759D4D40"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1,1</w:t>
            </w:r>
          </w:p>
        </w:tc>
        <w:tc>
          <w:tcPr>
            <w:tcW w:w="619" w:type="dxa"/>
            <w:tcBorders>
              <w:top w:val="nil"/>
              <w:left w:val="nil"/>
              <w:bottom w:val="single" w:sz="4" w:space="0" w:color="auto"/>
              <w:right w:val="single" w:sz="4" w:space="0" w:color="auto"/>
            </w:tcBorders>
            <w:shd w:val="clear" w:color="auto" w:fill="auto"/>
            <w:noWrap/>
            <w:vAlign w:val="bottom"/>
            <w:hideMark/>
          </w:tcPr>
          <w:p w14:paraId="2EA98584"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618" w:type="dxa"/>
            <w:tcBorders>
              <w:top w:val="nil"/>
              <w:left w:val="nil"/>
              <w:bottom w:val="single" w:sz="4" w:space="0" w:color="auto"/>
              <w:right w:val="single" w:sz="4" w:space="0" w:color="auto"/>
            </w:tcBorders>
            <w:shd w:val="clear" w:color="auto" w:fill="auto"/>
            <w:noWrap/>
            <w:vAlign w:val="bottom"/>
            <w:hideMark/>
          </w:tcPr>
          <w:p w14:paraId="3873D6C5"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0,3</w:t>
            </w:r>
          </w:p>
        </w:tc>
        <w:tc>
          <w:tcPr>
            <w:tcW w:w="619" w:type="dxa"/>
            <w:tcBorders>
              <w:top w:val="nil"/>
              <w:left w:val="nil"/>
              <w:bottom w:val="single" w:sz="4" w:space="0" w:color="auto"/>
              <w:right w:val="single" w:sz="4" w:space="0" w:color="auto"/>
            </w:tcBorders>
            <w:shd w:val="clear" w:color="auto" w:fill="auto"/>
            <w:noWrap/>
            <w:vAlign w:val="bottom"/>
            <w:hideMark/>
          </w:tcPr>
          <w:p w14:paraId="4F0317C9"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-0,1</w:t>
            </w:r>
          </w:p>
        </w:tc>
        <w:tc>
          <w:tcPr>
            <w:tcW w:w="619" w:type="dxa"/>
            <w:tcBorders>
              <w:top w:val="nil"/>
              <w:left w:val="nil"/>
              <w:bottom w:val="single" w:sz="4" w:space="0" w:color="auto"/>
              <w:right w:val="single" w:sz="4" w:space="0" w:color="auto"/>
            </w:tcBorders>
            <w:shd w:val="clear" w:color="auto" w:fill="auto"/>
            <w:noWrap/>
            <w:vAlign w:val="bottom"/>
            <w:hideMark/>
          </w:tcPr>
          <w:p w14:paraId="44B45A27"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1185" w:type="dxa"/>
            <w:tcBorders>
              <w:top w:val="nil"/>
              <w:left w:val="nil"/>
              <w:bottom w:val="single" w:sz="4" w:space="0" w:color="auto"/>
              <w:right w:val="single" w:sz="4" w:space="0" w:color="auto"/>
            </w:tcBorders>
            <w:shd w:val="clear" w:color="auto" w:fill="auto"/>
            <w:noWrap/>
            <w:vAlign w:val="bottom"/>
            <w:hideMark/>
          </w:tcPr>
          <w:p w14:paraId="55F365BB"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0,9</w:t>
            </w:r>
          </w:p>
        </w:tc>
      </w:tr>
      <w:tr w:rsidR="009E0216" w:rsidRPr="00BF7E57" w14:paraId="13B7F92B" w14:textId="77777777" w:rsidTr="00C84154">
        <w:trPr>
          <w:trHeight w:val="267"/>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12950FEF" w14:textId="44519F37" w:rsidR="009E0216" w:rsidRPr="00BF7E57" w:rsidRDefault="00356A8A" w:rsidP="00356A8A">
            <w:pPr>
              <w:spacing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p</w:t>
            </w:r>
            <w:r w:rsidR="009E0216" w:rsidRPr="00BF7E57">
              <w:rPr>
                <w:rFonts w:ascii="Arial" w:hAnsi="Arial" w:cs="Arial"/>
                <w:color w:val="000000"/>
                <w:sz w:val="20"/>
                <w:szCs w:val="20"/>
                <w:lang w:eastAsia="sl-SI"/>
              </w:rPr>
              <w:t xml:space="preserve">odeželje </w:t>
            </w:r>
          </w:p>
        </w:tc>
        <w:tc>
          <w:tcPr>
            <w:tcW w:w="618" w:type="dxa"/>
            <w:tcBorders>
              <w:top w:val="nil"/>
              <w:left w:val="nil"/>
              <w:bottom w:val="single" w:sz="4" w:space="0" w:color="auto"/>
              <w:right w:val="single" w:sz="4" w:space="0" w:color="auto"/>
            </w:tcBorders>
            <w:shd w:val="clear" w:color="auto" w:fill="auto"/>
            <w:noWrap/>
            <w:vAlign w:val="bottom"/>
            <w:hideMark/>
          </w:tcPr>
          <w:p w14:paraId="7B90F44D"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0,9</w:t>
            </w:r>
          </w:p>
        </w:tc>
        <w:tc>
          <w:tcPr>
            <w:tcW w:w="619" w:type="dxa"/>
            <w:tcBorders>
              <w:top w:val="nil"/>
              <w:left w:val="nil"/>
              <w:bottom w:val="single" w:sz="4" w:space="0" w:color="auto"/>
              <w:right w:val="single" w:sz="4" w:space="0" w:color="auto"/>
            </w:tcBorders>
            <w:shd w:val="clear" w:color="auto" w:fill="auto"/>
            <w:noWrap/>
            <w:vAlign w:val="bottom"/>
            <w:hideMark/>
          </w:tcPr>
          <w:p w14:paraId="02F91BD2"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618" w:type="dxa"/>
            <w:tcBorders>
              <w:top w:val="nil"/>
              <w:left w:val="nil"/>
              <w:bottom w:val="single" w:sz="4" w:space="0" w:color="auto"/>
              <w:right w:val="single" w:sz="4" w:space="0" w:color="auto"/>
            </w:tcBorders>
            <w:shd w:val="clear" w:color="auto" w:fill="auto"/>
            <w:noWrap/>
            <w:vAlign w:val="bottom"/>
            <w:hideMark/>
          </w:tcPr>
          <w:p w14:paraId="29AD05DB"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1,2</w:t>
            </w:r>
          </w:p>
        </w:tc>
        <w:tc>
          <w:tcPr>
            <w:tcW w:w="619" w:type="dxa"/>
            <w:tcBorders>
              <w:top w:val="nil"/>
              <w:left w:val="nil"/>
              <w:bottom w:val="single" w:sz="4" w:space="0" w:color="auto"/>
              <w:right w:val="single" w:sz="4" w:space="0" w:color="auto"/>
            </w:tcBorders>
            <w:shd w:val="clear" w:color="auto" w:fill="auto"/>
            <w:noWrap/>
            <w:vAlign w:val="bottom"/>
            <w:hideMark/>
          </w:tcPr>
          <w:p w14:paraId="6DC66FBC"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0,5</w:t>
            </w:r>
          </w:p>
        </w:tc>
        <w:tc>
          <w:tcPr>
            <w:tcW w:w="618" w:type="dxa"/>
            <w:tcBorders>
              <w:top w:val="nil"/>
              <w:left w:val="nil"/>
              <w:bottom w:val="single" w:sz="4" w:space="0" w:color="auto"/>
              <w:right w:val="single" w:sz="4" w:space="0" w:color="auto"/>
            </w:tcBorders>
            <w:shd w:val="clear" w:color="auto" w:fill="auto"/>
            <w:noWrap/>
            <w:vAlign w:val="bottom"/>
            <w:hideMark/>
          </w:tcPr>
          <w:p w14:paraId="70B97395"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0,6</w:t>
            </w:r>
          </w:p>
        </w:tc>
        <w:tc>
          <w:tcPr>
            <w:tcW w:w="619" w:type="dxa"/>
            <w:tcBorders>
              <w:top w:val="nil"/>
              <w:left w:val="nil"/>
              <w:bottom w:val="single" w:sz="4" w:space="0" w:color="auto"/>
              <w:right w:val="single" w:sz="4" w:space="0" w:color="auto"/>
            </w:tcBorders>
            <w:shd w:val="clear" w:color="auto" w:fill="auto"/>
            <w:noWrap/>
            <w:vAlign w:val="bottom"/>
            <w:hideMark/>
          </w:tcPr>
          <w:p w14:paraId="159417BD"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0,0</w:t>
            </w:r>
          </w:p>
        </w:tc>
        <w:tc>
          <w:tcPr>
            <w:tcW w:w="618" w:type="dxa"/>
            <w:tcBorders>
              <w:top w:val="nil"/>
              <w:left w:val="nil"/>
              <w:bottom w:val="single" w:sz="4" w:space="0" w:color="auto"/>
              <w:right w:val="single" w:sz="4" w:space="0" w:color="auto"/>
            </w:tcBorders>
            <w:shd w:val="clear" w:color="auto" w:fill="auto"/>
            <w:noWrap/>
            <w:vAlign w:val="bottom"/>
            <w:hideMark/>
          </w:tcPr>
          <w:p w14:paraId="6D5F63D5"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619" w:type="dxa"/>
            <w:tcBorders>
              <w:top w:val="nil"/>
              <w:left w:val="nil"/>
              <w:bottom w:val="single" w:sz="4" w:space="0" w:color="auto"/>
              <w:right w:val="single" w:sz="4" w:space="0" w:color="auto"/>
            </w:tcBorders>
            <w:shd w:val="clear" w:color="auto" w:fill="auto"/>
            <w:noWrap/>
            <w:vAlign w:val="bottom"/>
            <w:hideMark/>
          </w:tcPr>
          <w:p w14:paraId="7F85C8BA"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-0,2</w:t>
            </w:r>
          </w:p>
        </w:tc>
        <w:tc>
          <w:tcPr>
            <w:tcW w:w="618" w:type="dxa"/>
            <w:tcBorders>
              <w:top w:val="nil"/>
              <w:left w:val="nil"/>
              <w:bottom w:val="single" w:sz="4" w:space="0" w:color="auto"/>
              <w:right w:val="single" w:sz="4" w:space="0" w:color="auto"/>
            </w:tcBorders>
            <w:shd w:val="clear" w:color="auto" w:fill="auto"/>
            <w:noWrap/>
            <w:vAlign w:val="bottom"/>
            <w:hideMark/>
          </w:tcPr>
          <w:p w14:paraId="4A728C91"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-0,5</w:t>
            </w:r>
          </w:p>
        </w:tc>
        <w:tc>
          <w:tcPr>
            <w:tcW w:w="619" w:type="dxa"/>
            <w:tcBorders>
              <w:top w:val="nil"/>
              <w:left w:val="nil"/>
              <w:bottom w:val="single" w:sz="4" w:space="0" w:color="auto"/>
              <w:right w:val="single" w:sz="4" w:space="0" w:color="auto"/>
            </w:tcBorders>
            <w:shd w:val="clear" w:color="auto" w:fill="auto"/>
            <w:noWrap/>
            <w:vAlign w:val="bottom"/>
            <w:hideMark/>
          </w:tcPr>
          <w:p w14:paraId="27878067"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-0,9</w:t>
            </w:r>
          </w:p>
        </w:tc>
        <w:tc>
          <w:tcPr>
            <w:tcW w:w="619" w:type="dxa"/>
            <w:tcBorders>
              <w:top w:val="nil"/>
              <w:left w:val="nil"/>
              <w:bottom w:val="single" w:sz="4" w:space="0" w:color="auto"/>
              <w:right w:val="single" w:sz="4" w:space="0" w:color="auto"/>
            </w:tcBorders>
            <w:shd w:val="clear" w:color="auto" w:fill="auto"/>
            <w:noWrap/>
            <w:vAlign w:val="bottom"/>
            <w:hideMark/>
          </w:tcPr>
          <w:p w14:paraId="1455AE36"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-1,2</w:t>
            </w:r>
          </w:p>
        </w:tc>
        <w:tc>
          <w:tcPr>
            <w:tcW w:w="1185" w:type="dxa"/>
            <w:tcBorders>
              <w:top w:val="nil"/>
              <w:left w:val="nil"/>
              <w:bottom w:val="single" w:sz="4" w:space="0" w:color="auto"/>
              <w:right w:val="single" w:sz="4" w:space="0" w:color="auto"/>
            </w:tcBorders>
            <w:shd w:val="clear" w:color="auto" w:fill="auto"/>
            <w:noWrap/>
            <w:vAlign w:val="bottom"/>
            <w:hideMark/>
          </w:tcPr>
          <w:p w14:paraId="36090956"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0,1</w:t>
            </w:r>
          </w:p>
        </w:tc>
      </w:tr>
    </w:tbl>
    <w:p w14:paraId="13DEA0B2" w14:textId="66F675EF" w:rsidR="009E0216" w:rsidRPr="00BF7E57" w:rsidRDefault="00DD0F74" w:rsidP="00EA2E4C">
      <w:pPr>
        <w:pStyle w:val="tevilnatoka"/>
        <w:numPr>
          <w:ilvl w:val="0"/>
          <w:numId w:val="0"/>
        </w:numPr>
        <w:spacing w:line="360" w:lineRule="auto"/>
        <w:rPr>
          <w:sz w:val="16"/>
          <w:szCs w:val="16"/>
        </w:rPr>
      </w:pPr>
      <w:r w:rsidRPr="00BF7E57">
        <w:rPr>
          <w:sz w:val="16"/>
          <w:szCs w:val="16"/>
        </w:rPr>
        <w:t xml:space="preserve"> </w:t>
      </w:r>
      <w:r w:rsidR="009E0216" w:rsidRPr="00BF7E57">
        <w:rPr>
          <w:sz w:val="16"/>
          <w:szCs w:val="16"/>
        </w:rPr>
        <w:t>Vir: SURS, lastni preračuni</w:t>
      </w:r>
    </w:p>
    <w:p w14:paraId="4C61324B" w14:textId="736D2EBC" w:rsidR="00376357" w:rsidRPr="00BF7E57" w:rsidRDefault="00376357" w:rsidP="001427AE">
      <w:pPr>
        <w:pStyle w:val="Napis"/>
      </w:pPr>
      <w:bookmarkStart w:id="31" w:name="_Toc8682639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7</w:t>
      </w:r>
      <w:r w:rsidR="00A30B83" w:rsidRPr="00BF7E57">
        <w:rPr>
          <w:noProof/>
        </w:rPr>
        <w:fldChar w:fldCharType="end"/>
      </w:r>
      <w:r w:rsidRPr="00BF7E57">
        <w:t>: Naravni in selitveni prirast po letih</w:t>
      </w:r>
      <w:bookmarkEnd w:id="31"/>
    </w:p>
    <w:p w14:paraId="72C057EE" w14:textId="66F9545E" w:rsidR="009E0216" w:rsidRPr="00BF7E57" w:rsidRDefault="009E0216" w:rsidP="00CC31C9">
      <w:pPr>
        <w:pStyle w:val="Napis"/>
        <w:spacing w:line="240" w:lineRule="auto"/>
        <w:jc w:val="both"/>
        <w:rPr>
          <w:sz w:val="20"/>
          <w:szCs w:val="20"/>
        </w:rPr>
      </w:pPr>
      <w:r w:rsidRPr="00BF7E57">
        <w:rPr>
          <w:noProof/>
          <w:sz w:val="20"/>
          <w:szCs w:val="20"/>
          <w:lang w:eastAsia="sl-SI"/>
        </w:rPr>
        <w:drawing>
          <wp:inline distT="0" distB="0" distL="0" distR="0" wp14:anchorId="271683BD" wp14:editId="49485209">
            <wp:extent cx="5753735" cy="3131388"/>
            <wp:effectExtent l="0" t="0" r="18415" b="12065"/>
            <wp:docPr id="1631865555" name="Grafikon 1631865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FA3494" w14:textId="77777777" w:rsidR="009E0216" w:rsidRPr="00BF7E57" w:rsidRDefault="00A52F41" w:rsidP="00CC31C9">
      <w:pPr>
        <w:pStyle w:val="Napis"/>
        <w:spacing w:before="0" w:after="200" w:line="240" w:lineRule="auto"/>
        <w:jc w:val="both"/>
        <w:rPr>
          <w:b/>
          <w:i/>
        </w:rPr>
      </w:pPr>
      <w:bookmarkStart w:id="32" w:name="_Toc47082362"/>
      <w:bookmarkStart w:id="33" w:name="_Toc47092603"/>
      <w:r w:rsidRPr="00BF7E57">
        <w:t>Vir: SURS, lastni preračuni</w:t>
      </w:r>
    </w:p>
    <w:bookmarkEnd w:id="32"/>
    <w:bookmarkEnd w:id="33"/>
    <w:p w14:paraId="34BFF9FE" w14:textId="40CECD6B"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 xml:space="preserve">Na staranje prebivalstva v Sloveniji in na podeželju kažejo tudi naslednji kazalniki. Kazalnik povprečna starost prebivalstva </w:t>
      </w:r>
      <w:r w:rsidR="00E93C87" w:rsidRPr="00BF7E57">
        <w:rPr>
          <w:rFonts w:ascii="Arial" w:hAnsi="Arial" w:cs="Arial"/>
          <w:sz w:val="20"/>
          <w:szCs w:val="20"/>
        </w:rPr>
        <w:t xml:space="preserve">v Sloveniji se je </w:t>
      </w:r>
      <w:r w:rsidRPr="00BF7E57">
        <w:rPr>
          <w:rFonts w:ascii="Arial" w:hAnsi="Arial" w:cs="Arial"/>
          <w:sz w:val="20"/>
          <w:szCs w:val="20"/>
        </w:rPr>
        <w:t xml:space="preserve">od leta 2008 do leta 2019 dvignil iz 41,2 na 43,4 let </w:t>
      </w:r>
      <w:r w:rsidR="00DA2325" w:rsidRPr="00BF7E57">
        <w:rPr>
          <w:rFonts w:ascii="Arial" w:hAnsi="Arial" w:cs="Arial"/>
          <w:sz w:val="20"/>
          <w:szCs w:val="20"/>
        </w:rPr>
        <w:t>(leta 2021 že na 43,7),</w:t>
      </w:r>
      <w:r w:rsidRPr="00BF7E57">
        <w:rPr>
          <w:rFonts w:ascii="Arial" w:hAnsi="Arial" w:cs="Arial"/>
          <w:sz w:val="20"/>
          <w:szCs w:val="20"/>
        </w:rPr>
        <w:t xml:space="preserve"> na podeželju je razlika še večja, </w:t>
      </w:r>
      <w:r w:rsidR="00E93C87" w:rsidRPr="00BF7E57">
        <w:rPr>
          <w:rFonts w:ascii="Arial" w:hAnsi="Arial" w:cs="Arial"/>
          <w:sz w:val="20"/>
          <w:szCs w:val="20"/>
        </w:rPr>
        <w:t xml:space="preserve">zvišala se je </w:t>
      </w:r>
      <w:r w:rsidRPr="00BF7E57">
        <w:rPr>
          <w:rFonts w:ascii="Arial" w:hAnsi="Arial" w:cs="Arial"/>
          <w:sz w:val="20"/>
          <w:szCs w:val="20"/>
        </w:rPr>
        <w:t>iz 40,7 leta 2008 na 43,7 let leta 2018</w:t>
      </w:r>
      <w:r w:rsidR="00DA2325" w:rsidRPr="00BF7E57">
        <w:rPr>
          <w:rFonts w:ascii="Arial" w:hAnsi="Arial" w:cs="Arial"/>
          <w:sz w:val="20"/>
          <w:szCs w:val="20"/>
        </w:rPr>
        <w:t xml:space="preserve"> (leta 2021 na 44)</w:t>
      </w:r>
      <w:r w:rsidRPr="00BF7E57">
        <w:rPr>
          <w:rFonts w:ascii="Arial" w:hAnsi="Arial" w:cs="Arial"/>
          <w:sz w:val="20"/>
          <w:szCs w:val="20"/>
        </w:rPr>
        <w:t>. V letu 2019 je bil indeks staranja na podeželju 137,2</w:t>
      </w:r>
      <w:r w:rsidR="00DA2325" w:rsidRPr="00BF7E57">
        <w:rPr>
          <w:rFonts w:ascii="Arial" w:hAnsi="Arial" w:cs="Arial"/>
          <w:sz w:val="20"/>
          <w:szCs w:val="20"/>
        </w:rPr>
        <w:t xml:space="preserve"> (leta 2021 že 139,9),</w:t>
      </w:r>
      <w:r w:rsidRPr="00BF7E57">
        <w:rPr>
          <w:rFonts w:ascii="Arial" w:hAnsi="Arial" w:cs="Arial"/>
          <w:sz w:val="20"/>
          <w:szCs w:val="20"/>
        </w:rPr>
        <w:t xml:space="preserve"> kar je več od slovenskega povprečja</w:t>
      </w:r>
      <w:r w:rsidR="00E93C87" w:rsidRPr="00BF7E57">
        <w:rPr>
          <w:rFonts w:ascii="Arial" w:hAnsi="Arial" w:cs="Arial"/>
          <w:sz w:val="20"/>
          <w:szCs w:val="20"/>
        </w:rPr>
        <w:t xml:space="preserve"> leta 2019</w:t>
      </w:r>
      <w:r w:rsidRPr="00BF7E57">
        <w:rPr>
          <w:rFonts w:ascii="Arial" w:hAnsi="Arial" w:cs="Arial"/>
          <w:sz w:val="20"/>
          <w:szCs w:val="20"/>
        </w:rPr>
        <w:t xml:space="preserve"> (132,9)</w:t>
      </w:r>
      <w:r w:rsidR="00DA2325" w:rsidRPr="00BF7E57">
        <w:rPr>
          <w:rFonts w:ascii="Arial" w:hAnsi="Arial" w:cs="Arial"/>
          <w:sz w:val="20"/>
          <w:szCs w:val="20"/>
        </w:rPr>
        <w:t xml:space="preserve">, leta 2021 </w:t>
      </w:r>
      <w:r w:rsidR="00E93C87" w:rsidRPr="00BF7E57">
        <w:rPr>
          <w:rFonts w:ascii="Arial" w:hAnsi="Arial" w:cs="Arial"/>
          <w:sz w:val="20"/>
          <w:szCs w:val="20"/>
        </w:rPr>
        <w:t>ta znaša</w:t>
      </w:r>
      <w:r w:rsidR="00DA2325" w:rsidRPr="00BF7E57">
        <w:rPr>
          <w:rFonts w:ascii="Arial" w:hAnsi="Arial" w:cs="Arial"/>
          <w:sz w:val="20"/>
          <w:szCs w:val="20"/>
        </w:rPr>
        <w:t xml:space="preserve"> že 134,3.</w:t>
      </w:r>
      <w:r w:rsidRPr="00BF7E57">
        <w:rPr>
          <w:rFonts w:ascii="Arial" w:hAnsi="Arial" w:cs="Arial"/>
          <w:sz w:val="20"/>
          <w:szCs w:val="20"/>
        </w:rPr>
        <w:t xml:space="preserve"> </w:t>
      </w:r>
    </w:p>
    <w:p w14:paraId="43E65226" w14:textId="2F69EE80"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Koeficient starostne odvisnosti, ki pove koliko otrok (do 14 let) in starejših prebivalcev (nad 65 let) je odvisnih od 100 delovno sposobnih, se povečuje. To pomeni, da je čedalje več starih nad 65 let odvisnih od delovno sposobnih prebivalcev. V letu 2019 je koeficient starostne odvisnosti znašal 53,7, koeficient starostne odvisnosti mladih je bil 23,2, koeficient starostne odvisnosti starih pa 30,5 (</w:t>
      </w:r>
      <w:r w:rsidR="00E93C87" w:rsidRPr="00BF7E57">
        <w:rPr>
          <w:rFonts w:ascii="Arial" w:hAnsi="Arial" w:cs="Arial"/>
          <w:sz w:val="20"/>
          <w:szCs w:val="20"/>
        </w:rPr>
        <w:fldChar w:fldCharType="begin"/>
      </w:r>
      <w:r w:rsidR="00E93C87" w:rsidRPr="00BF7E57">
        <w:rPr>
          <w:rFonts w:ascii="Arial" w:hAnsi="Arial" w:cs="Arial"/>
          <w:sz w:val="20"/>
          <w:szCs w:val="20"/>
        </w:rPr>
        <w:instrText xml:space="preserve"> REF _Ref84856985 \h </w:instrText>
      </w:r>
      <w:r w:rsidR="00E93C87" w:rsidRPr="00BF7E57">
        <w:rPr>
          <w:rFonts w:ascii="Arial" w:hAnsi="Arial" w:cs="Arial"/>
          <w:sz w:val="20"/>
          <w:szCs w:val="20"/>
        </w:rPr>
      </w:r>
      <w:r w:rsidR="00BF7E57">
        <w:rPr>
          <w:rFonts w:ascii="Arial" w:hAnsi="Arial" w:cs="Arial"/>
          <w:sz w:val="20"/>
          <w:szCs w:val="20"/>
        </w:rPr>
        <w:instrText xml:space="preserve"> \* MERGEFORMAT </w:instrText>
      </w:r>
      <w:r w:rsidR="00E93C87" w:rsidRPr="00BF7E57">
        <w:rPr>
          <w:rFonts w:ascii="Arial" w:hAnsi="Arial" w:cs="Arial"/>
          <w:sz w:val="20"/>
          <w:szCs w:val="20"/>
        </w:rPr>
        <w:fldChar w:fldCharType="separate"/>
      </w:r>
      <w:r w:rsidR="00236865" w:rsidRPr="00BF7E57">
        <w:t xml:space="preserve">Slika </w:t>
      </w:r>
      <w:r w:rsidR="00236865">
        <w:rPr>
          <w:noProof/>
        </w:rPr>
        <w:t>8</w:t>
      </w:r>
      <w:r w:rsidR="00E93C87" w:rsidRPr="00BF7E57">
        <w:rPr>
          <w:rFonts w:ascii="Arial" w:hAnsi="Arial" w:cs="Arial"/>
          <w:sz w:val="20"/>
          <w:szCs w:val="20"/>
        </w:rPr>
        <w:fldChar w:fldCharType="end"/>
      </w:r>
      <w:r w:rsidRPr="00BF7E57">
        <w:rPr>
          <w:rFonts w:ascii="Arial" w:hAnsi="Arial" w:cs="Arial"/>
          <w:sz w:val="20"/>
          <w:szCs w:val="20"/>
        </w:rPr>
        <w:t>).</w:t>
      </w:r>
    </w:p>
    <w:p w14:paraId="61550039" w14:textId="1D88FF35" w:rsidR="00376357" w:rsidRPr="00BF7E57" w:rsidRDefault="00376357" w:rsidP="001427AE">
      <w:pPr>
        <w:pStyle w:val="Napis"/>
      </w:pPr>
      <w:bookmarkStart w:id="34" w:name="_Ref84856985"/>
      <w:bookmarkStart w:id="35" w:name="_Ref30071427"/>
      <w:bookmarkStart w:id="36" w:name="_Ref46742423"/>
      <w:bookmarkStart w:id="37" w:name="_Ref47085432"/>
      <w:bookmarkStart w:id="38" w:name="_Toc47082363"/>
      <w:bookmarkStart w:id="39" w:name="_Toc47092604"/>
      <w:bookmarkStart w:id="40" w:name="_Toc86826399"/>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8</w:t>
      </w:r>
      <w:r w:rsidR="00A30B83" w:rsidRPr="00BF7E57">
        <w:rPr>
          <w:noProof/>
        </w:rPr>
        <w:fldChar w:fldCharType="end"/>
      </w:r>
      <w:bookmarkEnd w:id="34"/>
      <w:r w:rsidRPr="00BF7E57">
        <w:t>: Koeficient starostne odvisnosti</w:t>
      </w:r>
      <w:bookmarkEnd w:id="40"/>
    </w:p>
    <w:bookmarkEnd w:id="35"/>
    <w:bookmarkEnd w:id="36"/>
    <w:bookmarkEnd w:id="37"/>
    <w:bookmarkEnd w:id="38"/>
    <w:bookmarkEnd w:id="39"/>
    <w:p w14:paraId="3BFB148F" w14:textId="33550166" w:rsidR="009E0216" w:rsidRPr="00BF7E57" w:rsidRDefault="009E0216" w:rsidP="00661628">
      <w:pPr>
        <w:autoSpaceDE w:val="0"/>
        <w:autoSpaceDN w:val="0"/>
        <w:adjustRightInd w:val="0"/>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1D9CE9BE" wp14:editId="76800D11">
            <wp:extent cx="5451475" cy="2907102"/>
            <wp:effectExtent l="0" t="0" r="15875" b="762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508C17" w14:textId="77777777" w:rsidR="009E0216" w:rsidRPr="00BF7E57" w:rsidRDefault="00A52F41" w:rsidP="00EA2E4C">
      <w:pPr>
        <w:keepNext/>
        <w:autoSpaceDE w:val="0"/>
        <w:autoSpaceDN w:val="0"/>
        <w:adjustRightInd w:val="0"/>
        <w:spacing w:line="360" w:lineRule="auto"/>
        <w:jc w:val="both"/>
        <w:rPr>
          <w:rFonts w:ascii="Arial" w:hAnsi="Arial" w:cs="Arial"/>
          <w:sz w:val="16"/>
          <w:szCs w:val="16"/>
        </w:rPr>
      </w:pPr>
      <w:r w:rsidRPr="00BF7E57">
        <w:rPr>
          <w:rFonts w:ascii="Arial" w:hAnsi="Arial" w:cs="Arial"/>
          <w:sz w:val="16"/>
          <w:szCs w:val="16"/>
        </w:rPr>
        <w:t>Vir: SURS</w:t>
      </w:r>
    </w:p>
    <w:p w14:paraId="7D161809"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Socialnoekonomska analiza demografsko-naselbinskih tipov (Nared, 2019) glede na število prebivalcev in opremljenost občinskih središč s centralnimi funkcijami loči občine na: podeželske (t. i. ruralne) občine s padajočim številom prebivalstva, podeželske (t. i. ruralne) občine z rastočim številom prebivalcev, urbanizirane (t. i. urbane) občine s padajočim številom prebivalcev ter urbanizirane (t. i. urbane) občine z rastočim številom prebivalcev (Nared, 2019), ki so razvidne iz Slike 7</w:t>
      </w:r>
      <w:r w:rsidR="00A52F41" w:rsidRPr="00BF7E57">
        <w:rPr>
          <w:rFonts w:ascii="Arial" w:hAnsi="Arial" w:cs="Arial"/>
          <w:sz w:val="20"/>
          <w:szCs w:val="20"/>
        </w:rPr>
        <w:t>.</w:t>
      </w:r>
    </w:p>
    <w:p w14:paraId="53A5076E" w14:textId="2EE6A17D"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Iz </w:t>
      </w:r>
      <w:r w:rsidR="00E93C87" w:rsidRPr="00BF7E57">
        <w:rPr>
          <w:rFonts w:ascii="Arial" w:hAnsi="Arial" w:cs="Arial"/>
          <w:sz w:val="20"/>
          <w:szCs w:val="20"/>
        </w:rPr>
        <w:fldChar w:fldCharType="begin"/>
      </w:r>
      <w:r w:rsidR="00E93C87" w:rsidRPr="00BF7E57">
        <w:rPr>
          <w:rFonts w:ascii="Arial" w:hAnsi="Arial" w:cs="Arial"/>
          <w:sz w:val="20"/>
          <w:szCs w:val="20"/>
        </w:rPr>
        <w:instrText xml:space="preserve"> REF _Ref84857107 \h </w:instrText>
      </w:r>
      <w:r w:rsidR="00E93C87" w:rsidRPr="00BF7E57">
        <w:rPr>
          <w:rFonts w:ascii="Arial" w:hAnsi="Arial" w:cs="Arial"/>
          <w:sz w:val="20"/>
          <w:szCs w:val="20"/>
        </w:rPr>
      </w:r>
      <w:r w:rsidR="00BF7E57">
        <w:rPr>
          <w:rFonts w:ascii="Arial" w:hAnsi="Arial" w:cs="Arial"/>
          <w:sz w:val="20"/>
          <w:szCs w:val="20"/>
        </w:rPr>
        <w:instrText xml:space="preserve"> \* MERGEFORMAT </w:instrText>
      </w:r>
      <w:r w:rsidR="00E93C87" w:rsidRPr="00BF7E57">
        <w:rPr>
          <w:rFonts w:ascii="Arial" w:hAnsi="Arial" w:cs="Arial"/>
          <w:sz w:val="20"/>
          <w:szCs w:val="20"/>
        </w:rPr>
        <w:fldChar w:fldCharType="separate"/>
      </w:r>
      <w:r w:rsidR="00236865" w:rsidRPr="00BF7E57">
        <w:t xml:space="preserve">Tabela </w:t>
      </w:r>
      <w:r w:rsidR="00236865">
        <w:rPr>
          <w:noProof/>
        </w:rPr>
        <w:t>9</w:t>
      </w:r>
      <w:r w:rsidR="00E93C87" w:rsidRPr="00BF7E57">
        <w:rPr>
          <w:rFonts w:ascii="Arial" w:hAnsi="Arial" w:cs="Arial"/>
          <w:sz w:val="20"/>
          <w:szCs w:val="20"/>
        </w:rPr>
        <w:fldChar w:fldCharType="end"/>
      </w:r>
      <w:r w:rsidRPr="00BF7E57">
        <w:rPr>
          <w:rFonts w:ascii="Arial" w:hAnsi="Arial" w:cs="Arial"/>
          <w:sz w:val="20"/>
          <w:szCs w:val="20"/>
        </w:rPr>
        <w:t>so razvidni kazalniki, ki so bili up</w:t>
      </w:r>
      <w:r w:rsidR="00A52F41" w:rsidRPr="00BF7E57">
        <w:rPr>
          <w:rFonts w:ascii="Arial" w:hAnsi="Arial" w:cs="Arial"/>
          <w:sz w:val="20"/>
          <w:szCs w:val="20"/>
        </w:rPr>
        <w:t>oštevani v analizi.</w:t>
      </w:r>
    </w:p>
    <w:p w14:paraId="4357EEB6" w14:textId="77777777" w:rsidR="00DD0F74" w:rsidRPr="00BF7E57" w:rsidRDefault="00DD0F74" w:rsidP="00DD0F74">
      <w:pPr>
        <w:spacing w:before="200" w:line="360" w:lineRule="auto"/>
        <w:jc w:val="both"/>
        <w:rPr>
          <w:rFonts w:ascii="Arial" w:hAnsi="Arial" w:cs="Arial"/>
          <w:sz w:val="20"/>
          <w:szCs w:val="20"/>
        </w:rPr>
      </w:pPr>
      <w:r w:rsidRPr="00BF7E57">
        <w:rPr>
          <w:rFonts w:ascii="Arial" w:hAnsi="Arial" w:cs="Arial"/>
          <w:b/>
          <w:sz w:val="20"/>
          <w:szCs w:val="20"/>
        </w:rPr>
        <w:t>Podeželske občine z rastočim številom prebivalcev</w:t>
      </w:r>
      <w:r w:rsidRPr="00BF7E57">
        <w:rPr>
          <w:rFonts w:ascii="Arial" w:hAnsi="Arial" w:cs="Arial"/>
          <w:sz w:val="20"/>
          <w:szCs w:val="20"/>
        </w:rPr>
        <w:t xml:space="preserve"> (61 občin) predstavljajo le 14 % celotnega prebivalstva Slovenije. Število prebivalcev v teh območjih narašča zlasti na račun priselitev. Posledica pozitivnih demografskih procesov je močno podpovprečen indeks starosti. V primerjavi s slovenskim povprečjem v teh občinah živi manj ljudi z visokošolsko ali višješolsko izobrazbo, medtem kot je takih, ki imajo dokončano le osnovno šolo ali manj, več kot 21 %. V primerjavi z državnim povprečjem je moč opaziti manjše število podjetij in večji delež kmečkega prebivalstva. Iz teh občin je več kot 77 % delovnih migrantov, kar kaže na to, da so te občine pretežno spalnega tipa. Registrirana stopnja brezposelnosti v teh občinah je najnižja.</w:t>
      </w:r>
    </w:p>
    <w:p w14:paraId="69CB203F" w14:textId="73F46BE3" w:rsidR="00DD0F74" w:rsidRPr="00BF7E57" w:rsidRDefault="00DD0F74" w:rsidP="00EA2E4C">
      <w:pPr>
        <w:spacing w:line="360" w:lineRule="auto"/>
        <w:jc w:val="both"/>
        <w:rPr>
          <w:rFonts w:ascii="Arial" w:hAnsi="Arial" w:cs="Arial"/>
          <w:sz w:val="20"/>
          <w:szCs w:val="20"/>
        </w:rPr>
      </w:pPr>
      <w:r w:rsidRPr="00BF7E57">
        <w:rPr>
          <w:rFonts w:ascii="Arial" w:hAnsi="Arial" w:cs="Arial"/>
          <w:b/>
          <w:sz w:val="20"/>
          <w:szCs w:val="20"/>
        </w:rPr>
        <w:t>Podeželske občine s padajočim številom prebivalcev</w:t>
      </w:r>
      <w:r w:rsidRPr="00BF7E57">
        <w:rPr>
          <w:rFonts w:ascii="Arial" w:hAnsi="Arial" w:cs="Arial"/>
          <w:sz w:val="20"/>
          <w:szCs w:val="20"/>
        </w:rPr>
        <w:t xml:space="preserve"> izstopajo po številu in po največjem deležu ozemlja, ki ga zavzemajo (82 občin, 13 % prebivalstva) in so zaradi številnih negativnih kazalnikov najbolj zaskrbljujoč tip. Občine v tem tipu so najredkeje poseljene, gostota pa se je zaradi zmanjševanja števila prebivalcev na račun negativnega naravnega prirastka in odseljevanja še zmanjšala. Indeks starosti je visok, z vidika razvoja pa je neobetavna tudi izobrazbena struktura, saj je število ljudi z osnovnošolsko izobrazbo ali manj skoraj dvakrat tolikšno, kot število ljudi z višjo in visokošolsko izobrazbo. To so občine s šibko gospodarsko strukturo, najnižjo dodano vrednostjo ter z izjemno šibko naložbeno dinamiko. Več kot četrtina stanovanj v tem tipu občin je praznih, slaba pa je tudi njihova prometna dostopnost. Največ takšnih občin je v pomurski, podravski in koroški statistični regiji.</w:t>
      </w:r>
    </w:p>
    <w:p w14:paraId="09D83B41" w14:textId="6CD3F7D4" w:rsidR="00232E6B" w:rsidRPr="00BF7E57" w:rsidRDefault="00232E6B" w:rsidP="001B7F8A">
      <w:pPr>
        <w:pStyle w:val="Napis"/>
      </w:pPr>
      <w:bookmarkStart w:id="41" w:name="_Ref84857107"/>
      <w:bookmarkStart w:id="42" w:name="_Toc47092635"/>
      <w:bookmarkStart w:id="43" w:name="_Toc86826447"/>
      <w:r w:rsidRPr="00BF7E57">
        <w:lastRenderedPageBreak/>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9</w:t>
      </w:r>
      <w:r w:rsidR="00A30B83" w:rsidRPr="00BF7E57">
        <w:rPr>
          <w:noProof/>
        </w:rPr>
        <w:fldChar w:fldCharType="end"/>
      </w:r>
      <w:bookmarkEnd w:id="41"/>
      <w:r w:rsidRPr="00BF7E57">
        <w:t>: Izbrani socioekonomski in demografski kazalniki po demografsko naselbinskih tipih</w:t>
      </w:r>
      <w:bookmarkEnd w:id="43"/>
    </w:p>
    <w:p w14:paraId="7D1AF208" w14:textId="2E07DB07" w:rsidR="009E0216" w:rsidRPr="00BF7E57" w:rsidRDefault="009E0216" w:rsidP="001B7F8A">
      <w:pPr>
        <w:pStyle w:val="Napis"/>
      </w:pPr>
      <w:r w:rsidRPr="00BF7E57">
        <w:rPr>
          <w:noProof/>
          <w:lang w:eastAsia="sl-SI"/>
        </w:rPr>
        <w:drawing>
          <wp:anchor distT="0" distB="0" distL="114300" distR="114300" simplePos="0" relativeHeight="251659776" behindDoc="0" locked="0" layoutInCell="1" allowOverlap="1" wp14:anchorId="04C68DD3" wp14:editId="2982314D">
            <wp:simplePos x="0" y="0"/>
            <wp:positionH relativeFrom="column">
              <wp:posOffset>-14605</wp:posOffset>
            </wp:positionH>
            <wp:positionV relativeFrom="paragraph">
              <wp:posOffset>236220</wp:posOffset>
            </wp:positionV>
            <wp:extent cx="6294120" cy="704913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1258" t="11384" r="31893" b="12786"/>
                    <a:stretch/>
                  </pic:blipFill>
                  <pic:spPr bwMode="auto">
                    <a:xfrm>
                      <a:off x="0" y="0"/>
                      <a:ext cx="6294120" cy="704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2"/>
    </w:p>
    <w:p w14:paraId="4021F8CC" w14:textId="77777777" w:rsidR="00DD0F74" w:rsidRPr="00BF7E57" w:rsidRDefault="00DD0F74" w:rsidP="00EA2E4C">
      <w:pPr>
        <w:spacing w:line="360" w:lineRule="auto"/>
        <w:jc w:val="both"/>
        <w:rPr>
          <w:rFonts w:ascii="Arial" w:hAnsi="Arial" w:cs="Arial"/>
          <w:b/>
          <w:bCs/>
          <w:sz w:val="20"/>
          <w:szCs w:val="20"/>
        </w:rPr>
      </w:pPr>
    </w:p>
    <w:p w14:paraId="22DAD63E" w14:textId="779F0FC3" w:rsidR="009E0216" w:rsidRPr="00BF7E57" w:rsidRDefault="009E0216" w:rsidP="00EA2E4C">
      <w:pPr>
        <w:spacing w:line="360" w:lineRule="auto"/>
        <w:jc w:val="both"/>
        <w:rPr>
          <w:rFonts w:ascii="Arial" w:hAnsi="Arial" w:cs="Arial"/>
          <w:sz w:val="20"/>
          <w:szCs w:val="20"/>
        </w:rPr>
      </w:pPr>
      <w:r w:rsidRPr="00BF7E57">
        <w:rPr>
          <w:rFonts w:ascii="Arial" w:hAnsi="Arial" w:cs="Arial"/>
          <w:b/>
          <w:bCs/>
          <w:sz w:val="20"/>
          <w:szCs w:val="20"/>
        </w:rPr>
        <w:t xml:space="preserve">Urbanizirane občine z rastočim številom prebivalcev, </w:t>
      </w:r>
      <w:r w:rsidRPr="00BF7E57">
        <w:rPr>
          <w:rFonts w:ascii="Arial" w:hAnsi="Arial" w:cs="Arial"/>
          <w:sz w:val="20"/>
          <w:szCs w:val="20"/>
        </w:rPr>
        <w:t>teh je 34, so z demografskega vidika najpropulzivnejše občine z visoko nadpovprečno gostoto poselitve (187,9 prebivalca/km</w:t>
      </w:r>
      <w:r w:rsidRPr="00BF7E57">
        <w:rPr>
          <w:rFonts w:ascii="Arial" w:hAnsi="Arial" w:cs="Arial"/>
          <w:sz w:val="20"/>
          <w:szCs w:val="20"/>
          <w:vertAlign w:val="superscript"/>
        </w:rPr>
        <w:t>2</w:t>
      </w:r>
      <w:r w:rsidRPr="00BF7E57">
        <w:rPr>
          <w:rFonts w:ascii="Arial" w:hAnsi="Arial" w:cs="Arial"/>
          <w:sz w:val="20"/>
          <w:szCs w:val="20"/>
        </w:rPr>
        <w:t>), ter dobro prometno povezanostjo, saj je tu cestno omrežje z 1,73 km/km</w:t>
      </w:r>
      <w:r w:rsidRPr="00BF7E57">
        <w:rPr>
          <w:rFonts w:ascii="Arial" w:hAnsi="Arial" w:cs="Arial"/>
          <w:sz w:val="20"/>
          <w:szCs w:val="20"/>
          <w:vertAlign w:val="superscript"/>
        </w:rPr>
        <w:t>2</w:t>
      </w:r>
      <w:r w:rsidRPr="00BF7E57">
        <w:rPr>
          <w:rFonts w:ascii="Arial" w:hAnsi="Arial" w:cs="Arial"/>
          <w:sz w:val="20"/>
          <w:szCs w:val="20"/>
        </w:rPr>
        <w:t xml:space="preserve"> najgostejše v državi. Obsegajo 43 % prebivalcev Slovenije. To je edini tip občin, v katerem sta pozitivna tako naravni kot selitveni prirast, pri čemer gre slednji na račun meddržavnih selitev. Selitveni prirast med občinami pa je negativen. </w:t>
      </w:r>
      <w:r w:rsidRPr="00BF7E57">
        <w:rPr>
          <w:rFonts w:ascii="Arial" w:hAnsi="Arial" w:cs="Arial"/>
          <w:sz w:val="20"/>
          <w:szCs w:val="20"/>
        </w:rPr>
        <w:lastRenderedPageBreak/>
        <w:t xml:space="preserve">Prebivalstvo teh občin je nadpovprečno izobraženo, kar je poleg njihove gospodarske moči eden od vzrokov za nadpovprečno visoke neto plače ter visoko bruto osnovo za dohodnino. Na njihovo gospodarsko moč kaže 50,7 % vseh podjetij v državi, višina naložb v osnovna sredstva (več kot 62 % vseh naložb v osnovna sredstva), najvišja dodana vrednost gospodarskih družb na zaposlenega, so pa tudi pomembna zaposlitvena središča (indeks delovne migracije je 116,6), kamor se vozijo na delo prebivalci okoliških občin. </w:t>
      </w:r>
    </w:p>
    <w:p w14:paraId="4059CFEE" w14:textId="77777777" w:rsidR="009E0216" w:rsidRPr="00BF7E57" w:rsidRDefault="009E0216" w:rsidP="00EA2E4C">
      <w:pPr>
        <w:autoSpaceDE w:val="0"/>
        <w:autoSpaceDN w:val="0"/>
        <w:adjustRightInd w:val="0"/>
        <w:spacing w:line="360" w:lineRule="auto"/>
        <w:jc w:val="both"/>
        <w:rPr>
          <w:rFonts w:ascii="Arial" w:hAnsi="Arial" w:cs="Arial"/>
          <w:b/>
          <w:bCs/>
          <w:sz w:val="20"/>
          <w:szCs w:val="20"/>
        </w:rPr>
      </w:pPr>
      <w:r w:rsidRPr="00BF7E57">
        <w:rPr>
          <w:rFonts w:ascii="Arial" w:hAnsi="Arial" w:cs="Arial"/>
          <w:b/>
          <w:bCs/>
          <w:sz w:val="20"/>
          <w:szCs w:val="20"/>
        </w:rPr>
        <w:t xml:space="preserve">Urbanizirane občine s padajočim številom prebivalcev </w:t>
      </w:r>
      <w:r w:rsidRPr="00BF7E57">
        <w:rPr>
          <w:rFonts w:ascii="Arial" w:hAnsi="Arial" w:cs="Arial"/>
          <w:sz w:val="20"/>
          <w:szCs w:val="20"/>
        </w:rPr>
        <w:t>zajemajo 35 občin oz. 30 % prebivalcev Slovenije. Gostota prebivalstva je nad slovenskim povprečjem, 110 prebivalcev/km</w:t>
      </w:r>
      <w:r w:rsidRPr="00BF7E57">
        <w:rPr>
          <w:rFonts w:ascii="Arial" w:hAnsi="Arial" w:cs="Arial"/>
          <w:sz w:val="20"/>
          <w:szCs w:val="20"/>
          <w:vertAlign w:val="superscript"/>
        </w:rPr>
        <w:t>2</w:t>
      </w:r>
      <w:r w:rsidRPr="00BF7E57">
        <w:rPr>
          <w:rFonts w:ascii="Arial" w:hAnsi="Arial" w:cs="Arial"/>
          <w:sz w:val="20"/>
          <w:szCs w:val="20"/>
        </w:rPr>
        <w:t>.</w:t>
      </w:r>
      <w:r w:rsidRPr="00BF7E57">
        <w:rPr>
          <w:rFonts w:ascii="Arial" w:hAnsi="Arial" w:cs="Arial"/>
          <w:sz w:val="20"/>
          <w:szCs w:val="20"/>
          <w:vertAlign w:val="superscript"/>
        </w:rPr>
        <w:t xml:space="preserve"> </w:t>
      </w:r>
      <w:r w:rsidRPr="00BF7E57">
        <w:rPr>
          <w:rFonts w:ascii="Arial" w:hAnsi="Arial" w:cs="Arial"/>
          <w:sz w:val="20"/>
          <w:szCs w:val="20"/>
        </w:rPr>
        <w:t xml:space="preserve">Neugodna demografska slika se kaže v negativnem naravnem in selitvenem prirastu. V teh občinah je najvišji indeks starosti. Negativno demografsko sliko dopolnjujeta podpovprečen delež prebivalcev z višjo in visokošolsko izobrazbo ter nadpovprečen delež prebivalcev z dokončano osnovno šolo ali manj. Povprečne mesečne plače so pod slovenskim povprečjem, kljub temu pa gre za pomembna zaposlitvena središča. V njih je bilo leta 2016 prijavljenih nekaj manj kot 28 % vseh podjetij v državi. Kljub temu je registrirana stopnja brezposelnosti nadpovprečno visoka oziroma najvišja v primerjavi z ostalimi tipi občin. </w:t>
      </w:r>
    </w:p>
    <w:p w14:paraId="6F275FD5" w14:textId="4F9112F2" w:rsidR="00376357" w:rsidRPr="00BF7E57" w:rsidRDefault="00376357" w:rsidP="001427AE">
      <w:pPr>
        <w:pStyle w:val="Napis"/>
      </w:pPr>
      <w:bookmarkStart w:id="44" w:name="_Ref84857356"/>
      <w:bookmarkStart w:id="45" w:name="_Toc47082365"/>
      <w:bookmarkStart w:id="46" w:name="_Toc47092606"/>
      <w:bookmarkStart w:id="47" w:name="_Toc86826400"/>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9</w:t>
      </w:r>
      <w:r w:rsidR="00A30B83" w:rsidRPr="00BF7E57">
        <w:rPr>
          <w:noProof/>
        </w:rPr>
        <w:fldChar w:fldCharType="end"/>
      </w:r>
      <w:bookmarkEnd w:id="44"/>
      <w:r w:rsidRPr="00BF7E57">
        <w:t>: Območja glede na gibanje števila prebivalstva in projekcije</w:t>
      </w:r>
      <w:bookmarkEnd w:id="47"/>
    </w:p>
    <w:bookmarkEnd w:id="45"/>
    <w:bookmarkEnd w:id="46"/>
    <w:p w14:paraId="753F2FCA" w14:textId="1DDDC52A" w:rsidR="009E0216" w:rsidRPr="00BF7E57" w:rsidRDefault="009E0216" w:rsidP="00DE643D">
      <w:pPr>
        <w:pStyle w:val="Napis"/>
        <w:spacing w:line="240" w:lineRule="auto"/>
        <w:jc w:val="both"/>
        <w:rPr>
          <w:sz w:val="20"/>
          <w:szCs w:val="20"/>
        </w:rPr>
      </w:pPr>
      <w:r w:rsidRPr="00BF7E57">
        <w:rPr>
          <w:noProof/>
          <w:sz w:val="20"/>
          <w:szCs w:val="20"/>
          <w:lang w:eastAsia="sl-SI"/>
        </w:rPr>
        <w:drawing>
          <wp:inline distT="0" distB="0" distL="0" distR="0" wp14:anchorId="149AC217" wp14:editId="214E0BFE">
            <wp:extent cx="4970037" cy="2826385"/>
            <wp:effectExtent l="19050" t="19050" r="21590" b="1206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413" t="25818" r="25540" b="23561"/>
                    <a:stretch/>
                  </pic:blipFill>
                  <pic:spPr bwMode="auto">
                    <a:xfrm>
                      <a:off x="0" y="0"/>
                      <a:ext cx="4988138" cy="28366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4193D8A" w14:textId="77777777" w:rsidR="009E0216" w:rsidRPr="00BF7E57" w:rsidRDefault="00A52F41" w:rsidP="0059016E">
      <w:pPr>
        <w:spacing w:line="360" w:lineRule="auto"/>
        <w:jc w:val="both"/>
        <w:rPr>
          <w:rFonts w:ascii="Arial" w:hAnsi="Arial" w:cs="Arial"/>
          <w:iCs/>
          <w:sz w:val="16"/>
          <w:szCs w:val="16"/>
        </w:rPr>
      </w:pPr>
      <w:r w:rsidRPr="00BF7E57">
        <w:rPr>
          <w:rFonts w:ascii="Arial" w:hAnsi="Arial" w:cs="Arial"/>
          <w:iCs/>
          <w:sz w:val="16"/>
          <w:szCs w:val="16"/>
        </w:rPr>
        <w:t>Vir: Nared, 2019</w:t>
      </w:r>
    </w:p>
    <w:p w14:paraId="275A9301" w14:textId="28954056" w:rsidR="00EA2E4C"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Na podlagi analiz je bilo narejenih tudi več projekcij, ki kažejo, da bo slovensko prebivalstvo v obdobju 2018-2038 upadlo za okrog 3 % (</w:t>
      </w:r>
      <w:r w:rsidR="00E93C87" w:rsidRPr="00BF7E57">
        <w:rPr>
          <w:rFonts w:ascii="Arial" w:hAnsi="Arial" w:cs="Arial"/>
          <w:sz w:val="20"/>
          <w:szCs w:val="20"/>
        </w:rPr>
        <w:fldChar w:fldCharType="begin"/>
      </w:r>
      <w:r w:rsidR="00E93C87" w:rsidRPr="00BF7E57">
        <w:rPr>
          <w:rFonts w:ascii="Arial" w:hAnsi="Arial" w:cs="Arial"/>
          <w:sz w:val="20"/>
          <w:szCs w:val="20"/>
        </w:rPr>
        <w:instrText xml:space="preserve"> REF _Ref84857356 \h </w:instrText>
      </w:r>
      <w:r w:rsidR="00E93C87" w:rsidRPr="00BF7E57">
        <w:rPr>
          <w:rFonts w:ascii="Arial" w:hAnsi="Arial" w:cs="Arial"/>
          <w:sz w:val="20"/>
          <w:szCs w:val="20"/>
        </w:rPr>
      </w:r>
      <w:r w:rsidR="00BF7E57">
        <w:rPr>
          <w:rFonts w:ascii="Arial" w:hAnsi="Arial" w:cs="Arial"/>
          <w:sz w:val="20"/>
          <w:szCs w:val="20"/>
        </w:rPr>
        <w:instrText xml:space="preserve"> \* MERGEFORMAT </w:instrText>
      </w:r>
      <w:r w:rsidR="00E93C87" w:rsidRPr="00BF7E57">
        <w:rPr>
          <w:rFonts w:ascii="Arial" w:hAnsi="Arial" w:cs="Arial"/>
          <w:sz w:val="20"/>
          <w:szCs w:val="20"/>
        </w:rPr>
        <w:fldChar w:fldCharType="separate"/>
      </w:r>
      <w:r w:rsidR="00236865" w:rsidRPr="00BF7E57">
        <w:t xml:space="preserve">Slika </w:t>
      </w:r>
      <w:r w:rsidR="00236865">
        <w:rPr>
          <w:noProof/>
        </w:rPr>
        <w:t>9</w:t>
      </w:r>
      <w:r w:rsidR="00E93C87" w:rsidRPr="00BF7E57">
        <w:rPr>
          <w:rFonts w:ascii="Arial" w:hAnsi="Arial" w:cs="Arial"/>
          <w:sz w:val="20"/>
          <w:szCs w:val="20"/>
        </w:rPr>
        <w:fldChar w:fldCharType="end"/>
      </w:r>
      <w:r w:rsidRPr="00BF7E57">
        <w:rPr>
          <w:rFonts w:ascii="Arial" w:hAnsi="Arial" w:cs="Arial"/>
          <w:sz w:val="20"/>
          <w:szCs w:val="20"/>
        </w:rPr>
        <w:t xml:space="preserve">). V vseh tipih občin se bo povišal indeks starosti, kar je posledica nizke rodnosti v Sloveniji. Projekcije prebivalstva v vseh tipih občin kažejo, da se bo število prebivalcev hitro zmanjševalo, pri čemer se bo vsem tipom </w:t>
      </w:r>
      <w:r w:rsidR="00EA2E4C" w:rsidRPr="00BF7E57">
        <w:rPr>
          <w:rFonts w:ascii="Arial" w:hAnsi="Arial" w:cs="Arial"/>
          <w:sz w:val="20"/>
          <w:szCs w:val="20"/>
        </w:rPr>
        <w:t>zmanjševal</w:t>
      </w:r>
      <w:r w:rsidRPr="00BF7E57">
        <w:rPr>
          <w:rFonts w:ascii="Arial" w:hAnsi="Arial" w:cs="Arial"/>
          <w:sz w:val="20"/>
          <w:szCs w:val="20"/>
        </w:rPr>
        <w:t xml:space="preserve"> delež mladih do 24. leta starosti ter prebivalcev med 25. in 44. letom starosti, delež prebivalcev med 45 in 64 leti bo nihal, delež starejših od 64 let pa bo precej narasel (</w:t>
      </w:r>
      <w:r w:rsidRPr="00BF7E57">
        <w:rPr>
          <w:rStyle w:val="Hiperpovezava"/>
          <w:rFonts w:ascii="Arial" w:hAnsi="Arial" w:cs="Arial"/>
          <w:color w:val="auto"/>
          <w:sz w:val="20"/>
          <w:szCs w:val="20"/>
          <w:u w:val="none"/>
        </w:rPr>
        <w:t>Nared</w:t>
      </w:r>
      <w:r w:rsidRPr="00BF7E57">
        <w:rPr>
          <w:rFonts w:ascii="Arial" w:hAnsi="Arial" w:cs="Arial"/>
          <w:sz w:val="20"/>
          <w:szCs w:val="20"/>
        </w:rPr>
        <w:t>, 2019).</w:t>
      </w:r>
      <w:bookmarkStart w:id="48" w:name="_Toc47082366"/>
      <w:bookmarkStart w:id="49" w:name="_Toc47092607"/>
    </w:p>
    <w:p w14:paraId="033DEB98" w14:textId="50F98EA1" w:rsidR="00376357" w:rsidRPr="00BF7E57" w:rsidRDefault="00376357" w:rsidP="001427AE">
      <w:pPr>
        <w:pStyle w:val="Napis"/>
      </w:pPr>
      <w:bookmarkStart w:id="50" w:name="_Toc86826401"/>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10</w:t>
      </w:r>
      <w:r w:rsidR="00A30B83" w:rsidRPr="00BF7E57">
        <w:rPr>
          <w:noProof/>
        </w:rPr>
        <w:fldChar w:fldCharType="end"/>
      </w:r>
      <w:r w:rsidRPr="00BF7E57">
        <w:t>: Demografsko-naselbinski tipi</w:t>
      </w:r>
      <w:bookmarkEnd w:id="50"/>
    </w:p>
    <w:bookmarkEnd w:id="48"/>
    <w:bookmarkEnd w:id="49"/>
    <w:p w14:paraId="4972E11D" w14:textId="06ADEE1F" w:rsidR="009E0216" w:rsidRPr="00BF7E57" w:rsidRDefault="009E0216" w:rsidP="00DE643D">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02CB99FA" wp14:editId="06BB9C59">
            <wp:extent cx="5716270" cy="3804130"/>
            <wp:effectExtent l="19050" t="19050" r="17780" b="25400"/>
            <wp:docPr id="17" name="Slika 17" descr="C:\Users\MARJET~1.JER\AppData\Local\Temp\notes19C6D8\Nar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ET~1.JER\AppData\Local\Temp\notes19C6D8\Nared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9084" cy="3825968"/>
                    </a:xfrm>
                    <a:prstGeom prst="rect">
                      <a:avLst/>
                    </a:prstGeom>
                    <a:noFill/>
                    <a:ln w="6350">
                      <a:solidFill>
                        <a:schemeClr val="tx1"/>
                      </a:solidFill>
                    </a:ln>
                  </pic:spPr>
                </pic:pic>
              </a:graphicData>
            </a:graphic>
          </wp:inline>
        </w:drawing>
      </w:r>
    </w:p>
    <w:p w14:paraId="5994CCB7" w14:textId="3E808E54" w:rsidR="00DE643D" w:rsidRPr="00BF7E57" w:rsidRDefault="00DE643D" w:rsidP="0059016E">
      <w:pPr>
        <w:spacing w:line="360" w:lineRule="auto"/>
        <w:jc w:val="both"/>
        <w:rPr>
          <w:rFonts w:ascii="Arial" w:hAnsi="Arial" w:cs="Arial"/>
          <w:sz w:val="16"/>
          <w:szCs w:val="16"/>
        </w:rPr>
      </w:pPr>
      <w:r w:rsidRPr="00BF7E57">
        <w:rPr>
          <w:rFonts w:ascii="Arial" w:hAnsi="Arial" w:cs="Arial"/>
          <w:sz w:val="16"/>
          <w:szCs w:val="16"/>
        </w:rPr>
        <w:t>Vir:</w:t>
      </w:r>
      <w:r w:rsidR="00853933" w:rsidRPr="00BF7E57">
        <w:rPr>
          <w:rFonts w:ascii="Arial" w:hAnsi="Arial" w:cs="Arial"/>
          <w:sz w:val="16"/>
          <w:szCs w:val="16"/>
        </w:rPr>
        <w:t xml:space="preserve"> Nared, 2019</w:t>
      </w:r>
    </w:p>
    <w:p w14:paraId="5732E75B" w14:textId="137BA973" w:rsidR="009E0216" w:rsidRPr="00BF7E57" w:rsidRDefault="009E0216" w:rsidP="00EA2E4C">
      <w:pPr>
        <w:spacing w:before="120" w:line="360" w:lineRule="auto"/>
        <w:jc w:val="both"/>
        <w:rPr>
          <w:rFonts w:ascii="Arial" w:hAnsi="Arial" w:cs="Arial"/>
          <w:sz w:val="20"/>
          <w:szCs w:val="20"/>
        </w:rPr>
      </w:pPr>
      <w:r w:rsidRPr="00BF7E57">
        <w:rPr>
          <w:rFonts w:ascii="Arial" w:eastAsia="Arial" w:hAnsi="Arial" w:cs="Arial"/>
          <w:bCs/>
          <w:sz w:val="20"/>
          <w:szCs w:val="20"/>
        </w:rPr>
        <w:t xml:space="preserve">Za Slovenijo so značilna tudi izredno redko poseljena obmejna območja. </w:t>
      </w:r>
      <w:r w:rsidRPr="00BF7E57">
        <w:rPr>
          <w:rFonts w:ascii="Arial" w:eastAsia="Arial" w:hAnsi="Arial" w:cs="Arial"/>
          <w:sz w:val="20"/>
          <w:szCs w:val="20"/>
        </w:rPr>
        <w:t xml:space="preserve">V obmejna problemska območja, določena na podlagi Zakona o spodbujanju skladnega regionalnega razvoja (v nadaljevanju: ZSRR-2), sodi 90 občin. To so obmejne občine in občine, ki neposredno mejijo na njih (Uredba o spremembi Uredbe o določitvi obmejnih problemskih območij). </w:t>
      </w:r>
      <w:r w:rsidRPr="00BF7E57">
        <w:rPr>
          <w:rFonts w:ascii="Arial" w:hAnsi="Arial" w:cs="Arial"/>
          <w:sz w:val="20"/>
          <w:szCs w:val="20"/>
        </w:rPr>
        <w:t>Tipizacija obmejnih problemskih območij kaže, da so obmejna območja s slabo socialno-ekonomsko strukturo zlasti v vzhodni in južni Sloveniji; območja s slabo prostorsko strukturo so Posočje, Koroška</w:t>
      </w:r>
      <w:r w:rsidR="00E93C87" w:rsidRPr="00BF7E57">
        <w:rPr>
          <w:rFonts w:ascii="Arial" w:hAnsi="Arial" w:cs="Arial"/>
          <w:sz w:val="20"/>
          <w:szCs w:val="20"/>
        </w:rPr>
        <w:t xml:space="preserve"> ter</w:t>
      </w:r>
      <w:r w:rsidRPr="00BF7E57">
        <w:rPr>
          <w:rFonts w:ascii="Arial" w:hAnsi="Arial" w:cs="Arial"/>
          <w:sz w:val="20"/>
          <w:szCs w:val="20"/>
        </w:rPr>
        <w:t xml:space="preserve"> območja v jugovzhodni Sloveniji; tip območij - razvojno najbolj ogrožena območja pa so Goričko, deli Koroške in Pokolpje (</w:t>
      </w:r>
      <w:r w:rsidR="00E93C87" w:rsidRPr="00BF7E57">
        <w:rPr>
          <w:rFonts w:ascii="Arial" w:hAnsi="Arial" w:cs="Arial"/>
          <w:sz w:val="20"/>
          <w:szCs w:val="20"/>
        </w:rPr>
        <w:fldChar w:fldCharType="begin"/>
      </w:r>
      <w:r w:rsidR="00E93C87" w:rsidRPr="00BF7E57">
        <w:rPr>
          <w:rFonts w:ascii="Arial" w:hAnsi="Arial" w:cs="Arial"/>
          <w:sz w:val="20"/>
          <w:szCs w:val="20"/>
        </w:rPr>
        <w:instrText xml:space="preserve"> REF _Ref84857467 \h </w:instrText>
      </w:r>
      <w:r w:rsidR="00E93C87" w:rsidRPr="00BF7E57">
        <w:rPr>
          <w:rFonts w:ascii="Arial" w:hAnsi="Arial" w:cs="Arial"/>
          <w:sz w:val="20"/>
          <w:szCs w:val="20"/>
        </w:rPr>
      </w:r>
      <w:r w:rsidR="00BF7E57">
        <w:rPr>
          <w:rFonts w:ascii="Arial" w:hAnsi="Arial" w:cs="Arial"/>
          <w:sz w:val="20"/>
          <w:szCs w:val="20"/>
        </w:rPr>
        <w:instrText xml:space="preserve"> \* MERGEFORMAT </w:instrText>
      </w:r>
      <w:r w:rsidR="00E93C87" w:rsidRPr="00BF7E57">
        <w:rPr>
          <w:rFonts w:ascii="Arial" w:hAnsi="Arial" w:cs="Arial"/>
          <w:sz w:val="20"/>
          <w:szCs w:val="20"/>
        </w:rPr>
        <w:fldChar w:fldCharType="separate"/>
      </w:r>
      <w:r w:rsidR="00236865" w:rsidRPr="00BF7E57">
        <w:t xml:space="preserve">Slika </w:t>
      </w:r>
      <w:r w:rsidR="00236865">
        <w:rPr>
          <w:noProof/>
        </w:rPr>
        <w:t>11</w:t>
      </w:r>
      <w:r w:rsidR="00E93C87" w:rsidRPr="00BF7E57">
        <w:rPr>
          <w:rFonts w:ascii="Arial" w:hAnsi="Arial" w:cs="Arial"/>
          <w:sz w:val="20"/>
          <w:szCs w:val="20"/>
        </w:rPr>
        <w:fldChar w:fldCharType="end"/>
      </w:r>
      <w:r w:rsidRPr="00BF7E57">
        <w:rPr>
          <w:rFonts w:ascii="Arial" w:hAnsi="Arial" w:cs="Arial"/>
          <w:sz w:val="20"/>
          <w:szCs w:val="20"/>
        </w:rPr>
        <w:t>) (Kušar in Bobovnik, 2019).</w:t>
      </w:r>
    </w:p>
    <w:p w14:paraId="15DD9682" w14:textId="7515C15E" w:rsidR="00376357" w:rsidRPr="00BF7E57" w:rsidRDefault="00376357" w:rsidP="001427AE">
      <w:pPr>
        <w:pStyle w:val="Napis"/>
      </w:pPr>
      <w:bookmarkStart w:id="51" w:name="_Ref84857467"/>
      <w:bookmarkStart w:id="52" w:name="_Ref46819935"/>
      <w:bookmarkStart w:id="53" w:name="_Toc47082367"/>
      <w:bookmarkStart w:id="54" w:name="_Toc47092608"/>
      <w:bookmarkStart w:id="55" w:name="_Toc86826402"/>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11</w:t>
      </w:r>
      <w:r w:rsidR="00A30B83" w:rsidRPr="00BF7E57">
        <w:rPr>
          <w:noProof/>
        </w:rPr>
        <w:fldChar w:fldCharType="end"/>
      </w:r>
      <w:bookmarkEnd w:id="51"/>
      <w:r w:rsidRPr="00BF7E57">
        <w:t>: Tipizacija obmejnih problemskih območij</w:t>
      </w:r>
      <w:bookmarkEnd w:id="55"/>
    </w:p>
    <w:bookmarkEnd w:id="52"/>
    <w:bookmarkEnd w:id="53"/>
    <w:bookmarkEnd w:id="54"/>
    <w:p w14:paraId="48BE1CF3" w14:textId="790C71E1" w:rsidR="009E0216" w:rsidRPr="00BF7E57" w:rsidRDefault="009E0216" w:rsidP="0059016E">
      <w:pPr>
        <w:pStyle w:val="Napis"/>
        <w:spacing w:before="0" w:line="240" w:lineRule="auto"/>
        <w:jc w:val="both"/>
        <w:rPr>
          <w:sz w:val="20"/>
          <w:szCs w:val="20"/>
        </w:rPr>
      </w:pPr>
      <w:r w:rsidRPr="00BF7E57">
        <w:rPr>
          <w:noProof/>
          <w:sz w:val="20"/>
          <w:szCs w:val="20"/>
          <w:lang w:eastAsia="sl-SI"/>
        </w:rPr>
        <w:drawing>
          <wp:inline distT="0" distB="0" distL="0" distR="0" wp14:anchorId="17047C4C" wp14:editId="37ADD466">
            <wp:extent cx="5518297" cy="3678867"/>
            <wp:effectExtent l="19050" t="19050" r="25400" b="1714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121" t="10972" r="13238" b="9413"/>
                    <a:stretch/>
                  </pic:blipFill>
                  <pic:spPr bwMode="auto">
                    <a:xfrm>
                      <a:off x="0" y="0"/>
                      <a:ext cx="5523794" cy="368253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D79BA4C" w14:textId="6CE061B5" w:rsidR="0059016E" w:rsidRPr="00BF7E57" w:rsidRDefault="0059016E" w:rsidP="0059016E">
      <w:pPr>
        <w:spacing w:line="360" w:lineRule="auto"/>
        <w:rPr>
          <w:rFonts w:ascii="Arial" w:hAnsi="Arial" w:cs="Arial"/>
          <w:sz w:val="16"/>
          <w:szCs w:val="16"/>
          <w:lang w:eastAsia="en-GB"/>
        </w:rPr>
      </w:pPr>
      <w:r w:rsidRPr="00BF7E57">
        <w:rPr>
          <w:rFonts w:ascii="Arial" w:hAnsi="Arial" w:cs="Arial"/>
          <w:sz w:val="16"/>
          <w:szCs w:val="16"/>
          <w:lang w:eastAsia="en-GB"/>
        </w:rPr>
        <w:t>Vir:</w:t>
      </w:r>
      <w:r w:rsidR="00853933" w:rsidRPr="00BF7E57">
        <w:rPr>
          <w:rFonts w:ascii="Arial" w:hAnsi="Arial" w:cs="Arial"/>
          <w:sz w:val="16"/>
          <w:szCs w:val="16"/>
          <w:lang w:eastAsia="en-GB"/>
        </w:rPr>
        <w:t xml:space="preserve"> Kušar in Bobovnik, 2019</w:t>
      </w:r>
    </w:p>
    <w:p w14:paraId="25FF5798" w14:textId="77777777" w:rsidR="009E0216" w:rsidRPr="00BF7E57" w:rsidRDefault="009E0216" w:rsidP="00A05198">
      <w:pPr>
        <w:pStyle w:val="tevilnatoka11Nova"/>
        <w:numPr>
          <w:ilvl w:val="1"/>
          <w:numId w:val="34"/>
        </w:numPr>
        <w:tabs>
          <w:tab w:val="clear" w:pos="4297"/>
        </w:tabs>
        <w:spacing w:before="200" w:after="200" w:line="360" w:lineRule="auto"/>
        <w:outlineLvl w:val="1"/>
        <w:rPr>
          <w:b/>
          <w:sz w:val="24"/>
          <w:szCs w:val="24"/>
        </w:rPr>
      </w:pPr>
      <w:bookmarkStart w:id="56" w:name="_Toc86826369"/>
      <w:r w:rsidRPr="00BF7E57">
        <w:rPr>
          <w:b/>
          <w:sz w:val="24"/>
          <w:szCs w:val="24"/>
        </w:rPr>
        <w:t>MIGRACIJE</w:t>
      </w:r>
      <w:bookmarkEnd w:id="56"/>
    </w:p>
    <w:p w14:paraId="24D23712" w14:textId="5F3783C0" w:rsidR="00DA2325" w:rsidRPr="00BF7E57" w:rsidRDefault="009E0216" w:rsidP="00DA2325">
      <w:pPr>
        <w:spacing w:line="360" w:lineRule="auto"/>
        <w:jc w:val="both"/>
        <w:rPr>
          <w:rFonts w:ascii="Arial" w:hAnsi="Arial" w:cs="Arial"/>
          <w:sz w:val="20"/>
          <w:szCs w:val="20"/>
        </w:rPr>
      </w:pPr>
      <w:r w:rsidRPr="00BF7E57">
        <w:rPr>
          <w:rFonts w:ascii="Arial" w:hAnsi="Arial" w:cs="Arial"/>
          <w:sz w:val="20"/>
          <w:szCs w:val="20"/>
        </w:rPr>
        <w:t>Tudi podatki o migracijah kažejo na neugoden naravni prirast in odseljevanje s podež</w:t>
      </w:r>
      <w:r w:rsidR="00F80941" w:rsidRPr="00BF7E57">
        <w:rPr>
          <w:rFonts w:ascii="Arial" w:hAnsi="Arial" w:cs="Arial"/>
          <w:sz w:val="20"/>
          <w:szCs w:val="20"/>
        </w:rPr>
        <w:t>e</w:t>
      </w:r>
      <w:r w:rsidRPr="00BF7E57">
        <w:rPr>
          <w:rFonts w:ascii="Arial" w:hAnsi="Arial" w:cs="Arial"/>
          <w:sz w:val="20"/>
          <w:szCs w:val="20"/>
        </w:rPr>
        <w:t>lja. V letu 2018 je bil skupni selitveni prirast v Sloveniji 7,2</w:t>
      </w:r>
      <w:r w:rsidR="00DA2325" w:rsidRPr="00BF7E57">
        <w:rPr>
          <w:rFonts w:ascii="Arial" w:hAnsi="Arial" w:cs="Arial"/>
          <w:sz w:val="20"/>
          <w:szCs w:val="20"/>
        </w:rPr>
        <w:t>, leta 2020 pa 8,7</w:t>
      </w:r>
      <w:r w:rsidRPr="00BF7E57">
        <w:rPr>
          <w:rFonts w:ascii="Arial" w:hAnsi="Arial" w:cs="Arial"/>
          <w:sz w:val="20"/>
          <w:szCs w:val="20"/>
        </w:rPr>
        <w:t>, kar je velik porast od prejšnjih let, ko se je gibal okoli ničle. Vendar pa je bil na podeželju leta 2018 selitveni prirast 3-krat nižji (2,1). Za podeželje je spodbuden le podatek, da je dolgoletni skupni selitveni prirast (na 1.000 prebivalcev) pozitiven in v letu 2018 najvišji po letu 2009. Najnižji selitveni prirast sta imeli pomurska in zasavska regija. Pozitivni naravni prirast so imele le 3 regije (osrednjeslovenska, gorenjska in JV Slovenija). Skupni selitveni prirast je bil v pomurski regiji negativen, najvišji pa je bil v osrednjeslovenski, obalno-kraš</w:t>
      </w:r>
      <w:r w:rsidR="00F80941" w:rsidRPr="00BF7E57">
        <w:rPr>
          <w:rFonts w:ascii="Arial" w:hAnsi="Arial" w:cs="Arial"/>
          <w:sz w:val="20"/>
          <w:szCs w:val="20"/>
        </w:rPr>
        <w:t>k</w:t>
      </w:r>
      <w:r w:rsidRPr="00BF7E57">
        <w:rPr>
          <w:rFonts w:ascii="Arial" w:hAnsi="Arial" w:cs="Arial"/>
          <w:sz w:val="20"/>
          <w:szCs w:val="20"/>
        </w:rPr>
        <w:t xml:space="preserve">i, podravski regiji in JV Sloveniji. (SURS, 2020). Iz </w:t>
      </w:r>
      <w:r w:rsidRPr="00BF7E57">
        <w:rPr>
          <w:rFonts w:ascii="Arial" w:hAnsi="Arial" w:cs="Arial"/>
          <w:sz w:val="20"/>
          <w:szCs w:val="20"/>
        </w:rPr>
        <w:fldChar w:fldCharType="begin"/>
      </w:r>
      <w:r w:rsidRPr="00BF7E57">
        <w:rPr>
          <w:rFonts w:ascii="Arial" w:hAnsi="Arial" w:cs="Arial"/>
          <w:sz w:val="20"/>
          <w:szCs w:val="20"/>
        </w:rPr>
        <w:instrText xml:space="preserve"> REF _Ref46822750  \* MERGEFORMAT </w:instrText>
      </w:r>
      <w:r w:rsidRPr="00BF7E57">
        <w:rPr>
          <w:rFonts w:ascii="Arial" w:hAnsi="Arial" w:cs="Arial"/>
          <w:sz w:val="20"/>
          <w:szCs w:val="20"/>
        </w:rPr>
        <w:fldChar w:fldCharType="separate"/>
      </w:r>
      <w:r w:rsidR="00236865">
        <w:rPr>
          <w:rFonts w:ascii="Arial" w:hAnsi="Arial" w:cs="Arial"/>
          <w:b/>
          <w:bCs/>
          <w:sz w:val="20"/>
          <w:szCs w:val="20"/>
        </w:rPr>
        <w:t>Napaka! Vira sklicevanja ni bilo mogoče najti.</w:t>
      </w:r>
      <w:r w:rsidRPr="00BF7E57">
        <w:rPr>
          <w:rFonts w:ascii="Arial" w:hAnsi="Arial" w:cs="Arial"/>
          <w:sz w:val="20"/>
          <w:szCs w:val="20"/>
        </w:rPr>
        <w:fldChar w:fldCharType="end"/>
      </w:r>
      <w:r w:rsidRPr="00BF7E57">
        <w:rPr>
          <w:rFonts w:ascii="Arial" w:hAnsi="Arial" w:cs="Arial"/>
          <w:sz w:val="20"/>
          <w:szCs w:val="20"/>
        </w:rPr>
        <w:t xml:space="preserve"> je razvidno, da ima večina občin negativen ali zelo nizek naravni prirast, bolj spodbudna pa je </w:t>
      </w:r>
      <w:r w:rsidR="00F90A68" w:rsidRPr="00BF7E57">
        <w:rPr>
          <w:rFonts w:ascii="Arial" w:hAnsi="Arial" w:cs="Arial"/>
          <w:sz w:val="20"/>
          <w:szCs w:val="20"/>
        </w:rPr>
        <w:fldChar w:fldCharType="begin"/>
      </w:r>
      <w:r w:rsidR="00F90A68" w:rsidRPr="00BF7E57">
        <w:rPr>
          <w:rFonts w:ascii="Arial" w:hAnsi="Arial" w:cs="Arial"/>
          <w:sz w:val="20"/>
          <w:szCs w:val="20"/>
        </w:rPr>
        <w:instrText xml:space="preserve"> REF _Ref84857670 \h </w:instrText>
      </w:r>
      <w:r w:rsidR="00F90A68" w:rsidRPr="00BF7E57">
        <w:rPr>
          <w:rFonts w:ascii="Arial" w:hAnsi="Arial" w:cs="Arial"/>
          <w:sz w:val="20"/>
          <w:szCs w:val="20"/>
        </w:rPr>
      </w:r>
      <w:r w:rsidR="00BF7E57">
        <w:rPr>
          <w:rFonts w:ascii="Arial" w:hAnsi="Arial" w:cs="Arial"/>
          <w:sz w:val="20"/>
          <w:szCs w:val="20"/>
        </w:rPr>
        <w:instrText xml:space="preserve"> \* MERGEFORMAT </w:instrText>
      </w:r>
      <w:r w:rsidR="00F90A68" w:rsidRPr="00BF7E57">
        <w:rPr>
          <w:rFonts w:ascii="Arial" w:hAnsi="Arial" w:cs="Arial"/>
          <w:sz w:val="20"/>
          <w:szCs w:val="20"/>
        </w:rPr>
        <w:fldChar w:fldCharType="separate"/>
      </w:r>
      <w:r w:rsidR="00236865" w:rsidRPr="00BF7E57">
        <w:t xml:space="preserve">Slika </w:t>
      </w:r>
      <w:r w:rsidR="00236865">
        <w:t>12</w:t>
      </w:r>
      <w:r w:rsidR="00236865" w:rsidRPr="00BF7E57">
        <w:rPr>
          <w:noProof/>
        </w:rPr>
        <w:t xml:space="preserve"> </w:t>
      </w:r>
      <w:r w:rsidR="00236865" w:rsidRPr="00BF7E57">
        <w:t xml:space="preserve">in Slika </w:t>
      </w:r>
      <w:r w:rsidR="00236865">
        <w:rPr>
          <w:noProof/>
        </w:rPr>
        <w:t>13</w:t>
      </w:r>
      <w:r w:rsidR="00236865" w:rsidRPr="00BF7E57">
        <w:t>: Primerjava - naravni prirast in skupni prirast po občinah (leto 2018)</w:t>
      </w:r>
      <w:r w:rsidR="00F90A68" w:rsidRPr="00BF7E57">
        <w:rPr>
          <w:rFonts w:ascii="Arial" w:hAnsi="Arial" w:cs="Arial"/>
          <w:sz w:val="20"/>
          <w:szCs w:val="20"/>
        </w:rPr>
        <w:fldChar w:fldCharType="end"/>
      </w:r>
      <w:r w:rsidRPr="00BF7E57">
        <w:rPr>
          <w:rFonts w:ascii="Arial" w:hAnsi="Arial" w:cs="Arial"/>
          <w:sz w:val="20"/>
          <w:szCs w:val="20"/>
        </w:rPr>
        <w:t>, ki prikazuje skupni selitveni prirast, še posebej na območjih okoli avtocestnega križa in z dobro prometno povezavo do večjih središč.</w:t>
      </w:r>
      <w:r w:rsidR="00DA2325" w:rsidRPr="00BF7E57">
        <w:rPr>
          <w:rFonts w:ascii="Arial" w:hAnsi="Arial" w:cs="Arial"/>
          <w:sz w:val="20"/>
          <w:szCs w:val="20"/>
        </w:rPr>
        <w:t xml:space="preserve"> </w:t>
      </w:r>
      <w:r w:rsidR="001B2A9C" w:rsidRPr="00BF7E57">
        <w:rPr>
          <w:rFonts w:ascii="Arial" w:hAnsi="Arial" w:cs="Arial"/>
          <w:sz w:val="20"/>
          <w:szCs w:val="20"/>
        </w:rPr>
        <w:t>Je pa</w:t>
      </w:r>
      <w:r w:rsidR="00DA2325" w:rsidRPr="00BF7E57">
        <w:rPr>
          <w:rFonts w:ascii="Arial" w:hAnsi="Arial" w:cs="Arial"/>
          <w:sz w:val="20"/>
          <w:szCs w:val="20"/>
        </w:rPr>
        <w:t xml:space="preserve"> prišlo v času koronakrize do preobrata, saj je podatek o skupnem selitvenem prirastu na podeželju povečal na 14,3, medtem ko je bil v Sloveniji 8,7.</w:t>
      </w:r>
    </w:p>
    <w:p w14:paraId="7D7E1817" w14:textId="4968BED3" w:rsidR="009E0216" w:rsidRPr="00BF7E57" w:rsidRDefault="009E0216" w:rsidP="00EA2E4C">
      <w:pPr>
        <w:spacing w:line="360" w:lineRule="auto"/>
        <w:jc w:val="both"/>
        <w:rPr>
          <w:rFonts w:ascii="Arial" w:hAnsi="Arial" w:cs="Arial"/>
          <w:sz w:val="20"/>
          <w:szCs w:val="20"/>
        </w:rPr>
      </w:pPr>
    </w:p>
    <w:p w14:paraId="6987279C" w14:textId="1D959149" w:rsidR="00376357" w:rsidRPr="00BF7E57" w:rsidRDefault="00A52F41" w:rsidP="00376357">
      <w:pPr>
        <w:pStyle w:val="SCslika"/>
        <w:keepNext/>
        <w:keepLines/>
      </w:pPr>
      <w:bookmarkStart w:id="57" w:name="_Toc47082368"/>
      <w:bookmarkStart w:id="58" w:name="_Toc47092609"/>
      <w:r w:rsidRPr="00BF7E57">
        <w:lastRenderedPageBreak/>
        <w:t xml:space="preserve"> </w:t>
      </w:r>
    </w:p>
    <w:p w14:paraId="6CA2FDDC" w14:textId="44191AC3" w:rsidR="00A045B7" w:rsidRPr="00BF7E57" w:rsidRDefault="00376357" w:rsidP="001427AE">
      <w:pPr>
        <w:pStyle w:val="Napis"/>
        <w:jc w:val="both"/>
      </w:pPr>
      <w:bookmarkStart w:id="59" w:name="_Ref84857526"/>
      <w:bookmarkStart w:id="60" w:name="_Ref84857670"/>
      <w:bookmarkStart w:id="61" w:name="_Toc86826403"/>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12</w:t>
      </w:r>
      <w:r w:rsidR="00A30B83" w:rsidRPr="00BF7E57">
        <w:rPr>
          <w:noProof/>
        </w:rPr>
        <w:fldChar w:fldCharType="end"/>
      </w:r>
      <w:bookmarkEnd w:id="59"/>
      <w:r w:rsidR="00A045B7" w:rsidRPr="00BF7E57">
        <w:t xml:space="preserve"> </w:t>
      </w:r>
      <w:r w:rsidR="00A52F41" w:rsidRPr="00BF7E57">
        <w:t xml:space="preserve">in </w:t>
      </w:r>
      <w:r w:rsidR="00A045B7"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13</w:t>
      </w:r>
      <w:r w:rsidR="00A30B83" w:rsidRPr="00BF7E57">
        <w:rPr>
          <w:noProof/>
        </w:rPr>
        <w:fldChar w:fldCharType="end"/>
      </w:r>
      <w:r w:rsidR="00A045B7" w:rsidRPr="00BF7E57">
        <w:t>: Primerjava - naravni prirast in skupni prirast po občinah (leto 2018)</w:t>
      </w:r>
      <w:bookmarkEnd w:id="60"/>
      <w:bookmarkEnd w:id="61"/>
    </w:p>
    <w:bookmarkEnd w:id="57"/>
    <w:bookmarkEnd w:id="58"/>
    <w:p w14:paraId="34629F8E" w14:textId="30E983D7" w:rsidR="009E0216" w:rsidRPr="00BF7E57" w:rsidRDefault="009E0216" w:rsidP="0059016E">
      <w:pPr>
        <w:pStyle w:val="Napis"/>
        <w:spacing w:line="240" w:lineRule="auto"/>
        <w:jc w:val="both"/>
        <w:rPr>
          <w:sz w:val="20"/>
          <w:szCs w:val="20"/>
        </w:rPr>
      </w:pPr>
      <w:r w:rsidRPr="00BF7E57">
        <w:rPr>
          <w:noProof/>
          <w:sz w:val="20"/>
          <w:szCs w:val="20"/>
          <w:lang w:eastAsia="sl-SI"/>
        </w:rPr>
        <w:drawing>
          <wp:inline distT="0" distB="0" distL="0" distR="0" wp14:anchorId="6BD31A18" wp14:editId="2CBA09AA">
            <wp:extent cx="6194663" cy="2288643"/>
            <wp:effectExtent l="19050" t="19050" r="15875" b="165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93550" cy="2288232"/>
                    </a:xfrm>
                    <a:prstGeom prst="rect">
                      <a:avLst/>
                    </a:prstGeom>
                    <a:ln w="6350">
                      <a:solidFill>
                        <a:schemeClr val="tx1"/>
                      </a:solidFill>
                    </a:ln>
                  </pic:spPr>
                </pic:pic>
              </a:graphicData>
            </a:graphic>
          </wp:inline>
        </w:drawing>
      </w:r>
    </w:p>
    <w:p w14:paraId="0973ACC5" w14:textId="33B8481E" w:rsidR="0059016E" w:rsidRPr="00BF7E57" w:rsidRDefault="0059016E" w:rsidP="0059016E">
      <w:pPr>
        <w:pStyle w:val="tevilnatoka"/>
        <w:numPr>
          <w:ilvl w:val="0"/>
          <w:numId w:val="0"/>
        </w:numPr>
        <w:spacing w:after="200" w:line="360" w:lineRule="auto"/>
        <w:rPr>
          <w:sz w:val="16"/>
          <w:szCs w:val="16"/>
          <w:lang w:eastAsia="en-GB"/>
        </w:rPr>
      </w:pPr>
      <w:r w:rsidRPr="00BF7E57">
        <w:rPr>
          <w:sz w:val="16"/>
          <w:szCs w:val="16"/>
          <w:lang w:eastAsia="en-GB"/>
        </w:rPr>
        <w:t>Vir:</w:t>
      </w:r>
      <w:r w:rsidR="00853933" w:rsidRPr="00BF7E57">
        <w:rPr>
          <w:sz w:val="16"/>
          <w:szCs w:val="16"/>
          <w:lang w:eastAsia="en-GB"/>
        </w:rPr>
        <w:t xml:space="preserve"> SURS</w:t>
      </w:r>
    </w:p>
    <w:p w14:paraId="69A5E2E6" w14:textId="3E859AD7" w:rsidR="00232E6B" w:rsidRPr="00BF7E57" w:rsidRDefault="00232E6B" w:rsidP="008E2E26">
      <w:pPr>
        <w:pStyle w:val="SCslika"/>
        <w:keepNext/>
        <w:keepLines/>
        <w:spacing w:before="200" w:after="0"/>
      </w:pPr>
      <w:bookmarkStart w:id="62" w:name="_Toc47092636"/>
    </w:p>
    <w:p w14:paraId="1BFE83D3" w14:textId="7BB5B5CF" w:rsidR="00232E6B" w:rsidRPr="00BF7E57" w:rsidRDefault="00232E6B" w:rsidP="001427AE">
      <w:pPr>
        <w:pStyle w:val="Napis"/>
        <w:jc w:val="both"/>
      </w:pPr>
      <w:bookmarkStart w:id="63" w:name="_Toc86826448"/>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10</w:t>
      </w:r>
      <w:r w:rsidR="00A30B83" w:rsidRPr="00BF7E57">
        <w:rPr>
          <w:noProof/>
        </w:rPr>
        <w:fldChar w:fldCharType="end"/>
      </w:r>
      <w:r w:rsidRPr="00BF7E57">
        <w:t>: Skupni selitveni prirast (na 1.000 prebivalcev)</w:t>
      </w:r>
      <w:bookmarkEnd w:id="63"/>
    </w:p>
    <w:bookmarkEnd w:id="62"/>
    <w:p w14:paraId="468FCF72" w14:textId="483B88C7" w:rsidR="009E0216" w:rsidRPr="00BF7E57" w:rsidRDefault="009E0216" w:rsidP="008E2E26">
      <w:pPr>
        <w:pStyle w:val="SCslika"/>
        <w:keepNext/>
        <w:keepLines/>
        <w:spacing w:before="200" w:after="0"/>
      </w:pPr>
    </w:p>
    <w:tbl>
      <w:tblPr>
        <w:tblpPr w:leftFromText="141" w:rightFromText="141" w:vertAnchor="text" w:horzAnchor="margin" w:tblpY="13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585"/>
        <w:gridCol w:w="585"/>
        <w:gridCol w:w="585"/>
        <w:gridCol w:w="585"/>
        <w:gridCol w:w="585"/>
        <w:gridCol w:w="585"/>
        <w:gridCol w:w="585"/>
        <w:gridCol w:w="601"/>
        <w:gridCol w:w="585"/>
        <w:gridCol w:w="585"/>
        <w:gridCol w:w="673"/>
        <w:gridCol w:w="585"/>
        <w:gridCol w:w="1085"/>
      </w:tblGrid>
      <w:tr w:rsidR="00DA2325" w:rsidRPr="00BF7E57" w14:paraId="1D1C2558" w14:textId="77777777" w:rsidTr="00146365">
        <w:trPr>
          <w:trHeight w:val="299"/>
        </w:trPr>
        <w:tc>
          <w:tcPr>
            <w:tcW w:w="1346" w:type="dxa"/>
            <w:shd w:val="clear" w:color="auto" w:fill="auto"/>
            <w:noWrap/>
            <w:vAlign w:val="bottom"/>
            <w:hideMark/>
          </w:tcPr>
          <w:p w14:paraId="16161F7C" w14:textId="6DB3A41E" w:rsidR="00DA2325" w:rsidRPr="00BF7E57" w:rsidRDefault="00DA2325" w:rsidP="00DA2325">
            <w:pPr>
              <w:spacing w:before="120" w:after="0" w:line="264" w:lineRule="auto"/>
              <w:rPr>
                <w:rFonts w:ascii="Arial" w:hAnsi="Arial" w:cs="Arial"/>
                <w:b/>
                <w:color w:val="000000"/>
                <w:sz w:val="20"/>
                <w:szCs w:val="20"/>
                <w:lang w:eastAsia="sl-SI"/>
              </w:rPr>
            </w:pPr>
          </w:p>
        </w:tc>
        <w:tc>
          <w:tcPr>
            <w:tcW w:w="585" w:type="dxa"/>
            <w:shd w:val="clear" w:color="auto" w:fill="auto"/>
            <w:noWrap/>
            <w:vAlign w:val="bottom"/>
            <w:hideMark/>
          </w:tcPr>
          <w:p w14:paraId="69C28E11"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2008</w:t>
            </w:r>
          </w:p>
        </w:tc>
        <w:tc>
          <w:tcPr>
            <w:tcW w:w="585" w:type="dxa"/>
            <w:shd w:val="clear" w:color="auto" w:fill="auto"/>
            <w:noWrap/>
            <w:vAlign w:val="bottom"/>
            <w:hideMark/>
          </w:tcPr>
          <w:p w14:paraId="67D120F4"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2009</w:t>
            </w:r>
          </w:p>
        </w:tc>
        <w:tc>
          <w:tcPr>
            <w:tcW w:w="585" w:type="dxa"/>
            <w:shd w:val="clear" w:color="auto" w:fill="auto"/>
            <w:noWrap/>
            <w:vAlign w:val="bottom"/>
            <w:hideMark/>
          </w:tcPr>
          <w:p w14:paraId="5CEA175E"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2010</w:t>
            </w:r>
          </w:p>
        </w:tc>
        <w:tc>
          <w:tcPr>
            <w:tcW w:w="585" w:type="dxa"/>
            <w:shd w:val="clear" w:color="auto" w:fill="auto"/>
            <w:noWrap/>
            <w:vAlign w:val="bottom"/>
            <w:hideMark/>
          </w:tcPr>
          <w:p w14:paraId="1B8F4C1D"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2011</w:t>
            </w:r>
          </w:p>
        </w:tc>
        <w:tc>
          <w:tcPr>
            <w:tcW w:w="585" w:type="dxa"/>
            <w:shd w:val="clear" w:color="auto" w:fill="auto"/>
            <w:noWrap/>
            <w:vAlign w:val="bottom"/>
            <w:hideMark/>
          </w:tcPr>
          <w:p w14:paraId="6367BBA4"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2012</w:t>
            </w:r>
          </w:p>
        </w:tc>
        <w:tc>
          <w:tcPr>
            <w:tcW w:w="585" w:type="dxa"/>
            <w:shd w:val="clear" w:color="auto" w:fill="auto"/>
            <w:noWrap/>
            <w:vAlign w:val="bottom"/>
            <w:hideMark/>
          </w:tcPr>
          <w:p w14:paraId="1D966AE1"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2013</w:t>
            </w:r>
          </w:p>
        </w:tc>
        <w:tc>
          <w:tcPr>
            <w:tcW w:w="585" w:type="dxa"/>
            <w:shd w:val="clear" w:color="auto" w:fill="auto"/>
            <w:noWrap/>
            <w:vAlign w:val="bottom"/>
            <w:hideMark/>
          </w:tcPr>
          <w:p w14:paraId="2E8F0D96"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2014</w:t>
            </w:r>
          </w:p>
        </w:tc>
        <w:tc>
          <w:tcPr>
            <w:tcW w:w="601" w:type="dxa"/>
            <w:shd w:val="clear" w:color="auto" w:fill="auto"/>
            <w:noWrap/>
            <w:vAlign w:val="bottom"/>
            <w:hideMark/>
          </w:tcPr>
          <w:p w14:paraId="4108F0C9"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2015</w:t>
            </w:r>
          </w:p>
        </w:tc>
        <w:tc>
          <w:tcPr>
            <w:tcW w:w="585" w:type="dxa"/>
            <w:shd w:val="clear" w:color="auto" w:fill="auto"/>
            <w:noWrap/>
            <w:vAlign w:val="bottom"/>
            <w:hideMark/>
          </w:tcPr>
          <w:p w14:paraId="0F0A18D4"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2016</w:t>
            </w:r>
          </w:p>
        </w:tc>
        <w:tc>
          <w:tcPr>
            <w:tcW w:w="585" w:type="dxa"/>
            <w:shd w:val="clear" w:color="auto" w:fill="auto"/>
            <w:noWrap/>
            <w:vAlign w:val="bottom"/>
            <w:hideMark/>
          </w:tcPr>
          <w:p w14:paraId="11672D46"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2017</w:t>
            </w:r>
          </w:p>
        </w:tc>
        <w:tc>
          <w:tcPr>
            <w:tcW w:w="673" w:type="dxa"/>
            <w:shd w:val="clear" w:color="auto" w:fill="auto"/>
            <w:noWrap/>
            <w:vAlign w:val="bottom"/>
            <w:hideMark/>
          </w:tcPr>
          <w:p w14:paraId="3E408902"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2018</w:t>
            </w:r>
          </w:p>
        </w:tc>
        <w:tc>
          <w:tcPr>
            <w:tcW w:w="1257" w:type="dxa"/>
          </w:tcPr>
          <w:p w14:paraId="6CAD93CF" w14:textId="21B9F7BD" w:rsidR="00DA2325" w:rsidRPr="00BF7E57" w:rsidRDefault="00DA2325" w:rsidP="00DD0F74">
            <w:pPr>
              <w:spacing w:before="120" w:after="0" w:line="264"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2020</w:t>
            </w:r>
          </w:p>
        </w:tc>
        <w:tc>
          <w:tcPr>
            <w:tcW w:w="209" w:type="dxa"/>
            <w:shd w:val="clear" w:color="auto" w:fill="auto"/>
            <w:noWrap/>
            <w:vAlign w:val="bottom"/>
            <w:hideMark/>
          </w:tcPr>
          <w:p w14:paraId="4CD4DC81" w14:textId="49556918"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povprečje</w:t>
            </w:r>
          </w:p>
        </w:tc>
      </w:tr>
      <w:tr w:rsidR="00DA2325" w:rsidRPr="00BF7E57" w14:paraId="7B045481" w14:textId="77777777" w:rsidTr="00146365">
        <w:trPr>
          <w:trHeight w:val="299"/>
        </w:trPr>
        <w:tc>
          <w:tcPr>
            <w:tcW w:w="1346" w:type="dxa"/>
            <w:shd w:val="clear" w:color="auto" w:fill="auto"/>
            <w:noWrap/>
            <w:vAlign w:val="bottom"/>
            <w:hideMark/>
          </w:tcPr>
          <w:p w14:paraId="5BD16AB2"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Slovenija</w:t>
            </w:r>
          </w:p>
        </w:tc>
        <w:tc>
          <w:tcPr>
            <w:tcW w:w="585" w:type="dxa"/>
            <w:shd w:val="clear" w:color="auto" w:fill="auto"/>
            <w:noWrap/>
            <w:vAlign w:val="bottom"/>
            <w:hideMark/>
          </w:tcPr>
          <w:p w14:paraId="0BF724AE"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9,2</w:t>
            </w:r>
          </w:p>
        </w:tc>
        <w:tc>
          <w:tcPr>
            <w:tcW w:w="585" w:type="dxa"/>
            <w:shd w:val="clear" w:color="auto" w:fill="auto"/>
            <w:noWrap/>
            <w:vAlign w:val="bottom"/>
            <w:hideMark/>
          </w:tcPr>
          <w:p w14:paraId="2346DDE9"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5,6</w:t>
            </w:r>
          </w:p>
        </w:tc>
        <w:tc>
          <w:tcPr>
            <w:tcW w:w="585" w:type="dxa"/>
            <w:shd w:val="clear" w:color="auto" w:fill="auto"/>
            <w:noWrap/>
            <w:vAlign w:val="bottom"/>
            <w:hideMark/>
          </w:tcPr>
          <w:p w14:paraId="70BBFE0C"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-0,3</w:t>
            </w:r>
          </w:p>
        </w:tc>
        <w:tc>
          <w:tcPr>
            <w:tcW w:w="585" w:type="dxa"/>
            <w:shd w:val="clear" w:color="auto" w:fill="auto"/>
            <w:noWrap/>
            <w:vAlign w:val="bottom"/>
            <w:hideMark/>
          </w:tcPr>
          <w:p w14:paraId="770DFA5B"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1,0</w:t>
            </w:r>
          </w:p>
        </w:tc>
        <w:tc>
          <w:tcPr>
            <w:tcW w:w="585" w:type="dxa"/>
            <w:shd w:val="clear" w:color="auto" w:fill="auto"/>
            <w:noWrap/>
            <w:vAlign w:val="bottom"/>
            <w:hideMark/>
          </w:tcPr>
          <w:p w14:paraId="6E4A79C1"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0,3</w:t>
            </w:r>
          </w:p>
        </w:tc>
        <w:tc>
          <w:tcPr>
            <w:tcW w:w="585" w:type="dxa"/>
            <w:shd w:val="clear" w:color="auto" w:fill="auto"/>
            <w:noWrap/>
            <w:vAlign w:val="bottom"/>
            <w:hideMark/>
          </w:tcPr>
          <w:p w14:paraId="3A2DD554"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0,2</w:t>
            </w:r>
          </w:p>
        </w:tc>
        <w:tc>
          <w:tcPr>
            <w:tcW w:w="585" w:type="dxa"/>
            <w:shd w:val="clear" w:color="auto" w:fill="auto"/>
            <w:noWrap/>
            <w:vAlign w:val="bottom"/>
            <w:hideMark/>
          </w:tcPr>
          <w:p w14:paraId="0B5DC6DE"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-0,2</w:t>
            </w:r>
          </w:p>
        </w:tc>
        <w:tc>
          <w:tcPr>
            <w:tcW w:w="601" w:type="dxa"/>
            <w:shd w:val="clear" w:color="auto" w:fill="auto"/>
            <w:noWrap/>
            <w:vAlign w:val="bottom"/>
            <w:hideMark/>
          </w:tcPr>
          <w:p w14:paraId="27A2F3D6"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0,2</w:t>
            </w:r>
          </w:p>
        </w:tc>
        <w:tc>
          <w:tcPr>
            <w:tcW w:w="585" w:type="dxa"/>
            <w:shd w:val="clear" w:color="auto" w:fill="auto"/>
            <w:noWrap/>
            <w:vAlign w:val="bottom"/>
            <w:hideMark/>
          </w:tcPr>
          <w:p w14:paraId="317133A2"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0,5</w:t>
            </w:r>
          </w:p>
        </w:tc>
        <w:tc>
          <w:tcPr>
            <w:tcW w:w="585" w:type="dxa"/>
            <w:shd w:val="clear" w:color="auto" w:fill="auto"/>
            <w:noWrap/>
            <w:vAlign w:val="bottom"/>
            <w:hideMark/>
          </w:tcPr>
          <w:p w14:paraId="5ED68DFD"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0,6</w:t>
            </w:r>
          </w:p>
        </w:tc>
        <w:tc>
          <w:tcPr>
            <w:tcW w:w="673" w:type="dxa"/>
            <w:shd w:val="clear" w:color="auto" w:fill="auto"/>
            <w:noWrap/>
            <w:vAlign w:val="bottom"/>
            <w:hideMark/>
          </w:tcPr>
          <w:p w14:paraId="68120F54"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7,2</w:t>
            </w:r>
          </w:p>
        </w:tc>
        <w:tc>
          <w:tcPr>
            <w:tcW w:w="1257" w:type="dxa"/>
          </w:tcPr>
          <w:p w14:paraId="27F5709F" w14:textId="7661C70D" w:rsidR="00DA2325" w:rsidRPr="00BF7E57" w:rsidRDefault="00DA2325" w:rsidP="00DD0F74">
            <w:pPr>
              <w:spacing w:before="120" w:after="0" w:line="264"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8,7</w:t>
            </w:r>
          </w:p>
        </w:tc>
        <w:tc>
          <w:tcPr>
            <w:tcW w:w="209" w:type="dxa"/>
            <w:shd w:val="clear" w:color="auto" w:fill="auto"/>
            <w:noWrap/>
            <w:vAlign w:val="bottom"/>
            <w:hideMark/>
          </w:tcPr>
          <w:p w14:paraId="17E3035A" w14:textId="5A0C6116"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2,2</w:t>
            </w:r>
          </w:p>
        </w:tc>
      </w:tr>
      <w:tr w:rsidR="00DA2325" w:rsidRPr="00BF7E57" w14:paraId="7D5591A2" w14:textId="77777777" w:rsidTr="00146365">
        <w:trPr>
          <w:trHeight w:val="299"/>
        </w:trPr>
        <w:tc>
          <w:tcPr>
            <w:tcW w:w="1346" w:type="dxa"/>
            <w:shd w:val="clear" w:color="auto" w:fill="auto"/>
            <w:noWrap/>
            <w:vAlign w:val="bottom"/>
            <w:hideMark/>
          </w:tcPr>
          <w:p w14:paraId="702ADDA2" w14:textId="639D0B2D" w:rsidR="00DA2325" w:rsidRPr="00BF7E57" w:rsidRDefault="00DA2325" w:rsidP="00DA2325">
            <w:pPr>
              <w:spacing w:before="120" w:after="0" w:line="264"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 xml:space="preserve">podeželje </w:t>
            </w:r>
          </w:p>
        </w:tc>
        <w:tc>
          <w:tcPr>
            <w:tcW w:w="585" w:type="dxa"/>
            <w:shd w:val="clear" w:color="auto" w:fill="auto"/>
            <w:noWrap/>
            <w:vAlign w:val="bottom"/>
            <w:hideMark/>
          </w:tcPr>
          <w:p w14:paraId="37858AF6"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4,2</w:t>
            </w:r>
          </w:p>
        </w:tc>
        <w:tc>
          <w:tcPr>
            <w:tcW w:w="585" w:type="dxa"/>
            <w:shd w:val="clear" w:color="auto" w:fill="auto"/>
            <w:noWrap/>
            <w:vAlign w:val="bottom"/>
            <w:hideMark/>
          </w:tcPr>
          <w:p w14:paraId="1930C3A1"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2,9</w:t>
            </w:r>
          </w:p>
        </w:tc>
        <w:tc>
          <w:tcPr>
            <w:tcW w:w="585" w:type="dxa"/>
            <w:shd w:val="clear" w:color="auto" w:fill="auto"/>
            <w:noWrap/>
            <w:vAlign w:val="bottom"/>
            <w:hideMark/>
          </w:tcPr>
          <w:p w14:paraId="7ECDBD2B"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1,1</w:t>
            </w:r>
          </w:p>
        </w:tc>
        <w:tc>
          <w:tcPr>
            <w:tcW w:w="585" w:type="dxa"/>
            <w:shd w:val="clear" w:color="auto" w:fill="auto"/>
            <w:noWrap/>
            <w:vAlign w:val="bottom"/>
            <w:hideMark/>
          </w:tcPr>
          <w:p w14:paraId="35DF17FA"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1,4</w:t>
            </w:r>
          </w:p>
        </w:tc>
        <w:tc>
          <w:tcPr>
            <w:tcW w:w="585" w:type="dxa"/>
            <w:shd w:val="clear" w:color="auto" w:fill="auto"/>
            <w:noWrap/>
            <w:vAlign w:val="bottom"/>
            <w:hideMark/>
          </w:tcPr>
          <w:p w14:paraId="4AA7A750"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1,0</w:t>
            </w:r>
          </w:p>
        </w:tc>
        <w:tc>
          <w:tcPr>
            <w:tcW w:w="585" w:type="dxa"/>
            <w:shd w:val="clear" w:color="auto" w:fill="auto"/>
            <w:noWrap/>
            <w:vAlign w:val="bottom"/>
            <w:hideMark/>
          </w:tcPr>
          <w:p w14:paraId="1CCA8B92"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0,7</w:t>
            </w:r>
          </w:p>
        </w:tc>
        <w:tc>
          <w:tcPr>
            <w:tcW w:w="585" w:type="dxa"/>
            <w:shd w:val="clear" w:color="auto" w:fill="auto"/>
            <w:noWrap/>
            <w:vAlign w:val="bottom"/>
            <w:hideMark/>
          </w:tcPr>
          <w:p w14:paraId="21591BE9"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0,7</w:t>
            </w:r>
          </w:p>
        </w:tc>
        <w:tc>
          <w:tcPr>
            <w:tcW w:w="601" w:type="dxa"/>
            <w:shd w:val="clear" w:color="auto" w:fill="auto"/>
            <w:noWrap/>
            <w:vAlign w:val="bottom"/>
            <w:hideMark/>
          </w:tcPr>
          <w:p w14:paraId="72907223"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0,3</w:t>
            </w:r>
          </w:p>
        </w:tc>
        <w:tc>
          <w:tcPr>
            <w:tcW w:w="585" w:type="dxa"/>
            <w:shd w:val="clear" w:color="auto" w:fill="auto"/>
            <w:noWrap/>
            <w:vAlign w:val="bottom"/>
            <w:hideMark/>
          </w:tcPr>
          <w:p w14:paraId="2A77A745"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585" w:type="dxa"/>
            <w:shd w:val="clear" w:color="auto" w:fill="auto"/>
            <w:noWrap/>
            <w:vAlign w:val="bottom"/>
            <w:hideMark/>
          </w:tcPr>
          <w:p w14:paraId="4B58D3F6"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0,1</w:t>
            </w:r>
          </w:p>
        </w:tc>
        <w:tc>
          <w:tcPr>
            <w:tcW w:w="673" w:type="dxa"/>
            <w:shd w:val="clear" w:color="auto" w:fill="auto"/>
            <w:noWrap/>
            <w:vAlign w:val="bottom"/>
            <w:hideMark/>
          </w:tcPr>
          <w:p w14:paraId="29C872AA"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2,1</w:t>
            </w:r>
          </w:p>
        </w:tc>
        <w:tc>
          <w:tcPr>
            <w:tcW w:w="1257" w:type="dxa"/>
          </w:tcPr>
          <w:p w14:paraId="07FD82FF" w14:textId="201E432C" w:rsidR="00DA2325" w:rsidRPr="00BF7E57" w:rsidRDefault="00DA2325" w:rsidP="00DD0F74">
            <w:pPr>
              <w:spacing w:before="120" w:after="0" w:line="264"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14,3</w:t>
            </w:r>
          </w:p>
        </w:tc>
        <w:tc>
          <w:tcPr>
            <w:tcW w:w="209" w:type="dxa"/>
            <w:shd w:val="clear" w:color="auto" w:fill="auto"/>
            <w:noWrap/>
            <w:vAlign w:val="bottom"/>
            <w:hideMark/>
          </w:tcPr>
          <w:p w14:paraId="09E3A5A0" w14:textId="0DEE3F42"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1,3</w:t>
            </w:r>
          </w:p>
        </w:tc>
      </w:tr>
    </w:tbl>
    <w:p w14:paraId="56C101FD" w14:textId="77777777" w:rsidR="009E0216" w:rsidRPr="00BF7E57" w:rsidRDefault="009E0216" w:rsidP="00CD7948">
      <w:pPr>
        <w:pStyle w:val="tevilnatoka"/>
        <w:numPr>
          <w:ilvl w:val="0"/>
          <w:numId w:val="0"/>
        </w:numPr>
        <w:spacing w:after="200" w:line="360" w:lineRule="auto"/>
        <w:rPr>
          <w:sz w:val="16"/>
          <w:szCs w:val="16"/>
          <w:lang w:eastAsia="en-GB"/>
        </w:rPr>
      </w:pPr>
      <w:r w:rsidRPr="00BF7E57">
        <w:rPr>
          <w:sz w:val="16"/>
          <w:szCs w:val="16"/>
          <w:lang w:eastAsia="en-GB"/>
        </w:rPr>
        <w:t>Vir: SURS, lastni preračuni</w:t>
      </w:r>
    </w:p>
    <w:p w14:paraId="457636C7" w14:textId="77777777" w:rsidR="009E0216" w:rsidRPr="00BF7E57" w:rsidRDefault="009E0216" w:rsidP="001D5FC0">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V letu 2018 je bilo registriranih 103.961 notranjih selitev (tj. sprememb naselja bivališča znotraj države), od teh se jih je večina (80 %) preselila v drugo občino. Skoraj polovica notranjih selivcev je bilo starih 20–39 let. Največji notranji selitveni prirast je bil v osrednjeslovenski (2,4 na 1.000 prebivalcev) in obalno-kraški (2,3 na 1.000 prebivalcev) statistični regiji, najmanjši pa v koroški (-5,1 na 1.000 prebivalcev), goriški (-2,7 na 1.000 prebivalcev), zasavski (-2,6 na 1.000 prebivalcev) in posavski (-2,3 na 1.000 prebivalcev) statistični regiji (SURS, 2020). </w:t>
      </w:r>
    </w:p>
    <w:p w14:paraId="77046D23" w14:textId="113ACEE4" w:rsidR="00A045B7" w:rsidRPr="00BF7E57" w:rsidRDefault="00A045B7" w:rsidP="001427AE">
      <w:pPr>
        <w:pStyle w:val="Napis"/>
      </w:pPr>
      <w:bookmarkStart w:id="64" w:name="_Toc86826404"/>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14</w:t>
      </w:r>
      <w:r w:rsidR="00A30B83" w:rsidRPr="00BF7E57">
        <w:rPr>
          <w:noProof/>
        </w:rPr>
        <w:fldChar w:fldCharType="end"/>
      </w:r>
      <w:r w:rsidRPr="00BF7E57">
        <w:t>: Notranje odselitve za leto 2018</w:t>
      </w:r>
      <w:bookmarkEnd w:id="64"/>
    </w:p>
    <w:p w14:paraId="54BCB48C" w14:textId="77DBC4BD" w:rsidR="009E0216" w:rsidRPr="00BF7E57" w:rsidRDefault="009E0216" w:rsidP="001D5FC0">
      <w:pPr>
        <w:autoSpaceDE w:val="0"/>
        <w:autoSpaceDN w:val="0"/>
        <w:adjustRightInd w:val="0"/>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4CD8F297" wp14:editId="1090DD6B">
            <wp:extent cx="4218317" cy="2907486"/>
            <wp:effectExtent l="19050" t="19050" r="10795" b="2667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je odselitve.jpg"/>
                    <pic:cNvPicPr/>
                  </pic:nvPicPr>
                  <pic:blipFill rotWithShape="1">
                    <a:blip r:embed="rId27" cstate="print">
                      <a:extLst>
                        <a:ext uri="{28A0092B-C50C-407E-A947-70E740481C1C}">
                          <a14:useLocalDpi xmlns:a14="http://schemas.microsoft.com/office/drawing/2010/main" val="0"/>
                        </a:ext>
                      </a:extLst>
                    </a:blip>
                    <a:srcRect r="26107" b="21691"/>
                    <a:stretch/>
                  </pic:blipFill>
                  <pic:spPr bwMode="auto">
                    <a:xfrm>
                      <a:off x="0" y="0"/>
                      <a:ext cx="4286139" cy="295423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bookmarkStart w:id="65" w:name="_Toc47082369"/>
      <w:bookmarkStart w:id="66" w:name="_Toc47092610"/>
    </w:p>
    <w:bookmarkEnd w:id="65"/>
    <w:bookmarkEnd w:id="66"/>
    <w:p w14:paraId="666745BC" w14:textId="77777777" w:rsidR="009E0216" w:rsidRPr="00BF7E57" w:rsidRDefault="00A52F41" w:rsidP="00CD7948">
      <w:pPr>
        <w:autoSpaceDE w:val="0"/>
        <w:autoSpaceDN w:val="0"/>
        <w:adjustRightInd w:val="0"/>
        <w:spacing w:line="360" w:lineRule="auto"/>
        <w:jc w:val="both"/>
        <w:rPr>
          <w:rFonts w:ascii="Arial" w:hAnsi="Arial" w:cs="Arial"/>
          <w:sz w:val="16"/>
          <w:szCs w:val="16"/>
        </w:rPr>
      </w:pPr>
      <w:r w:rsidRPr="00BF7E57">
        <w:rPr>
          <w:rFonts w:ascii="Arial" w:hAnsi="Arial" w:cs="Arial"/>
          <w:sz w:val="16"/>
          <w:szCs w:val="16"/>
        </w:rPr>
        <w:t>Vir: SURS</w:t>
      </w:r>
    </w:p>
    <w:p w14:paraId="22EB2633" w14:textId="6A814E0E" w:rsidR="009E0216" w:rsidRPr="00BF7E57" w:rsidRDefault="009E0216" w:rsidP="001D5FC0">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Glede na analizo demografsko-naselbinskih tipov občin je največji selitveni prirast na 1.000 prebivalcev v podeželskih občinah z rastočim prebivalstvom (5,7), sledijo urbanizirane občine z rastočim prebivalstvom (1,06), negativen pa je tako v podeželskih, kot </w:t>
      </w:r>
      <w:r w:rsidR="00F90A68" w:rsidRPr="00BF7E57">
        <w:rPr>
          <w:rFonts w:ascii="Arial" w:hAnsi="Arial" w:cs="Arial"/>
          <w:sz w:val="20"/>
          <w:szCs w:val="20"/>
        </w:rPr>
        <w:t xml:space="preserve">v </w:t>
      </w:r>
      <w:r w:rsidRPr="00BF7E57">
        <w:rPr>
          <w:rFonts w:ascii="Arial" w:hAnsi="Arial" w:cs="Arial"/>
          <w:sz w:val="20"/>
          <w:szCs w:val="20"/>
        </w:rPr>
        <w:t>urbaniziranih občinah s padajočim prebivalstvom. Analiza kaže, da so medobčinske selitve na 1.000 prebivalcev pozitivne le v podeželskem tipu občin z rastočim prebivalstvom, v ostalih treh tipih pa so negativne. Primerjava delovnih migrantov s slovenskim povprečjem (55 %) kaže, da je delovnih migrantov več v obeh podeželskih tipih, pod povprečjem pa v obeh urbaniziranih tipih občin (Nared, 2019).</w:t>
      </w:r>
    </w:p>
    <w:p w14:paraId="01F3E2E1" w14:textId="1E59C10E" w:rsidR="00A045B7" w:rsidRPr="00BF7E57" w:rsidRDefault="00A045B7" w:rsidP="001427AE">
      <w:pPr>
        <w:pStyle w:val="Napis"/>
      </w:pPr>
      <w:bookmarkStart w:id="67" w:name="_Ref84858032"/>
      <w:bookmarkStart w:id="68" w:name="_Ref84858024"/>
      <w:bookmarkStart w:id="69" w:name="_Toc47082370"/>
      <w:bookmarkStart w:id="70" w:name="_Toc47092611"/>
      <w:bookmarkStart w:id="71" w:name="_Toc86826405"/>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15</w:t>
      </w:r>
      <w:r w:rsidR="00A30B83" w:rsidRPr="00BF7E57">
        <w:rPr>
          <w:noProof/>
        </w:rPr>
        <w:fldChar w:fldCharType="end"/>
      </w:r>
      <w:bookmarkEnd w:id="67"/>
      <w:r w:rsidRPr="00BF7E57">
        <w:t>: Notranji selitveni prirast po občinah za leto2018 (na 1.000 prebivalcev)</w:t>
      </w:r>
      <w:bookmarkEnd w:id="68"/>
      <w:bookmarkEnd w:id="71"/>
    </w:p>
    <w:bookmarkEnd w:id="69"/>
    <w:bookmarkEnd w:id="70"/>
    <w:p w14:paraId="57E4B260" w14:textId="6C9CB3AA" w:rsidR="009E0216" w:rsidRPr="00BF7E57" w:rsidRDefault="009E0216" w:rsidP="001D5FC0">
      <w:pPr>
        <w:pStyle w:val="Napis"/>
        <w:spacing w:before="0" w:line="360" w:lineRule="auto"/>
        <w:jc w:val="both"/>
        <w:rPr>
          <w:b/>
          <w:i/>
        </w:rPr>
      </w:pPr>
      <w:r w:rsidRPr="00BF7E57">
        <w:rPr>
          <w:b/>
          <w:i/>
          <w:noProof/>
          <w:lang w:eastAsia="sl-SI"/>
        </w:rPr>
        <w:drawing>
          <wp:inline distT="0" distB="0" distL="0" distR="0" wp14:anchorId="48410831" wp14:editId="477B7B30">
            <wp:extent cx="4572000" cy="3287022"/>
            <wp:effectExtent l="19050" t="19050" r="19050" b="279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ji selitveni prira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9028" cy="3292074"/>
                    </a:xfrm>
                    <a:prstGeom prst="rect">
                      <a:avLst/>
                    </a:prstGeom>
                    <a:ln w="6350">
                      <a:solidFill>
                        <a:schemeClr val="tx1"/>
                      </a:solidFill>
                    </a:ln>
                  </pic:spPr>
                </pic:pic>
              </a:graphicData>
            </a:graphic>
          </wp:inline>
        </w:drawing>
      </w:r>
    </w:p>
    <w:p w14:paraId="7B9C0009" w14:textId="77777777" w:rsidR="009E0216" w:rsidRPr="00BF7E57" w:rsidRDefault="00A52F41" w:rsidP="001D5FC0">
      <w:pPr>
        <w:pStyle w:val="Napis"/>
        <w:spacing w:before="0" w:line="360" w:lineRule="auto"/>
        <w:jc w:val="both"/>
        <w:rPr>
          <w:b/>
          <w:i/>
        </w:rPr>
      </w:pPr>
      <w:r w:rsidRPr="00BF7E57">
        <w:t>Vir: SURS</w:t>
      </w:r>
    </w:p>
    <w:p w14:paraId="4B129C9A" w14:textId="3AE5CBF4" w:rsidR="009E0216" w:rsidRPr="00BF7E57" w:rsidRDefault="009E0216" w:rsidP="001D5FC0">
      <w:pPr>
        <w:spacing w:before="200" w:line="360" w:lineRule="auto"/>
        <w:jc w:val="both"/>
        <w:rPr>
          <w:rFonts w:ascii="Arial" w:hAnsi="Arial" w:cs="Arial"/>
          <w:sz w:val="20"/>
          <w:szCs w:val="20"/>
        </w:rPr>
      </w:pPr>
      <w:r w:rsidRPr="00BF7E57">
        <w:rPr>
          <w:rFonts w:ascii="Arial" w:hAnsi="Arial" w:cs="Arial"/>
          <w:sz w:val="20"/>
          <w:szCs w:val="20"/>
        </w:rPr>
        <w:t xml:space="preserve">Leta 2018 je bilo največ selitev v </w:t>
      </w:r>
      <w:r w:rsidR="00D8220A" w:rsidRPr="00BF7E57">
        <w:rPr>
          <w:rFonts w:ascii="Arial" w:hAnsi="Arial" w:cs="Arial"/>
          <w:sz w:val="20"/>
          <w:szCs w:val="20"/>
        </w:rPr>
        <w:t xml:space="preserve">občine </w:t>
      </w:r>
      <w:r w:rsidRPr="00BF7E57">
        <w:rPr>
          <w:rFonts w:ascii="Arial" w:hAnsi="Arial" w:cs="Arial"/>
          <w:sz w:val="20"/>
          <w:szCs w:val="20"/>
        </w:rPr>
        <w:t>osrednjeslovensk</w:t>
      </w:r>
      <w:r w:rsidR="00D8220A" w:rsidRPr="00BF7E57">
        <w:rPr>
          <w:rFonts w:ascii="Arial" w:hAnsi="Arial" w:cs="Arial"/>
          <w:sz w:val="20"/>
          <w:szCs w:val="20"/>
        </w:rPr>
        <w:t>e</w:t>
      </w:r>
      <w:r w:rsidRPr="00BF7E57">
        <w:rPr>
          <w:rFonts w:ascii="Arial" w:hAnsi="Arial" w:cs="Arial"/>
          <w:sz w:val="20"/>
          <w:szCs w:val="20"/>
        </w:rPr>
        <w:t xml:space="preserve"> regij</w:t>
      </w:r>
      <w:r w:rsidR="00D8220A" w:rsidRPr="00BF7E57">
        <w:rPr>
          <w:rFonts w:ascii="Arial" w:hAnsi="Arial" w:cs="Arial"/>
          <w:sz w:val="20"/>
          <w:szCs w:val="20"/>
        </w:rPr>
        <w:t>e (</w:t>
      </w:r>
      <w:r w:rsidR="00F90A68" w:rsidRPr="00BF7E57">
        <w:rPr>
          <w:rFonts w:ascii="Arial" w:hAnsi="Arial" w:cs="Arial"/>
          <w:sz w:val="20"/>
          <w:szCs w:val="20"/>
        </w:rPr>
        <w:fldChar w:fldCharType="begin"/>
      </w:r>
      <w:r w:rsidR="00F90A68" w:rsidRPr="00BF7E57">
        <w:rPr>
          <w:rFonts w:ascii="Arial" w:hAnsi="Arial" w:cs="Arial"/>
          <w:sz w:val="20"/>
          <w:szCs w:val="20"/>
        </w:rPr>
        <w:instrText xml:space="preserve"> REF _Ref84858032 \h </w:instrText>
      </w:r>
      <w:r w:rsidR="00F90A68" w:rsidRPr="00BF7E57">
        <w:rPr>
          <w:rFonts w:ascii="Arial" w:hAnsi="Arial" w:cs="Arial"/>
          <w:sz w:val="20"/>
          <w:szCs w:val="20"/>
        </w:rPr>
      </w:r>
      <w:r w:rsidR="00BF7E57">
        <w:rPr>
          <w:rFonts w:ascii="Arial" w:hAnsi="Arial" w:cs="Arial"/>
          <w:sz w:val="20"/>
          <w:szCs w:val="20"/>
        </w:rPr>
        <w:instrText xml:space="preserve"> \* MERGEFORMAT </w:instrText>
      </w:r>
      <w:r w:rsidR="00F90A68" w:rsidRPr="00BF7E57">
        <w:rPr>
          <w:rFonts w:ascii="Arial" w:hAnsi="Arial" w:cs="Arial"/>
          <w:sz w:val="20"/>
          <w:szCs w:val="20"/>
        </w:rPr>
        <w:fldChar w:fldCharType="separate"/>
      </w:r>
      <w:r w:rsidR="00236865" w:rsidRPr="00BF7E57">
        <w:t xml:space="preserve">Slika </w:t>
      </w:r>
      <w:r w:rsidR="00236865">
        <w:rPr>
          <w:noProof/>
        </w:rPr>
        <w:t>15</w:t>
      </w:r>
      <w:r w:rsidR="00F90A68" w:rsidRPr="00BF7E57">
        <w:rPr>
          <w:rFonts w:ascii="Arial" w:hAnsi="Arial" w:cs="Arial"/>
          <w:sz w:val="20"/>
          <w:szCs w:val="20"/>
        </w:rPr>
        <w:fldChar w:fldCharType="end"/>
      </w:r>
      <w:r w:rsidR="00D8220A" w:rsidRPr="00BF7E57">
        <w:rPr>
          <w:rFonts w:ascii="Arial" w:hAnsi="Arial" w:cs="Arial"/>
          <w:sz w:val="20"/>
          <w:szCs w:val="20"/>
        </w:rPr>
        <w:t>)</w:t>
      </w:r>
      <w:r w:rsidRPr="00BF7E57">
        <w:rPr>
          <w:rFonts w:ascii="Arial" w:hAnsi="Arial" w:cs="Arial"/>
          <w:sz w:val="20"/>
          <w:szCs w:val="20"/>
        </w:rPr>
        <w:t>, sledita pa podravska in savinjska regija. Povprečna starost ljudi, ki se selijo, se viša, v letu 2018 je bila 34 let (leta 2005 30,6 let); največ selitev pa je v starostni skupini med mladimi (20–29 let) in v starostnih skupinah med 30–39 let. Notranje selitve so do leta 2012 rasle, od leta 2018 pa padajo. Med mladimi (15–29 let) je bilo največ notranjih selitev leta 2008, in tudi največji delež od vseh selitev, do leta 2018 pa je število selitev in skupni delež padel (34.073 selitev)</w:t>
      </w:r>
      <w:r w:rsidR="00D8220A" w:rsidRPr="00BF7E57">
        <w:rPr>
          <w:rFonts w:ascii="Arial" w:hAnsi="Arial" w:cs="Arial"/>
          <w:sz w:val="20"/>
          <w:szCs w:val="20"/>
        </w:rPr>
        <w:t xml:space="preserve"> (</w:t>
      </w:r>
      <w:r w:rsidR="003558B4" w:rsidRPr="00BF7E57">
        <w:rPr>
          <w:rFonts w:ascii="Arial" w:hAnsi="Arial" w:cs="Arial"/>
          <w:sz w:val="20"/>
          <w:szCs w:val="20"/>
        </w:rPr>
        <w:fldChar w:fldCharType="begin"/>
      </w:r>
      <w:r w:rsidR="003558B4" w:rsidRPr="00BF7E57">
        <w:rPr>
          <w:rFonts w:ascii="Arial" w:hAnsi="Arial" w:cs="Arial"/>
          <w:sz w:val="20"/>
          <w:szCs w:val="20"/>
        </w:rPr>
        <w:instrText xml:space="preserve"> REF _Ref84858168 \h </w:instrText>
      </w:r>
      <w:r w:rsidR="003558B4" w:rsidRPr="00BF7E57">
        <w:rPr>
          <w:rFonts w:ascii="Arial" w:hAnsi="Arial" w:cs="Arial"/>
          <w:sz w:val="20"/>
          <w:szCs w:val="20"/>
        </w:rPr>
      </w:r>
      <w:r w:rsidR="00BF7E57">
        <w:rPr>
          <w:rFonts w:ascii="Arial" w:hAnsi="Arial" w:cs="Arial"/>
          <w:sz w:val="20"/>
          <w:szCs w:val="20"/>
        </w:rPr>
        <w:instrText xml:space="preserve"> \* MERGEFORMAT </w:instrText>
      </w:r>
      <w:r w:rsidR="003558B4" w:rsidRPr="00BF7E57">
        <w:rPr>
          <w:rFonts w:ascii="Arial" w:hAnsi="Arial" w:cs="Arial"/>
          <w:sz w:val="20"/>
          <w:szCs w:val="20"/>
        </w:rPr>
        <w:fldChar w:fldCharType="separate"/>
      </w:r>
      <w:r w:rsidR="00236865" w:rsidRPr="00BF7E57">
        <w:t xml:space="preserve">Slika </w:t>
      </w:r>
      <w:r w:rsidR="00236865">
        <w:rPr>
          <w:noProof/>
        </w:rPr>
        <w:t>16</w:t>
      </w:r>
      <w:r w:rsidR="003558B4" w:rsidRPr="00BF7E57">
        <w:rPr>
          <w:rFonts w:ascii="Arial" w:hAnsi="Arial" w:cs="Arial"/>
          <w:sz w:val="20"/>
          <w:szCs w:val="20"/>
        </w:rPr>
        <w:fldChar w:fldCharType="end"/>
      </w:r>
      <w:r w:rsidR="00D8220A" w:rsidRPr="00BF7E57">
        <w:rPr>
          <w:rFonts w:ascii="Arial" w:hAnsi="Arial" w:cs="Arial"/>
          <w:sz w:val="20"/>
          <w:szCs w:val="20"/>
        </w:rPr>
        <w:t>)</w:t>
      </w:r>
      <w:r w:rsidRPr="00BF7E57">
        <w:rPr>
          <w:rFonts w:ascii="Arial" w:hAnsi="Arial" w:cs="Arial"/>
          <w:sz w:val="20"/>
          <w:szCs w:val="20"/>
        </w:rPr>
        <w:t>.</w:t>
      </w:r>
    </w:p>
    <w:p w14:paraId="240E99B6" w14:textId="02575D45" w:rsidR="009E0216" w:rsidRPr="00BF7E57" w:rsidRDefault="009E0216" w:rsidP="001D5FC0">
      <w:pPr>
        <w:spacing w:before="200" w:line="360" w:lineRule="auto"/>
        <w:jc w:val="both"/>
        <w:rPr>
          <w:rFonts w:ascii="Arial" w:hAnsi="Arial" w:cs="Arial"/>
          <w:sz w:val="20"/>
          <w:szCs w:val="20"/>
        </w:rPr>
      </w:pPr>
      <w:r w:rsidRPr="00BF7E57">
        <w:rPr>
          <w:rFonts w:ascii="Arial" w:hAnsi="Arial" w:cs="Arial"/>
          <w:sz w:val="20"/>
          <w:szCs w:val="20"/>
        </w:rPr>
        <w:t>Glede na občine je bilo 60 % vseh priselitev med občinami v Sloveniji na podeželje, odseljenih iz podeželskih občin pa je podoben odstotek. Selitveni prirast na med občinami na podeželju je bil pozitiven (v povprečju 3 osebe). Selitveni prirast na 1.000 prebivalcev tako na podeželje kot v ostala območja pa je bil leta negativen (podeželje -0,5, ostalo -1,4). Skupni selitveni prirast na podeželju je v povprečju 69, večji je v mestnim naseljih (največ v Ljubljani in Mariboru, pa tudi v Domžalah, Novem mestu, Izoli, Velenju, Jesenicah, idr</w:t>
      </w:r>
      <w:r w:rsidR="00F80941" w:rsidRPr="00BF7E57">
        <w:rPr>
          <w:rFonts w:ascii="Arial" w:hAnsi="Arial" w:cs="Arial"/>
          <w:sz w:val="20"/>
          <w:szCs w:val="20"/>
        </w:rPr>
        <w:t>.</w:t>
      </w:r>
      <w:r w:rsidRPr="00BF7E57">
        <w:rPr>
          <w:rFonts w:ascii="Arial" w:hAnsi="Arial" w:cs="Arial"/>
          <w:sz w:val="20"/>
          <w:szCs w:val="20"/>
        </w:rPr>
        <w:t>). Leta 2018 je bilo na podeželje iz tujine priseljenih 12.449 ljudi (44 % vseh priselitev v Slovenijo), iz podeželja pa je bilo odseljenih manj (5.890 ljudi oz. 44 % vseh odseljenih). Iz podeželja se je odselilo in priselilo več moških.</w:t>
      </w:r>
    </w:p>
    <w:p w14:paraId="288546CD" w14:textId="77134684" w:rsidR="009E0216" w:rsidRPr="00BF7E57" w:rsidRDefault="009E0216" w:rsidP="001D5FC0">
      <w:pPr>
        <w:pStyle w:val="Default"/>
        <w:spacing w:before="200" w:after="200" w:line="360" w:lineRule="auto"/>
        <w:jc w:val="both"/>
        <w:rPr>
          <w:lang w:val="sl-SI"/>
        </w:rPr>
      </w:pPr>
      <w:r w:rsidRPr="00BF7E57">
        <w:rPr>
          <w:rFonts w:ascii="Arial" w:hAnsi="Arial" w:cs="Arial"/>
          <w:color w:val="auto"/>
          <w:sz w:val="20"/>
          <w:szCs w:val="20"/>
          <w:lang w:val="sl-SI"/>
        </w:rPr>
        <w:t>Glede na javnomnenjsko raziskavo družbenih vrednot o prostoru in okolju, kateri je bila izvedena primerjava med leti 2004 in 2018, so bili leta 2018 najpogostejši razlogi za preselitve poroka, služba in delovno mesto, nakup stanovanja ali hiše. Sledili</w:t>
      </w:r>
      <w:r w:rsidR="00AA3051" w:rsidRPr="00BF7E57">
        <w:rPr>
          <w:rFonts w:ascii="Arial" w:hAnsi="Arial" w:cs="Arial"/>
          <w:color w:val="auto"/>
          <w:sz w:val="20"/>
          <w:szCs w:val="20"/>
          <w:lang w:val="sl-SI"/>
        </w:rPr>
        <w:t xml:space="preserve"> so naslednji razlogi, ki so</w:t>
      </w:r>
      <w:r w:rsidRPr="00BF7E57">
        <w:rPr>
          <w:rFonts w:ascii="Arial" w:hAnsi="Arial" w:cs="Arial"/>
          <w:color w:val="auto"/>
          <w:sz w:val="20"/>
          <w:szCs w:val="20"/>
          <w:lang w:val="sl-SI"/>
        </w:rPr>
        <w:t xml:space="preserve"> se v primerjavi z letom 2004 tudi povečali: večja dostopnost do raznovrstnih storitev, nižji življenjski stroški ter kvaliteta bivalnega okolja in večja pestrost dogajanja v kraju (CRP 2017, ARRS, MOP). </w:t>
      </w:r>
    </w:p>
    <w:p w14:paraId="6B007FB3" w14:textId="2BC0DAA1" w:rsidR="00A045B7" w:rsidRPr="00BF7E57" w:rsidRDefault="00A045B7" w:rsidP="001427AE">
      <w:pPr>
        <w:pStyle w:val="Napis"/>
      </w:pPr>
      <w:bookmarkStart w:id="72" w:name="_Ref84858168"/>
      <w:bookmarkStart w:id="73" w:name="_Toc47082371"/>
      <w:bookmarkStart w:id="74" w:name="_Toc47092612"/>
      <w:bookmarkStart w:id="75" w:name="_Toc86826406"/>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16</w:t>
      </w:r>
      <w:r w:rsidR="00A30B83" w:rsidRPr="00BF7E57">
        <w:rPr>
          <w:noProof/>
        </w:rPr>
        <w:fldChar w:fldCharType="end"/>
      </w:r>
      <w:bookmarkEnd w:id="72"/>
      <w:r w:rsidRPr="00BF7E57">
        <w:t>: Notranje selitve med mladimi za leto 2018</w:t>
      </w:r>
      <w:bookmarkEnd w:id="75"/>
    </w:p>
    <w:bookmarkEnd w:id="73"/>
    <w:bookmarkEnd w:id="74"/>
    <w:p w14:paraId="5F1EE36D" w14:textId="31A2C7BE" w:rsidR="009E0216" w:rsidRPr="00BF7E57" w:rsidRDefault="009E0216" w:rsidP="00CD7948">
      <w:pPr>
        <w:pStyle w:val="Napis"/>
        <w:spacing w:line="240" w:lineRule="auto"/>
        <w:jc w:val="both"/>
        <w:rPr>
          <w:sz w:val="20"/>
          <w:szCs w:val="20"/>
        </w:rPr>
      </w:pPr>
      <w:r w:rsidRPr="00BF7E57">
        <w:rPr>
          <w:noProof/>
          <w:sz w:val="20"/>
          <w:szCs w:val="20"/>
          <w:lang w:eastAsia="sl-SI"/>
        </w:rPr>
        <w:drawing>
          <wp:inline distT="0" distB="0" distL="0" distR="0" wp14:anchorId="278A50D0" wp14:editId="164FD042">
            <wp:extent cx="5210355" cy="2639683"/>
            <wp:effectExtent l="0" t="0" r="9525" b="889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07AD2E" w14:textId="77777777" w:rsidR="009E0216" w:rsidRPr="00BF7E57" w:rsidRDefault="00A52F41" w:rsidP="00CD7948">
      <w:pPr>
        <w:spacing w:line="240" w:lineRule="auto"/>
        <w:jc w:val="both"/>
        <w:rPr>
          <w:rFonts w:ascii="Arial" w:hAnsi="Arial" w:cs="Arial"/>
          <w:sz w:val="16"/>
          <w:szCs w:val="16"/>
        </w:rPr>
      </w:pPr>
      <w:r w:rsidRPr="00BF7E57">
        <w:rPr>
          <w:rFonts w:ascii="Arial" w:hAnsi="Arial" w:cs="Arial"/>
          <w:sz w:val="16"/>
          <w:szCs w:val="16"/>
        </w:rPr>
        <w:t>Vir: SURS, lastni preračuni</w:t>
      </w:r>
    </w:p>
    <w:p w14:paraId="248B9CB9" w14:textId="77777777"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Konec leta 2018 je vsaka druga delovno aktivna oseba (52,9 % ali 457.000 oseb) odhajala na delo v drugo občino. Delovni migranti so bili v večjem odstotku moški kot ženske. S tokovi delovnih migracij je bila številčno najbolj obremenjena občina Ljubljana (dnevno prihaja na delo 127.600 oseb iz drugih občin). Osrednjeslovenska statistična regija je še naprej edina, ki ima več delovnih mest kot delovno aktivnih prebivalcev (SURS, 2020).</w:t>
      </w:r>
      <w:r w:rsidRPr="00BF7E57">
        <w:rPr>
          <w:rFonts w:ascii="Arial" w:hAnsi="Arial" w:cs="Arial"/>
          <w:b/>
          <w:sz w:val="20"/>
          <w:szCs w:val="20"/>
        </w:rPr>
        <w:t xml:space="preserve"> </w:t>
      </w:r>
      <w:r w:rsidRPr="00BF7E57">
        <w:rPr>
          <w:rFonts w:ascii="Arial" w:hAnsi="Arial" w:cs="Arial"/>
          <w:sz w:val="20"/>
          <w:szCs w:val="20"/>
        </w:rPr>
        <w:t>Od delovno aktivnih v zasavski statistični regiji jih je v 2018 delalo zunaj regije svojega prebivališča 52 %, od delovno aktivnih v posavski, gorenjski in primorsko–notranjski statistični regiji po več kot četrtina, od delovno aktivnih v osrednjeslovenski statistični re</w:t>
      </w:r>
      <w:r w:rsidR="00A52F41" w:rsidRPr="00BF7E57">
        <w:rPr>
          <w:rFonts w:ascii="Arial" w:hAnsi="Arial" w:cs="Arial"/>
          <w:sz w:val="20"/>
          <w:szCs w:val="20"/>
        </w:rPr>
        <w:t xml:space="preserve">giji pa le 9,6 % (SURS, 2020). </w:t>
      </w:r>
    </w:p>
    <w:p w14:paraId="1B0824F9" w14:textId="1C23F006"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Selitveni prirast s tujino (meddržavne selitve) je bil med leti 2008 in 2018 negativen, opaža pa se, da od leta 2015 raste. Seli se več moških kot žensk, kar je še izrazito v  letu 2018, ko je </w:t>
      </w:r>
      <w:r w:rsidR="00A52F41" w:rsidRPr="00BF7E57">
        <w:rPr>
          <w:rFonts w:ascii="Arial" w:hAnsi="Arial" w:cs="Arial"/>
          <w:sz w:val="20"/>
          <w:szCs w:val="20"/>
        </w:rPr>
        <w:t xml:space="preserve">bilo 77 % priseljenih moških. </w:t>
      </w:r>
    </w:p>
    <w:p w14:paraId="7E24FE0F" w14:textId="34DEBDA2" w:rsidR="00146365" w:rsidRPr="00BF7E57" w:rsidRDefault="009E0216" w:rsidP="00146365">
      <w:pPr>
        <w:spacing w:line="360" w:lineRule="auto"/>
        <w:jc w:val="both"/>
        <w:rPr>
          <w:rFonts w:ascii="Arial" w:hAnsi="Arial" w:cs="Arial"/>
          <w:sz w:val="20"/>
          <w:szCs w:val="20"/>
        </w:rPr>
      </w:pPr>
      <w:r w:rsidRPr="00BF7E57">
        <w:rPr>
          <w:rFonts w:ascii="Arial" w:hAnsi="Arial" w:cs="Arial"/>
          <w:sz w:val="20"/>
          <w:szCs w:val="20"/>
        </w:rPr>
        <w:t>V letu 2018 se je iz Slovenije v druge evropske države odselilo 11.140 ljudi, največ v Nemčijo, Avstrijo, Švico, na Hrvaško in druge države članice EU. Največ odseljenih v tujino je mladih v starostni skupini 24–29 let, saj se je leta 2014 v tujino odselilo 4.000 mladih, največ v A</w:t>
      </w:r>
      <w:r w:rsidR="00EA2E4C" w:rsidRPr="00BF7E57">
        <w:rPr>
          <w:rFonts w:ascii="Arial" w:hAnsi="Arial" w:cs="Arial"/>
          <w:sz w:val="20"/>
          <w:szCs w:val="20"/>
        </w:rPr>
        <w:t>vstrijo, Nemčijo in na Hrvaško.</w:t>
      </w:r>
      <w:bookmarkStart w:id="76" w:name="_Toc47092637"/>
    </w:p>
    <w:p w14:paraId="3DAE6D29" w14:textId="7B8C743D" w:rsidR="00232E6B" w:rsidRPr="00BF7E57" w:rsidRDefault="00232E6B" w:rsidP="001427AE">
      <w:pPr>
        <w:pStyle w:val="Napis"/>
      </w:pPr>
      <w:bookmarkStart w:id="77" w:name="_Toc86826449"/>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11</w:t>
      </w:r>
      <w:r w:rsidR="00A30B83" w:rsidRPr="00BF7E57">
        <w:rPr>
          <w:noProof/>
        </w:rPr>
        <w:fldChar w:fldCharType="end"/>
      </w:r>
      <w:r w:rsidRPr="00BF7E57">
        <w:t>: Meddržavne selitve (selitveni prirast s tujino) po letih</w:t>
      </w:r>
      <w:bookmarkEnd w:id="77"/>
    </w:p>
    <w:bookmarkEnd w:id="76"/>
    <w:p w14:paraId="35343A86" w14:textId="44F5F830" w:rsidR="00146365" w:rsidRPr="00BF7E57" w:rsidRDefault="00146365" w:rsidP="001427AE">
      <w:pPr>
        <w:pStyle w:val="Napis"/>
      </w:pPr>
    </w:p>
    <w:tbl>
      <w:tblPr>
        <w:tblW w:w="5159" w:type="pct"/>
        <w:tblLayout w:type="fixed"/>
        <w:tblCellMar>
          <w:left w:w="70" w:type="dxa"/>
          <w:right w:w="70" w:type="dxa"/>
        </w:tblCellMar>
        <w:tblLook w:val="04A0" w:firstRow="1" w:lastRow="0" w:firstColumn="1" w:lastColumn="0" w:noHBand="0" w:noVBand="1"/>
      </w:tblPr>
      <w:tblGrid>
        <w:gridCol w:w="1026"/>
        <w:gridCol w:w="749"/>
        <w:gridCol w:w="749"/>
        <w:gridCol w:w="752"/>
        <w:gridCol w:w="748"/>
        <w:gridCol w:w="748"/>
        <w:gridCol w:w="752"/>
        <w:gridCol w:w="748"/>
        <w:gridCol w:w="748"/>
        <w:gridCol w:w="752"/>
        <w:gridCol w:w="748"/>
        <w:gridCol w:w="830"/>
      </w:tblGrid>
      <w:tr w:rsidR="00EA36E1" w:rsidRPr="00BF7E57" w14:paraId="161E58BE"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ED045" w14:textId="77777777" w:rsidR="009E0216" w:rsidRPr="00BF7E57" w:rsidRDefault="009E0216" w:rsidP="00F33DB3">
            <w:pPr>
              <w:spacing w:before="120" w:after="0" w:line="312" w:lineRule="auto"/>
              <w:jc w:val="both"/>
              <w:rPr>
                <w:rFonts w:ascii="Arial" w:hAnsi="Arial" w:cs="Arial"/>
                <w:sz w:val="18"/>
                <w:szCs w:val="18"/>
              </w:rPr>
            </w:pPr>
            <w:r w:rsidRPr="00BF7E57">
              <w:rPr>
                <w:rFonts w:ascii="Arial" w:hAnsi="Arial" w:cs="Arial"/>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848D717"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2008</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D702FAC"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2009</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3E1BAAC"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5C2FC3B"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24530933"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2012</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094B1FC"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37CDCD4"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830610B"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2015</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307CD65"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7D5F72D4"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2017</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51C538BC"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2018</w:t>
            </w:r>
          </w:p>
        </w:tc>
      </w:tr>
      <w:tr w:rsidR="00EA36E1" w:rsidRPr="00BF7E57" w14:paraId="0549BE2F"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A313"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Moški</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6E9EE03" w14:textId="1E3DDDB9"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15</w:t>
            </w:r>
            <w:r w:rsidR="00EA36E1" w:rsidRPr="00BF7E57">
              <w:rPr>
                <w:rFonts w:ascii="Arial" w:hAnsi="Arial" w:cs="Arial"/>
                <w:sz w:val="18"/>
                <w:szCs w:val="18"/>
              </w:rPr>
              <w:t>.</w:t>
            </w:r>
            <w:r w:rsidRPr="00BF7E57">
              <w:rPr>
                <w:rFonts w:ascii="Arial" w:hAnsi="Arial" w:cs="Arial"/>
                <w:sz w:val="18"/>
                <w:szCs w:val="18"/>
              </w:rPr>
              <w:t>625</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75CC854" w14:textId="304CEA9F"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8</w:t>
            </w:r>
            <w:r w:rsidR="00EA36E1" w:rsidRPr="00BF7E57">
              <w:rPr>
                <w:rFonts w:ascii="Arial" w:hAnsi="Arial" w:cs="Arial"/>
                <w:sz w:val="18"/>
                <w:szCs w:val="18"/>
              </w:rPr>
              <w:t>.</w:t>
            </w:r>
            <w:r w:rsidRPr="00BF7E57">
              <w:rPr>
                <w:rFonts w:ascii="Arial" w:hAnsi="Arial" w:cs="Arial"/>
                <w:sz w:val="18"/>
                <w:szCs w:val="18"/>
              </w:rPr>
              <w:t>157</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5D7DECD2" w14:textId="268A9733"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745</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2F317DE"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166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2E788DA"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403</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779C793"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563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5EA049B"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-367</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DBF939A"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239</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98E5BAE" w14:textId="27F22752"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089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55FE8CC" w14:textId="145FDA4A"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570</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B7291A2" w14:textId="103E1900"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11</w:t>
            </w:r>
            <w:r w:rsidR="00EA36E1" w:rsidRPr="00BF7E57">
              <w:rPr>
                <w:rFonts w:ascii="Arial" w:hAnsi="Arial" w:cs="Arial"/>
                <w:sz w:val="18"/>
                <w:szCs w:val="18"/>
              </w:rPr>
              <w:t>.</w:t>
            </w:r>
            <w:r w:rsidRPr="00BF7E57">
              <w:rPr>
                <w:rFonts w:ascii="Arial" w:hAnsi="Arial" w:cs="Arial"/>
                <w:sz w:val="18"/>
                <w:szCs w:val="18"/>
              </w:rPr>
              <w:t>565</w:t>
            </w:r>
          </w:p>
        </w:tc>
      </w:tr>
      <w:tr w:rsidR="00EA36E1" w:rsidRPr="00BF7E57" w14:paraId="0E65A5B7"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1CBBD"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Ženske</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AC21A7B" w14:textId="5224A694"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2</w:t>
            </w:r>
            <w:r w:rsidR="00EA36E1" w:rsidRPr="00BF7E57">
              <w:rPr>
                <w:rFonts w:ascii="Arial" w:hAnsi="Arial" w:cs="Arial"/>
                <w:sz w:val="18"/>
                <w:szCs w:val="18"/>
              </w:rPr>
              <w:t>.</w:t>
            </w:r>
            <w:r w:rsidRPr="00BF7E57">
              <w:rPr>
                <w:rFonts w:ascii="Arial" w:hAnsi="Arial" w:cs="Arial"/>
                <w:sz w:val="18"/>
                <w:szCs w:val="18"/>
              </w:rPr>
              <w:t>959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37EAE3C" w14:textId="484AFB7F"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w:t>
            </w:r>
            <w:r w:rsidR="00EA36E1" w:rsidRPr="00BF7E57">
              <w:rPr>
                <w:rFonts w:ascii="Arial" w:hAnsi="Arial" w:cs="Arial"/>
                <w:sz w:val="18"/>
                <w:szCs w:val="18"/>
              </w:rPr>
              <w:t>.</w:t>
            </w:r>
            <w:r w:rsidRPr="00BF7E57">
              <w:rPr>
                <w:rFonts w:ascii="Arial" w:hAnsi="Arial" w:cs="Arial"/>
                <w:sz w:val="18"/>
                <w:szCs w:val="18"/>
              </w:rPr>
              <w:t>351</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6DEF0D8F" w14:textId="35CBF702"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224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6E81805" w14:textId="6AEE06A9"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893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0EE2F0B"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241</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C8F6774"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-76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480984B"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-123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45F5635"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268</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87AE461"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-38</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D982EC3"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-317</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2246BA4B" w14:textId="0BFA7E5B"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w:t>
            </w:r>
            <w:r w:rsidR="00EA36E1" w:rsidRPr="00BF7E57">
              <w:rPr>
                <w:rFonts w:ascii="Arial" w:hAnsi="Arial" w:cs="Arial"/>
                <w:sz w:val="18"/>
                <w:szCs w:val="18"/>
              </w:rPr>
              <w:t>.</w:t>
            </w:r>
            <w:r w:rsidRPr="00BF7E57">
              <w:rPr>
                <w:rFonts w:ascii="Arial" w:hAnsi="Arial" w:cs="Arial"/>
                <w:sz w:val="18"/>
                <w:szCs w:val="18"/>
              </w:rPr>
              <w:t>363</w:t>
            </w:r>
          </w:p>
        </w:tc>
      </w:tr>
      <w:tr w:rsidR="00EA36E1" w:rsidRPr="00BF7E57" w14:paraId="1C4D6F21"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2420B" w14:textId="77777777" w:rsidR="00CD7948" w:rsidRPr="00BF7E57" w:rsidRDefault="00CD7948" w:rsidP="00F33DB3">
            <w:pPr>
              <w:spacing w:before="120" w:after="0" w:line="312" w:lineRule="auto"/>
              <w:jc w:val="both"/>
              <w:rPr>
                <w:rFonts w:ascii="Arial" w:hAnsi="Arial" w:cs="Arial"/>
                <w:b/>
                <w:sz w:val="18"/>
                <w:szCs w:val="18"/>
              </w:rPr>
            </w:pPr>
            <w:r w:rsidRPr="00BF7E57">
              <w:rPr>
                <w:rFonts w:ascii="Arial" w:hAnsi="Arial" w:cs="Arial"/>
                <w:b/>
                <w:sz w:val="18"/>
                <w:szCs w:val="18"/>
              </w:rPr>
              <w:t>Skupaj</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220C64C8" w14:textId="2FB5B75B"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18</w:t>
            </w:r>
            <w:r w:rsidR="00EA36E1" w:rsidRPr="00BF7E57">
              <w:rPr>
                <w:rFonts w:ascii="Arial" w:hAnsi="Arial" w:cs="Arial"/>
                <w:sz w:val="18"/>
                <w:szCs w:val="18"/>
              </w:rPr>
              <w:t>.</w:t>
            </w:r>
            <w:r w:rsidRPr="00BF7E57">
              <w:rPr>
                <w:rFonts w:ascii="Arial" w:hAnsi="Arial" w:cs="Arial"/>
                <w:sz w:val="18"/>
                <w:szCs w:val="18"/>
              </w:rPr>
              <w:t>584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0831CC1" w14:textId="6DC311E1"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11</w:t>
            </w:r>
            <w:r w:rsidR="00EA36E1" w:rsidRPr="00BF7E57">
              <w:rPr>
                <w:rFonts w:ascii="Arial" w:hAnsi="Arial" w:cs="Arial"/>
                <w:sz w:val="18"/>
                <w:szCs w:val="18"/>
              </w:rPr>
              <w:t>.</w:t>
            </w:r>
            <w:r w:rsidRPr="00BF7E57">
              <w:rPr>
                <w:rFonts w:ascii="Arial" w:hAnsi="Arial" w:cs="Arial"/>
                <w:sz w:val="18"/>
                <w:szCs w:val="18"/>
              </w:rPr>
              <w:t>508</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50F2F89F"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-521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438C3CE" w14:textId="5C6998E9"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2</w:t>
            </w:r>
            <w:r w:rsidR="00EA36E1" w:rsidRPr="00BF7E57">
              <w:rPr>
                <w:rFonts w:ascii="Arial" w:hAnsi="Arial" w:cs="Arial"/>
                <w:sz w:val="18"/>
                <w:szCs w:val="18"/>
              </w:rPr>
              <w:t>.</w:t>
            </w:r>
            <w:r w:rsidRPr="00BF7E57">
              <w:rPr>
                <w:rFonts w:ascii="Arial" w:hAnsi="Arial" w:cs="Arial"/>
                <w:sz w:val="18"/>
                <w:szCs w:val="18"/>
              </w:rPr>
              <w:t>059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0BC79B8"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644</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3996776A"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487</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C6FE2BD"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-490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B5A6691"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507</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661DB6D2" w14:textId="114CD3D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051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CFB7095" w14:textId="4F3C322E"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253</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751AB2E2" w14:textId="5D1FCFB8"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14</w:t>
            </w:r>
            <w:r w:rsidR="00EA36E1" w:rsidRPr="00BF7E57">
              <w:rPr>
                <w:rFonts w:ascii="Arial" w:hAnsi="Arial" w:cs="Arial"/>
                <w:sz w:val="18"/>
                <w:szCs w:val="18"/>
              </w:rPr>
              <w:t>.</w:t>
            </w:r>
            <w:r w:rsidRPr="00BF7E57">
              <w:rPr>
                <w:rFonts w:ascii="Arial" w:hAnsi="Arial" w:cs="Arial"/>
                <w:sz w:val="18"/>
                <w:szCs w:val="18"/>
              </w:rPr>
              <w:t>928</w:t>
            </w:r>
          </w:p>
        </w:tc>
      </w:tr>
    </w:tbl>
    <w:p w14:paraId="6C93287B" w14:textId="36BCDA3A"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SURS, lastni preračuni</w:t>
      </w:r>
    </w:p>
    <w:p w14:paraId="5AFA9FE7" w14:textId="017B7A9B" w:rsidR="002E0ACA"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Študije kažejo, da so razlogi za odseljevanje v zmanjšani gospodarski vlogi kmetijstva (deagrarizacija), družbenih in kulturnih spremembah (do katerih prihaja v naseljih), koncentraciji prebivalstva in gospodarskega razvoja v občinskih središčih in mestih, ki sprožita tudi koncentracijo družbenih </w:t>
      </w:r>
      <w:r w:rsidRPr="00BF7E57">
        <w:rPr>
          <w:rFonts w:ascii="Arial" w:hAnsi="Arial" w:cs="Arial"/>
          <w:sz w:val="20"/>
          <w:szCs w:val="20"/>
        </w:rPr>
        <w:lastRenderedPageBreak/>
        <w:t xml:space="preserve">dejavnosti (kot so šole, vrtci …), s tem pa se v številnih vaseh izgubljajo temeljne življenjske funkcije. Problematična sta tudi prometna izoliranost naselij ter negativni naravni prirast prebivalstva. Izboljšanje prometnih povezav med vasmi in središčnimi naselji s skrajšanjem poti na delo, do rekreacijskih območij in trgovske infrastrukture, sicer izboljšuje kakovost bivanja, vendar pa so pretekle raziskave pokazale, da delovni migraciji pogosto sledi kasnejša preselitev prebivalcev v bližja oziroma večja naselja (Nared idr., 2019). </w:t>
      </w:r>
    </w:p>
    <w:p w14:paraId="5BD5580D" w14:textId="77777777" w:rsidR="009E0216" w:rsidRPr="00BF7E57" w:rsidRDefault="009E0216">
      <w:pPr>
        <w:spacing w:line="360" w:lineRule="auto"/>
        <w:jc w:val="both"/>
        <w:rPr>
          <w:rFonts w:ascii="Arial" w:hAnsi="Arial" w:cs="Arial"/>
          <w:sz w:val="20"/>
          <w:szCs w:val="20"/>
        </w:rPr>
      </w:pPr>
    </w:p>
    <w:p w14:paraId="6AEAA471" w14:textId="0417F9AC" w:rsidR="009E0216" w:rsidRPr="00BF7E57" w:rsidRDefault="009E0216" w:rsidP="008D32AC">
      <w:pPr>
        <w:pStyle w:val="tevilnatoka11Nova"/>
        <w:numPr>
          <w:ilvl w:val="1"/>
          <w:numId w:val="34"/>
        </w:numPr>
        <w:tabs>
          <w:tab w:val="clear" w:pos="4297"/>
        </w:tabs>
        <w:spacing w:before="200" w:after="200" w:line="360" w:lineRule="auto"/>
        <w:outlineLvl w:val="1"/>
        <w:rPr>
          <w:sz w:val="24"/>
          <w:szCs w:val="24"/>
        </w:rPr>
      </w:pPr>
      <w:bookmarkStart w:id="78" w:name="_Toc86826370"/>
      <w:r w:rsidRPr="00BF7E57">
        <w:rPr>
          <w:b/>
          <w:sz w:val="24"/>
          <w:szCs w:val="24"/>
        </w:rPr>
        <w:t>KLJUČNE UGOTOVITVE</w:t>
      </w:r>
      <w:bookmarkEnd w:id="78"/>
    </w:p>
    <w:p w14:paraId="46B370AC" w14:textId="7181ACDE" w:rsidR="009E0216" w:rsidRPr="00BF7E57" w:rsidRDefault="00AA3051"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Za namen Strateškega načrta, specifičnega cilja 8, podeželje obsega vsa naselja z manj kot 10.000 prebivalcev</w:t>
      </w:r>
      <w:r w:rsidR="00585C8D" w:rsidRPr="00BF7E57">
        <w:rPr>
          <w:rFonts w:ascii="Arial" w:hAnsi="Arial" w:cs="Arial"/>
          <w:b/>
          <w:sz w:val="20"/>
          <w:szCs w:val="20"/>
        </w:rPr>
        <w:t xml:space="preserve">, razen </w:t>
      </w:r>
      <w:r w:rsidR="006937CD" w:rsidRPr="00BF7E57">
        <w:rPr>
          <w:rFonts w:ascii="Arial" w:hAnsi="Arial" w:cs="Arial"/>
          <w:b/>
          <w:sz w:val="20"/>
          <w:szCs w:val="20"/>
        </w:rPr>
        <w:t xml:space="preserve">na področju nekmetijskih </w:t>
      </w:r>
      <w:r w:rsidR="00585C8D" w:rsidRPr="00BF7E57">
        <w:rPr>
          <w:rFonts w:ascii="Arial" w:hAnsi="Arial" w:cs="Arial"/>
          <w:b/>
          <w:sz w:val="20"/>
          <w:szCs w:val="20"/>
        </w:rPr>
        <w:t>dopolnilni</w:t>
      </w:r>
      <w:r w:rsidR="00305281" w:rsidRPr="00BF7E57">
        <w:rPr>
          <w:rFonts w:ascii="Arial" w:hAnsi="Arial" w:cs="Arial"/>
          <w:b/>
          <w:sz w:val="20"/>
          <w:szCs w:val="20"/>
        </w:rPr>
        <w:t>h</w:t>
      </w:r>
      <w:r w:rsidR="00585C8D" w:rsidRPr="00BF7E57">
        <w:rPr>
          <w:rFonts w:ascii="Arial" w:hAnsi="Arial" w:cs="Arial"/>
          <w:b/>
          <w:sz w:val="20"/>
          <w:szCs w:val="20"/>
        </w:rPr>
        <w:t xml:space="preserve"> dejavnostim na kmetiji</w:t>
      </w:r>
      <w:r w:rsidR="006937CD" w:rsidRPr="00BF7E57">
        <w:rPr>
          <w:rFonts w:ascii="Arial" w:hAnsi="Arial" w:cs="Arial"/>
          <w:b/>
          <w:sz w:val="20"/>
          <w:szCs w:val="20"/>
        </w:rPr>
        <w:t>, kjer se naslavlja celotno ozemlje Republike Slovenije</w:t>
      </w:r>
      <w:r w:rsidRPr="00BF7E57">
        <w:rPr>
          <w:rFonts w:ascii="Arial" w:hAnsi="Arial" w:cs="Arial"/>
          <w:b/>
          <w:sz w:val="20"/>
          <w:szCs w:val="20"/>
        </w:rPr>
        <w:t>. Po tej opredelitvi p</w:t>
      </w:r>
      <w:r w:rsidR="009E0216" w:rsidRPr="00BF7E57">
        <w:rPr>
          <w:rFonts w:ascii="Arial" w:hAnsi="Arial" w:cs="Arial"/>
          <w:b/>
          <w:sz w:val="20"/>
          <w:szCs w:val="20"/>
        </w:rPr>
        <w:t>odeželje obsega 90 % površine Slovenije</w:t>
      </w:r>
      <w:r w:rsidR="009E0216" w:rsidRPr="00BF7E57">
        <w:rPr>
          <w:rFonts w:ascii="Arial" w:hAnsi="Arial" w:cs="Arial"/>
          <w:sz w:val="20"/>
          <w:szCs w:val="20"/>
        </w:rPr>
        <w:t xml:space="preserve"> oz. 69 % prebivalcev Slovenije</w:t>
      </w:r>
      <w:r w:rsidRPr="00BF7E57">
        <w:rPr>
          <w:rFonts w:ascii="Arial" w:hAnsi="Arial" w:cs="Arial"/>
          <w:sz w:val="20"/>
          <w:szCs w:val="20"/>
        </w:rPr>
        <w:t>.</w:t>
      </w:r>
      <w:r w:rsidR="009E0216" w:rsidRPr="00BF7E57">
        <w:rPr>
          <w:rFonts w:ascii="Arial" w:hAnsi="Arial" w:cs="Arial"/>
          <w:sz w:val="20"/>
          <w:szCs w:val="20"/>
        </w:rPr>
        <w:t xml:space="preserve"> Število prebivalcev na podeželju rahlo raste (leta</w:t>
      </w:r>
      <w:r w:rsidR="00937BBB" w:rsidRPr="00BF7E57">
        <w:rPr>
          <w:rFonts w:ascii="Arial" w:hAnsi="Arial" w:cs="Arial"/>
          <w:sz w:val="20"/>
          <w:szCs w:val="20"/>
        </w:rPr>
        <w:t xml:space="preserve"> 2021</w:t>
      </w:r>
      <w:r w:rsidR="009E0216" w:rsidRPr="00BF7E57">
        <w:rPr>
          <w:rFonts w:ascii="Arial" w:hAnsi="Arial" w:cs="Arial"/>
          <w:sz w:val="20"/>
          <w:szCs w:val="20"/>
        </w:rPr>
        <w:t xml:space="preserve"> </w:t>
      </w:r>
      <w:r w:rsidR="00937BBB" w:rsidRPr="00BF7E57">
        <w:rPr>
          <w:rFonts w:ascii="Arial" w:eastAsia="Times New Roman" w:hAnsi="Arial" w:cs="Arial"/>
          <w:color w:val="000000"/>
          <w:sz w:val="20"/>
          <w:szCs w:val="20"/>
          <w:lang w:eastAsia="sl-SI"/>
        </w:rPr>
        <w:t>1.251.486</w:t>
      </w:r>
      <w:r w:rsidR="009E0216" w:rsidRPr="00BF7E57">
        <w:rPr>
          <w:rFonts w:ascii="Arial" w:hAnsi="Arial" w:cs="Arial"/>
          <w:sz w:val="20"/>
          <w:szCs w:val="20"/>
        </w:rPr>
        <w:t>), gosto</w:t>
      </w:r>
      <w:r w:rsidR="00937BBB" w:rsidRPr="00BF7E57">
        <w:rPr>
          <w:rFonts w:ascii="Arial" w:hAnsi="Arial" w:cs="Arial"/>
          <w:sz w:val="20"/>
          <w:szCs w:val="20"/>
        </w:rPr>
        <w:t>ta naseljenosti na podeželju (96</w:t>
      </w:r>
      <w:r w:rsidR="009E0216" w:rsidRPr="00BF7E57">
        <w:rPr>
          <w:rFonts w:ascii="Arial" w:hAnsi="Arial" w:cs="Arial"/>
          <w:sz w:val="20"/>
          <w:szCs w:val="20"/>
        </w:rPr>
        <w:t xml:space="preserve"> preb/km</w:t>
      </w:r>
      <w:r w:rsidR="009E0216" w:rsidRPr="00BF7E57">
        <w:rPr>
          <w:rFonts w:ascii="Arial" w:hAnsi="Arial" w:cs="Arial"/>
          <w:sz w:val="20"/>
          <w:szCs w:val="20"/>
          <w:vertAlign w:val="superscript"/>
        </w:rPr>
        <w:t>2</w:t>
      </w:r>
      <w:r w:rsidR="001B2A9C" w:rsidRPr="00BF7E57">
        <w:rPr>
          <w:rFonts w:ascii="Arial" w:hAnsi="Arial" w:cs="Arial"/>
          <w:sz w:val="20"/>
          <w:szCs w:val="20"/>
        </w:rPr>
        <w:t>) je pod slovenskim povprečjem.</w:t>
      </w:r>
    </w:p>
    <w:p w14:paraId="6CF6466E" w14:textId="64C3800D" w:rsidR="009E0216" w:rsidRPr="00BF7E57" w:rsidRDefault="00AA3051"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Za Slovenijo je z</w:t>
      </w:r>
      <w:r w:rsidR="009E0216" w:rsidRPr="00BF7E57">
        <w:rPr>
          <w:rFonts w:ascii="Arial" w:hAnsi="Arial" w:cs="Arial"/>
          <w:b/>
          <w:sz w:val="20"/>
          <w:szCs w:val="20"/>
        </w:rPr>
        <w:t>načilen star demografski režim z nizko rodnostjo in smrtnostjo</w:t>
      </w:r>
      <w:r w:rsidR="009E0216" w:rsidRPr="00BF7E57">
        <w:rPr>
          <w:rFonts w:ascii="Arial" w:hAnsi="Arial" w:cs="Arial"/>
          <w:sz w:val="20"/>
          <w:szCs w:val="20"/>
        </w:rPr>
        <w:t xml:space="preserve">. Število prebivalcev po letih rahlo niha, </w:t>
      </w:r>
      <w:r w:rsidR="009E0216" w:rsidRPr="00BF7E57">
        <w:rPr>
          <w:rFonts w:ascii="Arial" w:hAnsi="Arial" w:cs="Arial"/>
          <w:b/>
          <w:sz w:val="20"/>
          <w:szCs w:val="20"/>
        </w:rPr>
        <w:t>prebivalstvo na podeželju se stara</w:t>
      </w:r>
      <w:r w:rsidR="009E0216" w:rsidRPr="00BF7E57">
        <w:rPr>
          <w:rFonts w:ascii="Arial" w:hAnsi="Arial" w:cs="Arial"/>
          <w:sz w:val="20"/>
          <w:szCs w:val="20"/>
        </w:rPr>
        <w:t>, na kar kaže rast povprečne starosti ter visok koeficient starostne odvisnosti starih. Delež starih (65+ le</w:t>
      </w:r>
      <w:r w:rsidR="00937BBB" w:rsidRPr="00BF7E57">
        <w:rPr>
          <w:rFonts w:ascii="Arial" w:hAnsi="Arial" w:cs="Arial"/>
          <w:sz w:val="20"/>
          <w:szCs w:val="20"/>
        </w:rPr>
        <w:t>t) na podeželju raste (leta 2021</w:t>
      </w:r>
      <w:r w:rsidR="009E0216" w:rsidRPr="00BF7E57">
        <w:rPr>
          <w:rFonts w:ascii="Arial" w:hAnsi="Arial" w:cs="Arial"/>
          <w:sz w:val="20"/>
          <w:szCs w:val="20"/>
        </w:rPr>
        <w:t xml:space="preserve"> 20</w:t>
      </w:r>
      <w:r w:rsidR="00937BBB" w:rsidRPr="00BF7E57">
        <w:rPr>
          <w:rFonts w:ascii="Arial" w:hAnsi="Arial" w:cs="Arial"/>
          <w:sz w:val="20"/>
          <w:szCs w:val="20"/>
        </w:rPr>
        <w:t>,9</w:t>
      </w:r>
      <w:r w:rsidR="009E0216" w:rsidRPr="00BF7E57">
        <w:rPr>
          <w:rFonts w:ascii="Arial" w:hAnsi="Arial" w:cs="Arial"/>
          <w:sz w:val="20"/>
          <w:szCs w:val="20"/>
        </w:rPr>
        <w:t xml:space="preserve"> %)</w:t>
      </w:r>
      <w:r w:rsidRPr="00BF7E57">
        <w:rPr>
          <w:rFonts w:ascii="Arial" w:hAnsi="Arial" w:cs="Arial"/>
          <w:sz w:val="20"/>
          <w:szCs w:val="20"/>
        </w:rPr>
        <w:t xml:space="preserve">. </w:t>
      </w:r>
      <w:r w:rsidR="009E0216" w:rsidRPr="00BF7E57">
        <w:rPr>
          <w:rFonts w:ascii="Arial" w:hAnsi="Arial" w:cs="Arial"/>
          <w:sz w:val="20"/>
          <w:szCs w:val="20"/>
        </w:rPr>
        <w:t xml:space="preserve">Zelo </w:t>
      </w:r>
      <w:r w:rsidRPr="00BF7E57">
        <w:rPr>
          <w:rFonts w:ascii="Arial" w:hAnsi="Arial" w:cs="Arial"/>
          <w:sz w:val="20"/>
          <w:szCs w:val="20"/>
        </w:rPr>
        <w:t>zaskrbljujoče</w:t>
      </w:r>
      <w:r w:rsidR="009E0216" w:rsidRPr="00BF7E57">
        <w:rPr>
          <w:rFonts w:ascii="Arial" w:hAnsi="Arial" w:cs="Arial"/>
          <w:sz w:val="20"/>
          <w:szCs w:val="20"/>
        </w:rPr>
        <w:t xml:space="preserve"> pa so projekcije gibanja prebivalstva, ki kažejo na negativen trend, glede na analizo še posebej v »podeželskih občinah s padajočim številom prebivalcev«.</w:t>
      </w:r>
    </w:p>
    <w:p w14:paraId="3EF8E2E5" w14:textId="45141711" w:rsidR="009E0216" w:rsidRPr="00BF7E57"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Delež mladih na podeželju se zmanjšuje</w:t>
      </w:r>
      <w:r w:rsidRPr="00BF7E57">
        <w:rPr>
          <w:rFonts w:ascii="Arial" w:hAnsi="Arial" w:cs="Arial"/>
          <w:sz w:val="20"/>
          <w:szCs w:val="20"/>
        </w:rPr>
        <w:t>. Delež otrok do 14 let na podeželju sicer počasi raste (leta 2018 15,4 % vseh prebivalcev podeželja</w:t>
      </w:r>
      <w:r w:rsidR="005F15F1" w:rsidRPr="00BF7E57">
        <w:rPr>
          <w:rFonts w:ascii="Arial" w:hAnsi="Arial" w:cs="Arial"/>
          <w:sz w:val="20"/>
          <w:szCs w:val="20"/>
        </w:rPr>
        <w:t>, leta 2021 ponovno 15 %</w:t>
      </w:r>
      <w:r w:rsidRPr="00BF7E57">
        <w:rPr>
          <w:rFonts w:ascii="Arial" w:hAnsi="Arial" w:cs="Arial"/>
          <w:sz w:val="20"/>
          <w:szCs w:val="20"/>
        </w:rPr>
        <w:t>) in je malenkost višji kot delež otrok v slovenskem povprečju, medtem ko se delež mladih 15–26 let na podeželju zmanjšuje (leta 2018 10,9 %) in je pod slovenskim povprečjem.</w:t>
      </w:r>
    </w:p>
    <w:p w14:paraId="4F7F3D13" w14:textId="7D5B1B90" w:rsidR="005F15F1" w:rsidRPr="00BF7E57" w:rsidRDefault="009E0216" w:rsidP="005F15F1">
      <w:pPr>
        <w:pStyle w:val="Odstavekseznama"/>
        <w:numPr>
          <w:ilvl w:val="0"/>
          <w:numId w:val="31"/>
        </w:numPr>
        <w:spacing w:before="200" w:line="360" w:lineRule="auto"/>
        <w:ind w:left="284" w:hanging="284"/>
        <w:contextualSpacing w:val="0"/>
        <w:jc w:val="both"/>
        <w:rPr>
          <w:rFonts w:ascii="Arial" w:hAnsi="Arial" w:cs="Arial"/>
          <w:b/>
          <w:sz w:val="20"/>
          <w:szCs w:val="20"/>
        </w:rPr>
      </w:pPr>
      <w:r w:rsidRPr="00BF7E57">
        <w:rPr>
          <w:rFonts w:ascii="Arial" w:hAnsi="Arial" w:cs="Arial"/>
          <w:b/>
          <w:sz w:val="20"/>
          <w:szCs w:val="20"/>
        </w:rPr>
        <w:t xml:space="preserve">Prebivalstvo se ohranja na račun selitev. </w:t>
      </w:r>
      <w:r w:rsidRPr="00BF7E57">
        <w:rPr>
          <w:rFonts w:ascii="Arial" w:hAnsi="Arial" w:cs="Arial"/>
          <w:sz w:val="20"/>
          <w:szCs w:val="20"/>
        </w:rPr>
        <w:t>Naravni prirast na podeželju pada, v zadnjih letih je negativen (leta 2018 -0,4). Skupni selitveni prirast na podeželju pa raste, vendar počasneje kot v slovenskem povprečju (let 2018 2,1; 3-krat počasneje kot v Sloveniji), kar kaže na to, da se prebivalstvo na podeželju ohranja na račun priselitev.</w:t>
      </w:r>
      <w:r w:rsidR="005F15F1" w:rsidRPr="00BF7E57">
        <w:rPr>
          <w:rFonts w:ascii="Arial" w:hAnsi="Arial" w:cs="Arial"/>
          <w:sz w:val="20"/>
          <w:szCs w:val="20"/>
        </w:rPr>
        <w:t xml:space="preserve"> Je pa prišlo v času koronakrize do preobrata, saj je podatek o skupnem selitvenem prirastu na podeželju povečal.</w:t>
      </w:r>
    </w:p>
    <w:p w14:paraId="4AD30A32" w14:textId="0FBA208C" w:rsidR="009E0216" w:rsidRPr="00BF7E57"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Podeželje zaznamujejo regionalne razlike, ki se kažejo kot zgoščanje prebivalstva</w:t>
      </w:r>
      <w:r w:rsidRPr="00BF7E57">
        <w:rPr>
          <w:rFonts w:ascii="Arial" w:hAnsi="Arial" w:cs="Arial"/>
          <w:sz w:val="20"/>
          <w:szCs w:val="20"/>
        </w:rPr>
        <w:t xml:space="preserve"> v osrednji Sloveniji, predvsem okoli avtocestnega križa in dobro dostopnih središč. </w:t>
      </w:r>
      <w:r w:rsidRPr="00BF7E57">
        <w:rPr>
          <w:rFonts w:ascii="Arial" w:hAnsi="Arial" w:cs="Arial"/>
          <w:b/>
          <w:sz w:val="20"/>
          <w:szCs w:val="20"/>
        </w:rPr>
        <w:t>Območja, ki se praznijo</w:t>
      </w:r>
      <w:r w:rsidR="00305281" w:rsidRPr="00BF7E57">
        <w:rPr>
          <w:rFonts w:ascii="Arial" w:hAnsi="Arial" w:cs="Arial"/>
          <w:b/>
          <w:sz w:val="20"/>
          <w:szCs w:val="20"/>
        </w:rPr>
        <w:t>,</w:t>
      </w:r>
      <w:r w:rsidRPr="00BF7E57">
        <w:rPr>
          <w:rFonts w:ascii="Arial" w:hAnsi="Arial" w:cs="Arial"/>
          <w:sz w:val="20"/>
          <w:szCs w:val="20"/>
        </w:rPr>
        <w:t xml:space="preserve"> zajemajo 57 % Slovenije. To so največkrat območja brez dobrih prometnih povezav, nekatera manj gospodarsko razvita urbanizirana območja, območja 90 občin, ki sodijo med obmejna problemska območja (po ZSRR-2), za katera je značilno zlasti staranje, opuščanje stavb, zaraščanje krajine ter slabša oskrba s storitvami.</w:t>
      </w:r>
    </w:p>
    <w:p w14:paraId="1D3B0EB0" w14:textId="77777777" w:rsidR="009E0216" w:rsidRPr="00BF7E57"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lastRenderedPageBreak/>
        <w:t>Za podeželje so značilne tudi migracije prebivalstva. Več kot polovico (53 %) vseh delovno aktivnih je dnevnih migrantov (delo v drugi občini</w:t>
      </w:r>
      <w:r w:rsidRPr="00BF7E57">
        <w:rPr>
          <w:rFonts w:ascii="Arial" w:hAnsi="Arial" w:cs="Arial"/>
          <w:sz w:val="20"/>
          <w:szCs w:val="20"/>
        </w:rPr>
        <w:t xml:space="preserve">). </w:t>
      </w:r>
      <w:r w:rsidRPr="00BF7E57">
        <w:rPr>
          <w:rFonts w:ascii="Arial" w:hAnsi="Arial" w:cs="Arial"/>
          <w:b/>
          <w:sz w:val="20"/>
          <w:szCs w:val="20"/>
        </w:rPr>
        <w:t>Več delovnih migrantov je v podeželskih občinah</w:t>
      </w:r>
      <w:r w:rsidRPr="00BF7E57">
        <w:rPr>
          <w:rFonts w:ascii="Arial" w:hAnsi="Arial" w:cs="Arial"/>
          <w:sz w:val="20"/>
          <w:szCs w:val="20"/>
        </w:rPr>
        <w:t xml:space="preserve">, manj v ostalih območjih. </w:t>
      </w:r>
      <w:r w:rsidRPr="00BF7E57">
        <w:rPr>
          <w:rFonts w:ascii="Arial" w:hAnsi="Arial" w:cs="Arial"/>
          <w:b/>
          <w:sz w:val="20"/>
          <w:szCs w:val="20"/>
        </w:rPr>
        <w:t>Notranje selitve med občinami so v večini med mladimi</w:t>
      </w:r>
      <w:r w:rsidRPr="00BF7E57">
        <w:rPr>
          <w:rFonts w:ascii="Arial" w:hAnsi="Arial" w:cs="Arial"/>
          <w:sz w:val="20"/>
          <w:szCs w:val="20"/>
        </w:rPr>
        <w:t xml:space="preserve"> (starostne skupine 20–29 let in 30–39 let). 60 % je medobčinskih selitev v občine na podeželju (največ v podeželske občine z rastočim prebivalstvom, ostale negativen trend). Skupni selitveni prirast na 1.000 prebivalcev na podeželju se je po zmanjšanju med gospodarsko krizo v obdobju 2008-2013 v letu 2018 ponovno zvišal (na podeželju 21). </w:t>
      </w:r>
      <w:r w:rsidRPr="00BF7E57">
        <w:rPr>
          <w:rFonts w:ascii="Arial" w:hAnsi="Arial" w:cs="Arial"/>
          <w:b/>
          <w:sz w:val="20"/>
          <w:szCs w:val="20"/>
        </w:rPr>
        <w:t>Glede na spol se več selijo moški kot ženske</w:t>
      </w:r>
      <w:r w:rsidRPr="00BF7E57">
        <w:rPr>
          <w:rFonts w:ascii="Arial" w:hAnsi="Arial" w:cs="Arial"/>
          <w:sz w:val="20"/>
          <w:szCs w:val="20"/>
        </w:rPr>
        <w:t>. V letu 2018 je bil najpogostejši razlog za selitve poroka, služba in delovno mesto, nakup stanovanja ali hiše. Na splošno se razlogi za odseljevanje kažejo v zmanjšani gospodarski vlogi kmetijstva (deagrarizacija), družbenih in kulturnih spremembah (do katerih prihaja v naseljih), koncentraciji prebivalstv</w:t>
      </w:r>
      <w:r w:rsidR="007344C6" w:rsidRPr="00BF7E57">
        <w:rPr>
          <w:rFonts w:ascii="Arial" w:hAnsi="Arial" w:cs="Arial"/>
          <w:sz w:val="20"/>
          <w:szCs w:val="20"/>
        </w:rPr>
        <w:t>a</w:t>
      </w:r>
      <w:r w:rsidRPr="00BF7E57">
        <w:rPr>
          <w:rFonts w:ascii="Arial" w:hAnsi="Arial" w:cs="Arial"/>
          <w:sz w:val="20"/>
          <w:szCs w:val="20"/>
        </w:rPr>
        <w:t xml:space="preserve"> gospodarskega razvoja v občinskih središčih in mestih, ki sprožita tudi koncentracijo družbenih dejavnosti (kot so šole, vrtci in druge dejavnosti …), s tem pa se v številnih vaseh izgubljajo temeljne življenjske funkcije. </w:t>
      </w:r>
    </w:p>
    <w:p w14:paraId="435EBE7B" w14:textId="23360415" w:rsidR="009E0216" w:rsidRPr="00BF7E57" w:rsidRDefault="009E0216" w:rsidP="00AA3051">
      <w:pPr>
        <w:pStyle w:val="Odstavekseznama"/>
        <w:numPr>
          <w:ilvl w:val="0"/>
          <w:numId w:val="31"/>
        </w:numPr>
        <w:spacing w:before="200" w:line="360" w:lineRule="auto"/>
        <w:ind w:left="284" w:hanging="284"/>
        <w:contextualSpacing w:val="0"/>
        <w:jc w:val="both"/>
        <w:rPr>
          <w:rFonts w:ascii="Arial" w:hAnsi="Arial"/>
          <w:sz w:val="20"/>
        </w:rPr>
      </w:pPr>
      <w:r w:rsidRPr="00BF7E57">
        <w:rPr>
          <w:rFonts w:ascii="Arial" w:hAnsi="Arial" w:cs="Arial"/>
          <w:b/>
          <w:sz w:val="20"/>
          <w:szCs w:val="20"/>
        </w:rPr>
        <w:t>Selitveni prirast s tujino je več let pozitiven, priseli pa se več moških</w:t>
      </w:r>
      <w:r w:rsidRPr="00BF7E57">
        <w:rPr>
          <w:rFonts w:ascii="Arial" w:hAnsi="Arial" w:cs="Arial"/>
          <w:sz w:val="20"/>
          <w:szCs w:val="20"/>
        </w:rPr>
        <w:t>. Od vseh priselitev iz tujine jih je manj na podeželje (44 %)</w:t>
      </w:r>
      <w:r w:rsidR="00AA3051" w:rsidRPr="00BF7E57">
        <w:rPr>
          <w:rFonts w:ascii="Arial" w:hAnsi="Arial" w:cs="Arial"/>
          <w:sz w:val="20"/>
          <w:szCs w:val="20"/>
        </w:rPr>
        <w:t xml:space="preserve">. </w:t>
      </w:r>
      <w:r w:rsidRPr="00BF7E57">
        <w:rPr>
          <w:rFonts w:ascii="Arial" w:hAnsi="Arial"/>
          <w:b/>
          <w:sz w:val="20"/>
        </w:rPr>
        <w:t>V tujino se izseljujejo predvsem mladi</w:t>
      </w:r>
      <w:r w:rsidRPr="00BF7E57">
        <w:rPr>
          <w:rFonts w:ascii="Arial" w:hAnsi="Arial"/>
          <w:sz w:val="20"/>
        </w:rPr>
        <w:t>. V letu 2018 se je iz Slovenije v tujino</w:t>
      </w:r>
      <w:r w:rsidRPr="00BF7E57" w:rsidDel="00431855">
        <w:rPr>
          <w:rFonts w:ascii="Arial" w:hAnsi="Arial"/>
          <w:sz w:val="20"/>
        </w:rPr>
        <w:t xml:space="preserve"> </w:t>
      </w:r>
      <w:r w:rsidRPr="00BF7E57">
        <w:rPr>
          <w:rFonts w:ascii="Arial" w:hAnsi="Arial"/>
          <w:sz w:val="20"/>
        </w:rPr>
        <w:t>odselilo 11.140 ljudi. Selitve se izvajajo največ v države EU.</w:t>
      </w:r>
    </w:p>
    <w:p w14:paraId="52CFC691" w14:textId="77777777" w:rsidR="0004661A" w:rsidRPr="00BF7E57" w:rsidRDefault="0004661A">
      <w:pPr>
        <w:rPr>
          <w:rFonts w:ascii="Arial" w:hAnsi="Arial" w:cs="Arial"/>
          <w:b/>
          <w:sz w:val="28"/>
          <w:szCs w:val="28"/>
        </w:rPr>
      </w:pPr>
      <w:r w:rsidRPr="00BF7E57">
        <w:rPr>
          <w:rFonts w:ascii="Arial" w:hAnsi="Arial" w:cs="Arial"/>
          <w:b/>
          <w:sz w:val="28"/>
          <w:szCs w:val="28"/>
        </w:rPr>
        <w:br w:type="page"/>
      </w:r>
    </w:p>
    <w:p w14:paraId="0FF444A3" w14:textId="657624FD" w:rsidR="009E0216" w:rsidRPr="00BF7E57" w:rsidRDefault="00286CF2" w:rsidP="005A0DD2">
      <w:pPr>
        <w:pStyle w:val="Naslov2"/>
        <w:keepLines w:val="0"/>
        <w:tabs>
          <w:tab w:val="left" w:pos="0"/>
          <w:tab w:val="left" w:pos="480"/>
          <w:tab w:val="left" w:pos="1276"/>
          <w:tab w:val="left" w:pos="4537"/>
        </w:tabs>
        <w:spacing w:after="200" w:line="360" w:lineRule="auto"/>
        <w:ind w:left="360"/>
        <w:jc w:val="both"/>
        <w:rPr>
          <w:rFonts w:ascii="Arial" w:hAnsi="Arial" w:cs="Arial"/>
          <w:color w:val="auto"/>
          <w:sz w:val="24"/>
          <w:szCs w:val="24"/>
        </w:rPr>
      </w:pPr>
      <w:bookmarkStart w:id="79" w:name="_Toc86826371"/>
      <w:r w:rsidRPr="00BF7E57">
        <w:rPr>
          <w:rFonts w:ascii="Arial" w:hAnsi="Arial" w:cs="Arial"/>
          <w:color w:val="auto"/>
          <w:sz w:val="24"/>
          <w:szCs w:val="24"/>
        </w:rPr>
        <w:lastRenderedPageBreak/>
        <w:t xml:space="preserve">2 </w:t>
      </w:r>
      <w:r w:rsidR="009E0216" w:rsidRPr="00BF7E57">
        <w:rPr>
          <w:rFonts w:ascii="Arial" w:hAnsi="Arial" w:cs="Arial"/>
          <w:color w:val="auto"/>
          <w:sz w:val="24"/>
          <w:szCs w:val="24"/>
        </w:rPr>
        <w:t>KAKOVOST ŽIVLJENJA IN SOCIALNA VKLJUČENOST</w:t>
      </w:r>
      <w:bookmarkEnd w:id="79"/>
    </w:p>
    <w:p w14:paraId="5A9989A6" w14:textId="6066C3E9" w:rsidR="009626D9"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Na kakovost življenja in socialno vključenost vplivajo različni dejavniki. Med pokazatelji so: stopnja tveganja revščine (12 % oseb v letu 2019</w:t>
      </w:r>
      <w:r w:rsidR="00A30231" w:rsidRPr="00BF7E57">
        <w:rPr>
          <w:rFonts w:ascii="Arial" w:hAnsi="Arial" w:cs="Arial"/>
        </w:rPr>
        <w:t xml:space="preserve"> in 12,4 % v letu 2020</w:t>
      </w:r>
      <w:r w:rsidRPr="00BF7E57">
        <w:rPr>
          <w:rFonts w:ascii="Arial" w:hAnsi="Arial" w:cs="Arial"/>
        </w:rPr>
        <w:t>), stopnja tveganja socialne izključenosti (14,4 % oseb v letu 2019</w:t>
      </w:r>
      <w:r w:rsidR="00A30231" w:rsidRPr="00BF7E57">
        <w:rPr>
          <w:rFonts w:ascii="Arial" w:hAnsi="Arial" w:cs="Arial"/>
        </w:rPr>
        <w:t xml:space="preserve"> in 15,0 % v letu 2020</w:t>
      </w:r>
      <w:r w:rsidRPr="00BF7E57">
        <w:rPr>
          <w:rFonts w:ascii="Arial" w:hAnsi="Arial" w:cs="Arial"/>
        </w:rPr>
        <w:t xml:space="preserve">), delež gospodinjstev z dostopom do interneta (enak evropskemu povprečju - </w:t>
      </w:r>
      <w:r w:rsidR="00A30231" w:rsidRPr="00BF7E57">
        <w:rPr>
          <w:rFonts w:ascii="Arial" w:hAnsi="Arial" w:cs="Arial"/>
        </w:rPr>
        <w:t>90</w:t>
      </w:r>
      <w:r w:rsidRPr="00BF7E57">
        <w:rPr>
          <w:rFonts w:ascii="Arial" w:hAnsi="Arial" w:cs="Arial"/>
        </w:rPr>
        <w:t xml:space="preserve"> % gospodinjstev v letu 20</w:t>
      </w:r>
      <w:r w:rsidR="00A30231" w:rsidRPr="00BF7E57">
        <w:rPr>
          <w:rFonts w:ascii="Arial" w:hAnsi="Arial" w:cs="Arial"/>
        </w:rPr>
        <w:t>20</w:t>
      </w:r>
      <w:r w:rsidRPr="00BF7E57">
        <w:rPr>
          <w:rFonts w:ascii="Arial" w:hAnsi="Arial" w:cs="Arial"/>
        </w:rPr>
        <w:t>), kazalnik zaupanja potrošnikov (na letni ravni za leto 2019 za 12 odstotnih točk nižji od povprečja leta 2018) in samoocena splošnega zadovoljstva z življenjem (povprečje ocen 7,5 v letu 2019</w:t>
      </w:r>
      <w:r w:rsidR="00A30231" w:rsidRPr="00BF7E57">
        <w:rPr>
          <w:rFonts w:ascii="Arial" w:hAnsi="Arial" w:cs="Arial"/>
        </w:rPr>
        <w:t xml:space="preserve"> in 7,4 v letu 2020</w:t>
      </w:r>
      <w:r w:rsidRPr="00BF7E57">
        <w:rPr>
          <w:rFonts w:ascii="Arial" w:hAnsi="Arial" w:cs="Arial"/>
        </w:rPr>
        <w:t>) (SURS, 2020</w:t>
      </w:r>
      <w:r w:rsidR="00A30231" w:rsidRPr="00BF7E57">
        <w:rPr>
          <w:rFonts w:ascii="Arial" w:hAnsi="Arial" w:cs="Arial"/>
        </w:rPr>
        <w:t>, 2021</w:t>
      </w:r>
      <w:r w:rsidRPr="00BF7E57">
        <w:rPr>
          <w:rFonts w:ascii="Arial" w:hAnsi="Arial" w:cs="Arial"/>
        </w:rPr>
        <w:t>). Pozitivno je</w:t>
      </w:r>
      <w:r w:rsidR="00B10E78" w:rsidRPr="00BF7E57">
        <w:rPr>
          <w:rFonts w:ascii="Arial" w:hAnsi="Arial" w:cs="Arial"/>
        </w:rPr>
        <w:t xml:space="preserve"> sicer</w:t>
      </w:r>
      <w:r w:rsidRPr="00BF7E57">
        <w:rPr>
          <w:rFonts w:ascii="Arial" w:hAnsi="Arial" w:cs="Arial"/>
        </w:rPr>
        <w:t xml:space="preserve">, da je </w:t>
      </w:r>
      <w:r w:rsidR="00B10E78" w:rsidRPr="00BF7E57">
        <w:rPr>
          <w:rFonts w:ascii="Arial" w:hAnsi="Arial" w:cs="Arial"/>
        </w:rPr>
        <w:t xml:space="preserve">bila leta 2018 </w:t>
      </w:r>
      <w:r w:rsidRPr="00BF7E57">
        <w:rPr>
          <w:rFonts w:ascii="Arial" w:hAnsi="Arial" w:cs="Arial"/>
        </w:rPr>
        <w:t>stopnja tveganja socialne izključenosti v Sloveniji veliko pod evropskim povprečjem (Slo: 14,4 %, EU: 21,8 %) prav tako pa je za polovico nižja tudi stopnja tveganja revščine otrok do 18 let (Slo: 10,5 %, EU: 20,2 %). Stopnja revščine</w:t>
      </w:r>
      <w:r w:rsidR="004A0505" w:rsidRPr="00BF7E57">
        <w:rPr>
          <w:rFonts w:ascii="Arial" w:hAnsi="Arial" w:cs="Arial"/>
        </w:rPr>
        <w:t xml:space="preserve"> (kazalnik C.10)</w:t>
      </w:r>
      <w:r w:rsidRPr="00BF7E57">
        <w:rPr>
          <w:rFonts w:ascii="Arial" w:hAnsi="Arial" w:cs="Arial"/>
        </w:rPr>
        <w:t xml:space="preserve"> v Sloveniji je bila po podatkih Eurostat leta 201</w:t>
      </w:r>
      <w:r w:rsidR="009626D9" w:rsidRPr="00BF7E57">
        <w:rPr>
          <w:rFonts w:ascii="Arial" w:hAnsi="Arial" w:cs="Arial"/>
        </w:rPr>
        <w:t>9</w:t>
      </w:r>
      <w:r w:rsidRPr="00BF7E57">
        <w:rPr>
          <w:rFonts w:ascii="Arial" w:hAnsi="Arial" w:cs="Arial"/>
        </w:rPr>
        <w:t xml:space="preserve"> nižja kot v obdobju pred krizo (Slo: leta 2008 18,50%, leta 201</w:t>
      </w:r>
      <w:r w:rsidR="009626D9" w:rsidRPr="00BF7E57">
        <w:rPr>
          <w:rFonts w:ascii="Arial" w:hAnsi="Arial" w:cs="Arial"/>
        </w:rPr>
        <w:t>9</w:t>
      </w:r>
      <w:r w:rsidRPr="00BF7E57">
        <w:rPr>
          <w:rFonts w:ascii="Arial" w:hAnsi="Arial" w:cs="Arial"/>
        </w:rPr>
        <w:t xml:space="preserve"> </w:t>
      </w:r>
      <w:r w:rsidR="009626D9" w:rsidRPr="00BF7E57">
        <w:rPr>
          <w:rFonts w:ascii="Arial" w:hAnsi="Arial" w:cs="Arial"/>
        </w:rPr>
        <w:t>14,20</w:t>
      </w:r>
      <w:r w:rsidRPr="00BF7E57">
        <w:rPr>
          <w:rFonts w:ascii="Arial" w:hAnsi="Arial" w:cs="Arial"/>
        </w:rPr>
        <w:t>%) in je veliko nižja od evropskega povprečja (EU</w:t>
      </w:r>
      <w:r w:rsidR="009626D9" w:rsidRPr="00BF7E57">
        <w:rPr>
          <w:rFonts w:ascii="Arial" w:hAnsi="Arial" w:cs="Arial"/>
        </w:rPr>
        <w:t>-27</w:t>
      </w:r>
      <w:r w:rsidRPr="00BF7E57">
        <w:rPr>
          <w:rFonts w:ascii="Arial" w:hAnsi="Arial" w:cs="Arial"/>
        </w:rPr>
        <w:t xml:space="preserve">: </w:t>
      </w:r>
      <w:r w:rsidR="009626D9" w:rsidRPr="00BF7E57">
        <w:rPr>
          <w:rFonts w:ascii="Arial" w:hAnsi="Arial" w:cs="Arial"/>
        </w:rPr>
        <w:t>20,90</w:t>
      </w:r>
      <w:r w:rsidRPr="00BF7E57">
        <w:rPr>
          <w:rFonts w:ascii="Arial" w:hAnsi="Arial" w:cs="Arial"/>
        </w:rPr>
        <w:t xml:space="preserve"> %).</w:t>
      </w:r>
      <w:r w:rsidR="009626D9" w:rsidRPr="00BF7E57">
        <w:rPr>
          <w:rFonts w:ascii="Arial" w:hAnsi="Arial" w:cs="Arial"/>
        </w:rPr>
        <w:t xml:space="preserve"> Glede na regije je ta razlika še večja: v Sloveniji 14,40 %, v EU-27 pa je bila leta 2019 v podeželskih regijah stopnja revščine 22,40 %.</w:t>
      </w:r>
      <w:r w:rsidRPr="00BF7E57">
        <w:rPr>
          <w:rFonts w:ascii="Arial" w:hAnsi="Arial" w:cs="Arial"/>
        </w:rPr>
        <w:t xml:space="preserve"> Po življenjskem standardu, merjenem z BDP na prebivalca po standardu kupne moči, je Slovenija na 12. mestu držav EU. Izdatki za socialno varstvo (% od BDP) so 22,6 %, kar je nižje od EU povprečja, ki znaša 27,8 % (SURS; Eurostat). </w:t>
      </w:r>
    </w:p>
    <w:p w14:paraId="14333289" w14:textId="0183416C" w:rsidR="009E0216"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color w:val="000000"/>
        </w:rPr>
        <w:t xml:space="preserve">V marcu 2020 je bila v Sloveniji razglašena epidemija koronavirusne bolezni, ki je prinesla negativne učinke tudi na socialni položaj ljudi. </w:t>
      </w:r>
      <w:r w:rsidRPr="00BF7E57">
        <w:rPr>
          <w:rFonts w:ascii="Arial" w:hAnsi="Arial" w:cs="Arial"/>
        </w:rPr>
        <w:t>Socialno-ekonomski položaj vpliva med drugim tudi na razlike v izobraževanju pri mladih in odraslih, ki pa so večinoma manjše kot v povprečju EU (UMAR, 2020</w:t>
      </w:r>
      <w:r w:rsidR="009626D9" w:rsidRPr="00BF7E57">
        <w:rPr>
          <w:rFonts w:ascii="Arial" w:hAnsi="Arial" w:cs="Arial"/>
        </w:rPr>
        <w:t>, 2021</w:t>
      </w:r>
      <w:r w:rsidRPr="00BF7E57">
        <w:rPr>
          <w:rFonts w:ascii="Arial" w:hAnsi="Arial" w:cs="Arial"/>
        </w:rPr>
        <w:t>). Dohodkovni položaj vpliva tudi na vključenost odraslih v izobraževanje, ki je najnižj</w:t>
      </w:r>
      <w:r w:rsidR="00305281" w:rsidRPr="00BF7E57">
        <w:rPr>
          <w:rFonts w:ascii="Arial" w:hAnsi="Arial" w:cs="Arial"/>
        </w:rPr>
        <w:t>i</w:t>
      </w:r>
      <w:r w:rsidRPr="00BF7E57">
        <w:rPr>
          <w:rFonts w:ascii="Arial" w:hAnsi="Arial" w:cs="Arial"/>
        </w:rPr>
        <w:t xml:space="preserve"> pri nizko izobraženih z v povprečju nizkimi dohodki.</w:t>
      </w:r>
    </w:p>
    <w:p w14:paraId="0B266ADE" w14:textId="5C0C725F" w:rsidR="009E0216" w:rsidRPr="00BF7E57" w:rsidRDefault="009E0216" w:rsidP="001D5FC0">
      <w:pPr>
        <w:spacing w:before="200" w:line="360" w:lineRule="auto"/>
        <w:jc w:val="both"/>
        <w:rPr>
          <w:rFonts w:ascii="Arial" w:hAnsi="Arial" w:cs="Arial"/>
          <w:sz w:val="20"/>
          <w:szCs w:val="20"/>
        </w:rPr>
      </w:pPr>
      <w:r w:rsidRPr="00BF7E57">
        <w:rPr>
          <w:rFonts w:ascii="Arial" w:hAnsi="Arial" w:cs="Arial"/>
          <w:sz w:val="20"/>
          <w:szCs w:val="20"/>
        </w:rPr>
        <w:t xml:space="preserve">V letu 2020 se je po razglasitvi epidemije COVID-19 življenje nekaterih spremenilo, saj </w:t>
      </w:r>
      <w:r w:rsidR="00305281" w:rsidRPr="00BF7E57">
        <w:rPr>
          <w:rFonts w:ascii="Arial" w:hAnsi="Arial" w:cs="Arial"/>
          <w:sz w:val="20"/>
          <w:szCs w:val="20"/>
        </w:rPr>
        <w:t xml:space="preserve">epidemija </w:t>
      </w:r>
      <w:r w:rsidRPr="00BF7E57">
        <w:rPr>
          <w:rFonts w:ascii="Arial" w:hAnsi="Arial" w:cs="Arial"/>
          <w:sz w:val="20"/>
          <w:szCs w:val="20"/>
        </w:rPr>
        <w:t>že vpliva na subjektivno blaginjo in kakovost življenja. To še posebej velja za določene skupine prebivalstva, kot so otroci in mladostniki, ženske, starejši ter br</w:t>
      </w:r>
      <w:r w:rsidR="007344C6" w:rsidRPr="00BF7E57">
        <w:rPr>
          <w:rFonts w:ascii="Arial" w:hAnsi="Arial" w:cs="Arial"/>
          <w:sz w:val="20"/>
          <w:szCs w:val="20"/>
        </w:rPr>
        <w:t xml:space="preserve">ezposelni in prekarni delavci. </w:t>
      </w:r>
    </w:p>
    <w:p w14:paraId="5BDE89DC" w14:textId="55A736D6" w:rsidR="009E0216" w:rsidRPr="00BF7E57" w:rsidRDefault="00232E6B" w:rsidP="001427AE">
      <w:pPr>
        <w:pStyle w:val="Napis"/>
      </w:pPr>
      <w:bookmarkStart w:id="80" w:name="_Toc47092638"/>
      <w:bookmarkStart w:id="81" w:name="_Toc86826450"/>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12</w:t>
      </w:r>
      <w:r w:rsidR="00A30B83" w:rsidRPr="00BF7E57">
        <w:rPr>
          <w:noProof/>
        </w:rPr>
        <w:fldChar w:fldCharType="end"/>
      </w:r>
      <w:r w:rsidRPr="00BF7E57">
        <w:t>: Osnovni podatki dohodka, revščine in socialne izključenosti v Sloveniji</w:t>
      </w:r>
      <w:bookmarkEnd w:id="80"/>
      <w:bookmarkEnd w:id="81"/>
    </w:p>
    <w:tbl>
      <w:tblPr>
        <w:tblW w:w="905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18"/>
        <w:gridCol w:w="962"/>
        <w:gridCol w:w="976"/>
      </w:tblGrid>
      <w:tr w:rsidR="00C66F92" w:rsidRPr="00BF7E57" w14:paraId="4DE868CE" w14:textId="68474562" w:rsidTr="004A0505">
        <w:trPr>
          <w:trHeight w:val="244"/>
        </w:trPr>
        <w:tc>
          <w:tcPr>
            <w:tcW w:w="7192"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035B9424" w14:textId="77777777" w:rsidR="00C66F92" w:rsidRPr="00BF7E57" w:rsidRDefault="00C66F92" w:rsidP="00172AAF">
            <w:pPr>
              <w:spacing w:after="0" w:line="360" w:lineRule="auto"/>
              <w:jc w:val="center"/>
              <w:rPr>
                <w:rFonts w:ascii="Arial" w:hAnsi="Arial" w:cs="Arial"/>
                <w:b/>
                <w:sz w:val="20"/>
                <w:szCs w:val="20"/>
              </w:rPr>
            </w:pPr>
          </w:p>
        </w:tc>
        <w:tc>
          <w:tcPr>
            <w:tcW w:w="966"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6B4EED09" w14:textId="77777777" w:rsidR="00C66F92" w:rsidRPr="00BF7E57" w:rsidRDefault="00C66F92" w:rsidP="00172AAF">
            <w:pPr>
              <w:spacing w:after="0" w:line="360" w:lineRule="auto"/>
              <w:jc w:val="center"/>
              <w:rPr>
                <w:rFonts w:ascii="Arial" w:hAnsi="Arial" w:cs="Arial"/>
                <w:b/>
                <w:sz w:val="20"/>
                <w:szCs w:val="20"/>
              </w:rPr>
            </w:pPr>
            <w:r w:rsidRPr="00BF7E57">
              <w:rPr>
                <w:rFonts w:ascii="Arial" w:hAnsi="Arial" w:cs="Arial"/>
                <w:b/>
                <w:sz w:val="20"/>
                <w:szCs w:val="20"/>
              </w:rPr>
              <w:t>2019</w:t>
            </w:r>
          </w:p>
        </w:tc>
        <w:tc>
          <w:tcPr>
            <w:tcW w:w="898" w:type="dxa"/>
            <w:tcBorders>
              <w:top w:val="outset" w:sz="6" w:space="0" w:color="auto"/>
              <w:left w:val="outset" w:sz="6" w:space="0" w:color="auto"/>
              <w:bottom w:val="outset" w:sz="6" w:space="0" w:color="auto"/>
              <w:right w:val="outset" w:sz="6" w:space="0" w:color="auto"/>
            </w:tcBorders>
            <w:shd w:val="clear" w:color="auto" w:fill="92D050"/>
          </w:tcPr>
          <w:p w14:paraId="113DBFE8" w14:textId="18D7B1BF" w:rsidR="00C66F92" w:rsidRPr="00BF7E57" w:rsidRDefault="00C66F92" w:rsidP="00172AAF">
            <w:pPr>
              <w:spacing w:after="0" w:line="360" w:lineRule="auto"/>
              <w:jc w:val="center"/>
              <w:rPr>
                <w:rFonts w:ascii="Arial" w:hAnsi="Arial" w:cs="Arial"/>
                <w:b/>
                <w:sz w:val="20"/>
                <w:szCs w:val="20"/>
              </w:rPr>
            </w:pPr>
            <w:r w:rsidRPr="00BF7E57">
              <w:rPr>
                <w:rFonts w:ascii="Arial" w:hAnsi="Arial" w:cs="Arial"/>
                <w:b/>
                <w:sz w:val="20"/>
                <w:szCs w:val="20"/>
              </w:rPr>
              <w:t>2020/2021</w:t>
            </w:r>
          </w:p>
        </w:tc>
      </w:tr>
      <w:tr w:rsidR="00C66F92" w:rsidRPr="00BF7E57" w14:paraId="2DF96997" w14:textId="08F7F210"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68098E76"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Povprečni letni razpoložljivi dohodek na gospodinjstvo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51AB26B9"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24.725</w:t>
            </w:r>
          </w:p>
        </w:tc>
        <w:tc>
          <w:tcPr>
            <w:tcW w:w="898" w:type="dxa"/>
            <w:tcBorders>
              <w:top w:val="outset" w:sz="6" w:space="0" w:color="auto"/>
              <w:left w:val="outset" w:sz="6" w:space="0" w:color="auto"/>
              <w:bottom w:val="outset" w:sz="6" w:space="0" w:color="auto"/>
              <w:right w:val="outset" w:sz="6" w:space="0" w:color="auto"/>
            </w:tcBorders>
          </w:tcPr>
          <w:p w14:paraId="2B0E0DEE" w14:textId="193D99CC" w:rsidR="00C66F92" w:rsidRPr="00BF7E57" w:rsidRDefault="00C66F9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14BD37F4" w14:textId="55392D30"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54548C4A"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Povprečni letni razpoložljivi dohodek na člana gospodinjstva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4A96C2D5"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10.093</w:t>
            </w:r>
          </w:p>
        </w:tc>
        <w:tc>
          <w:tcPr>
            <w:tcW w:w="898" w:type="dxa"/>
            <w:tcBorders>
              <w:top w:val="outset" w:sz="6" w:space="0" w:color="auto"/>
              <w:left w:val="outset" w:sz="6" w:space="0" w:color="auto"/>
              <w:bottom w:val="outset" w:sz="6" w:space="0" w:color="auto"/>
              <w:right w:val="outset" w:sz="6" w:space="0" w:color="auto"/>
            </w:tcBorders>
          </w:tcPr>
          <w:p w14:paraId="0D878074" w14:textId="592E3A50"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1280D407" w14:textId="225798D7"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3A184590"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Povprečni letni ekvivalentni razpoložljivi dohodek na člana gospodinjstva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50316873"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15.236</w:t>
            </w:r>
          </w:p>
        </w:tc>
        <w:tc>
          <w:tcPr>
            <w:tcW w:w="898" w:type="dxa"/>
            <w:tcBorders>
              <w:top w:val="outset" w:sz="6" w:space="0" w:color="auto"/>
              <w:left w:val="outset" w:sz="6" w:space="0" w:color="auto"/>
              <w:bottom w:val="outset" w:sz="6" w:space="0" w:color="auto"/>
              <w:right w:val="outset" w:sz="6" w:space="0" w:color="auto"/>
            </w:tcBorders>
          </w:tcPr>
          <w:p w14:paraId="158F3A83" w14:textId="08FC312C"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4AE6E5CE" w14:textId="32C4753A" w:rsidTr="00E150C2">
        <w:trPr>
          <w:trHeight w:val="244"/>
        </w:trPr>
        <w:tc>
          <w:tcPr>
            <w:tcW w:w="7192" w:type="dxa"/>
            <w:tcBorders>
              <w:top w:val="outset" w:sz="6" w:space="0" w:color="auto"/>
              <w:left w:val="outset" w:sz="6" w:space="0" w:color="auto"/>
              <w:bottom w:val="outset" w:sz="6" w:space="0" w:color="auto"/>
              <w:right w:val="outset" w:sz="6" w:space="0" w:color="auto"/>
            </w:tcBorders>
            <w:vAlign w:val="center"/>
            <w:hideMark/>
          </w:tcPr>
          <w:p w14:paraId="7352D89F"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Letni prag tveganja revščine za enočlansko gospodinjstvo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4C4D41EC"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8.440</w:t>
            </w:r>
          </w:p>
        </w:tc>
        <w:tc>
          <w:tcPr>
            <w:tcW w:w="898" w:type="dxa"/>
            <w:tcBorders>
              <w:top w:val="outset" w:sz="6" w:space="0" w:color="auto"/>
              <w:left w:val="outset" w:sz="6" w:space="0" w:color="auto"/>
              <w:bottom w:val="outset" w:sz="6" w:space="0" w:color="auto"/>
              <w:right w:val="outset" w:sz="6" w:space="0" w:color="auto"/>
            </w:tcBorders>
          </w:tcPr>
          <w:p w14:paraId="35D21068" w14:textId="022279E9"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8.864</w:t>
            </w:r>
          </w:p>
        </w:tc>
      </w:tr>
      <w:tr w:rsidR="00C66F92" w:rsidRPr="00BF7E57" w14:paraId="327B491C" w14:textId="56CC338E"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170AFF55"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tveganja socialne izključenosti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1BF21E26"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14,4</w:t>
            </w:r>
          </w:p>
        </w:tc>
        <w:tc>
          <w:tcPr>
            <w:tcW w:w="898" w:type="dxa"/>
            <w:tcBorders>
              <w:top w:val="outset" w:sz="6" w:space="0" w:color="auto"/>
              <w:left w:val="outset" w:sz="6" w:space="0" w:color="auto"/>
              <w:bottom w:val="outset" w:sz="6" w:space="0" w:color="auto"/>
              <w:right w:val="outset" w:sz="6" w:space="0" w:color="auto"/>
            </w:tcBorders>
          </w:tcPr>
          <w:p w14:paraId="72E2BD41" w14:textId="05AFC336"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15,0</w:t>
            </w:r>
          </w:p>
        </w:tc>
      </w:tr>
      <w:tr w:rsidR="00C66F92" w:rsidRPr="00BF7E57" w14:paraId="3218DE21" w14:textId="7F834B50" w:rsidTr="00E150C2">
        <w:trPr>
          <w:trHeight w:val="226"/>
        </w:trPr>
        <w:tc>
          <w:tcPr>
            <w:tcW w:w="71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07E94"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 xml:space="preserve">Stopnja tveganja revščine (% oseb) </w:t>
            </w:r>
          </w:p>
        </w:tc>
        <w:tc>
          <w:tcPr>
            <w:tcW w:w="9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4D194"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12,0</w:t>
            </w:r>
          </w:p>
        </w:tc>
        <w:tc>
          <w:tcPr>
            <w:tcW w:w="898" w:type="dxa"/>
            <w:tcBorders>
              <w:top w:val="outset" w:sz="6" w:space="0" w:color="auto"/>
              <w:left w:val="outset" w:sz="6" w:space="0" w:color="auto"/>
              <w:bottom w:val="outset" w:sz="6" w:space="0" w:color="auto"/>
              <w:right w:val="outset" w:sz="6" w:space="0" w:color="auto"/>
            </w:tcBorders>
          </w:tcPr>
          <w:p w14:paraId="6AED410F" w14:textId="03F11728"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12,4</w:t>
            </w:r>
          </w:p>
        </w:tc>
      </w:tr>
      <w:tr w:rsidR="00C66F92" w:rsidRPr="00BF7E57" w14:paraId="52161DDF" w14:textId="2AE5C62D"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7F0E56C6"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resne materialne prikrajšanosti - za 4 od 9 elementov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6423F25F"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2,6</w:t>
            </w:r>
          </w:p>
        </w:tc>
        <w:tc>
          <w:tcPr>
            <w:tcW w:w="898" w:type="dxa"/>
            <w:tcBorders>
              <w:top w:val="outset" w:sz="6" w:space="0" w:color="auto"/>
              <w:left w:val="outset" w:sz="6" w:space="0" w:color="auto"/>
              <w:bottom w:val="outset" w:sz="6" w:space="0" w:color="auto"/>
              <w:right w:val="outset" w:sz="6" w:space="0" w:color="auto"/>
            </w:tcBorders>
          </w:tcPr>
          <w:p w14:paraId="4BF06B36" w14:textId="67877C1D"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3682FD40" w14:textId="614DDFAA"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3584DB6A"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zelo nizke delovne intenzivnosti, starost 0–59 let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44E23E76"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5,2</w:t>
            </w:r>
          </w:p>
        </w:tc>
        <w:tc>
          <w:tcPr>
            <w:tcW w:w="898" w:type="dxa"/>
            <w:tcBorders>
              <w:top w:val="outset" w:sz="6" w:space="0" w:color="auto"/>
              <w:left w:val="outset" w:sz="6" w:space="0" w:color="auto"/>
              <w:bottom w:val="outset" w:sz="6" w:space="0" w:color="auto"/>
              <w:right w:val="outset" w:sz="6" w:space="0" w:color="auto"/>
            </w:tcBorders>
          </w:tcPr>
          <w:p w14:paraId="038A6FED" w14:textId="4CEE3E96"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64F3EDE4" w14:textId="70F4918A"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5A3A458F"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tveganja revščine pred socialnimi transferji, razen pokojnin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088B5977"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22,0</w:t>
            </w:r>
          </w:p>
        </w:tc>
        <w:tc>
          <w:tcPr>
            <w:tcW w:w="898" w:type="dxa"/>
            <w:tcBorders>
              <w:top w:val="outset" w:sz="6" w:space="0" w:color="auto"/>
              <w:left w:val="outset" w:sz="6" w:space="0" w:color="auto"/>
              <w:bottom w:val="outset" w:sz="6" w:space="0" w:color="auto"/>
              <w:right w:val="outset" w:sz="6" w:space="0" w:color="auto"/>
            </w:tcBorders>
          </w:tcPr>
          <w:p w14:paraId="71804F0B" w14:textId="54B7DF96"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54B8A402" w14:textId="62655932" w:rsidTr="00E150C2">
        <w:trPr>
          <w:trHeight w:val="244"/>
        </w:trPr>
        <w:tc>
          <w:tcPr>
            <w:tcW w:w="7192" w:type="dxa"/>
            <w:tcBorders>
              <w:top w:val="outset" w:sz="6" w:space="0" w:color="auto"/>
              <w:left w:val="outset" w:sz="6" w:space="0" w:color="auto"/>
              <w:bottom w:val="outset" w:sz="6" w:space="0" w:color="auto"/>
              <w:right w:val="outset" w:sz="6" w:space="0" w:color="auto"/>
            </w:tcBorders>
            <w:vAlign w:val="center"/>
            <w:hideMark/>
          </w:tcPr>
          <w:p w14:paraId="7CFA1E7D"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tveganja revščine pred socialnimi transferji, vključno s pokojninami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2270995F"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39,2</w:t>
            </w:r>
          </w:p>
        </w:tc>
        <w:tc>
          <w:tcPr>
            <w:tcW w:w="898" w:type="dxa"/>
            <w:tcBorders>
              <w:top w:val="outset" w:sz="6" w:space="0" w:color="auto"/>
              <w:left w:val="outset" w:sz="6" w:space="0" w:color="auto"/>
              <w:bottom w:val="outset" w:sz="6" w:space="0" w:color="auto"/>
              <w:right w:val="outset" w:sz="6" w:space="0" w:color="auto"/>
            </w:tcBorders>
          </w:tcPr>
          <w:p w14:paraId="651BCB46" w14:textId="716B93BE"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bl>
    <w:p w14:paraId="4A78BA0A" w14:textId="10D27A28" w:rsidR="009E0216" w:rsidRPr="00BF7E57" w:rsidRDefault="009E0216" w:rsidP="00EA2E4C">
      <w:pPr>
        <w:pStyle w:val="Navadensplet"/>
        <w:shd w:val="clear" w:color="auto" w:fill="FFFFFF"/>
        <w:spacing w:line="360" w:lineRule="auto"/>
        <w:rPr>
          <w:rFonts w:ascii="Arial" w:hAnsi="Arial" w:cs="Arial"/>
          <w:sz w:val="16"/>
          <w:szCs w:val="16"/>
        </w:rPr>
      </w:pPr>
      <w:r w:rsidRPr="00BF7E57">
        <w:rPr>
          <w:rFonts w:ascii="Arial" w:hAnsi="Arial" w:cs="Arial"/>
          <w:sz w:val="16"/>
          <w:szCs w:val="16"/>
        </w:rPr>
        <w:lastRenderedPageBreak/>
        <w:t>Vir: SURS</w:t>
      </w:r>
      <w:r w:rsidR="00A30231" w:rsidRPr="00BF7E57">
        <w:rPr>
          <w:rFonts w:ascii="Arial" w:hAnsi="Arial" w:cs="Arial"/>
          <w:sz w:val="16"/>
          <w:szCs w:val="16"/>
        </w:rPr>
        <w:t>, 2020</w:t>
      </w:r>
    </w:p>
    <w:p w14:paraId="739E307C" w14:textId="77777777" w:rsidR="009E0216" w:rsidRPr="00BF7E57" w:rsidRDefault="009E0216" w:rsidP="001D5FC0">
      <w:pPr>
        <w:keepNext/>
        <w:shd w:val="clear" w:color="auto" w:fill="FFFFFF" w:themeFill="background1"/>
        <w:spacing w:line="360" w:lineRule="auto"/>
        <w:jc w:val="both"/>
        <w:rPr>
          <w:rFonts w:ascii="Arial" w:hAnsi="Arial" w:cs="Arial"/>
          <w:sz w:val="20"/>
          <w:szCs w:val="20"/>
          <w:u w:val="single"/>
        </w:rPr>
      </w:pPr>
      <w:r w:rsidRPr="00BF7E57">
        <w:rPr>
          <w:rFonts w:ascii="Arial" w:hAnsi="Arial" w:cs="Arial"/>
          <w:sz w:val="20"/>
          <w:szCs w:val="20"/>
          <w:u w:val="single"/>
        </w:rPr>
        <w:t>Razvojna ogroženost regij</w:t>
      </w:r>
    </w:p>
    <w:p w14:paraId="16B6F704" w14:textId="7614F07E" w:rsidR="009E0216" w:rsidRPr="00BF7E57" w:rsidRDefault="009E0216" w:rsidP="00EA2E4C">
      <w:pPr>
        <w:shd w:val="clear" w:color="auto" w:fill="FFFFFF" w:themeFill="background1"/>
        <w:spacing w:line="360" w:lineRule="auto"/>
        <w:jc w:val="both"/>
        <w:rPr>
          <w:rFonts w:ascii="Arial" w:hAnsi="Arial" w:cs="Arial"/>
          <w:sz w:val="20"/>
          <w:szCs w:val="20"/>
        </w:rPr>
      </w:pPr>
      <w:r w:rsidRPr="00BF7E57">
        <w:rPr>
          <w:rFonts w:ascii="Arial" w:hAnsi="Arial" w:cs="Arial"/>
          <w:sz w:val="20"/>
          <w:szCs w:val="20"/>
        </w:rPr>
        <w:t>Po podatkih UMAR je razvojna ogroženost, merjena z indeksom razvojne ogroženosti (IRO), za leto 2019 višja v regijah vzhodne Slovenije</w:t>
      </w:r>
      <w:r w:rsidR="00D8220A" w:rsidRPr="00BF7E57">
        <w:rPr>
          <w:rFonts w:ascii="Arial" w:hAnsi="Arial" w:cs="Arial"/>
          <w:sz w:val="20"/>
          <w:szCs w:val="20"/>
        </w:rPr>
        <w:t xml:space="preserve"> (</w:t>
      </w:r>
      <w:r w:rsidR="00305281" w:rsidRPr="00BF7E57">
        <w:rPr>
          <w:rFonts w:ascii="Arial" w:hAnsi="Arial" w:cs="Arial"/>
          <w:sz w:val="20"/>
          <w:szCs w:val="20"/>
        </w:rPr>
        <w:fldChar w:fldCharType="begin"/>
      </w:r>
      <w:r w:rsidR="00305281" w:rsidRPr="00BF7E57">
        <w:rPr>
          <w:rFonts w:ascii="Arial" w:hAnsi="Arial" w:cs="Arial"/>
          <w:sz w:val="20"/>
          <w:szCs w:val="20"/>
        </w:rPr>
        <w:instrText xml:space="preserve"> REF _Ref84859155 \h </w:instrText>
      </w:r>
      <w:r w:rsidR="00305281" w:rsidRPr="00BF7E57">
        <w:rPr>
          <w:rFonts w:ascii="Arial" w:hAnsi="Arial" w:cs="Arial"/>
          <w:sz w:val="20"/>
          <w:szCs w:val="20"/>
        </w:rPr>
      </w:r>
      <w:r w:rsidR="00BF7E57">
        <w:rPr>
          <w:rFonts w:ascii="Arial" w:hAnsi="Arial" w:cs="Arial"/>
          <w:sz w:val="20"/>
          <w:szCs w:val="20"/>
        </w:rPr>
        <w:instrText xml:space="preserve"> \* MERGEFORMAT </w:instrText>
      </w:r>
      <w:r w:rsidR="00305281" w:rsidRPr="00BF7E57">
        <w:rPr>
          <w:rFonts w:ascii="Arial" w:hAnsi="Arial" w:cs="Arial"/>
          <w:sz w:val="20"/>
          <w:szCs w:val="20"/>
        </w:rPr>
        <w:fldChar w:fldCharType="separate"/>
      </w:r>
      <w:r w:rsidR="00236865" w:rsidRPr="00BF7E57">
        <w:t xml:space="preserve">Slika </w:t>
      </w:r>
      <w:r w:rsidR="00236865">
        <w:rPr>
          <w:noProof/>
        </w:rPr>
        <w:t>17</w:t>
      </w:r>
      <w:r w:rsidR="00305281" w:rsidRPr="00BF7E57">
        <w:rPr>
          <w:rFonts w:ascii="Arial" w:hAnsi="Arial" w:cs="Arial"/>
          <w:sz w:val="20"/>
          <w:szCs w:val="20"/>
        </w:rPr>
        <w:fldChar w:fldCharType="end"/>
      </w:r>
      <w:r w:rsidR="00D8220A" w:rsidRPr="00BF7E57">
        <w:rPr>
          <w:rFonts w:ascii="Arial" w:hAnsi="Arial" w:cs="Arial"/>
          <w:sz w:val="20"/>
          <w:szCs w:val="20"/>
        </w:rPr>
        <w:t>)</w:t>
      </w:r>
      <w:r w:rsidRPr="00BF7E57">
        <w:rPr>
          <w:rFonts w:ascii="Arial" w:hAnsi="Arial" w:cs="Arial"/>
          <w:sz w:val="20"/>
          <w:szCs w:val="20"/>
        </w:rPr>
        <w:t xml:space="preserve">. Kazalnik IRO za leto 2019 kaže, da po razvojni ogroženosti oziroma razvitosti izstopata predvsem dve regiji. Osrednjeslovenska regija najbolj izstopa v pozitivno smer in ima za polovico manjšo vrednost IRO od slovenskega povprečja.  </w:t>
      </w:r>
      <w:r w:rsidR="00305281" w:rsidRPr="00BF7E57">
        <w:rPr>
          <w:rFonts w:ascii="Arial" w:hAnsi="Arial" w:cs="Arial"/>
          <w:sz w:val="20"/>
          <w:szCs w:val="20"/>
        </w:rPr>
        <w:t>V</w:t>
      </w:r>
      <w:r w:rsidRPr="00BF7E57">
        <w:rPr>
          <w:rFonts w:ascii="Arial" w:hAnsi="Arial" w:cs="Arial"/>
          <w:sz w:val="20"/>
          <w:szCs w:val="20"/>
        </w:rPr>
        <w:t xml:space="preserve"> treh regijah je IRO ugoden,</w:t>
      </w:r>
      <w:r w:rsidR="00305281" w:rsidRPr="00BF7E57">
        <w:rPr>
          <w:rFonts w:ascii="Arial" w:hAnsi="Arial" w:cs="Arial"/>
          <w:sz w:val="20"/>
          <w:szCs w:val="20"/>
        </w:rPr>
        <w:t xml:space="preserve"> in sicer</w:t>
      </w:r>
      <w:r w:rsidRPr="00BF7E57">
        <w:rPr>
          <w:rFonts w:ascii="Arial" w:hAnsi="Arial" w:cs="Arial"/>
          <w:sz w:val="20"/>
          <w:szCs w:val="20"/>
        </w:rPr>
        <w:t xml:space="preserve"> v osrednjeslovenski, gorenjski in jugovzhodni Sloveniji, kjer IRO ne presega slovenskega povprečja. Pomurska regija pa najbolj razvojno izstopa v negativno smer, saj za več kot dve tretjini presega slovensko povprečje. Visok IRO je tudi v zasavski, podravski, koroški in posavski regiji. V zahodni Sloveniji ima najvišji IRO primorsko-notranjska regija. </w:t>
      </w:r>
    </w:p>
    <w:p w14:paraId="4136310E" w14:textId="3DCD09A1" w:rsidR="00A53A3F" w:rsidRPr="00BF7E57" w:rsidRDefault="009E0216" w:rsidP="00EA2E4C">
      <w:pPr>
        <w:shd w:val="clear" w:color="auto" w:fill="FFFFFF" w:themeFill="background1"/>
        <w:spacing w:line="360" w:lineRule="auto"/>
        <w:jc w:val="both"/>
        <w:rPr>
          <w:rFonts w:ascii="Arial" w:hAnsi="Arial" w:cs="Arial"/>
          <w:sz w:val="20"/>
          <w:szCs w:val="20"/>
        </w:rPr>
      </w:pPr>
      <w:r w:rsidRPr="00BF7E57">
        <w:rPr>
          <w:rFonts w:ascii="Arial" w:hAnsi="Arial" w:cs="Arial"/>
          <w:sz w:val="20"/>
          <w:szCs w:val="20"/>
        </w:rPr>
        <w:t>Pomurska regija je najbolj razvojno ogrožena regija. Pri kazalnikih produktivnost, razpoložljivi dohodek, zaposlenost, brezposelnost, izobrazba, staranje prebivalstva je regija na zadnjem mestu med vsemi regijami, pa tudi pri ostalih kazalnikih je med najslabšimi regijami. Podpovprečen je BDP, nizke pa so tudi bruto i</w:t>
      </w:r>
      <w:r w:rsidR="00E150C2" w:rsidRPr="00BF7E57">
        <w:rPr>
          <w:rFonts w:ascii="Arial" w:hAnsi="Arial" w:cs="Arial"/>
          <w:sz w:val="20"/>
          <w:szCs w:val="20"/>
        </w:rPr>
        <w:t xml:space="preserve">nvesticije v osnovna sredstva. </w:t>
      </w:r>
      <w:r w:rsidRPr="00BF7E57">
        <w:rPr>
          <w:rFonts w:ascii="Arial" w:hAnsi="Arial" w:cs="Arial"/>
          <w:sz w:val="20"/>
          <w:szCs w:val="20"/>
        </w:rPr>
        <w:t>Zasavska regija je druga najbolj razvojno ogrožena regija v Sloveniji, ima najnižji BDP na prebivalca, zelo nizka sta tudi deleža bruto investicij v osnovna sredstva in sredstv</w:t>
      </w:r>
      <w:r w:rsidR="005C7DF2" w:rsidRPr="00BF7E57">
        <w:rPr>
          <w:rFonts w:ascii="Arial" w:hAnsi="Arial" w:cs="Arial"/>
          <w:sz w:val="20"/>
          <w:szCs w:val="20"/>
        </w:rPr>
        <w:t>a</w:t>
      </w:r>
      <w:r w:rsidRPr="00BF7E57">
        <w:rPr>
          <w:rFonts w:ascii="Arial" w:hAnsi="Arial" w:cs="Arial"/>
          <w:sz w:val="20"/>
          <w:szCs w:val="20"/>
        </w:rPr>
        <w:t xml:space="preserve"> za raziskav</w:t>
      </w:r>
      <w:r w:rsidR="005C7DF2" w:rsidRPr="00BF7E57">
        <w:rPr>
          <w:rFonts w:ascii="Arial" w:hAnsi="Arial" w:cs="Arial"/>
          <w:sz w:val="20"/>
          <w:szCs w:val="20"/>
        </w:rPr>
        <w:t>e</w:t>
      </w:r>
      <w:r w:rsidRPr="00BF7E57">
        <w:rPr>
          <w:rFonts w:ascii="Arial" w:hAnsi="Arial" w:cs="Arial"/>
          <w:sz w:val="20"/>
          <w:szCs w:val="20"/>
        </w:rPr>
        <w:t xml:space="preserve"> in razvoj v BDP. Prav tako so neugodni kazalniki brezposelnosti in staranja prebivalstva. Podravski regiji razvojno ogroženost povečujejo predvsem kazalniki na področju investicij, raziskav in razvoja ter staranja prebivalstva, delež sredstev za bruto investicije v BDP je že vrsto let najnižji med regijami. Po gospodarski aktivnosti je podpovprečna, visoka pa je tudi brezposelnost, še posebej med mladimi. Koroška regija pozitivno izstopa predvsem po visokem razpoložljivem dohodku na prebivalca, na kar je vplivala zaposlitev preko meje. Po vseh ostalih kazalnikih, ki so vključeni v izračun IRO, je koroška regija pod slovenskim povprečjem. Bistveno bolj kot v slovenskem povprečju je porasel indeks staranja prebivalstva saj se prebivalstvo regije pospešeno stara. Primorsko-notranjska regija je najredkeje poseljena regija, razvojno ogroženost ji povečuje tudi visok delež varovanih območij in nizek delež sredstev za raziskave in razvoj. Regija ima tudi nizek BDP na prebivalca, pozitivno pa izstopa po zaposlenosti. Razlike med preostalimi regijami so precej manjše. </w:t>
      </w:r>
    </w:p>
    <w:p w14:paraId="27618164" w14:textId="1A0D5A92" w:rsidR="00A045B7" w:rsidRPr="00BF7E57" w:rsidRDefault="00A045B7" w:rsidP="001427AE">
      <w:pPr>
        <w:pStyle w:val="Napis"/>
      </w:pPr>
      <w:bookmarkStart w:id="82" w:name="_Ref84859155"/>
      <w:bookmarkStart w:id="83" w:name="_Toc47082375"/>
      <w:bookmarkStart w:id="84" w:name="_Toc47092616"/>
      <w:bookmarkStart w:id="85" w:name="_Toc86826407"/>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17</w:t>
      </w:r>
      <w:r w:rsidR="00A30B83" w:rsidRPr="00BF7E57">
        <w:rPr>
          <w:noProof/>
        </w:rPr>
        <w:fldChar w:fldCharType="end"/>
      </w:r>
      <w:bookmarkEnd w:id="82"/>
      <w:r w:rsidRPr="00BF7E57">
        <w:t>: Indeks razvojne ogroženosti regij 2019</w:t>
      </w:r>
      <w:bookmarkEnd w:id="85"/>
    </w:p>
    <w:bookmarkEnd w:id="83"/>
    <w:bookmarkEnd w:id="84"/>
    <w:p w14:paraId="6CF03102" w14:textId="326488BF" w:rsidR="009E0216" w:rsidRPr="00BF7E57" w:rsidRDefault="00172AAF" w:rsidP="00172AAF">
      <w:pPr>
        <w:pStyle w:val="Napis"/>
        <w:spacing w:before="0" w:line="240" w:lineRule="auto"/>
        <w:jc w:val="both"/>
      </w:pPr>
      <w:r w:rsidRPr="00BF7E57">
        <w:rPr>
          <w:noProof/>
          <w:lang w:eastAsia="sl-SI"/>
        </w:rPr>
        <w:drawing>
          <wp:inline distT="0" distB="0" distL="0" distR="0" wp14:anchorId="55DED948" wp14:editId="60F9895B">
            <wp:extent cx="5760720" cy="3085465"/>
            <wp:effectExtent l="19050" t="19050" r="11430" b="196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85465"/>
                    </a:xfrm>
                    <a:prstGeom prst="rect">
                      <a:avLst/>
                    </a:prstGeom>
                    <a:ln w="6350">
                      <a:solidFill>
                        <a:schemeClr val="tx1">
                          <a:lumMod val="50000"/>
                          <a:lumOff val="50000"/>
                        </a:schemeClr>
                      </a:solidFill>
                    </a:ln>
                  </pic:spPr>
                </pic:pic>
              </a:graphicData>
            </a:graphic>
          </wp:inline>
        </w:drawing>
      </w:r>
    </w:p>
    <w:p w14:paraId="55950865" w14:textId="77777777" w:rsidR="009E0216" w:rsidRPr="00BF7E57" w:rsidRDefault="007344C6" w:rsidP="001D5FC0">
      <w:pPr>
        <w:pStyle w:val="Napis"/>
        <w:spacing w:before="0" w:line="360" w:lineRule="auto"/>
        <w:jc w:val="both"/>
      </w:pPr>
      <w:r w:rsidRPr="00BF7E57">
        <w:t>Vir: UMAR, 2020</w:t>
      </w:r>
    </w:p>
    <w:p w14:paraId="4E42B432" w14:textId="77777777" w:rsidR="009E0216" w:rsidRPr="00BF7E57" w:rsidRDefault="007344C6" w:rsidP="001D5FC0">
      <w:pPr>
        <w:shd w:val="clear" w:color="auto" w:fill="FFFFFF" w:themeFill="background1"/>
        <w:spacing w:before="200" w:line="360" w:lineRule="auto"/>
        <w:jc w:val="both"/>
        <w:rPr>
          <w:rFonts w:ascii="Arial" w:hAnsi="Arial" w:cs="Arial"/>
          <w:sz w:val="20"/>
          <w:szCs w:val="20"/>
        </w:rPr>
      </w:pPr>
      <w:r w:rsidRPr="00BF7E57">
        <w:rPr>
          <w:rFonts w:ascii="Arial" w:hAnsi="Arial" w:cs="Arial"/>
          <w:sz w:val="20"/>
          <w:szCs w:val="20"/>
        </w:rPr>
        <w:t>I</w:t>
      </w:r>
      <w:r w:rsidR="009E0216" w:rsidRPr="00BF7E57">
        <w:rPr>
          <w:rFonts w:ascii="Arial" w:hAnsi="Arial" w:cs="Arial"/>
          <w:sz w:val="20"/>
          <w:szCs w:val="20"/>
        </w:rPr>
        <w:t xml:space="preserve">zboljšanje kazalnikov IRO med letoma 2014 in 2019 večinoma ni zmanjšalo razkoraka regij do slovenskega povprečja. V večini regij so se vrednosti kazalnikov, ki sestavljajo IRO, izboljšale, najbolj v osrednjeslovenski regiji. V primerjavi regij se je IRO poslabšal za podravsko regijo. Po krizi 2009–2013 so se gospodarske razmere hitreje izboljšale bolj razvitim regijam, s tem pa ponovno naraščajo razlike med regijami. Primerjava IRO za obdobje 2007–2013 in IRO za leto 2019 zaradi različnih uporabljenih kazalnikov ni mogoča. Kljub temu v primerjalnih obdobjih navzgor močno izstopa osrednjeslovenska regija, navzdol pa pomurska regija, sledi ji primorsko-notranjska regija. Na lestvici je najbolj napredovala JV Slovenija, sledi ji posavska regija. </w:t>
      </w:r>
    </w:p>
    <w:p w14:paraId="7007C7B0" w14:textId="1D3B6B8E" w:rsidR="009E0216" w:rsidRPr="00BF7E57" w:rsidRDefault="00FB38E7" w:rsidP="001427AE">
      <w:pPr>
        <w:pStyle w:val="Napis"/>
      </w:pPr>
      <w:bookmarkStart w:id="86" w:name="_Toc47092639"/>
      <w:bookmarkStart w:id="87" w:name="_Toc86826451"/>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13</w:t>
      </w:r>
      <w:r w:rsidR="00A30B83" w:rsidRPr="00BF7E57">
        <w:rPr>
          <w:noProof/>
        </w:rPr>
        <w:fldChar w:fldCharType="end"/>
      </w:r>
      <w:r w:rsidRPr="00BF7E57">
        <w:t>: Primerjava IRO za obdobje 2007-2013 in IRO za leto 2019</w:t>
      </w:r>
      <w:bookmarkEnd w:id="86"/>
      <w:bookmarkEnd w:id="87"/>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1581"/>
        <w:gridCol w:w="993"/>
        <w:gridCol w:w="1417"/>
        <w:gridCol w:w="1134"/>
      </w:tblGrid>
      <w:tr w:rsidR="009E0216" w:rsidRPr="00BF7E57" w14:paraId="5D53B545" w14:textId="77777777" w:rsidTr="004A0505">
        <w:trPr>
          <w:trHeight w:val="413"/>
        </w:trPr>
        <w:tc>
          <w:tcPr>
            <w:tcW w:w="2458" w:type="dxa"/>
            <w:shd w:val="clear" w:color="auto" w:fill="92D050"/>
            <w:vAlign w:val="center"/>
            <w:hideMark/>
          </w:tcPr>
          <w:p w14:paraId="7584AFDB"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Regija</w:t>
            </w:r>
          </w:p>
        </w:tc>
        <w:tc>
          <w:tcPr>
            <w:tcW w:w="1581" w:type="dxa"/>
            <w:shd w:val="clear" w:color="auto" w:fill="92D050"/>
            <w:vAlign w:val="center"/>
            <w:hideMark/>
          </w:tcPr>
          <w:p w14:paraId="7E5B6DC0"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IRO 2007-2013</w:t>
            </w:r>
          </w:p>
        </w:tc>
        <w:tc>
          <w:tcPr>
            <w:tcW w:w="993" w:type="dxa"/>
            <w:shd w:val="clear" w:color="auto" w:fill="92D050"/>
            <w:vAlign w:val="center"/>
            <w:hideMark/>
          </w:tcPr>
          <w:p w14:paraId="148E4F12"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Rang</w:t>
            </w:r>
          </w:p>
        </w:tc>
        <w:tc>
          <w:tcPr>
            <w:tcW w:w="1417" w:type="dxa"/>
            <w:shd w:val="clear" w:color="auto" w:fill="92D050"/>
            <w:vAlign w:val="center"/>
            <w:hideMark/>
          </w:tcPr>
          <w:p w14:paraId="327C23CE"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IRO 2019</w:t>
            </w:r>
          </w:p>
        </w:tc>
        <w:tc>
          <w:tcPr>
            <w:tcW w:w="1134" w:type="dxa"/>
            <w:shd w:val="clear" w:color="auto" w:fill="92D050"/>
            <w:vAlign w:val="center"/>
            <w:hideMark/>
          </w:tcPr>
          <w:p w14:paraId="5F766D80"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Rang</w:t>
            </w:r>
          </w:p>
        </w:tc>
      </w:tr>
      <w:tr w:rsidR="009E0216" w:rsidRPr="00BF7E57" w14:paraId="4C98CB32" w14:textId="77777777" w:rsidTr="00E150C2">
        <w:trPr>
          <w:trHeight w:val="243"/>
        </w:trPr>
        <w:tc>
          <w:tcPr>
            <w:tcW w:w="2458" w:type="dxa"/>
            <w:shd w:val="clear" w:color="auto" w:fill="auto"/>
            <w:vAlign w:val="center"/>
            <w:hideMark/>
          </w:tcPr>
          <w:p w14:paraId="6F5DF5E0"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 xml:space="preserve">Osrednjeslovenska </w:t>
            </w:r>
          </w:p>
        </w:tc>
        <w:tc>
          <w:tcPr>
            <w:tcW w:w="1581" w:type="dxa"/>
            <w:shd w:val="clear" w:color="auto" w:fill="auto"/>
            <w:vAlign w:val="center"/>
            <w:hideMark/>
          </w:tcPr>
          <w:p w14:paraId="02AE7C1A"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8,7</w:t>
            </w:r>
          </w:p>
        </w:tc>
        <w:tc>
          <w:tcPr>
            <w:tcW w:w="993" w:type="dxa"/>
            <w:shd w:val="clear" w:color="auto" w:fill="auto"/>
            <w:vAlign w:val="center"/>
            <w:hideMark/>
          </w:tcPr>
          <w:p w14:paraId="7ADBB04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w:t>
            </w:r>
          </w:p>
        </w:tc>
        <w:tc>
          <w:tcPr>
            <w:tcW w:w="1417" w:type="dxa"/>
            <w:shd w:val="clear" w:color="auto" w:fill="auto"/>
            <w:vAlign w:val="center"/>
            <w:hideMark/>
          </w:tcPr>
          <w:p w14:paraId="5907AFC0"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49,6</w:t>
            </w:r>
          </w:p>
        </w:tc>
        <w:tc>
          <w:tcPr>
            <w:tcW w:w="1134" w:type="dxa"/>
            <w:shd w:val="clear" w:color="auto" w:fill="auto"/>
            <w:noWrap/>
            <w:vAlign w:val="bottom"/>
            <w:hideMark/>
          </w:tcPr>
          <w:p w14:paraId="16EE3CA2"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w:t>
            </w:r>
          </w:p>
        </w:tc>
      </w:tr>
      <w:tr w:rsidR="009E0216" w:rsidRPr="00BF7E57" w14:paraId="01CB707E" w14:textId="77777777" w:rsidTr="00E150C2">
        <w:trPr>
          <w:trHeight w:val="243"/>
        </w:trPr>
        <w:tc>
          <w:tcPr>
            <w:tcW w:w="2458" w:type="dxa"/>
            <w:shd w:val="clear" w:color="auto" w:fill="auto"/>
            <w:vAlign w:val="center"/>
            <w:hideMark/>
          </w:tcPr>
          <w:p w14:paraId="1CB82DC9"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Obalno-Kraška</w:t>
            </w:r>
          </w:p>
        </w:tc>
        <w:tc>
          <w:tcPr>
            <w:tcW w:w="1581" w:type="dxa"/>
            <w:shd w:val="clear" w:color="auto" w:fill="auto"/>
            <w:vAlign w:val="center"/>
            <w:hideMark/>
          </w:tcPr>
          <w:p w14:paraId="60C12BB8"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82,4</w:t>
            </w:r>
          </w:p>
        </w:tc>
        <w:tc>
          <w:tcPr>
            <w:tcW w:w="993" w:type="dxa"/>
            <w:shd w:val="clear" w:color="auto" w:fill="auto"/>
            <w:vAlign w:val="center"/>
            <w:hideMark/>
          </w:tcPr>
          <w:p w14:paraId="6DB7186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2</w:t>
            </w:r>
          </w:p>
        </w:tc>
        <w:tc>
          <w:tcPr>
            <w:tcW w:w="1417" w:type="dxa"/>
            <w:shd w:val="clear" w:color="auto" w:fill="auto"/>
            <w:vAlign w:val="center"/>
            <w:hideMark/>
          </w:tcPr>
          <w:p w14:paraId="2430B443"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103,2</w:t>
            </w:r>
          </w:p>
        </w:tc>
        <w:tc>
          <w:tcPr>
            <w:tcW w:w="1134" w:type="dxa"/>
            <w:shd w:val="clear" w:color="auto" w:fill="auto"/>
            <w:noWrap/>
            <w:vAlign w:val="bottom"/>
            <w:hideMark/>
          </w:tcPr>
          <w:p w14:paraId="7B803DB0"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4</w:t>
            </w:r>
          </w:p>
        </w:tc>
      </w:tr>
      <w:tr w:rsidR="009E0216" w:rsidRPr="00BF7E57" w14:paraId="02C6BE37" w14:textId="77777777" w:rsidTr="00E150C2">
        <w:trPr>
          <w:trHeight w:val="243"/>
        </w:trPr>
        <w:tc>
          <w:tcPr>
            <w:tcW w:w="2458" w:type="dxa"/>
            <w:shd w:val="clear" w:color="auto" w:fill="auto"/>
            <w:vAlign w:val="center"/>
            <w:hideMark/>
          </w:tcPr>
          <w:p w14:paraId="74A74672"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Gorenjska</w:t>
            </w:r>
          </w:p>
        </w:tc>
        <w:tc>
          <w:tcPr>
            <w:tcW w:w="1581" w:type="dxa"/>
            <w:shd w:val="clear" w:color="auto" w:fill="auto"/>
            <w:vAlign w:val="center"/>
            <w:hideMark/>
          </w:tcPr>
          <w:p w14:paraId="504677D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83,1</w:t>
            </w:r>
          </w:p>
        </w:tc>
        <w:tc>
          <w:tcPr>
            <w:tcW w:w="993" w:type="dxa"/>
            <w:shd w:val="clear" w:color="auto" w:fill="auto"/>
            <w:vAlign w:val="center"/>
            <w:hideMark/>
          </w:tcPr>
          <w:p w14:paraId="3A70E174"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3</w:t>
            </w:r>
          </w:p>
        </w:tc>
        <w:tc>
          <w:tcPr>
            <w:tcW w:w="1417" w:type="dxa"/>
            <w:shd w:val="clear" w:color="auto" w:fill="auto"/>
            <w:vAlign w:val="center"/>
            <w:hideMark/>
          </w:tcPr>
          <w:p w14:paraId="1785F144"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85,3</w:t>
            </w:r>
          </w:p>
        </w:tc>
        <w:tc>
          <w:tcPr>
            <w:tcW w:w="1134" w:type="dxa"/>
            <w:shd w:val="clear" w:color="auto" w:fill="auto"/>
            <w:noWrap/>
            <w:vAlign w:val="bottom"/>
            <w:hideMark/>
          </w:tcPr>
          <w:p w14:paraId="0885742E"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2</w:t>
            </w:r>
          </w:p>
        </w:tc>
      </w:tr>
      <w:tr w:rsidR="009E0216" w:rsidRPr="00BF7E57" w14:paraId="5EC6DB5A" w14:textId="77777777" w:rsidTr="00E150C2">
        <w:trPr>
          <w:trHeight w:val="243"/>
        </w:trPr>
        <w:tc>
          <w:tcPr>
            <w:tcW w:w="2458" w:type="dxa"/>
            <w:shd w:val="clear" w:color="auto" w:fill="auto"/>
            <w:vAlign w:val="center"/>
            <w:hideMark/>
          </w:tcPr>
          <w:p w14:paraId="1D7BEB9F"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Savinjska</w:t>
            </w:r>
          </w:p>
        </w:tc>
        <w:tc>
          <w:tcPr>
            <w:tcW w:w="1581" w:type="dxa"/>
            <w:shd w:val="clear" w:color="auto" w:fill="auto"/>
            <w:vAlign w:val="center"/>
            <w:hideMark/>
          </w:tcPr>
          <w:p w14:paraId="360AE99D"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92,3</w:t>
            </w:r>
          </w:p>
        </w:tc>
        <w:tc>
          <w:tcPr>
            <w:tcW w:w="993" w:type="dxa"/>
            <w:shd w:val="clear" w:color="auto" w:fill="auto"/>
            <w:vAlign w:val="center"/>
            <w:hideMark/>
          </w:tcPr>
          <w:p w14:paraId="5BB0F504"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4</w:t>
            </w:r>
          </w:p>
        </w:tc>
        <w:tc>
          <w:tcPr>
            <w:tcW w:w="1417" w:type="dxa"/>
            <w:shd w:val="clear" w:color="auto" w:fill="auto"/>
            <w:vAlign w:val="center"/>
            <w:hideMark/>
          </w:tcPr>
          <w:p w14:paraId="2EB47126"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109,3</w:t>
            </w:r>
          </w:p>
        </w:tc>
        <w:tc>
          <w:tcPr>
            <w:tcW w:w="1134" w:type="dxa"/>
            <w:shd w:val="clear" w:color="auto" w:fill="auto"/>
            <w:noWrap/>
            <w:vAlign w:val="bottom"/>
            <w:hideMark/>
          </w:tcPr>
          <w:p w14:paraId="5B657859"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5</w:t>
            </w:r>
          </w:p>
        </w:tc>
      </w:tr>
      <w:tr w:rsidR="009E0216" w:rsidRPr="00BF7E57" w14:paraId="137C7C16" w14:textId="77777777" w:rsidTr="00E150C2">
        <w:trPr>
          <w:trHeight w:val="243"/>
        </w:trPr>
        <w:tc>
          <w:tcPr>
            <w:tcW w:w="2458" w:type="dxa"/>
            <w:shd w:val="clear" w:color="auto" w:fill="auto"/>
            <w:vAlign w:val="center"/>
            <w:hideMark/>
          </w:tcPr>
          <w:p w14:paraId="0DD9F08D"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Goriška</w:t>
            </w:r>
          </w:p>
        </w:tc>
        <w:tc>
          <w:tcPr>
            <w:tcW w:w="1581" w:type="dxa"/>
            <w:shd w:val="clear" w:color="auto" w:fill="auto"/>
            <w:vAlign w:val="center"/>
            <w:hideMark/>
          </w:tcPr>
          <w:p w14:paraId="7CEE176D"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93,8</w:t>
            </w:r>
          </w:p>
        </w:tc>
        <w:tc>
          <w:tcPr>
            <w:tcW w:w="993" w:type="dxa"/>
            <w:shd w:val="clear" w:color="auto" w:fill="auto"/>
            <w:vAlign w:val="center"/>
            <w:hideMark/>
          </w:tcPr>
          <w:p w14:paraId="5505B85E"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5</w:t>
            </w:r>
          </w:p>
        </w:tc>
        <w:tc>
          <w:tcPr>
            <w:tcW w:w="1417" w:type="dxa"/>
            <w:shd w:val="clear" w:color="auto" w:fill="auto"/>
            <w:vAlign w:val="center"/>
            <w:hideMark/>
          </w:tcPr>
          <w:p w14:paraId="577ECD15"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117,1</w:t>
            </w:r>
          </w:p>
        </w:tc>
        <w:tc>
          <w:tcPr>
            <w:tcW w:w="1134" w:type="dxa"/>
            <w:shd w:val="clear" w:color="auto" w:fill="auto"/>
            <w:noWrap/>
            <w:vAlign w:val="bottom"/>
            <w:hideMark/>
          </w:tcPr>
          <w:p w14:paraId="368E7DCA"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6</w:t>
            </w:r>
          </w:p>
        </w:tc>
      </w:tr>
      <w:tr w:rsidR="009E0216" w:rsidRPr="00BF7E57" w14:paraId="10260CCB" w14:textId="77777777" w:rsidTr="00E150C2">
        <w:trPr>
          <w:trHeight w:val="243"/>
        </w:trPr>
        <w:tc>
          <w:tcPr>
            <w:tcW w:w="2458" w:type="dxa"/>
            <w:shd w:val="clear" w:color="auto" w:fill="auto"/>
            <w:vAlign w:val="center"/>
            <w:hideMark/>
          </w:tcPr>
          <w:p w14:paraId="29B11955" w14:textId="77777777" w:rsidR="009E0216" w:rsidRPr="00BF7E57" w:rsidRDefault="009E0216" w:rsidP="001D5FC0">
            <w:pPr>
              <w:spacing w:after="0" w:line="336" w:lineRule="auto"/>
              <w:jc w:val="both"/>
              <w:rPr>
                <w:rFonts w:ascii="Arial" w:hAnsi="Arial" w:cs="Arial"/>
                <w:b/>
                <w:bCs/>
                <w:sz w:val="20"/>
                <w:szCs w:val="20"/>
                <w:lang w:eastAsia="sl-SI"/>
              </w:rPr>
            </w:pPr>
            <w:r w:rsidRPr="00BF7E57">
              <w:rPr>
                <w:rFonts w:ascii="Arial" w:hAnsi="Arial" w:cs="Arial"/>
                <w:b/>
                <w:bCs/>
                <w:sz w:val="20"/>
                <w:szCs w:val="20"/>
                <w:lang w:eastAsia="sl-SI"/>
              </w:rPr>
              <w:t>JV Slovenija</w:t>
            </w:r>
          </w:p>
        </w:tc>
        <w:tc>
          <w:tcPr>
            <w:tcW w:w="1581" w:type="dxa"/>
            <w:shd w:val="clear" w:color="auto" w:fill="auto"/>
            <w:vAlign w:val="center"/>
            <w:hideMark/>
          </w:tcPr>
          <w:p w14:paraId="0A259458"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101,7</w:t>
            </w:r>
          </w:p>
        </w:tc>
        <w:tc>
          <w:tcPr>
            <w:tcW w:w="993" w:type="dxa"/>
            <w:shd w:val="clear" w:color="auto" w:fill="auto"/>
            <w:vAlign w:val="center"/>
            <w:hideMark/>
          </w:tcPr>
          <w:p w14:paraId="5EB8ABDD"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6</w:t>
            </w:r>
          </w:p>
        </w:tc>
        <w:tc>
          <w:tcPr>
            <w:tcW w:w="1417" w:type="dxa"/>
            <w:shd w:val="clear" w:color="auto" w:fill="auto"/>
            <w:vAlign w:val="center"/>
            <w:hideMark/>
          </w:tcPr>
          <w:p w14:paraId="6DA62A74"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93</w:t>
            </w:r>
          </w:p>
        </w:tc>
        <w:tc>
          <w:tcPr>
            <w:tcW w:w="1134" w:type="dxa"/>
            <w:shd w:val="clear" w:color="auto" w:fill="auto"/>
            <w:noWrap/>
            <w:vAlign w:val="bottom"/>
            <w:hideMark/>
          </w:tcPr>
          <w:p w14:paraId="1AB796EF"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3</w:t>
            </w:r>
          </w:p>
        </w:tc>
      </w:tr>
      <w:tr w:rsidR="009E0216" w:rsidRPr="00BF7E57" w14:paraId="7EC1E763" w14:textId="77777777" w:rsidTr="00E150C2">
        <w:trPr>
          <w:trHeight w:val="243"/>
        </w:trPr>
        <w:tc>
          <w:tcPr>
            <w:tcW w:w="2458" w:type="dxa"/>
            <w:shd w:val="clear" w:color="auto" w:fill="auto"/>
            <w:vAlign w:val="center"/>
            <w:hideMark/>
          </w:tcPr>
          <w:p w14:paraId="1EC5838B"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Koroška</w:t>
            </w:r>
          </w:p>
        </w:tc>
        <w:tc>
          <w:tcPr>
            <w:tcW w:w="1581" w:type="dxa"/>
            <w:shd w:val="clear" w:color="auto" w:fill="auto"/>
            <w:vAlign w:val="center"/>
            <w:hideMark/>
          </w:tcPr>
          <w:p w14:paraId="1A541D07"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103,9</w:t>
            </w:r>
          </w:p>
        </w:tc>
        <w:tc>
          <w:tcPr>
            <w:tcW w:w="993" w:type="dxa"/>
            <w:shd w:val="clear" w:color="auto" w:fill="auto"/>
            <w:vAlign w:val="center"/>
            <w:hideMark/>
          </w:tcPr>
          <w:p w14:paraId="27EA4B7E"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7</w:t>
            </w:r>
          </w:p>
        </w:tc>
        <w:tc>
          <w:tcPr>
            <w:tcW w:w="1417" w:type="dxa"/>
            <w:shd w:val="clear" w:color="auto" w:fill="auto"/>
            <w:vAlign w:val="center"/>
            <w:hideMark/>
          </w:tcPr>
          <w:p w14:paraId="625EF238"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127,7</w:t>
            </w:r>
          </w:p>
        </w:tc>
        <w:tc>
          <w:tcPr>
            <w:tcW w:w="1134" w:type="dxa"/>
            <w:shd w:val="clear" w:color="auto" w:fill="auto"/>
            <w:noWrap/>
            <w:vAlign w:val="bottom"/>
            <w:hideMark/>
          </w:tcPr>
          <w:p w14:paraId="6F7F3930"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w:t>
            </w:r>
          </w:p>
        </w:tc>
      </w:tr>
      <w:tr w:rsidR="009E0216" w:rsidRPr="00BF7E57" w14:paraId="3C7EBA49" w14:textId="77777777" w:rsidTr="00E150C2">
        <w:trPr>
          <w:trHeight w:val="243"/>
        </w:trPr>
        <w:tc>
          <w:tcPr>
            <w:tcW w:w="2458" w:type="dxa"/>
            <w:shd w:val="clear" w:color="auto" w:fill="auto"/>
            <w:vAlign w:val="center"/>
            <w:hideMark/>
          </w:tcPr>
          <w:p w14:paraId="6FD6B207"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Zasavska</w:t>
            </w:r>
          </w:p>
        </w:tc>
        <w:tc>
          <w:tcPr>
            <w:tcW w:w="1581" w:type="dxa"/>
            <w:shd w:val="clear" w:color="auto" w:fill="auto"/>
            <w:vAlign w:val="center"/>
            <w:hideMark/>
          </w:tcPr>
          <w:p w14:paraId="1A78BA7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113,9</w:t>
            </w:r>
          </w:p>
        </w:tc>
        <w:tc>
          <w:tcPr>
            <w:tcW w:w="993" w:type="dxa"/>
            <w:shd w:val="clear" w:color="auto" w:fill="auto"/>
            <w:vAlign w:val="center"/>
            <w:hideMark/>
          </w:tcPr>
          <w:p w14:paraId="249748A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w:t>
            </w:r>
          </w:p>
        </w:tc>
        <w:tc>
          <w:tcPr>
            <w:tcW w:w="1417" w:type="dxa"/>
            <w:shd w:val="clear" w:color="auto" w:fill="auto"/>
            <w:vAlign w:val="center"/>
            <w:hideMark/>
          </w:tcPr>
          <w:p w14:paraId="5ACB9A3E"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132,3</w:t>
            </w:r>
          </w:p>
        </w:tc>
        <w:tc>
          <w:tcPr>
            <w:tcW w:w="1134" w:type="dxa"/>
            <w:shd w:val="clear" w:color="auto" w:fill="auto"/>
            <w:noWrap/>
            <w:vAlign w:val="bottom"/>
            <w:hideMark/>
          </w:tcPr>
          <w:p w14:paraId="4FE9195C"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w:t>
            </w:r>
          </w:p>
        </w:tc>
      </w:tr>
      <w:tr w:rsidR="009E0216" w:rsidRPr="00BF7E57" w14:paraId="23E8BAF6" w14:textId="77777777" w:rsidTr="00E150C2">
        <w:trPr>
          <w:trHeight w:val="243"/>
        </w:trPr>
        <w:tc>
          <w:tcPr>
            <w:tcW w:w="2458" w:type="dxa"/>
            <w:shd w:val="clear" w:color="auto" w:fill="auto"/>
            <w:vAlign w:val="center"/>
            <w:hideMark/>
          </w:tcPr>
          <w:p w14:paraId="64BD5085"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Posavska</w:t>
            </w:r>
          </w:p>
        </w:tc>
        <w:tc>
          <w:tcPr>
            <w:tcW w:w="1581" w:type="dxa"/>
            <w:shd w:val="clear" w:color="auto" w:fill="auto"/>
            <w:vAlign w:val="center"/>
            <w:hideMark/>
          </w:tcPr>
          <w:p w14:paraId="4DC6DB87"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116,8</w:t>
            </w:r>
          </w:p>
        </w:tc>
        <w:tc>
          <w:tcPr>
            <w:tcW w:w="993" w:type="dxa"/>
            <w:shd w:val="clear" w:color="auto" w:fill="auto"/>
            <w:vAlign w:val="center"/>
            <w:hideMark/>
          </w:tcPr>
          <w:p w14:paraId="60E0A262"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w:t>
            </w:r>
          </w:p>
        </w:tc>
        <w:tc>
          <w:tcPr>
            <w:tcW w:w="1417" w:type="dxa"/>
            <w:shd w:val="clear" w:color="auto" w:fill="auto"/>
            <w:vAlign w:val="center"/>
            <w:hideMark/>
          </w:tcPr>
          <w:p w14:paraId="24C2695D" w14:textId="77777777" w:rsidR="009E0216" w:rsidRPr="00BF7E57" w:rsidRDefault="009E0216" w:rsidP="004004F4">
            <w:pPr>
              <w:spacing w:after="0" w:line="336" w:lineRule="auto"/>
              <w:jc w:val="right"/>
              <w:rPr>
                <w:rFonts w:ascii="Arial" w:hAnsi="Arial" w:cs="Arial"/>
                <w:b/>
                <w:sz w:val="20"/>
                <w:szCs w:val="20"/>
                <w:lang w:eastAsia="sl-SI"/>
              </w:rPr>
            </w:pPr>
            <w:r w:rsidRPr="00BF7E57">
              <w:rPr>
                <w:rFonts w:ascii="Arial" w:hAnsi="Arial" w:cs="Arial"/>
                <w:b/>
                <w:sz w:val="20"/>
                <w:szCs w:val="20"/>
                <w:lang w:eastAsia="sl-SI"/>
              </w:rPr>
              <w:t>121,8</w:t>
            </w:r>
          </w:p>
        </w:tc>
        <w:tc>
          <w:tcPr>
            <w:tcW w:w="1134" w:type="dxa"/>
            <w:shd w:val="clear" w:color="auto" w:fill="auto"/>
            <w:noWrap/>
            <w:vAlign w:val="bottom"/>
            <w:hideMark/>
          </w:tcPr>
          <w:p w14:paraId="5150CD81" w14:textId="77777777" w:rsidR="009E0216" w:rsidRPr="00BF7E57" w:rsidRDefault="009E0216" w:rsidP="004004F4">
            <w:pPr>
              <w:spacing w:after="0" w:line="336" w:lineRule="auto"/>
              <w:jc w:val="right"/>
              <w:rPr>
                <w:rFonts w:ascii="Arial" w:hAnsi="Arial" w:cs="Arial"/>
                <w:b/>
                <w:sz w:val="20"/>
                <w:szCs w:val="20"/>
                <w:lang w:eastAsia="sl-SI"/>
              </w:rPr>
            </w:pPr>
            <w:r w:rsidRPr="00BF7E57">
              <w:rPr>
                <w:rFonts w:ascii="Arial" w:hAnsi="Arial" w:cs="Arial"/>
                <w:b/>
                <w:sz w:val="20"/>
                <w:szCs w:val="20"/>
                <w:lang w:eastAsia="sl-SI"/>
              </w:rPr>
              <w:t>7</w:t>
            </w:r>
          </w:p>
        </w:tc>
      </w:tr>
      <w:tr w:rsidR="009E0216" w:rsidRPr="00BF7E57" w14:paraId="56269085" w14:textId="77777777" w:rsidTr="00E150C2">
        <w:trPr>
          <w:trHeight w:val="243"/>
        </w:trPr>
        <w:tc>
          <w:tcPr>
            <w:tcW w:w="2458" w:type="dxa"/>
            <w:shd w:val="clear" w:color="auto" w:fill="auto"/>
            <w:vAlign w:val="center"/>
            <w:hideMark/>
          </w:tcPr>
          <w:p w14:paraId="325934D4"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Podravska</w:t>
            </w:r>
          </w:p>
        </w:tc>
        <w:tc>
          <w:tcPr>
            <w:tcW w:w="1581" w:type="dxa"/>
            <w:shd w:val="clear" w:color="auto" w:fill="auto"/>
            <w:vAlign w:val="center"/>
            <w:hideMark/>
          </w:tcPr>
          <w:p w14:paraId="234C6B1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116,8</w:t>
            </w:r>
          </w:p>
        </w:tc>
        <w:tc>
          <w:tcPr>
            <w:tcW w:w="993" w:type="dxa"/>
            <w:shd w:val="clear" w:color="auto" w:fill="auto"/>
            <w:vAlign w:val="center"/>
            <w:hideMark/>
          </w:tcPr>
          <w:p w14:paraId="45B5A63A"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w:t>
            </w:r>
          </w:p>
        </w:tc>
        <w:tc>
          <w:tcPr>
            <w:tcW w:w="1417" w:type="dxa"/>
            <w:shd w:val="clear" w:color="auto" w:fill="auto"/>
            <w:vAlign w:val="center"/>
            <w:hideMark/>
          </w:tcPr>
          <w:p w14:paraId="64B6DA7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133,4</w:t>
            </w:r>
          </w:p>
        </w:tc>
        <w:tc>
          <w:tcPr>
            <w:tcW w:w="1134" w:type="dxa"/>
            <w:shd w:val="clear" w:color="auto" w:fill="auto"/>
            <w:noWrap/>
            <w:vAlign w:val="bottom"/>
            <w:hideMark/>
          </w:tcPr>
          <w:p w14:paraId="55E89199"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10</w:t>
            </w:r>
          </w:p>
        </w:tc>
      </w:tr>
      <w:tr w:rsidR="009E0216" w:rsidRPr="00BF7E57" w14:paraId="2BADA0B7" w14:textId="77777777" w:rsidTr="00E150C2">
        <w:trPr>
          <w:trHeight w:val="243"/>
        </w:trPr>
        <w:tc>
          <w:tcPr>
            <w:tcW w:w="2458" w:type="dxa"/>
            <w:shd w:val="clear" w:color="auto" w:fill="auto"/>
            <w:vAlign w:val="center"/>
            <w:hideMark/>
          </w:tcPr>
          <w:p w14:paraId="20831469"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Primorsko-notranjska</w:t>
            </w:r>
          </w:p>
        </w:tc>
        <w:tc>
          <w:tcPr>
            <w:tcW w:w="1581" w:type="dxa"/>
            <w:shd w:val="clear" w:color="auto" w:fill="auto"/>
            <w:vAlign w:val="center"/>
            <w:hideMark/>
          </w:tcPr>
          <w:p w14:paraId="5FB2CEA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127</w:t>
            </w:r>
          </w:p>
        </w:tc>
        <w:tc>
          <w:tcPr>
            <w:tcW w:w="993" w:type="dxa"/>
            <w:shd w:val="clear" w:color="auto" w:fill="auto"/>
            <w:vAlign w:val="center"/>
            <w:hideMark/>
          </w:tcPr>
          <w:p w14:paraId="69AF5DB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w:t>
            </w:r>
          </w:p>
        </w:tc>
        <w:tc>
          <w:tcPr>
            <w:tcW w:w="1417" w:type="dxa"/>
            <w:shd w:val="clear" w:color="auto" w:fill="auto"/>
            <w:vAlign w:val="center"/>
            <w:hideMark/>
          </w:tcPr>
          <w:p w14:paraId="07AC4A3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138,3</w:t>
            </w:r>
          </w:p>
        </w:tc>
        <w:tc>
          <w:tcPr>
            <w:tcW w:w="1134" w:type="dxa"/>
            <w:shd w:val="clear" w:color="auto" w:fill="auto"/>
            <w:noWrap/>
            <w:vAlign w:val="bottom"/>
            <w:hideMark/>
          </w:tcPr>
          <w:p w14:paraId="77A90EE7"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w:t>
            </w:r>
          </w:p>
        </w:tc>
      </w:tr>
      <w:tr w:rsidR="009E0216" w:rsidRPr="00BF7E57" w14:paraId="543F6758" w14:textId="77777777" w:rsidTr="00E150C2">
        <w:trPr>
          <w:trHeight w:val="243"/>
        </w:trPr>
        <w:tc>
          <w:tcPr>
            <w:tcW w:w="2458" w:type="dxa"/>
            <w:shd w:val="clear" w:color="auto" w:fill="auto"/>
            <w:vAlign w:val="center"/>
            <w:hideMark/>
          </w:tcPr>
          <w:p w14:paraId="3EFB5C6E"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Pomurska</w:t>
            </w:r>
          </w:p>
        </w:tc>
        <w:tc>
          <w:tcPr>
            <w:tcW w:w="1581" w:type="dxa"/>
            <w:shd w:val="clear" w:color="auto" w:fill="auto"/>
            <w:vAlign w:val="center"/>
            <w:hideMark/>
          </w:tcPr>
          <w:p w14:paraId="4C15BA88"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159,5</w:t>
            </w:r>
          </w:p>
        </w:tc>
        <w:tc>
          <w:tcPr>
            <w:tcW w:w="993" w:type="dxa"/>
            <w:shd w:val="clear" w:color="auto" w:fill="auto"/>
            <w:vAlign w:val="center"/>
            <w:hideMark/>
          </w:tcPr>
          <w:p w14:paraId="78A1D3B0"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12</w:t>
            </w:r>
          </w:p>
        </w:tc>
        <w:tc>
          <w:tcPr>
            <w:tcW w:w="1417" w:type="dxa"/>
            <w:shd w:val="clear" w:color="auto" w:fill="auto"/>
            <w:vAlign w:val="center"/>
            <w:hideMark/>
          </w:tcPr>
          <w:p w14:paraId="7342F06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172,5</w:t>
            </w:r>
          </w:p>
        </w:tc>
        <w:tc>
          <w:tcPr>
            <w:tcW w:w="1134" w:type="dxa"/>
            <w:shd w:val="clear" w:color="auto" w:fill="auto"/>
            <w:noWrap/>
            <w:vAlign w:val="bottom"/>
            <w:hideMark/>
          </w:tcPr>
          <w:p w14:paraId="6A0EC8E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12</w:t>
            </w:r>
          </w:p>
        </w:tc>
      </w:tr>
    </w:tbl>
    <w:p w14:paraId="1F6C71BD" w14:textId="4D430FDF" w:rsidR="009E0216" w:rsidRPr="00BF7E57" w:rsidRDefault="009E0216" w:rsidP="00EA2E4C">
      <w:pPr>
        <w:pStyle w:val="Navadensplet"/>
        <w:shd w:val="clear" w:color="auto" w:fill="FFFFFF"/>
        <w:spacing w:line="360" w:lineRule="auto"/>
        <w:rPr>
          <w:rFonts w:ascii="Arial" w:hAnsi="Arial" w:cs="Arial"/>
          <w:sz w:val="16"/>
          <w:szCs w:val="16"/>
        </w:rPr>
      </w:pPr>
      <w:r w:rsidRPr="00BF7E57">
        <w:rPr>
          <w:rFonts w:ascii="Arial" w:hAnsi="Arial" w:cs="Arial"/>
          <w:sz w:val="16"/>
          <w:szCs w:val="16"/>
        </w:rPr>
        <w:t xml:space="preserve">Vir: UMAR </w:t>
      </w:r>
      <w:r w:rsidR="007344C6" w:rsidRPr="00BF7E57">
        <w:rPr>
          <w:rFonts w:ascii="Arial" w:hAnsi="Arial" w:cs="Arial"/>
          <w:sz w:val="16"/>
          <w:szCs w:val="16"/>
        </w:rPr>
        <w:t>(2014, 2020)</w:t>
      </w:r>
      <w:r w:rsidR="00A30231" w:rsidRPr="00BF7E57">
        <w:rPr>
          <w:rFonts w:ascii="Arial" w:hAnsi="Arial" w:cs="Arial"/>
          <w:sz w:val="16"/>
          <w:szCs w:val="16"/>
        </w:rPr>
        <w:t>,</w:t>
      </w:r>
    </w:p>
    <w:p w14:paraId="1C6320E3" w14:textId="77777777" w:rsidR="009E0216" w:rsidRPr="00BF7E57" w:rsidRDefault="009E0216" w:rsidP="001D5FC0">
      <w:pPr>
        <w:pStyle w:val="Navadensplet"/>
        <w:shd w:val="clear" w:color="auto" w:fill="FFFFFF"/>
        <w:spacing w:before="200" w:after="200" w:line="360" w:lineRule="auto"/>
        <w:rPr>
          <w:rFonts w:ascii="Arial" w:hAnsi="Arial" w:cs="Arial"/>
          <w:u w:val="single"/>
        </w:rPr>
      </w:pPr>
      <w:r w:rsidRPr="00BF7E57">
        <w:rPr>
          <w:rFonts w:ascii="Arial" w:hAnsi="Arial" w:cs="Arial"/>
          <w:u w:val="single"/>
        </w:rPr>
        <w:t>Ranljive skupine</w:t>
      </w:r>
    </w:p>
    <w:p w14:paraId="447C7691" w14:textId="4C1CD83A" w:rsidR="009E0216"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lastRenderedPageBreak/>
        <w:t>Trbanc idr. v Rupert in Vilič Klenovšek (2010, str. 7) z ranljivimi skupinami označujejo skupine, pri katerih se prepletajo različne prikrajšanosti (npr. materialna oziroma finančna, izobrazbena, zaposlitvena, stanovanjska prikrajšanost, osebe z motnjami v razvoju, ipd.)</w:t>
      </w:r>
      <w:r w:rsidR="005C7DF2" w:rsidRPr="00BF7E57">
        <w:rPr>
          <w:rFonts w:ascii="Arial" w:hAnsi="Arial" w:cs="Arial"/>
        </w:rPr>
        <w:t>,</w:t>
      </w:r>
      <w:r w:rsidRPr="00BF7E57">
        <w:rPr>
          <w:rFonts w:ascii="Arial" w:hAnsi="Arial" w:cs="Arial"/>
        </w:rPr>
        <w:t xml:space="preserve"> ki so pri dostopu do pomembnih virov (kot je na primer zaposlitev) pogosto v izrazito neugodnem položaju, kar vodi do neenakopravnosti in socialne izključenosti. </w:t>
      </w:r>
    </w:p>
    <w:p w14:paraId="498ADA21" w14:textId="77777777" w:rsidR="009E0216" w:rsidRPr="00BF7E57" w:rsidRDefault="009E0216" w:rsidP="001D5FC0">
      <w:pPr>
        <w:pStyle w:val="Navadensplet"/>
        <w:shd w:val="clear" w:color="auto" w:fill="FFFFFF"/>
        <w:spacing w:before="200" w:line="360" w:lineRule="auto"/>
        <w:rPr>
          <w:rFonts w:ascii="Arial" w:hAnsi="Arial" w:cs="Arial"/>
        </w:rPr>
      </w:pPr>
      <w:r w:rsidRPr="00BF7E57">
        <w:rPr>
          <w:rFonts w:ascii="Arial" w:hAnsi="Arial" w:cs="Arial"/>
        </w:rPr>
        <w:t xml:space="preserve">Osebe z najvišjo stopnjo tveganja revščine v Sloveniji so: </w:t>
      </w:r>
    </w:p>
    <w:p w14:paraId="6EDEF189" w14:textId="77777777" w:rsidR="009E0216" w:rsidRPr="00BF7E57" w:rsidRDefault="009E0216" w:rsidP="00A05198">
      <w:pPr>
        <w:pStyle w:val="Navadensplet"/>
        <w:numPr>
          <w:ilvl w:val="0"/>
          <w:numId w:val="33"/>
        </w:numPr>
        <w:shd w:val="clear" w:color="auto" w:fill="FFFFFF"/>
        <w:spacing w:line="360" w:lineRule="auto"/>
        <w:rPr>
          <w:rFonts w:ascii="Arial" w:hAnsi="Arial" w:cs="Arial"/>
        </w:rPr>
      </w:pPr>
      <w:r w:rsidRPr="00BF7E57">
        <w:rPr>
          <w:rFonts w:ascii="Arial" w:hAnsi="Arial" w:cs="Arial"/>
        </w:rPr>
        <w:t xml:space="preserve">glede na gospodinjstva: gospodinjstva brez delovno aktivnih članov, z vzdrževanimi otroki, enočlanska in enostarševska gospodinjstva; </w:t>
      </w:r>
    </w:p>
    <w:p w14:paraId="79E514E5" w14:textId="23D5D367" w:rsidR="009E0216" w:rsidRPr="00BF7E57" w:rsidRDefault="009E0216" w:rsidP="00A05198">
      <w:pPr>
        <w:pStyle w:val="Navadensplet"/>
        <w:numPr>
          <w:ilvl w:val="0"/>
          <w:numId w:val="33"/>
        </w:numPr>
        <w:shd w:val="clear" w:color="auto" w:fill="FFFFFF"/>
        <w:spacing w:line="360" w:lineRule="auto"/>
        <w:rPr>
          <w:rFonts w:ascii="Arial" w:hAnsi="Arial" w:cs="Arial"/>
        </w:rPr>
      </w:pPr>
      <w:r w:rsidRPr="00BF7E57">
        <w:rPr>
          <w:rFonts w:ascii="Arial" w:hAnsi="Arial" w:cs="Arial"/>
        </w:rPr>
        <w:t xml:space="preserve">glede na status aktivnosti: brezposelne osebe, samozaposlene osebe, upokojene in ženske starejše od 59 let, še posebej ženske na </w:t>
      </w:r>
      <w:r w:rsidR="008621B1" w:rsidRPr="00BF7E57">
        <w:rPr>
          <w:rFonts w:ascii="Arial" w:hAnsi="Arial" w:cs="Arial"/>
        </w:rPr>
        <w:t xml:space="preserve">podeželju, drugi neaktivni oz. </w:t>
      </w:r>
      <w:r w:rsidRPr="00BF7E57">
        <w:rPr>
          <w:rFonts w:ascii="Arial" w:hAnsi="Arial" w:cs="Arial"/>
        </w:rPr>
        <w:t xml:space="preserve">nezmožni za delo; </w:t>
      </w:r>
    </w:p>
    <w:p w14:paraId="645F8668" w14:textId="77777777" w:rsidR="009E0216" w:rsidRPr="00BF7E57" w:rsidRDefault="009E0216" w:rsidP="007F34E3">
      <w:pPr>
        <w:pStyle w:val="Navadensplet"/>
        <w:numPr>
          <w:ilvl w:val="0"/>
          <w:numId w:val="33"/>
        </w:numPr>
        <w:shd w:val="clear" w:color="auto" w:fill="FFFFFF"/>
        <w:spacing w:after="200" w:line="360" w:lineRule="auto"/>
        <w:ind w:left="284" w:hanging="284"/>
        <w:rPr>
          <w:rFonts w:ascii="Arial" w:hAnsi="Arial" w:cs="Arial"/>
        </w:rPr>
      </w:pPr>
      <w:r w:rsidRPr="00BF7E57">
        <w:rPr>
          <w:rFonts w:ascii="Arial" w:hAnsi="Arial" w:cs="Arial"/>
        </w:rPr>
        <w:t xml:space="preserve"> glede na izobrazbo pa osebe z največ osnovnošolsko izobrazbo (SURS, 2020). </w:t>
      </w:r>
    </w:p>
    <w:p w14:paraId="7E878FE9" w14:textId="5C4FDDAB" w:rsidR="009E0216"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Po kriznem obdobju po letu 2013 število oseb pod pragom tveganja revščine pada (leta 2019 243.000 oseb) in je skoraj na enaki vrednosti kot leta 2008</w:t>
      </w:r>
      <w:r w:rsidR="00C66F92" w:rsidRPr="00BF7E57">
        <w:rPr>
          <w:rFonts w:ascii="Arial" w:hAnsi="Arial" w:cs="Arial"/>
        </w:rPr>
        <w:t>, vendar pa je bilo leta 2020 višje, in sicer 254.000</w:t>
      </w:r>
      <w:r w:rsidRPr="00BF7E57">
        <w:rPr>
          <w:rFonts w:ascii="Arial" w:hAnsi="Arial" w:cs="Arial"/>
        </w:rPr>
        <w:t xml:space="preserve"> Še vedno to pomeni, da je pod pragom tveganja revščine vsak osmi prebivalec Slovenije. Gre za naslednje skupine oseb: 90.000 upokojencev (ali 18,2 % vseh upokojencev), od tega 60.000 upokojenih žensk in 30.000 upokojenih moških; 40.000 delovno aktivnih (ali 4,5 % od vseh delovno aktivnih); 40.000 brezposelnih (ali 43,6 % od vseh brezposelnih); 41.000 mladoletnih otrok (ali 10,5 % od vseh otrok); 32.000 drugih oseb (ali 18,9 % od vseh nezmožnih za delo, gospodinj, študentov, drugih neaktivnih in nerazvrščenih oseb).</w:t>
      </w:r>
    </w:p>
    <w:p w14:paraId="343CF7A2" w14:textId="17B8F41D" w:rsidR="005B0F81"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Po podatkih SURS, ki beleži stopnjo tveganja revščine, to je odstotek oseb, ki živijo v gospodinjstvih z razpoložljivim dohodkom, nižjim od praga tveganja revščine, stopnja tveganja revščine po letu 2013 sicer pada (12% v letu 2019</w:t>
      </w:r>
      <w:r w:rsidR="00A30231" w:rsidRPr="00BF7E57">
        <w:rPr>
          <w:rFonts w:ascii="Arial" w:hAnsi="Arial" w:cs="Arial"/>
        </w:rPr>
        <w:t>, vendar je bila v letu višja, 12,4 %</w:t>
      </w:r>
      <w:r w:rsidRPr="00BF7E57">
        <w:rPr>
          <w:rFonts w:ascii="Arial" w:hAnsi="Arial" w:cs="Arial"/>
        </w:rPr>
        <w:t>), zelo visoka pa je med osebami nad 65 let (18,6%). Še višje je tveganje revščine za starejše ženske (23 % v letu 2019), to še posebej velja za enočlanska gospodinjstva, ter osebe z nižje plačanimi poklici in manj delovne dobe. Spodbudno je, da je stopnja tveganja za otroke do 15 let in mlade nekoliko nižja od slovenskega povprečja in tudi ni večjih razlik med spoloma.</w:t>
      </w:r>
    </w:p>
    <w:p w14:paraId="21F4E176" w14:textId="3DE2B6DE" w:rsidR="009E0216" w:rsidRPr="00BF7E57" w:rsidRDefault="00FB38E7" w:rsidP="001427AE">
      <w:pPr>
        <w:pStyle w:val="Napis"/>
        <w:rPr>
          <w:szCs w:val="20"/>
        </w:rPr>
      </w:pPr>
      <w:bookmarkStart w:id="88" w:name="_Toc86826452"/>
      <w:r w:rsidRPr="00BF7E57">
        <w:lastRenderedPageBreak/>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14</w:t>
      </w:r>
      <w:r w:rsidR="00A30B83" w:rsidRPr="00BF7E57">
        <w:rPr>
          <w:noProof/>
        </w:rPr>
        <w:fldChar w:fldCharType="end"/>
      </w:r>
      <w:r w:rsidRPr="00BF7E57">
        <w:t>: Osnovni kazalniki revščine in socialne izključenosti po letih</w:t>
      </w:r>
      <w:bookmarkEnd w:id="88"/>
    </w:p>
    <w:tbl>
      <w:tblPr>
        <w:tblW w:w="9018" w:type="dxa"/>
        <w:tblInd w:w="-5" w:type="dxa"/>
        <w:tblLayout w:type="fixed"/>
        <w:tblCellMar>
          <w:left w:w="70" w:type="dxa"/>
          <w:right w:w="70" w:type="dxa"/>
        </w:tblCellMar>
        <w:tblLook w:val="04A0" w:firstRow="1" w:lastRow="0" w:firstColumn="1" w:lastColumn="0" w:noHBand="0" w:noVBand="1"/>
      </w:tblPr>
      <w:tblGrid>
        <w:gridCol w:w="3869"/>
        <w:gridCol w:w="858"/>
        <w:gridCol w:w="858"/>
        <w:gridCol w:w="858"/>
        <w:gridCol w:w="859"/>
        <w:gridCol w:w="858"/>
        <w:gridCol w:w="858"/>
      </w:tblGrid>
      <w:tr w:rsidR="00C66F92" w:rsidRPr="00BF7E57" w14:paraId="7808D500" w14:textId="77777777" w:rsidTr="004A0505">
        <w:trPr>
          <w:trHeight w:val="303"/>
        </w:trPr>
        <w:tc>
          <w:tcPr>
            <w:tcW w:w="386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A7A3D04" w14:textId="54B849CA" w:rsidR="00C66F92" w:rsidRPr="00BF7E57" w:rsidRDefault="00C66F92" w:rsidP="00C66F92">
            <w:pPr>
              <w:keepNext/>
              <w:keepLines/>
              <w:spacing w:before="60" w:after="60" w:line="240"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Osnovni kazalniki revščine in socialne izključenosti</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4E83916D" w14:textId="77777777"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2008</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286EEDAC" w14:textId="77777777"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2010</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42A0A89D" w14:textId="77777777"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2013</w:t>
            </w:r>
          </w:p>
        </w:tc>
        <w:tc>
          <w:tcPr>
            <w:tcW w:w="859" w:type="dxa"/>
            <w:tcBorders>
              <w:top w:val="single" w:sz="4" w:space="0" w:color="auto"/>
              <w:left w:val="nil"/>
              <w:bottom w:val="single" w:sz="4" w:space="0" w:color="auto"/>
              <w:right w:val="single" w:sz="4" w:space="0" w:color="auto"/>
            </w:tcBorders>
            <w:shd w:val="clear" w:color="auto" w:fill="92D050"/>
            <w:noWrap/>
            <w:vAlign w:val="bottom"/>
            <w:hideMark/>
          </w:tcPr>
          <w:p w14:paraId="287173AA" w14:textId="77777777"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2015</w:t>
            </w:r>
          </w:p>
        </w:tc>
        <w:tc>
          <w:tcPr>
            <w:tcW w:w="858" w:type="dxa"/>
            <w:tcBorders>
              <w:top w:val="single" w:sz="4" w:space="0" w:color="auto"/>
              <w:left w:val="nil"/>
              <w:bottom w:val="single" w:sz="4" w:space="0" w:color="auto"/>
              <w:right w:val="single" w:sz="4" w:space="0" w:color="auto"/>
            </w:tcBorders>
            <w:shd w:val="clear" w:color="auto" w:fill="92D050"/>
            <w:vAlign w:val="bottom"/>
          </w:tcPr>
          <w:p w14:paraId="26525317" w14:textId="3664EA55"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2019</w:t>
            </w:r>
          </w:p>
        </w:tc>
        <w:tc>
          <w:tcPr>
            <w:tcW w:w="858"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236F186D" w14:textId="6CFD29D8"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2020</w:t>
            </w:r>
          </w:p>
        </w:tc>
      </w:tr>
      <w:tr w:rsidR="00C66F92" w:rsidRPr="00BF7E57" w14:paraId="674FD845"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5E0652D"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Stopnja tveganja socialne izključenosti (% oseb)</w:t>
            </w:r>
          </w:p>
        </w:tc>
        <w:tc>
          <w:tcPr>
            <w:tcW w:w="858" w:type="dxa"/>
            <w:tcBorders>
              <w:top w:val="nil"/>
              <w:left w:val="nil"/>
              <w:bottom w:val="single" w:sz="4" w:space="0" w:color="auto"/>
              <w:right w:val="single" w:sz="4" w:space="0" w:color="auto"/>
            </w:tcBorders>
            <w:shd w:val="clear" w:color="auto" w:fill="auto"/>
            <w:noWrap/>
            <w:vAlign w:val="bottom"/>
            <w:hideMark/>
          </w:tcPr>
          <w:p w14:paraId="0C9632B6"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18,5</w:t>
            </w:r>
          </w:p>
        </w:tc>
        <w:tc>
          <w:tcPr>
            <w:tcW w:w="858" w:type="dxa"/>
            <w:tcBorders>
              <w:top w:val="nil"/>
              <w:left w:val="nil"/>
              <w:bottom w:val="single" w:sz="4" w:space="0" w:color="auto"/>
              <w:right w:val="single" w:sz="4" w:space="0" w:color="auto"/>
            </w:tcBorders>
            <w:shd w:val="clear" w:color="auto" w:fill="auto"/>
            <w:noWrap/>
            <w:vAlign w:val="bottom"/>
            <w:hideMark/>
          </w:tcPr>
          <w:p w14:paraId="79242EE7"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18,3</w:t>
            </w:r>
          </w:p>
        </w:tc>
        <w:tc>
          <w:tcPr>
            <w:tcW w:w="858" w:type="dxa"/>
            <w:tcBorders>
              <w:top w:val="nil"/>
              <w:left w:val="nil"/>
              <w:bottom w:val="single" w:sz="4" w:space="0" w:color="auto"/>
              <w:right w:val="single" w:sz="4" w:space="0" w:color="auto"/>
            </w:tcBorders>
            <w:shd w:val="clear" w:color="auto" w:fill="auto"/>
            <w:noWrap/>
            <w:vAlign w:val="bottom"/>
            <w:hideMark/>
          </w:tcPr>
          <w:p w14:paraId="7C285C5C"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20,4</w:t>
            </w:r>
          </w:p>
        </w:tc>
        <w:tc>
          <w:tcPr>
            <w:tcW w:w="859" w:type="dxa"/>
            <w:tcBorders>
              <w:top w:val="nil"/>
              <w:left w:val="nil"/>
              <w:bottom w:val="single" w:sz="4" w:space="0" w:color="auto"/>
              <w:right w:val="single" w:sz="4" w:space="0" w:color="auto"/>
            </w:tcBorders>
            <w:shd w:val="clear" w:color="auto" w:fill="auto"/>
            <w:noWrap/>
            <w:vAlign w:val="bottom"/>
            <w:hideMark/>
          </w:tcPr>
          <w:p w14:paraId="336C2CC9"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19,2</w:t>
            </w:r>
          </w:p>
        </w:tc>
        <w:tc>
          <w:tcPr>
            <w:tcW w:w="858" w:type="dxa"/>
            <w:tcBorders>
              <w:top w:val="single" w:sz="4" w:space="0" w:color="auto"/>
              <w:left w:val="nil"/>
              <w:bottom w:val="single" w:sz="4" w:space="0" w:color="auto"/>
              <w:right w:val="single" w:sz="4" w:space="0" w:color="auto"/>
            </w:tcBorders>
            <w:vAlign w:val="bottom"/>
          </w:tcPr>
          <w:p w14:paraId="21A8CB16" w14:textId="587E826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14,4</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EDC22" w14:textId="473B435F"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15,0</w:t>
            </w:r>
          </w:p>
        </w:tc>
      </w:tr>
      <w:tr w:rsidR="00C66F92" w:rsidRPr="00BF7E57" w14:paraId="4DF9D83D"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7D28B9B0"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Število oseb, izpostavljenih tveganju socialne izključenosti</w:t>
            </w:r>
          </w:p>
        </w:tc>
        <w:tc>
          <w:tcPr>
            <w:tcW w:w="858" w:type="dxa"/>
            <w:tcBorders>
              <w:top w:val="nil"/>
              <w:left w:val="nil"/>
              <w:bottom w:val="single" w:sz="4" w:space="0" w:color="auto"/>
              <w:right w:val="single" w:sz="4" w:space="0" w:color="auto"/>
            </w:tcBorders>
            <w:shd w:val="clear" w:color="auto" w:fill="auto"/>
            <w:noWrap/>
            <w:vAlign w:val="bottom"/>
            <w:hideMark/>
          </w:tcPr>
          <w:p w14:paraId="1E6880FD" w14:textId="14998FA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361.000</w:t>
            </w:r>
          </w:p>
        </w:tc>
        <w:tc>
          <w:tcPr>
            <w:tcW w:w="858" w:type="dxa"/>
            <w:tcBorders>
              <w:top w:val="nil"/>
              <w:left w:val="nil"/>
              <w:bottom w:val="single" w:sz="4" w:space="0" w:color="auto"/>
              <w:right w:val="single" w:sz="4" w:space="0" w:color="auto"/>
            </w:tcBorders>
            <w:shd w:val="clear" w:color="auto" w:fill="auto"/>
            <w:noWrap/>
            <w:vAlign w:val="bottom"/>
            <w:hideMark/>
          </w:tcPr>
          <w:p w14:paraId="2A291AB1" w14:textId="6ABB7E6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366.000</w:t>
            </w:r>
          </w:p>
        </w:tc>
        <w:tc>
          <w:tcPr>
            <w:tcW w:w="858" w:type="dxa"/>
            <w:tcBorders>
              <w:top w:val="nil"/>
              <w:left w:val="nil"/>
              <w:bottom w:val="single" w:sz="4" w:space="0" w:color="auto"/>
              <w:right w:val="single" w:sz="4" w:space="0" w:color="auto"/>
            </w:tcBorders>
            <w:shd w:val="clear" w:color="auto" w:fill="auto"/>
            <w:noWrap/>
            <w:vAlign w:val="bottom"/>
            <w:hideMark/>
          </w:tcPr>
          <w:p w14:paraId="05F1B54C" w14:textId="29B67638"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410.000</w:t>
            </w:r>
          </w:p>
        </w:tc>
        <w:tc>
          <w:tcPr>
            <w:tcW w:w="859" w:type="dxa"/>
            <w:tcBorders>
              <w:top w:val="nil"/>
              <w:left w:val="nil"/>
              <w:bottom w:val="single" w:sz="4" w:space="0" w:color="auto"/>
              <w:right w:val="single" w:sz="4" w:space="0" w:color="auto"/>
            </w:tcBorders>
            <w:shd w:val="clear" w:color="auto" w:fill="auto"/>
            <w:noWrap/>
            <w:vAlign w:val="bottom"/>
            <w:hideMark/>
          </w:tcPr>
          <w:p w14:paraId="24C4D28B" w14:textId="7D1B1DF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385.000</w:t>
            </w:r>
          </w:p>
        </w:tc>
        <w:tc>
          <w:tcPr>
            <w:tcW w:w="858" w:type="dxa"/>
            <w:tcBorders>
              <w:top w:val="single" w:sz="4" w:space="0" w:color="auto"/>
              <w:left w:val="nil"/>
              <w:bottom w:val="single" w:sz="4" w:space="0" w:color="auto"/>
              <w:right w:val="single" w:sz="4" w:space="0" w:color="auto"/>
            </w:tcBorders>
            <w:vAlign w:val="bottom"/>
          </w:tcPr>
          <w:p w14:paraId="5267F9A9" w14:textId="085D030F"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293.000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DDF3C" w14:textId="47946FC0"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309,000</w:t>
            </w:r>
          </w:p>
        </w:tc>
      </w:tr>
      <w:tr w:rsidR="00C66F92" w:rsidRPr="00BF7E57" w14:paraId="52B83647"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4E97507"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Stopnja tveganja revščine (% oseb)</w:t>
            </w:r>
          </w:p>
        </w:tc>
        <w:tc>
          <w:tcPr>
            <w:tcW w:w="858" w:type="dxa"/>
            <w:tcBorders>
              <w:top w:val="nil"/>
              <w:left w:val="nil"/>
              <w:bottom w:val="single" w:sz="4" w:space="0" w:color="auto"/>
              <w:right w:val="single" w:sz="4" w:space="0" w:color="auto"/>
            </w:tcBorders>
            <w:shd w:val="clear" w:color="auto" w:fill="auto"/>
            <w:noWrap/>
            <w:vAlign w:val="bottom"/>
            <w:hideMark/>
          </w:tcPr>
          <w:p w14:paraId="0B3B515B"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12,3</w:t>
            </w:r>
          </w:p>
        </w:tc>
        <w:tc>
          <w:tcPr>
            <w:tcW w:w="858" w:type="dxa"/>
            <w:tcBorders>
              <w:top w:val="nil"/>
              <w:left w:val="nil"/>
              <w:bottom w:val="single" w:sz="4" w:space="0" w:color="auto"/>
              <w:right w:val="single" w:sz="4" w:space="0" w:color="auto"/>
            </w:tcBorders>
            <w:shd w:val="clear" w:color="auto" w:fill="auto"/>
            <w:noWrap/>
            <w:vAlign w:val="bottom"/>
            <w:hideMark/>
          </w:tcPr>
          <w:p w14:paraId="7DACD24B"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12,7</w:t>
            </w:r>
          </w:p>
        </w:tc>
        <w:tc>
          <w:tcPr>
            <w:tcW w:w="858" w:type="dxa"/>
            <w:tcBorders>
              <w:top w:val="nil"/>
              <w:left w:val="nil"/>
              <w:bottom w:val="single" w:sz="4" w:space="0" w:color="auto"/>
              <w:right w:val="single" w:sz="4" w:space="0" w:color="auto"/>
            </w:tcBorders>
            <w:shd w:val="clear" w:color="auto" w:fill="auto"/>
            <w:noWrap/>
            <w:vAlign w:val="bottom"/>
            <w:hideMark/>
          </w:tcPr>
          <w:p w14:paraId="6A0C76F6"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14,5</w:t>
            </w:r>
          </w:p>
        </w:tc>
        <w:tc>
          <w:tcPr>
            <w:tcW w:w="859" w:type="dxa"/>
            <w:tcBorders>
              <w:top w:val="nil"/>
              <w:left w:val="nil"/>
              <w:bottom w:val="single" w:sz="4" w:space="0" w:color="auto"/>
              <w:right w:val="single" w:sz="4" w:space="0" w:color="auto"/>
            </w:tcBorders>
            <w:shd w:val="clear" w:color="auto" w:fill="auto"/>
            <w:noWrap/>
            <w:vAlign w:val="bottom"/>
            <w:hideMark/>
          </w:tcPr>
          <w:p w14:paraId="7B3CB4F9"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14,3</w:t>
            </w:r>
          </w:p>
        </w:tc>
        <w:tc>
          <w:tcPr>
            <w:tcW w:w="858" w:type="dxa"/>
            <w:tcBorders>
              <w:top w:val="single" w:sz="4" w:space="0" w:color="auto"/>
              <w:left w:val="nil"/>
              <w:bottom w:val="single" w:sz="4" w:space="0" w:color="auto"/>
              <w:right w:val="single" w:sz="4" w:space="0" w:color="auto"/>
            </w:tcBorders>
            <w:vAlign w:val="bottom"/>
          </w:tcPr>
          <w:p w14:paraId="5E7BBC17" w14:textId="734B09EC"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7AD17" w14:textId="248FE33B"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12,4</w:t>
            </w:r>
          </w:p>
        </w:tc>
      </w:tr>
      <w:tr w:rsidR="00C66F92" w:rsidRPr="00BF7E57" w14:paraId="43BCAFE1"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007235B"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Število oseb pod pragom tveganja revščine</w:t>
            </w:r>
          </w:p>
        </w:tc>
        <w:tc>
          <w:tcPr>
            <w:tcW w:w="858" w:type="dxa"/>
            <w:tcBorders>
              <w:top w:val="nil"/>
              <w:left w:val="nil"/>
              <w:bottom w:val="single" w:sz="4" w:space="0" w:color="auto"/>
              <w:right w:val="single" w:sz="4" w:space="0" w:color="auto"/>
            </w:tcBorders>
            <w:shd w:val="clear" w:color="auto" w:fill="auto"/>
            <w:noWrap/>
            <w:vAlign w:val="bottom"/>
            <w:hideMark/>
          </w:tcPr>
          <w:p w14:paraId="2CE3FA34" w14:textId="7FB34C8F"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241.000</w:t>
            </w:r>
          </w:p>
        </w:tc>
        <w:tc>
          <w:tcPr>
            <w:tcW w:w="858" w:type="dxa"/>
            <w:tcBorders>
              <w:top w:val="nil"/>
              <w:left w:val="nil"/>
              <w:bottom w:val="single" w:sz="4" w:space="0" w:color="auto"/>
              <w:right w:val="single" w:sz="4" w:space="0" w:color="auto"/>
            </w:tcBorders>
            <w:shd w:val="clear" w:color="auto" w:fill="auto"/>
            <w:noWrap/>
            <w:vAlign w:val="bottom"/>
            <w:hideMark/>
          </w:tcPr>
          <w:p w14:paraId="410273CF" w14:textId="41DD4EB0"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254.000</w:t>
            </w:r>
          </w:p>
        </w:tc>
        <w:tc>
          <w:tcPr>
            <w:tcW w:w="858" w:type="dxa"/>
            <w:tcBorders>
              <w:top w:val="nil"/>
              <w:left w:val="nil"/>
              <w:bottom w:val="single" w:sz="4" w:space="0" w:color="auto"/>
              <w:right w:val="single" w:sz="4" w:space="0" w:color="auto"/>
            </w:tcBorders>
            <w:shd w:val="clear" w:color="auto" w:fill="auto"/>
            <w:noWrap/>
            <w:vAlign w:val="bottom"/>
            <w:hideMark/>
          </w:tcPr>
          <w:p w14:paraId="1621A84A" w14:textId="6CD7DADE"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291.000</w:t>
            </w:r>
          </w:p>
        </w:tc>
        <w:tc>
          <w:tcPr>
            <w:tcW w:w="859" w:type="dxa"/>
            <w:tcBorders>
              <w:top w:val="nil"/>
              <w:left w:val="nil"/>
              <w:bottom w:val="single" w:sz="4" w:space="0" w:color="auto"/>
              <w:right w:val="single" w:sz="4" w:space="0" w:color="auto"/>
            </w:tcBorders>
            <w:shd w:val="clear" w:color="auto" w:fill="auto"/>
            <w:noWrap/>
            <w:vAlign w:val="bottom"/>
            <w:hideMark/>
          </w:tcPr>
          <w:p w14:paraId="2441DB6D" w14:textId="16BCA04A"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287.000</w:t>
            </w:r>
          </w:p>
        </w:tc>
        <w:tc>
          <w:tcPr>
            <w:tcW w:w="858" w:type="dxa"/>
            <w:tcBorders>
              <w:top w:val="single" w:sz="4" w:space="0" w:color="auto"/>
              <w:left w:val="nil"/>
              <w:bottom w:val="single" w:sz="4" w:space="0" w:color="auto"/>
              <w:right w:val="single" w:sz="4" w:space="0" w:color="auto"/>
            </w:tcBorders>
            <w:vAlign w:val="bottom"/>
          </w:tcPr>
          <w:p w14:paraId="2AE0E951" w14:textId="20C89AC6"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243.000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BB573" w14:textId="3F0D170A"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254.000</w:t>
            </w:r>
          </w:p>
        </w:tc>
      </w:tr>
      <w:tr w:rsidR="00C66F92" w:rsidRPr="00BF7E57" w14:paraId="38526111"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38B41FEF" w14:textId="176D66D2"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 xml:space="preserve">Stopnja resne materialne prikrajšanosti - </w:t>
            </w:r>
            <w:r w:rsidRPr="00BF7E57">
              <w:rPr>
                <w:rFonts w:ascii="Arial" w:hAnsi="Arial" w:cs="Arial"/>
                <w:color w:val="000000"/>
                <w:sz w:val="20"/>
                <w:szCs w:val="20"/>
                <w:lang w:eastAsia="sl-SI"/>
              </w:rPr>
              <w:br/>
              <w:t>za 4 od 9 elementov (% oseb)</w:t>
            </w:r>
          </w:p>
        </w:tc>
        <w:tc>
          <w:tcPr>
            <w:tcW w:w="858" w:type="dxa"/>
            <w:tcBorders>
              <w:top w:val="nil"/>
              <w:left w:val="nil"/>
              <w:bottom w:val="single" w:sz="4" w:space="0" w:color="auto"/>
              <w:right w:val="single" w:sz="4" w:space="0" w:color="auto"/>
            </w:tcBorders>
            <w:shd w:val="clear" w:color="auto" w:fill="auto"/>
            <w:noWrap/>
            <w:vAlign w:val="bottom"/>
            <w:hideMark/>
          </w:tcPr>
          <w:p w14:paraId="7139DB74"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w:t>
            </w:r>
          </w:p>
        </w:tc>
        <w:tc>
          <w:tcPr>
            <w:tcW w:w="858" w:type="dxa"/>
            <w:tcBorders>
              <w:top w:val="nil"/>
              <w:left w:val="nil"/>
              <w:bottom w:val="single" w:sz="4" w:space="0" w:color="auto"/>
              <w:right w:val="single" w:sz="4" w:space="0" w:color="auto"/>
            </w:tcBorders>
            <w:shd w:val="clear" w:color="auto" w:fill="auto"/>
            <w:noWrap/>
            <w:vAlign w:val="bottom"/>
            <w:hideMark/>
          </w:tcPr>
          <w:p w14:paraId="53A4E3DB"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5,9</w:t>
            </w:r>
          </w:p>
        </w:tc>
        <w:tc>
          <w:tcPr>
            <w:tcW w:w="858" w:type="dxa"/>
            <w:tcBorders>
              <w:top w:val="nil"/>
              <w:left w:val="nil"/>
              <w:bottom w:val="single" w:sz="4" w:space="0" w:color="auto"/>
              <w:right w:val="single" w:sz="4" w:space="0" w:color="auto"/>
            </w:tcBorders>
            <w:shd w:val="clear" w:color="auto" w:fill="auto"/>
            <w:noWrap/>
            <w:vAlign w:val="bottom"/>
            <w:hideMark/>
          </w:tcPr>
          <w:p w14:paraId="77C625FE"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w:t>
            </w:r>
          </w:p>
        </w:tc>
        <w:tc>
          <w:tcPr>
            <w:tcW w:w="859" w:type="dxa"/>
            <w:tcBorders>
              <w:top w:val="nil"/>
              <w:left w:val="nil"/>
              <w:bottom w:val="single" w:sz="4" w:space="0" w:color="auto"/>
              <w:right w:val="single" w:sz="4" w:space="0" w:color="auto"/>
            </w:tcBorders>
            <w:shd w:val="clear" w:color="auto" w:fill="auto"/>
            <w:noWrap/>
            <w:vAlign w:val="bottom"/>
            <w:hideMark/>
          </w:tcPr>
          <w:p w14:paraId="07AC6E86"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5,8</w:t>
            </w:r>
          </w:p>
        </w:tc>
        <w:tc>
          <w:tcPr>
            <w:tcW w:w="858" w:type="dxa"/>
            <w:tcBorders>
              <w:top w:val="single" w:sz="4" w:space="0" w:color="auto"/>
              <w:left w:val="nil"/>
              <w:bottom w:val="single" w:sz="4" w:space="0" w:color="auto"/>
              <w:right w:val="single" w:sz="4" w:space="0" w:color="auto"/>
            </w:tcBorders>
            <w:vAlign w:val="bottom"/>
          </w:tcPr>
          <w:p w14:paraId="343E346E" w14:textId="4AE6511B"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2,6</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8B7DC" w14:textId="786A77C3" w:rsidR="00C66F92" w:rsidRPr="00BF7E57" w:rsidRDefault="00E150C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C66F92" w:rsidRPr="00BF7E57" w14:paraId="66A234DF"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4B62A39D"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Število oseb v gospodinjstvih z zelo nizko delovno intenzivnostjo, starost 0-59 let</w:t>
            </w:r>
          </w:p>
        </w:tc>
        <w:tc>
          <w:tcPr>
            <w:tcW w:w="858" w:type="dxa"/>
            <w:tcBorders>
              <w:top w:val="nil"/>
              <w:left w:val="nil"/>
              <w:bottom w:val="single" w:sz="4" w:space="0" w:color="auto"/>
              <w:right w:val="single" w:sz="4" w:space="0" w:color="auto"/>
            </w:tcBorders>
            <w:shd w:val="clear" w:color="auto" w:fill="auto"/>
            <w:noWrap/>
            <w:vAlign w:val="bottom"/>
            <w:hideMark/>
          </w:tcPr>
          <w:p w14:paraId="222BA118" w14:textId="59C3D880"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105.000</w:t>
            </w:r>
          </w:p>
        </w:tc>
        <w:tc>
          <w:tcPr>
            <w:tcW w:w="858" w:type="dxa"/>
            <w:tcBorders>
              <w:top w:val="nil"/>
              <w:left w:val="nil"/>
              <w:bottom w:val="single" w:sz="4" w:space="0" w:color="auto"/>
              <w:right w:val="single" w:sz="4" w:space="0" w:color="auto"/>
            </w:tcBorders>
            <w:shd w:val="clear" w:color="auto" w:fill="auto"/>
            <w:noWrap/>
            <w:vAlign w:val="bottom"/>
            <w:hideMark/>
          </w:tcPr>
          <w:p w14:paraId="7ECFCE23" w14:textId="0F2B823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111.000</w:t>
            </w:r>
          </w:p>
        </w:tc>
        <w:tc>
          <w:tcPr>
            <w:tcW w:w="858" w:type="dxa"/>
            <w:tcBorders>
              <w:top w:val="nil"/>
              <w:left w:val="nil"/>
              <w:bottom w:val="single" w:sz="4" w:space="0" w:color="auto"/>
              <w:right w:val="single" w:sz="4" w:space="0" w:color="auto"/>
            </w:tcBorders>
            <w:shd w:val="clear" w:color="auto" w:fill="auto"/>
            <w:noWrap/>
            <w:vAlign w:val="bottom"/>
            <w:hideMark/>
          </w:tcPr>
          <w:p w14:paraId="05240C4E" w14:textId="357250DE"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125.000</w:t>
            </w:r>
          </w:p>
        </w:tc>
        <w:tc>
          <w:tcPr>
            <w:tcW w:w="859" w:type="dxa"/>
            <w:tcBorders>
              <w:top w:val="nil"/>
              <w:left w:val="nil"/>
              <w:bottom w:val="single" w:sz="4" w:space="0" w:color="auto"/>
              <w:right w:val="single" w:sz="4" w:space="0" w:color="auto"/>
            </w:tcBorders>
            <w:shd w:val="clear" w:color="auto" w:fill="auto"/>
            <w:noWrap/>
            <w:vAlign w:val="bottom"/>
            <w:hideMark/>
          </w:tcPr>
          <w:p w14:paraId="52F8BBEA" w14:textId="5C90284E"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114.000</w:t>
            </w:r>
          </w:p>
        </w:tc>
        <w:tc>
          <w:tcPr>
            <w:tcW w:w="858" w:type="dxa"/>
            <w:tcBorders>
              <w:top w:val="single" w:sz="4" w:space="0" w:color="auto"/>
              <w:left w:val="nil"/>
              <w:bottom w:val="single" w:sz="4" w:space="0" w:color="auto"/>
              <w:right w:val="single" w:sz="4" w:space="0" w:color="auto"/>
            </w:tcBorders>
            <w:vAlign w:val="bottom"/>
          </w:tcPr>
          <w:p w14:paraId="0C7E4138" w14:textId="00C254F9"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DE6F6" w14:textId="0D8ADBE6" w:rsidR="00C66F92" w:rsidRPr="00BF7E57" w:rsidRDefault="00E150C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C66F92" w:rsidRPr="00BF7E57" w14:paraId="0EAF1C18"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77D3301E"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 oseb, izpostavljenih vsem trem oblikam socialne izključenosti</w:t>
            </w:r>
          </w:p>
        </w:tc>
        <w:tc>
          <w:tcPr>
            <w:tcW w:w="858" w:type="dxa"/>
            <w:tcBorders>
              <w:top w:val="nil"/>
              <w:left w:val="nil"/>
              <w:bottom w:val="single" w:sz="4" w:space="0" w:color="auto"/>
              <w:right w:val="single" w:sz="4" w:space="0" w:color="auto"/>
            </w:tcBorders>
            <w:shd w:val="clear" w:color="auto" w:fill="auto"/>
            <w:noWrap/>
            <w:vAlign w:val="bottom"/>
            <w:hideMark/>
          </w:tcPr>
          <w:p w14:paraId="7BE9D852"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w:t>
            </w:r>
          </w:p>
        </w:tc>
        <w:tc>
          <w:tcPr>
            <w:tcW w:w="858" w:type="dxa"/>
            <w:tcBorders>
              <w:top w:val="nil"/>
              <w:left w:val="nil"/>
              <w:bottom w:val="single" w:sz="4" w:space="0" w:color="auto"/>
              <w:right w:val="single" w:sz="4" w:space="0" w:color="auto"/>
            </w:tcBorders>
            <w:shd w:val="clear" w:color="auto" w:fill="auto"/>
            <w:noWrap/>
            <w:vAlign w:val="bottom"/>
            <w:hideMark/>
          </w:tcPr>
          <w:p w14:paraId="551CB182"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w:t>
            </w:r>
          </w:p>
        </w:tc>
        <w:tc>
          <w:tcPr>
            <w:tcW w:w="858" w:type="dxa"/>
            <w:tcBorders>
              <w:top w:val="nil"/>
              <w:left w:val="nil"/>
              <w:bottom w:val="single" w:sz="4" w:space="0" w:color="auto"/>
              <w:right w:val="single" w:sz="4" w:space="0" w:color="auto"/>
            </w:tcBorders>
            <w:shd w:val="clear" w:color="auto" w:fill="auto"/>
            <w:noWrap/>
            <w:vAlign w:val="bottom"/>
            <w:hideMark/>
          </w:tcPr>
          <w:p w14:paraId="48D29B79"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w:t>
            </w:r>
          </w:p>
        </w:tc>
        <w:tc>
          <w:tcPr>
            <w:tcW w:w="859" w:type="dxa"/>
            <w:tcBorders>
              <w:top w:val="nil"/>
              <w:left w:val="nil"/>
              <w:bottom w:val="single" w:sz="4" w:space="0" w:color="auto"/>
              <w:right w:val="single" w:sz="4" w:space="0" w:color="auto"/>
            </w:tcBorders>
            <w:shd w:val="clear" w:color="auto" w:fill="auto"/>
            <w:noWrap/>
            <w:vAlign w:val="bottom"/>
            <w:hideMark/>
          </w:tcPr>
          <w:p w14:paraId="52A3433A"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w:t>
            </w:r>
          </w:p>
        </w:tc>
        <w:tc>
          <w:tcPr>
            <w:tcW w:w="858" w:type="dxa"/>
            <w:tcBorders>
              <w:top w:val="single" w:sz="4" w:space="0" w:color="auto"/>
              <w:left w:val="nil"/>
              <w:bottom w:val="single" w:sz="4" w:space="0" w:color="auto"/>
              <w:right w:val="single" w:sz="4" w:space="0" w:color="auto"/>
            </w:tcBorders>
            <w:vAlign w:val="bottom"/>
          </w:tcPr>
          <w:p w14:paraId="15AE815D" w14:textId="3A4297F8"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0,5</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6F2D7" w14:textId="58AF56C0" w:rsidR="00C66F92" w:rsidRPr="00BF7E57" w:rsidRDefault="00E150C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C66F92" w:rsidRPr="00BF7E57" w14:paraId="1F90FD02"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6ED56D1A" w14:textId="3A07D61F"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 xml:space="preserve">Povprečni dohodek na gospodinjstvo - </w:t>
            </w:r>
            <w:r w:rsidRPr="00BF7E57">
              <w:rPr>
                <w:rFonts w:ascii="Arial" w:hAnsi="Arial" w:cs="Arial"/>
                <w:color w:val="000000"/>
                <w:sz w:val="20"/>
                <w:szCs w:val="20"/>
                <w:lang w:eastAsia="sl-SI"/>
              </w:rPr>
              <w:br/>
              <w:t>letni (EUR)</w:t>
            </w:r>
          </w:p>
        </w:tc>
        <w:tc>
          <w:tcPr>
            <w:tcW w:w="858" w:type="dxa"/>
            <w:tcBorders>
              <w:top w:val="nil"/>
              <w:left w:val="nil"/>
              <w:bottom w:val="single" w:sz="4" w:space="0" w:color="auto"/>
              <w:right w:val="single" w:sz="4" w:space="0" w:color="auto"/>
            </w:tcBorders>
            <w:shd w:val="clear" w:color="auto" w:fill="auto"/>
            <w:noWrap/>
            <w:vAlign w:val="bottom"/>
            <w:hideMark/>
          </w:tcPr>
          <w:p w14:paraId="0CC77AFB" w14:textId="57ECA6C6"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21.112</w:t>
            </w:r>
          </w:p>
        </w:tc>
        <w:tc>
          <w:tcPr>
            <w:tcW w:w="858" w:type="dxa"/>
            <w:tcBorders>
              <w:top w:val="nil"/>
              <w:left w:val="nil"/>
              <w:bottom w:val="single" w:sz="4" w:space="0" w:color="auto"/>
              <w:right w:val="single" w:sz="4" w:space="0" w:color="auto"/>
            </w:tcBorders>
            <w:shd w:val="clear" w:color="auto" w:fill="auto"/>
            <w:noWrap/>
            <w:vAlign w:val="bottom"/>
            <w:hideMark/>
          </w:tcPr>
          <w:p w14:paraId="5BC59E76" w14:textId="1066637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21.392</w:t>
            </w:r>
          </w:p>
        </w:tc>
        <w:tc>
          <w:tcPr>
            <w:tcW w:w="858" w:type="dxa"/>
            <w:tcBorders>
              <w:top w:val="nil"/>
              <w:left w:val="nil"/>
              <w:bottom w:val="single" w:sz="4" w:space="0" w:color="auto"/>
              <w:right w:val="single" w:sz="4" w:space="0" w:color="auto"/>
            </w:tcBorders>
            <w:shd w:val="clear" w:color="auto" w:fill="auto"/>
            <w:noWrap/>
            <w:vAlign w:val="bottom"/>
            <w:hideMark/>
          </w:tcPr>
          <w:p w14:paraId="475D064F" w14:textId="6F970605"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21.038</w:t>
            </w:r>
          </w:p>
        </w:tc>
        <w:tc>
          <w:tcPr>
            <w:tcW w:w="859" w:type="dxa"/>
            <w:tcBorders>
              <w:top w:val="nil"/>
              <w:left w:val="nil"/>
              <w:bottom w:val="single" w:sz="4" w:space="0" w:color="auto"/>
              <w:right w:val="single" w:sz="4" w:space="0" w:color="auto"/>
            </w:tcBorders>
            <w:shd w:val="clear" w:color="auto" w:fill="auto"/>
            <w:noWrap/>
            <w:vAlign w:val="bottom"/>
            <w:hideMark/>
          </w:tcPr>
          <w:p w14:paraId="56C7DEB0" w14:textId="214236ED"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21.778</w:t>
            </w:r>
          </w:p>
        </w:tc>
        <w:tc>
          <w:tcPr>
            <w:tcW w:w="858" w:type="dxa"/>
            <w:tcBorders>
              <w:top w:val="single" w:sz="4" w:space="0" w:color="auto"/>
              <w:left w:val="nil"/>
              <w:bottom w:val="single" w:sz="4" w:space="0" w:color="auto"/>
              <w:right w:val="single" w:sz="4" w:space="0" w:color="auto"/>
            </w:tcBorders>
            <w:vAlign w:val="bottom"/>
          </w:tcPr>
          <w:p w14:paraId="02CBD54A" w14:textId="27CCD1D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24.725</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6E58C" w14:textId="30F4824D" w:rsidR="00C66F92" w:rsidRPr="00BF7E57" w:rsidRDefault="00E150C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C66F92" w:rsidRPr="00BF7E57" w14:paraId="32FD8703"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704B4"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Povprečni razpoložljivi dohodek na člana gospodinjstva - letni (EUR)</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778C3219" w14:textId="3DBE809F"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7.532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586AD893" w14:textId="269DA952"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8.317</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16036409" w14:textId="3E04665B"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8.413</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B215E93" w14:textId="68CEC706"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8.746</w:t>
            </w:r>
          </w:p>
        </w:tc>
        <w:tc>
          <w:tcPr>
            <w:tcW w:w="858" w:type="dxa"/>
            <w:tcBorders>
              <w:top w:val="single" w:sz="4" w:space="0" w:color="auto"/>
              <w:left w:val="nil"/>
              <w:bottom w:val="single" w:sz="4" w:space="0" w:color="auto"/>
              <w:right w:val="single" w:sz="4" w:space="0" w:color="auto"/>
            </w:tcBorders>
            <w:vAlign w:val="bottom"/>
          </w:tcPr>
          <w:p w14:paraId="16565F75" w14:textId="779A4A9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10.093</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5F4CF" w14:textId="39366088" w:rsidR="004A0505" w:rsidRPr="00BF7E57" w:rsidRDefault="00E150C2" w:rsidP="004A0505">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4A0505" w:rsidRPr="00BF7E57" w14:paraId="0A39E568"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tcPr>
          <w:p w14:paraId="20DDA50D" w14:textId="2CED363A" w:rsidR="004A0505" w:rsidRPr="00BF7E57" w:rsidRDefault="004A0505" w:rsidP="00C66F92">
            <w:pPr>
              <w:keepNext/>
              <w:keepLines/>
              <w:spacing w:before="60" w:after="60" w:line="240" w:lineRule="auto"/>
              <w:rPr>
                <w:rFonts w:ascii="Arial" w:hAnsi="Arial" w:cs="Arial"/>
                <w:b/>
                <w:color w:val="000000"/>
                <w:sz w:val="20"/>
                <w:szCs w:val="20"/>
                <w:lang w:eastAsia="sl-SI"/>
              </w:rPr>
            </w:pPr>
            <w:r w:rsidRPr="00BF7E57">
              <w:rPr>
                <w:rFonts w:ascii="Arial" w:hAnsi="Arial" w:cs="Arial"/>
                <w:b/>
                <w:color w:val="000000"/>
                <w:sz w:val="20"/>
                <w:szCs w:val="20"/>
                <w:lang w:eastAsia="sl-SI"/>
              </w:rPr>
              <w:t>C.10 Stopnja revščine (Slovenija)</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72119480" w14:textId="2DC912EE"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18,50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77AD5DB" w14:textId="7767EC1A"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18,30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E6B0701" w14:textId="71F3CD01"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20,40</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5AF88009" w14:textId="1DADEF8C"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19,20</w:t>
            </w:r>
          </w:p>
        </w:tc>
        <w:tc>
          <w:tcPr>
            <w:tcW w:w="858" w:type="dxa"/>
            <w:tcBorders>
              <w:top w:val="single" w:sz="4" w:space="0" w:color="auto"/>
              <w:left w:val="nil"/>
              <w:bottom w:val="single" w:sz="4" w:space="0" w:color="auto"/>
              <w:right w:val="single" w:sz="4" w:space="0" w:color="auto"/>
            </w:tcBorders>
            <w:vAlign w:val="bottom"/>
          </w:tcPr>
          <w:p w14:paraId="0A54CED6" w14:textId="5355D8A7"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14,40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F9AFE" w14:textId="77777777" w:rsidR="004A0505" w:rsidRPr="00BF7E57" w:rsidRDefault="004A0505" w:rsidP="004A0505">
            <w:pPr>
              <w:keepNext/>
              <w:keepLines/>
              <w:spacing w:before="60" w:after="60" w:line="240" w:lineRule="auto"/>
              <w:jc w:val="right"/>
              <w:rPr>
                <w:rFonts w:ascii="Arial" w:hAnsi="Arial" w:cs="Arial"/>
                <w:b/>
                <w:color w:val="000000"/>
                <w:sz w:val="18"/>
                <w:szCs w:val="18"/>
                <w:lang w:eastAsia="sl-SI"/>
              </w:rPr>
            </w:pPr>
          </w:p>
        </w:tc>
      </w:tr>
      <w:tr w:rsidR="004A0505" w:rsidRPr="00BF7E57" w14:paraId="58E32155"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tcPr>
          <w:p w14:paraId="602CDCF8" w14:textId="65492E8C" w:rsidR="004A0505" w:rsidRPr="00BF7E57" w:rsidRDefault="004A0505" w:rsidP="00C66F92">
            <w:pPr>
              <w:keepNext/>
              <w:keepLines/>
              <w:spacing w:before="60" w:after="60" w:line="240" w:lineRule="auto"/>
              <w:rPr>
                <w:rFonts w:ascii="Arial" w:hAnsi="Arial" w:cs="Arial"/>
                <w:b/>
                <w:color w:val="000000"/>
                <w:sz w:val="20"/>
                <w:szCs w:val="20"/>
                <w:lang w:eastAsia="sl-SI"/>
              </w:rPr>
            </w:pPr>
            <w:r w:rsidRPr="00BF7E57">
              <w:rPr>
                <w:rFonts w:ascii="Arial" w:hAnsi="Arial" w:cs="Arial"/>
                <w:b/>
                <w:color w:val="000000"/>
                <w:sz w:val="20"/>
                <w:szCs w:val="20"/>
                <w:lang w:eastAsia="sl-SI"/>
              </w:rPr>
              <w:t>C.10Stopnja revščine (podeželske regije)</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425ED63" w14:textId="3117376A"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19,70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E10B9E5" w14:textId="29AC5CD7"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19,80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2B8523E" w14:textId="724F4018"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21,70</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0437FC61" w14:textId="2E614AF2"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19,40</w:t>
            </w:r>
          </w:p>
        </w:tc>
        <w:tc>
          <w:tcPr>
            <w:tcW w:w="858" w:type="dxa"/>
            <w:tcBorders>
              <w:top w:val="single" w:sz="4" w:space="0" w:color="auto"/>
              <w:left w:val="nil"/>
              <w:bottom w:val="single" w:sz="4" w:space="0" w:color="auto"/>
              <w:right w:val="single" w:sz="4" w:space="0" w:color="auto"/>
            </w:tcBorders>
            <w:vAlign w:val="bottom"/>
          </w:tcPr>
          <w:p w14:paraId="72D9BF45" w14:textId="5B93E0E4"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14,20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BB673" w14:textId="77777777" w:rsidR="004A0505" w:rsidRPr="00BF7E57" w:rsidRDefault="004A0505" w:rsidP="004A0505">
            <w:pPr>
              <w:keepNext/>
              <w:keepLines/>
              <w:spacing w:before="60" w:after="60" w:line="240" w:lineRule="auto"/>
              <w:jc w:val="right"/>
              <w:rPr>
                <w:rFonts w:ascii="Arial" w:hAnsi="Arial" w:cs="Arial"/>
                <w:b/>
                <w:color w:val="000000"/>
                <w:sz w:val="18"/>
                <w:szCs w:val="18"/>
                <w:lang w:eastAsia="sl-SI"/>
              </w:rPr>
            </w:pPr>
          </w:p>
        </w:tc>
      </w:tr>
    </w:tbl>
    <w:p w14:paraId="43314173" w14:textId="7E8F04F4" w:rsidR="009E0216" w:rsidRPr="00BF7E57" w:rsidRDefault="009E0216" w:rsidP="00EA2E4C">
      <w:pPr>
        <w:pStyle w:val="Navadensplet"/>
        <w:shd w:val="clear" w:color="auto" w:fill="FFFFFF"/>
        <w:spacing w:line="360" w:lineRule="auto"/>
        <w:rPr>
          <w:rFonts w:ascii="Arial" w:hAnsi="Arial" w:cs="Arial"/>
          <w:sz w:val="16"/>
          <w:szCs w:val="16"/>
        </w:rPr>
      </w:pPr>
      <w:r w:rsidRPr="00BF7E57">
        <w:rPr>
          <w:rFonts w:ascii="Arial" w:hAnsi="Arial" w:cs="Arial"/>
          <w:sz w:val="16"/>
          <w:szCs w:val="16"/>
        </w:rPr>
        <w:t>Vir: SURS (2020)</w:t>
      </w:r>
      <w:r w:rsidR="004A0505" w:rsidRPr="00BF7E57">
        <w:rPr>
          <w:rFonts w:ascii="Arial" w:hAnsi="Arial" w:cs="Arial"/>
          <w:sz w:val="16"/>
          <w:szCs w:val="16"/>
        </w:rPr>
        <w:t>, Eurostat, 2021</w:t>
      </w:r>
    </w:p>
    <w:p w14:paraId="0B8B358C" w14:textId="08C82E69" w:rsidR="009E0216" w:rsidRPr="00BF7E57" w:rsidRDefault="007344C6" w:rsidP="001D5FC0">
      <w:pPr>
        <w:autoSpaceDE w:val="0"/>
        <w:autoSpaceDN w:val="0"/>
        <w:adjustRightInd w:val="0"/>
        <w:spacing w:before="200" w:line="360" w:lineRule="auto"/>
        <w:jc w:val="both"/>
        <w:rPr>
          <w:rFonts w:ascii="Arial" w:hAnsi="Arial" w:cs="Arial"/>
          <w:color w:val="000000"/>
          <w:sz w:val="20"/>
          <w:szCs w:val="20"/>
        </w:rPr>
      </w:pPr>
      <w:r w:rsidRPr="00BF7E57">
        <w:rPr>
          <w:rFonts w:ascii="Arial" w:hAnsi="Arial" w:cs="Arial"/>
          <w:color w:val="000000"/>
          <w:sz w:val="20"/>
          <w:szCs w:val="20"/>
        </w:rPr>
        <w:t>F</w:t>
      </w:r>
      <w:r w:rsidR="009E0216" w:rsidRPr="00BF7E57">
        <w:rPr>
          <w:rFonts w:ascii="Arial" w:hAnsi="Arial" w:cs="Arial"/>
          <w:color w:val="000000"/>
          <w:sz w:val="20"/>
          <w:szCs w:val="20"/>
        </w:rPr>
        <w:t>inančni položaj gospodinjstev se je v</w:t>
      </w:r>
      <w:r w:rsidR="005C7DF2" w:rsidRPr="00BF7E57">
        <w:rPr>
          <w:rFonts w:ascii="Arial" w:hAnsi="Arial" w:cs="Arial"/>
          <w:color w:val="000000"/>
          <w:sz w:val="20"/>
          <w:szCs w:val="20"/>
        </w:rPr>
        <w:t xml:space="preserve"> letu</w:t>
      </w:r>
      <w:r w:rsidR="009E0216" w:rsidRPr="00BF7E57">
        <w:rPr>
          <w:rFonts w:ascii="Arial" w:hAnsi="Arial" w:cs="Arial"/>
          <w:color w:val="000000"/>
          <w:sz w:val="20"/>
          <w:szCs w:val="20"/>
        </w:rPr>
        <w:t xml:space="preserve"> 2019 še izboljšal. Stanovanjske razmere gospodinjstev so bile v 2019 boljše kot v 2018. S svojimi dohodki je mesec brez težav preživelo več gospodinjstev kot v 2018. 8 % je bilo gospodinjstev, ki so živela z dohodki, nižjimi od praga tveganja revščine (oz. pod tem pragom). Po podatkih SURS je bil delež gospodinjstev, ki so prejemala denarno ali materialno pomoč dobrodelnih organizacij, največji v pomurski (11 %) in zasa</w:t>
      </w:r>
      <w:r w:rsidRPr="00BF7E57">
        <w:rPr>
          <w:rFonts w:ascii="Arial" w:hAnsi="Arial" w:cs="Arial"/>
          <w:color w:val="000000"/>
          <w:sz w:val="20"/>
          <w:szCs w:val="20"/>
        </w:rPr>
        <w:t xml:space="preserve">vski (7 %) statistični regiji. </w:t>
      </w:r>
    </w:p>
    <w:p w14:paraId="7691E66A" w14:textId="29E22CD4" w:rsidR="009E0216"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 xml:space="preserve">Največja deleža skupnega razpoložljivega dohodka gospodinjstev so leta 2019 predstavljali dohodki iz dela (67,3 %) in pokojnine (21,2 %), sledili so družinski in socialni prejemki (9,3 %) ter kapitalski in drugi dohodki (2,2 %). Če v dohodek ne bi šteli socialnih transferjev (družinskih in socialnih prejemkov), bi bila stopnja tveganja revščine veliko večja. Povprečni letni razpoložljivi dohodek na člana gospodinjstva se je v letu 2019 zvišal za 760 EUR in je skupaj </w:t>
      </w:r>
      <w:r w:rsidR="005C7DF2" w:rsidRPr="00BF7E57">
        <w:rPr>
          <w:rFonts w:ascii="Arial" w:hAnsi="Arial" w:cs="Arial"/>
        </w:rPr>
        <w:t xml:space="preserve">znašal </w:t>
      </w:r>
      <w:r w:rsidRPr="00BF7E57">
        <w:rPr>
          <w:rFonts w:ascii="Arial" w:hAnsi="Arial" w:cs="Arial"/>
        </w:rPr>
        <w:t>10.093 EUR (SURS, 2020).</w:t>
      </w:r>
    </w:p>
    <w:p w14:paraId="288ABC7C" w14:textId="4EE4297E"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color w:val="000000"/>
          <w:sz w:val="20"/>
          <w:szCs w:val="20"/>
        </w:rPr>
        <w:t xml:space="preserve">Slabši pa je finančni položaj upokojencev. Povprečna neto pokojnina je v začetku leta 2020 znašala 667,12 EUR. Delež upokojencev, ki imajo pokojnine nižje od 600 EUR, je </w:t>
      </w:r>
      <w:r w:rsidR="005C7DF2" w:rsidRPr="00BF7E57">
        <w:rPr>
          <w:rFonts w:ascii="Arial" w:hAnsi="Arial" w:cs="Arial"/>
          <w:color w:val="000000"/>
          <w:sz w:val="20"/>
          <w:szCs w:val="20"/>
        </w:rPr>
        <w:t>v</w:t>
      </w:r>
      <w:r w:rsidRPr="00BF7E57">
        <w:rPr>
          <w:rFonts w:ascii="Arial" w:hAnsi="Arial" w:cs="Arial"/>
          <w:color w:val="000000"/>
          <w:sz w:val="20"/>
          <w:szCs w:val="20"/>
        </w:rPr>
        <w:t xml:space="preserve"> začetku leta 2020 znašal okoli 40 % vseh upokojencev, kar pomeni, da živijo pod pragom revščine. Pokojnino višjo od 1.000 EUR ima 11,6 % upokojencev, višjo od 1.500 EUR pa 4,4 % upokojencev. Še nižja je kmečka pokojnina, ki jo prejemajo kmetje, ki so bili v pokojninsko in invalidsko zavarovanje vključeni za ožji obseg pravic. Njihova poprečna pokojnina je v letu 2019 znašala 221,02 </w:t>
      </w:r>
      <w:r w:rsidR="00FF2A8E" w:rsidRPr="00BF7E57">
        <w:rPr>
          <w:rFonts w:ascii="Arial" w:hAnsi="Arial" w:cs="Arial"/>
          <w:color w:val="000000"/>
          <w:sz w:val="20"/>
          <w:szCs w:val="20"/>
        </w:rPr>
        <w:t>EUR</w:t>
      </w:r>
      <w:r w:rsidRPr="00BF7E57">
        <w:rPr>
          <w:rFonts w:ascii="Arial" w:hAnsi="Arial" w:cs="Arial"/>
          <w:color w:val="000000"/>
          <w:sz w:val="20"/>
          <w:szCs w:val="20"/>
        </w:rPr>
        <w:t xml:space="preserve">. Moških prejemnikov pokojnine kot nosilcev kmetije je bilo 1.539, žensk pa 833. (ZPIZ, 2020). Dodaten problem pa predstavlja nizka vključenost kmetov in njihovih žena/partnerk v socialna zavarovanja. Decembra 2019  je bilo </w:t>
      </w:r>
      <w:r w:rsidR="005C7DF2" w:rsidRPr="00BF7E57">
        <w:rPr>
          <w:rFonts w:ascii="Arial" w:hAnsi="Arial" w:cs="Arial"/>
          <w:color w:val="000000"/>
          <w:sz w:val="20"/>
          <w:szCs w:val="20"/>
        </w:rPr>
        <w:t xml:space="preserve">v </w:t>
      </w:r>
      <w:r w:rsidR="005C7DF2" w:rsidRPr="00BF7E57">
        <w:rPr>
          <w:rFonts w:ascii="Arial" w:hAnsi="Arial" w:cs="Arial"/>
          <w:color w:val="000000"/>
          <w:sz w:val="20"/>
          <w:szCs w:val="20"/>
        </w:rPr>
        <w:lastRenderedPageBreak/>
        <w:t xml:space="preserve">pokojninsko in invalidsko zavarovanje </w:t>
      </w:r>
      <w:r w:rsidRPr="00BF7E57">
        <w:rPr>
          <w:rFonts w:ascii="Arial" w:hAnsi="Arial" w:cs="Arial"/>
          <w:color w:val="000000"/>
          <w:sz w:val="20"/>
          <w:szCs w:val="20"/>
        </w:rPr>
        <w:t xml:space="preserve">vključenih 10.731 oseb. </w:t>
      </w:r>
      <w:r w:rsidR="00D8700F" w:rsidRPr="00BF7E57">
        <w:rPr>
          <w:rFonts w:ascii="Arial" w:hAnsi="Arial" w:cs="Arial"/>
          <w:color w:val="000000"/>
          <w:sz w:val="20"/>
          <w:szCs w:val="20"/>
        </w:rPr>
        <w:t>Od tega je bilo 8.939 k</w:t>
      </w:r>
      <w:r w:rsidRPr="00BF7E57">
        <w:rPr>
          <w:rFonts w:ascii="Arial" w:hAnsi="Arial" w:cs="Arial"/>
          <w:color w:val="000000"/>
          <w:sz w:val="20"/>
          <w:szCs w:val="20"/>
        </w:rPr>
        <w:t xml:space="preserve">metov </w:t>
      </w:r>
      <w:r w:rsidR="00D8700F" w:rsidRPr="00BF7E57">
        <w:rPr>
          <w:rFonts w:ascii="Arial" w:hAnsi="Arial" w:cs="Arial"/>
          <w:color w:val="000000"/>
          <w:sz w:val="20"/>
          <w:szCs w:val="20"/>
        </w:rPr>
        <w:t xml:space="preserve">in 1.792 </w:t>
      </w:r>
      <w:r w:rsidRPr="00BF7E57">
        <w:rPr>
          <w:rFonts w:ascii="Arial" w:hAnsi="Arial" w:cs="Arial"/>
          <w:color w:val="000000"/>
          <w:sz w:val="20"/>
          <w:szCs w:val="20"/>
        </w:rPr>
        <w:t xml:space="preserve"> članov kmečkega gospodarstva (žene, otroci, delavci na kmetiji, stari starši) (ZPIZ, 2019).</w:t>
      </w:r>
    </w:p>
    <w:p w14:paraId="6D6DB005" w14:textId="77777777" w:rsidR="00EA2E4C"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Dohodkovni položaj mladih na pragu odraslosti je primerljiv s položajem nekaj let starejših generacij. Srednja vrednost letnega bruto dohodka na zaposlenega 29-letnika je v letu 2018 znašala skoraj 16.150 EUR, medtem ko so bili dohodki brezposelnih (mediana 6.400 EUR), študentov (mediana 5.200 EUR) in drugih neaktivnih oseb (mediana 5.800 EUR) veliko nižji. Povprečni letni bruto dohodek na zaposlenega 29-letnika je v letu 2018 znašal 17.400 EUR. Le zaposleni z vsaj visokošolsko izobrazbo so imeli nadpovprečne dohodke (UMAR, 2020). </w:t>
      </w:r>
    </w:p>
    <w:p w14:paraId="24069AE4" w14:textId="2C4897A4" w:rsidR="007344C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Stopnja tveganja socialne izključenosti se je po letu 2014 zniževala. V letu 2019 je znašala 14,4 %</w:t>
      </w:r>
      <w:r w:rsidR="00D8220A" w:rsidRPr="00BF7E57">
        <w:rPr>
          <w:rFonts w:ascii="Arial" w:hAnsi="Arial" w:cs="Arial"/>
          <w:sz w:val="20"/>
          <w:szCs w:val="20"/>
        </w:rPr>
        <w:t xml:space="preserve"> (</w:t>
      </w:r>
      <w:r w:rsidR="00D8700F" w:rsidRPr="00BF7E57">
        <w:rPr>
          <w:rFonts w:ascii="Arial" w:hAnsi="Arial" w:cs="Arial"/>
          <w:sz w:val="20"/>
          <w:szCs w:val="20"/>
        </w:rPr>
        <w:fldChar w:fldCharType="begin"/>
      </w:r>
      <w:r w:rsidR="00D8700F" w:rsidRPr="00BF7E57">
        <w:rPr>
          <w:rFonts w:ascii="Arial" w:hAnsi="Arial" w:cs="Arial"/>
          <w:sz w:val="20"/>
          <w:szCs w:val="20"/>
        </w:rPr>
        <w:instrText xml:space="preserve"> REF _Ref84860087 \h </w:instrText>
      </w:r>
      <w:r w:rsidR="00D8700F" w:rsidRPr="00BF7E57">
        <w:rPr>
          <w:rFonts w:ascii="Arial" w:hAnsi="Arial" w:cs="Arial"/>
          <w:sz w:val="20"/>
          <w:szCs w:val="20"/>
        </w:rPr>
      </w:r>
      <w:r w:rsidR="00BF7E57">
        <w:rPr>
          <w:rFonts w:ascii="Arial" w:hAnsi="Arial" w:cs="Arial"/>
          <w:sz w:val="20"/>
          <w:szCs w:val="20"/>
        </w:rPr>
        <w:instrText xml:space="preserve"> \* MERGEFORMAT </w:instrText>
      </w:r>
      <w:r w:rsidR="00D8700F" w:rsidRPr="00BF7E57">
        <w:rPr>
          <w:rFonts w:ascii="Arial" w:hAnsi="Arial" w:cs="Arial"/>
          <w:sz w:val="20"/>
          <w:szCs w:val="20"/>
        </w:rPr>
        <w:fldChar w:fldCharType="separate"/>
      </w:r>
      <w:r w:rsidR="00236865" w:rsidRPr="00BF7E57">
        <w:t xml:space="preserve">Slika </w:t>
      </w:r>
      <w:r w:rsidR="00236865">
        <w:rPr>
          <w:noProof/>
        </w:rPr>
        <w:t>18</w:t>
      </w:r>
      <w:r w:rsidR="00D8700F" w:rsidRPr="00BF7E57">
        <w:rPr>
          <w:rFonts w:ascii="Arial" w:hAnsi="Arial" w:cs="Arial"/>
          <w:sz w:val="20"/>
          <w:szCs w:val="20"/>
        </w:rPr>
        <w:fldChar w:fldCharType="end"/>
      </w:r>
      <w:r w:rsidR="00D8220A" w:rsidRPr="00BF7E57">
        <w:rPr>
          <w:rFonts w:ascii="Arial" w:hAnsi="Arial" w:cs="Arial"/>
          <w:sz w:val="20"/>
          <w:szCs w:val="20"/>
        </w:rPr>
        <w:t>)</w:t>
      </w:r>
      <w:r w:rsidRPr="00BF7E57">
        <w:rPr>
          <w:rFonts w:ascii="Arial" w:hAnsi="Arial" w:cs="Arial"/>
          <w:sz w:val="20"/>
          <w:szCs w:val="20"/>
        </w:rPr>
        <w:t xml:space="preserve">; to pomeni, da je bilo tveganju socialne izključenosti izpostavljenih približno 293.000 oseb ali 33.000 manj kot v prejšnjem letu. Zmanjšanje števila oseb, izpostavljenih temu tveganju, je bilo posledica znižanja vseh treh kazalnikov socialne izključenosti: stopnje tveganja revščine (ta se je znižala za 1,3 odstotne točke, vendar je še vedno višja kot pred pričetkom krize leta 2007), stopnje resne materialne prikrajšanosti (za 1,1 odstotne točke) in stopnje zelo nizke delovne intenzivnosti (za 0,2 odstotne točke). </w:t>
      </w:r>
      <w:r w:rsidR="00C66F92" w:rsidRPr="00BF7E57">
        <w:rPr>
          <w:rFonts w:ascii="Arial" w:hAnsi="Arial" w:cs="Arial"/>
          <w:sz w:val="20"/>
          <w:szCs w:val="20"/>
        </w:rPr>
        <w:t>Z letom 2020 pa se je stopnja tveganja socialne izključenosti ponovno povečal</w:t>
      </w:r>
      <w:r w:rsidR="00D8700F" w:rsidRPr="00BF7E57">
        <w:rPr>
          <w:rFonts w:ascii="Arial" w:hAnsi="Arial" w:cs="Arial"/>
          <w:sz w:val="20"/>
          <w:szCs w:val="20"/>
        </w:rPr>
        <w:t>a</w:t>
      </w:r>
      <w:r w:rsidR="00C66F92" w:rsidRPr="00BF7E57">
        <w:rPr>
          <w:rFonts w:ascii="Arial" w:hAnsi="Arial" w:cs="Arial"/>
          <w:sz w:val="20"/>
          <w:szCs w:val="20"/>
        </w:rPr>
        <w:t xml:space="preserve"> na 15,0 %, št. oseb pod pragom tveganja revščine na 254.000 oseb, osebe izpostavljene tveganju socialne izključenosti pa na 309.000 oseb.</w:t>
      </w:r>
    </w:p>
    <w:p w14:paraId="37A58C44" w14:textId="04A6703D" w:rsidR="00A045B7" w:rsidRPr="00BF7E57" w:rsidRDefault="00A045B7" w:rsidP="001427AE">
      <w:pPr>
        <w:pStyle w:val="Napis"/>
      </w:pPr>
      <w:bookmarkStart w:id="89" w:name="_Ref84860087"/>
      <w:bookmarkStart w:id="90" w:name="_Toc8682640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18</w:t>
      </w:r>
      <w:r w:rsidR="00A30B83" w:rsidRPr="00BF7E57">
        <w:rPr>
          <w:noProof/>
        </w:rPr>
        <w:fldChar w:fldCharType="end"/>
      </w:r>
      <w:bookmarkEnd w:id="89"/>
      <w:r w:rsidRPr="00BF7E57">
        <w:t>: Osebe, izpostavljene tveganju socialne izključenosti, 2019</w:t>
      </w:r>
      <w:bookmarkEnd w:id="90"/>
    </w:p>
    <w:p w14:paraId="2C70E609" w14:textId="07B02DC0" w:rsidR="007344C6" w:rsidRPr="00BF7E57" w:rsidRDefault="007344C6" w:rsidP="001427AE">
      <w:pPr>
        <w:pStyle w:val="Napis"/>
      </w:pPr>
    </w:p>
    <w:p w14:paraId="0235AC82" w14:textId="373BFA21" w:rsidR="009E0216" w:rsidRPr="00BF7E57" w:rsidRDefault="009E0216" w:rsidP="00D4717F">
      <w:pPr>
        <w:pStyle w:val="Navadensplet"/>
        <w:keepNext/>
        <w:keepLines/>
        <w:shd w:val="clear" w:color="auto" w:fill="FFFFFF"/>
        <w:rPr>
          <w:rFonts w:ascii="Arial" w:hAnsi="Arial" w:cs="Arial"/>
        </w:rPr>
      </w:pPr>
      <w:r w:rsidRPr="00BF7E57">
        <w:rPr>
          <w:rFonts w:ascii="Arial" w:hAnsi="Arial" w:cs="Arial"/>
          <w:noProof/>
          <w:lang w:eastAsia="sl-SI"/>
        </w:rPr>
        <w:drawing>
          <wp:inline distT="0" distB="0" distL="0" distR="0" wp14:anchorId="156E40D3" wp14:editId="2CDF6BCF">
            <wp:extent cx="5579764" cy="2728569"/>
            <wp:effectExtent l="19050" t="19050" r="20955" b="15240"/>
            <wp:docPr id="1631865544" name="Slika 163186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15" t="32346" r="39815" b="18764"/>
                    <a:stretch/>
                  </pic:blipFill>
                  <pic:spPr bwMode="auto">
                    <a:xfrm>
                      <a:off x="0" y="0"/>
                      <a:ext cx="5670173" cy="2772780"/>
                    </a:xfrm>
                    <a:prstGeom prst="rect">
                      <a:avLst/>
                    </a:prstGeom>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27A468" w14:textId="77777777" w:rsidR="007344C6" w:rsidRPr="00BF7E57" w:rsidRDefault="007344C6" w:rsidP="00D4717F">
      <w:pPr>
        <w:pStyle w:val="Napis"/>
        <w:keepNext w:val="0"/>
        <w:widowControl w:val="0"/>
        <w:spacing w:before="0" w:line="360" w:lineRule="auto"/>
        <w:jc w:val="both"/>
      </w:pPr>
      <w:bookmarkStart w:id="91" w:name="_Toc47082377"/>
      <w:bookmarkStart w:id="92" w:name="_Toc47092618"/>
      <w:r w:rsidRPr="00BF7E57">
        <w:t xml:space="preserve"> </w:t>
      </w:r>
      <w:r w:rsidR="009E0216" w:rsidRPr="00BF7E57">
        <w:t>Vir: SURS, 2020</w:t>
      </w:r>
      <w:bookmarkEnd w:id="91"/>
      <w:bookmarkEnd w:id="92"/>
    </w:p>
    <w:p w14:paraId="4F31D063" w14:textId="0CD7D06E" w:rsidR="009E0216" w:rsidRPr="00BF7E57" w:rsidRDefault="009E0216" w:rsidP="00D4717F">
      <w:pPr>
        <w:pStyle w:val="Napis"/>
        <w:keepNext w:val="0"/>
        <w:widowControl w:val="0"/>
        <w:spacing w:before="200" w:after="200" w:line="360" w:lineRule="auto"/>
        <w:jc w:val="both"/>
        <w:rPr>
          <w:noProof/>
          <w:sz w:val="20"/>
          <w:szCs w:val="24"/>
          <w:lang w:eastAsia="sl-SI"/>
        </w:rPr>
      </w:pPr>
      <w:r w:rsidRPr="00BF7E57">
        <w:rPr>
          <w:sz w:val="20"/>
          <w:szCs w:val="20"/>
        </w:rPr>
        <w:t xml:space="preserve">Najvišjo stopnjo tveganja socialne izključenosti imajo starejši od 65 let (20,1 % oseb), še posebej </w:t>
      </w:r>
      <w:r w:rsidRPr="00BF7E57">
        <w:rPr>
          <w:noProof/>
          <w:sz w:val="20"/>
          <w:szCs w:val="24"/>
          <w:lang w:eastAsia="sl-SI"/>
        </w:rPr>
        <w:t>ženske, starejše od 65 let (24,4 % oseb)</w:t>
      </w:r>
      <w:r w:rsidR="00D8220A" w:rsidRPr="00BF7E57">
        <w:rPr>
          <w:noProof/>
          <w:sz w:val="20"/>
          <w:szCs w:val="24"/>
          <w:lang w:eastAsia="sl-SI"/>
        </w:rPr>
        <w:t>, kot je razvidno iz Tabele 1</w:t>
      </w:r>
      <w:r w:rsidR="007F34E3" w:rsidRPr="00BF7E57">
        <w:rPr>
          <w:noProof/>
          <w:sz w:val="20"/>
          <w:szCs w:val="24"/>
          <w:lang w:eastAsia="sl-SI"/>
        </w:rPr>
        <w:t>4</w:t>
      </w:r>
      <w:r w:rsidR="00D8220A" w:rsidRPr="00BF7E57">
        <w:rPr>
          <w:noProof/>
          <w:sz w:val="20"/>
          <w:szCs w:val="24"/>
          <w:lang w:eastAsia="sl-SI"/>
        </w:rPr>
        <w:t>.</w:t>
      </w:r>
    </w:p>
    <w:p w14:paraId="45145861" w14:textId="0A7C953C" w:rsidR="009E0216" w:rsidRPr="00BF7E57" w:rsidRDefault="00FB38E7" w:rsidP="001427AE">
      <w:pPr>
        <w:pStyle w:val="Napis"/>
      </w:pPr>
      <w:bookmarkStart w:id="93" w:name="_Toc47092640"/>
      <w:bookmarkStart w:id="94" w:name="_Toc86826453"/>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15</w:t>
      </w:r>
      <w:r w:rsidR="00A30B83" w:rsidRPr="00BF7E57">
        <w:rPr>
          <w:noProof/>
        </w:rPr>
        <w:fldChar w:fldCharType="end"/>
      </w:r>
      <w:r w:rsidRPr="00BF7E57">
        <w:t>: Stopnja tveganja socialne izključenosti po starosti in spolu (% oseb), 2019</w:t>
      </w:r>
      <w:bookmarkEnd w:id="93"/>
      <w:bookmarkEnd w:id="94"/>
    </w:p>
    <w:tbl>
      <w:tblPr>
        <w:tblW w:w="73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0"/>
        <w:gridCol w:w="1267"/>
        <w:gridCol w:w="1268"/>
        <w:gridCol w:w="1268"/>
        <w:gridCol w:w="1268"/>
      </w:tblGrid>
      <w:tr w:rsidR="00611510" w:rsidRPr="00BF7E57" w14:paraId="09F7C7C7" w14:textId="77777777" w:rsidTr="004A0505">
        <w:trPr>
          <w:trHeight w:val="315"/>
        </w:trPr>
        <w:tc>
          <w:tcPr>
            <w:tcW w:w="2300" w:type="dxa"/>
            <w:shd w:val="clear" w:color="auto" w:fill="92D050"/>
            <w:noWrap/>
            <w:vAlign w:val="bottom"/>
            <w:hideMark/>
          </w:tcPr>
          <w:p w14:paraId="6AA51D3D" w14:textId="77777777"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Starostne skupine</w:t>
            </w:r>
          </w:p>
        </w:tc>
        <w:tc>
          <w:tcPr>
            <w:tcW w:w="1267" w:type="dxa"/>
            <w:shd w:val="clear" w:color="auto" w:fill="92D050"/>
            <w:noWrap/>
            <w:vAlign w:val="bottom"/>
            <w:hideMark/>
          </w:tcPr>
          <w:p w14:paraId="5B5F9409" w14:textId="77777777"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0-17 let</w:t>
            </w:r>
          </w:p>
        </w:tc>
        <w:tc>
          <w:tcPr>
            <w:tcW w:w="1268" w:type="dxa"/>
            <w:shd w:val="clear" w:color="auto" w:fill="92D050"/>
            <w:noWrap/>
            <w:vAlign w:val="bottom"/>
            <w:hideMark/>
          </w:tcPr>
          <w:p w14:paraId="7CBF062A" w14:textId="77777777"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18-64 let</w:t>
            </w:r>
          </w:p>
        </w:tc>
        <w:tc>
          <w:tcPr>
            <w:tcW w:w="1268" w:type="dxa"/>
            <w:shd w:val="clear" w:color="auto" w:fill="92D050"/>
            <w:noWrap/>
            <w:vAlign w:val="bottom"/>
            <w:hideMark/>
          </w:tcPr>
          <w:p w14:paraId="475C84D9" w14:textId="77777777"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65+ let</w:t>
            </w:r>
          </w:p>
        </w:tc>
        <w:tc>
          <w:tcPr>
            <w:tcW w:w="1268" w:type="dxa"/>
            <w:shd w:val="clear" w:color="auto" w:fill="92D050"/>
            <w:noWrap/>
            <w:vAlign w:val="bottom"/>
            <w:hideMark/>
          </w:tcPr>
          <w:p w14:paraId="436161F5" w14:textId="2A99A69A"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Skupaj</w:t>
            </w:r>
            <w:r w:rsidR="00211319" w:rsidRPr="00BF7E57">
              <w:rPr>
                <w:rFonts w:ascii="Arial" w:eastAsia="Times New Roman" w:hAnsi="Arial" w:cs="Arial"/>
                <w:b/>
                <w:color w:val="000000"/>
                <w:sz w:val="20"/>
                <w:szCs w:val="20"/>
                <w:lang w:eastAsia="sl-SI"/>
              </w:rPr>
              <w:t xml:space="preserve"> povprečno</w:t>
            </w:r>
          </w:p>
        </w:tc>
      </w:tr>
      <w:tr w:rsidR="00611510" w:rsidRPr="00BF7E57" w14:paraId="4C93F113" w14:textId="77777777" w:rsidTr="00E150C2">
        <w:trPr>
          <w:trHeight w:val="300"/>
        </w:trPr>
        <w:tc>
          <w:tcPr>
            <w:tcW w:w="2300" w:type="dxa"/>
            <w:shd w:val="clear" w:color="auto" w:fill="auto"/>
            <w:vAlign w:val="center"/>
            <w:hideMark/>
          </w:tcPr>
          <w:p w14:paraId="01B7D39F" w14:textId="77777777" w:rsidR="00611510" w:rsidRPr="00BF7E57" w:rsidRDefault="00611510" w:rsidP="00F25C6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Moški</w:t>
            </w:r>
          </w:p>
        </w:tc>
        <w:tc>
          <w:tcPr>
            <w:tcW w:w="1267" w:type="dxa"/>
            <w:shd w:val="clear" w:color="auto" w:fill="auto"/>
            <w:vAlign w:val="center"/>
            <w:hideMark/>
          </w:tcPr>
          <w:p w14:paraId="043E2254"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13,6</w:t>
            </w:r>
          </w:p>
        </w:tc>
        <w:tc>
          <w:tcPr>
            <w:tcW w:w="1268" w:type="dxa"/>
            <w:shd w:val="clear" w:color="auto" w:fill="auto"/>
            <w:vAlign w:val="center"/>
            <w:hideMark/>
          </w:tcPr>
          <w:p w14:paraId="5EB7A065"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15,9</w:t>
            </w:r>
          </w:p>
        </w:tc>
        <w:tc>
          <w:tcPr>
            <w:tcW w:w="1268" w:type="dxa"/>
            <w:shd w:val="clear" w:color="auto" w:fill="auto"/>
            <w:vAlign w:val="center"/>
            <w:hideMark/>
          </w:tcPr>
          <w:p w14:paraId="45913626"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14,4</w:t>
            </w:r>
          </w:p>
        </w:tc>
        <w:tc>
          <w:tcPr>
            <w:tcW w:w="1268" w:type="dxa"/>
            <w:shd w:val="clear" w:color="auto" w:fill="auto"/>
            <w:vAlign w:val="center"/>
            <w:hideMark/>
          </w:tcPr>
          <w:p w14:paraId="6ED716D6"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15,2</w:t>
            </w:r>
          </w:p>
        </w:tc>
      </w:tr>
      <w:tr w:rsidR="00611510" w:rsidRPr="00BF7E57" w14:paraId="353EA40A" w14:textId="77777777" w:rsidTr="00E150C2">
        <w:trPr>
          <w:trHeight w:val="315"/>
        </w:trPr>
        <w:tc>
          <w:tcPr>
            <w:tcW w:w="2300" w:type="dxa"/>
            <w:shd w:val="clear" w:color="auto" w:fill="auto"/>
            <w:vAlign w:val="center"/>
            <w:hideMark/>
          </w:tcPr>
          <w:p w14:paraId="62943DF1" w14:textId="77777777" w:rsidR="00611510" w:rsidRPr="00BF7E57" w:rsidRDefault="00611510" w:rsidP="00F25C6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lastRenderedPageBreak/>
              <w:t>Ženske</w:t>
            </w:r>
          </w:p>
        </w:tc>
        <w:tc>
          <w:tcPr>
            <w:tcW w:w="1267" w:type="dxa"/>
            <w:shd w:val="clear" w:color="auto" w:fill="auto"/>
            <w:vAlign w:val="center"/>
            <w:hideMark/>
          </w:tcPr>
          <w:p w14:paraId="6C1930CC"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12,6</w:t>
            </w:r>
          </w:p>
        </w:tc>
        <w:tc>
          <w:tcPr>
            <w:tcW w:w="1268" w:type="dxa"/>
            <w:shd w:val="clear" w:color="auto" w:fill="auto"/>
            <w:vAlign w:val="center"/>
            <w:hideMark/>
          </w:tcPr>
          <w:p w14:paraId="1D71F1AE"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16,1</w:t>
            </w:r>
          </w:p>
        </w:tc>
        <w:tc>
          <w:tcPr>
            <w:tcW w:w="1268" w:type="dxa"/>
            <w:shd w:val="clear" w:color="auto" w:fill="auto"/>
            <w:vAlign w:val="center"/>
            <w:hideMark/>
          </w:tcPr>
          <w:p w14:paraId="37516585"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24,4</w:t>
            </w:r>
          </w:p>
        </w:tc>
        <w:tc>
          <w:tcPr>
            <w:tcW w:w="1268" w:type="dxa"/>
            <w:shd w:val="clear" w:color="auto" w:fill="auto"/>
            <w:vAlign w:val="center"/>
            <w:hideMark/>
          </w:tcPr>
          <w:p w14:paraId="48B079D4"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17,2</w:t>
            </w:r>
          </w:p>
        </w:tc>
      </w:tr>
      <w:tr w:rsidR="00611510" w:rsidRPr="00BF7E57" w14:paraId="655A89FE" w14:textId="77777777" w:rsidTr="00E150C2">
        <w:trPr>
          <w:trHeight w:val="300"/>
        </w:trPr>
        <w:tc>
          <w:tcPr>
            <w:tcW w:w="2300" w:type="dxa"/>
            <w:shd w:val="clear" w:color="auto" w:fill="auto"/>
            <w:vAlign w:val="center"/>
            <w:hideMark/>
          </w:tcPr>
          <w:p w14:paraId="3F27EE4C" w14:textId="77777777" w:rsidR="00611510" w:rsidRPr="00BF7E57" w:rsidRDefault="00611510" w:rsidP="00F25C6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Spol - SKUPAJ</w:t>
            </w:r>
          </w:p>
        </w:tc>
        <w:tc>
          <w:tcPr>
            <w:tcW w:w="1267" w:type="dxa"/>
            <w:shd w:val="clear" w:color="auto" w:fill="auto"/>
            <w:vAlign w:val="center"/>
            <w:hideMark/>
          </w:tcPr>
          <w:p w14:paraId="79EDAB34"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13,1</w:t>
            </w:r>
          </w:p>
        </w:tc>
        <w:tc>
          <w:tcPr>
            <w:tcW w:w="1268" w:type="dxa"/>
            <w:shd w:val="clear" w:color="auto" w:fill="auto"/>
            <w:vAlign w:val="center"/>
            <w:hideMark/>
          </w:tcPr>
          <w:p w14:paraId="2DCDE2AD"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16</w:t>
            </w:r>
          </w:p>
        </w:tc>
        <w:tc>
          <w:tcPr>
            <w:tcW w:w="1268" w:type="dxa"/>
            <w:shd w:val="clear" w:color="auto" w:fill="auto"/>
            <w:vAlign w:val="center"/>
            <w:hideMark/>
          </w:tcPr>
          <w:p w14:paraId="4E7DD931"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w:t>
            </w:r>
          </w:p>
        </w:tc>
        <w:tc>
          <w:tcPr>
            <w:tcW w:w="1268" w:type="dxa"/>
            <w:shd w:val="clear" w:color="auto" w:fill="auto"/>
            <w:vAlign w:val="center"/>
            <w:hideMark/>
          </w:tcPr>
          <w:p w14:paraId="4D021E8B"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16,2</w:t>
            </w:r>
          </w:p>
        </w:tc>
      </w:tr>
    </w:tbl>
    <w:p w14:paraId="3DBC446C" w14:textId="3CE8D8B9" w:rsidR="00D4717F" w:rsidRPr="00BF7E57" w:rsidRDefault="008F0832" w:rsidP="00F25C63">
      <w:pPr>
        <w:pStyle w:val="SCslika"/>
        <w:spacing w:before="0" w:after="200"/>
        <w:rPr>
          <w:sz w:val="16"/>
          <w:szCs w:val="16"/>
        </w:rPr>
      </w:pPr>
      <w:r w:rsidRPr="00BF7E57">
        <w:rPr>
          <w:sz w:val="16"/>
          <w:szCs w:val="16"/>
        </w:rPr>
        <w:t>Vir: SURS</w:t>
      </w:r>
    </w:p>
    <w:p w14:paraId="57240DB9" w14:textId="475C6E77" w:rsidR="003E038D" w:rsidRPr="00BF7E57" w:rsidRDefault="003E038D" w:rsidP="001427AE">
      <w:pPr>
        <w:pStyle w:val="Napis"/>
      </w:pPr>
      <w:bookmarkStart w:id="95" w:name="_Ref84860138"/>
      <w:bookmarkStart w:id="96" w:name="_Toc86826409"/>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19</w:t>
      </w:r>
      <w:r w:rsidR="00A30B83" w:rsidRPr="00BF7E57">
        <w:rPr>
          <w:noProof/>
        </w:rPr>
        <w:fldChar w:fldCharType="end"/>
      </w:r>
      <w:bookmarkEnd w:id="95"/>
      <w:r w:rsidRPr="00BF7E57">
        <w:t>: Stopnja tveganja socialne izključenosti, statistične regije, Slovenija, 2019</w:t>
      </w:r>
      <w:bookmarkEnd w:id="96"/>
    </w:p>
    <w:p w14:paraId="79AD5B82" w14:textId="77777777" w:rsidR="009E0216" w:rsidRPr="00BF7E57" w:rsidRDefault="00611510" w:rsidP="00F25C63">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393B02C4" wp14:editId="4EEA9757">
            <wp:extent cx="5760720" cy="3579628"/>
            <wp:effectExtent l="19050" t="19050" r="11430" b="209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873"/>
                    <a:stretch/>
                  </pic:blipFill>
                  <pic:spPr bwMode="auto">
                    <a:xfrm>
                      <a:off x="0" y="0"/>
                      <a:ext cx="5776632" cy="3589515"/>
                    </a:xfrm>
                    <a:prstGeom prst="rect">
                      <a:avLst/>
                    </a:prstGeom>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9C85C9" w14:textId="77777777" w:rsidR="009E0216" w:rsidRPr="00BF7E57" w:rsidRDefault="007344C6" w:rsidP="00D4717F">
      <w:pPr>
        <w:pStyle w:val="Navadensplet"/>
        <w:widowControl w:val="0"/>
        <w:shd w:val="clear" w:color="auto" w:fill="FFFFFF"/>
        <w:spacing w:line="360" w:lineRule="auto"/>
        <w:rPr>
          <w:rFonts w:ascii="Arial" w:hAnsi="Arial" w:cs="Arial"/>
          <w:sz w:val="16"/>
          <w:szCs w:val="16"/>
        </w:rPr>
      </w:pPr>
      <w:r w:rsidRPr="00BF7E57">
        <w:rPr>
          <w:rFonts w:ascii="Arial" w:hAnsi="Arial" w:cs="Arial"/>
          <w:sz w:val="16"/>
          <w:szCs w:val="16"/>
        </w:rPr>
        <w:t>Vir: SURS</w:t>
      </w:r>
    </w:p>
    <w:p w14:paraId="75F7ADE3" w14:textId="03E071CA" w:rsidR="009E0216" w:rsidRPr="00BF7E57" w:rsidRDefault="00D8700F" w:rsidP="00BE756C">
      <w:pPr>
        <w:pStyle w:val="Navadensplet"/>
        <w:shd w:val="clear" w:color="auto" w:fill="FFFFFF"/>
        <w:spacing w:before="200" w:after="200" w:line="360" w:lineRule="auto"/>
        <w:rPr>
          <w:rFonts w:ascii="Arial" w:hAnsi="Arial" w:cs="Arial"/>
        </w:rPr>
      </w:pPr>
      <w:r w:rsidRPr="00BF7E57">
        <w:rPr>
          <w:rFonts w:ascii="Arial" w:hAnsi="Arial" w:cs="Arial"/>
        </w:rPr>
        <w:fldChar w:fldCharType="begin"/>
      </w:r>
      <w:r w:rsidRPr="00BF7E57">
        <w:rPr>
          <w:rFonts w:ascii="Arial" w:hAnsi="Arial" w:cs="Arial"/>
        </w:rPr>
        <w:instrText xml:space="preserve"> REF _Ref84860138 \h </w:instrText>
      </w:r>
      <w:r w:rsidRPr="00BF7E57">
        <w:rPr>
          <w:rFonts w:ascii="Arial" w:hAnsi="Arial" w:cs="Arial"/>
        </w:rPr>
      </w:r>
      <w:r w:rsidR="00BF7E57">
        <w:rPr>
          <w:rFonts w:ascii="Arial" w:hAnsi="Arial" w:cs="Arial"/>
        </w:rPr>
        <w:instrText xml:space="preserve"> \* MERGEFORMAT </w:instrText>
      </w:r>
      <w:r w:rsidRPr="00BF7E57">
        <w:rPr>
          <w:rFonts w:ascii="Arial" w:hAnsi="Arial" w:cs="Arial"/>
        </w:rPr>
        <w:fldChar w:fldCharType="separate"/>
      </w:r>
      <w:r w:rsidR="00236865" w:rsidRPr="00BF7E57">
        <w:t xml:space="preserve">Slika </w:t>
      </w:r>
      <w:r w:rsidR="00236865">
        <w:rPr>
          <w:noProof/>
        </w:rPr>
        <w:t>19</w:t>
      </w:r>
      <w:r w:rsidRPr="00BF7E57">
        <w:rPr>
          <w:rFonts w:ascii="Arial" w:hAnsi="Arial" w:cs="Arial"/>
        </w:rPr>
        <w:fldChar w:fldCharType="end"/>
      </w:r>
      <w:r w:rsidRPr="00BF7E57">
        <w:rPr>
          <w:rFonts w:ascii="Arial" w:hAnsi="Arial" w:cs="Arial"/>
        </w:rPr>
        <w:t xml:space="preserve"> </w:t>
      </w:r>
      <w:r w:rsidR="009E0FB0" w:rsidRPr="00BF7E57">
        <w:rPr>
          <w:rFonts w:ascii="Arial" w:hAnsi="Arial" w:cs="Arial"/>
        </w:rPr>
        <w:t>prikazuje, da je bila s</w:t>
      </w:r>
      <w:r w:rsidR="009E0216" w:rsidRPr="00BF7E57">
        <w:rPr>
          <w:rFonts w:ascii="Arial" w:hAnsi="Arial" w:cs="Arial"/>
        </w:rPr>
        <w:t>topnja tveganja socialne izključenosti najvišja v zasavski statistični regiji (21,4-odstotna stopnja); sledili sta ji koroška (z 19,3-odstotno) in podravska (z 18,6-odstotno). Najnižja je bila v gorenjski statistični regiji (9,6-odstotna), sledili sta ji osrednjeslovenska in posavska statistična regija (vsaka z 11,6-odstotno stopnjo). Število ljudi, izpostavljenih tveganju socialne izključenosti, se je znižalo od izhodiščnega leta 2008 do leta 2019 s 361.000 na 293.000 (za 68.000) (SURS, 2020). Še posebno problematična je dolgotrajna revščina, saj si ljudje zaradi nje lahko ne morejo privoščiti nekaterih dobrin, storitev in dejavnosti, ki so običajne za družbo, v kateri živijo, in se zaradi tega oddaljijo od socialnega okolja ali se celo izolirajo od družbe. V Sloveniji je v letu 2019 živelo 7,4 % ali 134.000 oseb, ki so bile dalj časa pod pragom tveganja revščine (skoraj vsak štirinajsti), v letu prej pa 7,7 % (približno 6.000 več)</w:t>
      </w:r>
      <w:r w:rsidR="00D8220A" w:rsidRPr="00BF7E57">
        <w:rPr>
          <w:rFonts w:ascii="Arial" w:hAnsi="Arial" w:cs="Arial"/>
        </w:rPr>
        <w:t>.</w:t>
      </w:r>
    </w:p>
    <w:p w14:paraId="5E4F5385" w14:textId="640B81DB" w:rsidR="00DD409F" w:rsidRPr="00BF7E57" w:rsidRDefault="00DD409F" w:rsidP="00BE756C">
      <w:pPr>
        <w:pStyle w:val="Navadensplet"/>
        <w:shd w:val="clear" w:color="auto" w:fill="FFFFFF"/>
        <w:spacing w:before="200" w:after="200" w:line="360" w:lineRule="auto"/>
        <w:rPr>
          <w:rFonts w:ascii="Arial" w:hAnsi="Arial" w:cs="Arial"/>
        </w:rPr>
      </w:pPr>
      <w:r w:rsidRPr="00BF7E57">
        <w:rPr>
          <w:rFonts w:ascii="Arial" w:hAnsi="Arial" w:cs="Arial"/>
        </w:rPr>
        <w:t>Indeks enakosti spolov v Sloveniji je bil v letu</w:t>
      </w:r>
      <w:r w:rsidR="00C66F92" w:rsidRPr="00BF7E57">
        <w:rPr>
          <w:rFonts w:ascii="Arial" w:hAnsi="Arial" w:cs="Arial"/>
        </w:rPr>
        <w:t xml:space="preserve"> 2020</w:t>
      </w:r>
      <w:r w:rsidRPr="00BF7E57">
        <w:rPr>
          <w:rFonts w:ascii="Arial" w:hAnsi="Arial" w:cs="Arial"/>
        </w:rPr>
        <w:t xml:space="preserve"> 67,7, kar je nekoliko pod evropskim povprečjem (67,9). Pozitivno pa je, da od leta 2010 raste hitreje od evropskega povprečja. Veliko nižji indeks od evropskega je znanje (le 55,9)</w:t>
      </w:r>
      <w:r w:rsidR="00D8700F" w:rsidRPr="00BF7E57">
        <w:rPr>
          <w:rFonts w:ascii="Arial" w:hAnsi="Arial" w:cs="Arial"/>
        </w:rPr>
        <w:t>, ki</w:t>
      </w:r>
      <w:r w:rsidRPr="00BF7E57">
        <w:rPr>
          <w:rFonts w:ascii="Arial" w:hAnsi="Arial" w:cs="Arial"/>
        </w:rPr>
        <w:t xml:space="preserve"> je od leta 2010 le malenkost zrasel. Nizek je tudi indeks enakosti za moč (55,0). Zelo pa je zrasel </w:t>
      </w:r>
      <w:r w:rsidR="00D8700F" w:rsidRPr="00BF7E57">
        <w:rPr>
          <w:rFonts w:ascii="Arial" w:hAnsi="Arial" w:cs="Arial"/>
        </w:rPr>
        <w:t xml:space="preserve">indeks </w:t>
      </w:r>
      <w:r w:rsidRPr="00BF7E57">
        <w:rPr>
          <w:rFonts w:ascii="Arial" w:hAnsi="Arial" w:cs="Arial"/>
        </w:rPr>
        <w:t>za razpoložljiv čas (72,9) (</w:t>
      </w:r>
      <w:r w:rsidR="00620C77" w:rsidRPr="00BF7E57">
        <w:rPr>
          <w:rFonts w:ascii="Arial" w:hAnsi="Arial" w:cs="Arial"/>
        </w:rPr>
        <w:t xml:space="preserve">EIGE, </w:t>
      </w:r>
      <w:hyperlink r:id="rId33" w:history="1">
        <w:r w:rsidR="00620C77" w:rsidRPr="00BF7E57">
          <w:rPr>
            <w:rStyle w:val="Hiperpovezava"/>
            <w:rFonts w:ascii="Arial" w:hAnsi="Arial" w:cs="Arial"/>
          </w:rPr>
          <w:t>https://eige.europa.eu/gender-equality-index/2020/country</w:t>
        </w:r>
      </w:hyperlink>
      <w:r w:rsidR="00620C77" w:rsidRPr="00BF7E57">
        <w:rPr>
          <w:rFonts w:ascii="Arial" w:hAnsi="Arial" w:cs="Arial"/>
        </w:rPr>
        <w:t>, 2021).</w:t>
      </w:r>
    </w:p>
    <w:p w14:paraId="7F4C08CE" w14:textId="18D58B7A" w:rsidR="008621B1" w:rsidRPr="00BF7E57" w:rsidRDefault="008621B1" w:rsidP="00BE756C">
      <w:pPr>
        <w:pStyle w:val="Navadensplet"/>
        <w:shd w:val="clear" w:color="auto" w:fill="FFFFFF"/>
        <w:spacing w:before="200" w:after="200" w:line="360" w:lineRule="auto"/>
        <w:rPr>
          <w:rFonts w:ascii="Arial" w:hAnsi="Arial" w:cs="Arial"/>
        </w:rPr>
      </w:pPr>
      <w:r w:rsidRPr="00BF7E57">
        <w:rPr>
          <w:rFonts w:ascii="Arial" w:hAnsi="Arial" w:cs="Arial"/>
        </w:rPr>
        <w:t>Ženske na podeželju v večji meri skrbijo za gospodinjstvo, ostarele in otroke.</w:t>
      </w:r>
      <w:r w:rsidR="00BC26CD" w:rsidRPr="00BF7E57">
        <w:rPr>
          <w:rFonts w:ascii="Arial" w:hAnsi="Arial" w:cs="Arial"/>
        </w:rPr>
        <w:t xml:space="preserve"> Položaj žensk na podeželju je bil obravnavan na mednarodni konferenci z naslovom »Ženske in njihov položaj na podeželju«. </w:t>
      </w:r>
      <w:r w:rsidR="00BC26CD" w:rsidRPr="00BF7E57">
        <w:rPr>
          <w:rFonts w:ascii="Arial" w:hAnsi="Arial" w:cs="Arial"/>
        </w:rPr>
        <w:lastRenderedPageBreak/>
        <w:t>Ugotovljeno je bilo, da so ženske na podeželju ključne za socialni in ekonomski razvoj podeželja</w:t>
      </w:r>
      <w:r w:rsidR="001427AE" w:rsidRPr="00BF7E57">
        <w:rPr>
          <w:rFonts w:ascii="Arial" w:hAnsi="Arial" w:cs="Arial"/>
        </w:rPr>
        <w:t>.</w:t>
      </w:r>
      <w:r w:rsidR="00BC26CD" w:rsidRPr="00BF7E57">
        <w:rPr>
          <w:rFonts w:ascii="Arial" w:hAnsi="Arial" w:cs="Arial"/>
        </w:rPr>
        <w:t xml:space="preserve"> Ugotovitve so</w:t>
      </w:r>
      <w:r w:rsidRPr="00BF7E57">
        <w:rPr>
          <w:rFonts w:ascii="Arial" w:hAnsi="Arial" w:cs="Arial"/>
        </w:rPr>
        <w:t xml:space="preserve"> </w:t>
      </w:r>
      <w:r w:rsidR="00BC26CD" w:rsidRPr="00BF7E57">
        <w:rPr>
          <w:rFonts w:ascii="Arial" w:hAnsi="Arial" w:cs="Arial"/>
        </w:rPr>
        <w:t>poudarile</w:t>
      </w:r>
      <w:r w:rsidRPr="00BF7E57">
        <w:rPr>
          <w:rFonts w:ascii="Arial" w:hAnsi="Arial" w:cs="Arial"/>
        </w:rPr>
        <w:t xml:space="preserve"> pomen enakih pravic žensk</w:t>
      </w:r>
      <w:r w:rsidR="00BC26CD" w:rsidRPr="00BF7E57">
        <w:rPr>
          <w:rFonts w:ascii="Arial" w:hAnsi="Arial" w:cs="Arial"/>
        </w:rPr>
        <w:t xml:space="preserve"> na podeželju (Vir: MKGP, 2021).</w:t>
      </w:r>
    </w:p>
    <w:p w14:paraId="02EBBBE8" w14:textId="40B7239B"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Povprečna stopnja zelo nizke delovne intenzivnosti je bila v letu 2018 v Sloveniji 5,4 % oseb, najvišja stopnja pa v koroški (8,6 %), posavski (7,5 %) in savinjski (7,1 %) statistični regiji (SURS, 2020).</w:t>
      </w:r>
    </w:p>
    <w:p w14:paraId="289467E2" w14:textId="006B357E"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V letu 2019 je imelo 89 % gospodinjstev</w:t>
      </w:r>
      <w:r w:rsidR="008F04A2" w:rsidRPr="00BF7E57">
        <w:rPr>
          <w:rFonts w:ascii="Arial" w:hAnsi="Arial" w:cs="Arial"/>
        </w:rPr>
        <w:t xml:space="preserve"> (v letu 2020 </w:t>
      </w:r>
      <w:r w:rsidR="00D8700F" w:rsidRPr="00BF7E57">
        <w:rPr>
          <w:rFonts w:ascii="Arial" w:hAnsi="Arial" w:cs="Arial"/>
        </w:rPr>
        <w:t xml:space="preserve">pa </w:t>
      </w:r>
      <w:r w:rsidR="008F04A2" w:rsidRPr="00BF7E57">
        <w:rPr>
          <w:rFonts w:ascii="Arial" w:hAnsi="Arial" w:cs="Arial"/>
        </w:rPr>
        <w:t>90</w:t>
      </w:r>
      <w:r w:rsidR="00D8700F" w:rsidRPr="00BF7E57">
        <w:rPr>
          <w:rFonts w:ascii="Arial" w:hAnsi="Arial" w:cs="Arial"/>
        </w:rPr>
        <w:t xml:space="preserve"> </w:t>
      </w:r>
      <w:r w:rsidR="008F04A2" w:rsidRPr="00BF7E57">
        <w:rPr>
          <w:rFonts w:ascii="Arial" w:hAnsi="Arial" w:cs="Arial"/>
        </w:rPr>
        <w:t>%)</w:t>
      </w:r>
      <w:r w:rsidRPr="00BF7E57">
        <w:rPr>
          <w:rFonts w:ascii="Arial" w:hAnsi="Arial" w:cs="Arial"/>
        </w:rPr>
        <w:t>, v katerih živi vsaj ena oseba, stara od 16 do 74 let, dostop do interneta (v letu 2010 pa 68 %). Internet redno uporablja 83 % oseb, starih 16–74 let; 49 % jih uporablja neposredno sporočanje, 47 % e-bančništvo, 6 % jih prek interneta upravlja pametne gospodinjske aparate ali naprave. Digitalni razkorak, tj. neenakost, ki jo povzroči nezmožnost dostopa ter uporabe informacijskih in komunikacijskih tehnologij, je najvišji med osebami, starimi 65 ali več let. Več kot polovica neuporabnikov interneta sodi v starostno skupino 65–74 let (SURS, 2020).</w:t>
      </w:r>
    </w:p>
    <w:p w14:paraId="2D14C08F" w14:textId="7FF96DA6"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 xml:space="preserve">Splošno zadovoljstvo z življenjem se v zadnjih letih zvišuje. V letu 2019 je znašalo v povprečju 7,5 (od 10), najvišje so ga ocenili prebivalci gorenjske statistične regije (7,6 od 10). Z najnižjo oceno so svoje zadovoljstvo z življenjem ocenili prebivalci pomurske in koroške statistične regije (7,1) (SURS, 2020). </w:t>
      </w:r>
      <w:r w:rsidR="00770D5B" w:rsidRPr="00BF7E57">
        <w:rPr>
          <w:rFonts w:ascii="Arial" w:hAnsi="Arial" w:cs="Arial"/>
        </w:rPr>
        <w:t>V letu 2020 je bil kazalnik nekoliko nižji – 7,4 (SURS, 2021).</w:t>
      </w:r>
    </w:p>
    <w:p w14:paraId="102BF8BB"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Enotedenske letne počitnice zunaj doma za vse člane gospodinjstva si je v letu 2019 finančno lahko privoščilo 76 % gospodinjstev, to je za tri odstotne točke več kot v 2018, in največ, odkar se meri ta podatek, </w:t>
      </w:r>
      <w:r w:rsidR="007344C6" w:rsidRPr="00BF7E57">
        <w:rPr>
          <w:rFonts w:ascii="Arial" w:hAnsi="Arial" w:cs="Arial"/>
          <w:sz w:val="20"/>
          <w:szCs w:val="20"/>
        </w:rPr>
        <w:t xml:space="preserve">tj. od leta 2005 (SURS, 2020). </w:t>
      </w:r>
    </w:p>
    <w:p w14:paraId="01F1DC0E" w14:textId="5B2DC5B6"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Po podatkih UMAR (2020) osebe z nižjimi dohodki najredkeje obiskujejo kulturne prireditve in se najmanj ukvarjajo z ljubiteljskimi kulturnimi dejavnostmi. Manj se ukvarjajo tudi s športom in telesno vadbo, kar vpliva na splošno počutje in zdravstveno stanje posameznika. Zdravstveno stanje prebivalstva se je v zadnjih desetih letih izboljševalo, pričakovano trajanje življenja ob rojstvu pa se je podaljšalo. Čeprav se življenjski slog na nekaterih področjih izboljšuje, se zaostanek za povprečjem EU povečuje. Po podatkih UMAR se je bolniška odsotnost z dela v zadnjih letih povečala. Predvsem se je povečalo število dolgotrajnih bolniških odsotnosti, kar je deloma lahko povezano s staranjem aktivne populacije</w:t>
      </w:r>
      <w:r w:rsidR="00D8700F" w:rsidRPr="00BF7E57">
        <w:rPr>
          <w:rFonts w:ascii="Arial" w:hAnsi="Arial" w:cs="Arial"/>
          <w:sz w:val="20"/>
          <w:szCs w:val="20"/>
        </w:rPr>
        <w:t xml:space="preserve"> in</w:t>
      </w:r>
      <w:r w:rsidRPr="00BF7E57">
        <w:rPr>
          <w:rFonts w:ascii="Arial" w:hAnsi="Arial" w:cs="Arial"/>
          <w:sz w:val="20"/>
          <w:szCs w:val="20"/>
        </w:rPr>
        <w:t xml:space="preserve"> spremembami pokojninske zakonodaje.</w:t>
      </w:r>
    </w:p>
    <w:p w14:paraId="3693A874" w14:textId="60ACC6C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Podatki</w:t>
      </w:r>
      <w:r w:rsidR="008F0832" w:rsidRPr="00BF7E57">
        <w:rPr>
          <w:rFonts w:ascii="Arial" w:hAnsi="Arial" w:cs="Arial"/>
          <w:sz w:val="20"/>
          <w:szCs w:val="20"/>
        </w:rPr>
        <w:t xml:space="preserve"> SURS</w:t>
      </w:r>
      <w:r w:rsidRPr="00BF7E57">
        <w:rPr>
          <w:rFonts w:ascii="Arial" w:hAnsi="Arial" w:cs="Arial"/>
          <w:sz w:val="20"/>
          <w:szCs w:val="20"/>
        </w:rPr>
        <w:t xml:space="preserve"> o stanovanjskih razmerah za leto 2019 kažejo, da je bilo 79 % gospodinjstev v dobrem stanju. Na kakovost bivanja vplivajo tudi drugi dejavniki, kot so onesnaženost okolja (84 % gospodinjstev je leta 2019 živelo v čistem okolju), hrup (85 % gospodinjstev ni imelo težav s hrupom) in pojavljanje kriminala ali vandalizma v bivalnem okolju (92 % gospodinjstev ni zaznalo kriminala). Gospodinjstva, ki živijo v gosto poseljenih območjih, so se v večjem odstotku soočala z onesnaženostjo okolja, hrupom in pojavljanjem kriminala kot gospodinjstv</w:t>
      </w:r>
      <w:r w:rsidR="007344C6" w:rsidRPr="00BF7E57">
        <w:rPr>
          <w:rFonts w:ascii="Arial" w:hAnsi="Arial" w:cs="Arial"/>
          <w:sz w:val="20"/>
          <w:szCs w:val="20"/>
        </w:rPr>
        <w:t>a v redko poseljenih  območjih.</w:t>
      </w:r>
    </w:p>
    <w:p w14:paraId="59B239CA" w14:textId="266966AD"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Dostopnost plačljivih prostočasnih dejavnosti, se je v zadnjih letih povečala, nizka pa je med starejšimi in osebami z nizkimi dohodki (UMAR, 2020). Še vedno pa zaradi finančnih ali drugih razlogov niso dostopne slabi polovici prebivalcev. Nizko pa je zadovoljstvo z dolžino prostega časa v starostni skupini 25–44 let, ki je najbolj delovno aktivna</w:t>
      </w:r>
      <w:r w:rsidR="00C16D04" w:rsidRPr="00BF7E57">
        <w:rPr>
          <w:rFonts w:ascii="Arial" w:hAnsi="Arial" w:cs="Arial"/>
        </w:rPr>
        <w:t>,</w:t>
      </w:r>
      <w:r w:rsidRPr="00BF7E57">
        <w:rPr>
          <w:rFonts w:ascii="Arial" w:hAnsi="Arial" w:cs="Arial"/>
        </w:rPr>
        <w:t xml:space="preserve"> ter pri osebah z nizkimi dohodki. Finančna dostopnost do zdravstvenih storitev z vidika sistema ostaja dobra, problem čakalnih dob pa dejansko dostopnost </w:t>
      </w:r>
      <w:r w:rsidRPr="00BF7E57">
        <w:rPr>
          <w:rFonts w:ascii="Arial" w:hAnsi="Arial" w:cs="Arial"/>
        </w:rPr>
        <w:lastRenderedPageBreak/>
        <w:t>poslabšuje. Med prikrajšanosti mladih na podeželju po nekaterih raziskavah lahko štejemo slabše možnosti za interesne dejavnosti, športne aktivnosti, manj prostega časa ter več dela, če izhajamo iz predpostavke, da živijo mladi na kmetiji, nižja življenjska raven, manj družbenih stikov ter slabše možnosti za izobraževanje in varstvo. Prednosti mladih na podeželju pa so večja svoboda, sproščenost, več prostora za gibanje, stik z naravo, več dela ter delovnih navad, zdravo življenje, ter večja prometna varnost (Črnčič, 2016).</w:t>
      </w:r>
    </w:p>
    <w:p w14:paraId="6C4B731D" w14:textId="77777777"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 xml:space="preserve">Na dostojno življenje lahko vpliva tudi izpostavljenost različnim oblikam diskriminacije, ki je v Sloveniji relativno nizka (v obdobju 2008-2019 se je delež zmanjšal na 9 % in je med najnižjimi v EU), gre pa za primere nasilja nad ženskami, diskriminacija na delovnem mestu. (Poročilo o razvoju 2020, 2020). Glede na socialno mrežo in pogoste stike z ljudmi je Slovenija pod EU povprečjem. </w:t>
      </w:r>
    </w:p>
    <w:p w14:paraId="258C085D" w14:textId="4064167F"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Za Slovenijo je značilen visok delež lastniških stanovanj</w:t>
      </w:r>
      <w:r w:rsidR="008E7BFA" w:rsidRPr="00BF7E57">
        <w:rPr>
          <w:rFonts w:ascii="Arial" w:hAnsi="Arial" w:cs="Arial"/>
          <w:sz w:val="20"/>
          <w:szCs w:val="20"/>
        </w:rPr>
        <w:t xml:space="preserve"> (80,8 % v letu 2018)</w:t>
      </w:r>
      <w:r w:rsidRPr="00BF7E57">
        <w:rPr>
          <w:rFonts w:ascii="Arial" w:hAnsi="Arial" w:cs="Arial"/>
          <w:sz w:val="20"/>
          <w:szCs w:val="20"/>
        </w:rPr>
        <w:t>, izrazita stanovanjska nemobilnost in visok delež prebivalcev, ki živijo na kmetijah ali v individualnih hišah</w:t>
      </w:r>
      <w:r w:rsidR="008E7BFA" w:rsidRPr="00BF7E57">
        <w:rPr>
          <w:rFonts w:ascii="Arial" w:hAnsi="Arial" w:cs="Arial"/>
          <w:sz w:val="20"/>
          <w:szCs w:val="20"/>
        </w:rPr>
        <w:t xml:space="preserve"> (v eno- ali dvostanovanjskih hišah je leta 2018 živelo </w:t>
      </w:r>
      <w:r w:rsidR="00EF2802" w:rsidRPr="00BF7E57">
        <w:rPr>
          <w:rFonts w:ascii="Arial" w:hAnsi="Arial" w:cs="Arial"/>
          <w:sz w:val="20"/>
          <w:szCs w:val="20"/>
        </w:rPr>
        <w:t>65,8</w:t>
      </w:r>
      <w:r w:rsidR="008E7BFA" w:rsidRPr="00BF7E57">
        <w:rPr>
          <w:rFonts w:ascii="Arial" w:hAnsi="Arial" w:cs="Arial"/>
          <w:sz w:val="20"/>
          <w:szCs w:val="20"/>
        </w:rPr>
        <w:t xml:space="preserve"> % prebivalcev Slovenije)</w:t>
      </w:r>
      <w:r w:rsidRPr="00BF7E57">
        <w:rPr>
          <w:rFonts w:ascii="Arial" w:hAnsi="Arial" w:cs="Arial"/>
          <w:sz w:val="20"/>
          <w:szCs w:val="20"/>
        </w:rPr>
        <w:t xml:space="preserve">. Ob takšnem stanju se odpirajo vprašanja zagotavljanja mobilnosti lokalnih prebivalcev na manj dostopnih in redkejše poseljenih območjih ter njihovega dostopa do storitev. V zadnjem času se kot pomemben ukrep za boljšo mobilnost starejših kažejo tudi storitve sopotništva, prevoze na klic in drugih alternativnih oblik prevoza. Socialno vključenost starejših se spodbuja tudi z njihovim sodelovanjem pri mobilnosti drugih starostnih skupin in medsebojno pomočjo med starejšimi različnih zmožnosti. Poleg vseh oblik sopotništva je treba kot odlično obliko medgeneracijskega sodelovanja omeniti pomoč starejših pri spremljanju otrok na poti v šolo. </w:t>
      </w:r>
    </w:p>
    <w:p w14:paraId="08298FC3" w14:textId="6E391F38"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Sloveniji je že vzpostavljena mreža različnih večgeneracijskih centrov, tako institucionalnih kot neinstitucionalnih in v slovenskem prostoru predstavlja pomembno obogatitev v sistemu pomoči ranljivim ciljnim skupinam.</w:t>
      </w:r>
    </w:p>
    <w:p w14:paraId="206F8AED" w14:textId="0606CC16" w:rsidR="005F15F1" w:rsidRPr="00BF7E57" w:rsidRDefault="005F15F1" w:rsidP="00BE756C">
      <w:pPr>
        <w:spacing w:before="200" w:line="360" w:lineRule="auto"/>
        <w:jc w:val="both"/>
        <w:rPr>
          <w:rFonts w:ascii="Arial" w:hAnsi="Arial" w:cs="Arial"/>
          <w:sz w:val="20"/>
          <w:szCs w:val="20"/>
        </w:rPr>
      </w:pPr>
      <w:r w:rsidRPr="00BF7E57">
        <w:rPr>
          <w:rFonts w:ascii="Arial" w:hAnsi="Arial" w:cs="Arial"/>
          <w:sz w:val="20"/>
          <w:szCs w:val="20"/>
        </w:rPr>
        <w:t>Po raziskavi</w:t>
      </w:r>
      <w:r w:rsidR="0053296E" w:rsidRPr="00BF7E57">
        <w:rPr>
          <w:rFonts w:ascii="Arial" w:hAnsi="Arial" w:cs="Arial"/>
          <w:sz w:val="20"/>
          <w:szCs w:val="20"/>
        </w:rPr>
        <w:t xml:space="preserve"> (</w:t>
      </w:r>
      <w:r w:rsidR="00320852" w:rsidRPr="00BF7E57">
        <w:rPr>
          <w:rFonts w:ascii="Arial" w:hAnsi="Arial" w:cs="Arial"/>
          <w:sz w:val="20"/>
          <w:szCs w:val="20"/>
        </w:rPr>
        <w:t>Lavrič, 2020)</w:t>
      </w:r>
      <w:r w:rsidRPr="00BF7E57">
        <w:rPr>
          <w:rFonts w:ascii="Arial" w:hAnsi="Arial" w:cs="Arial"/>
          <w:sz w:val="20"/>
          <w:szCs w:val="20"/>
        </w:rPr>
        <w:t xml:space="preserve"> je od leta 2020 število mladih v Sloveniji upadlo za tretjino, kljub temu, da se vsako leto v Slovenijo priseli okoli 2.500 mladih. Z letom 2020 se je tako število mladih na račun priseljevanj nekoliko stabiliziralo V povezavi s tem je sicer pozitivno, da je vedno manj mladih brezposelnih (leta 2005 je bilo med brezposelnimi 37 % mladih, leta 2020 pa le še 20 %), čakalna doba mladih do prve zaposlitve se krajša.</w:t>
      </w:r>
      <w:r w:rsidRPr="00BF7E57">
        <w:t xml:space="preserve"> </w:t>
      </w:r>
      <w:r w:rsidRPr="00BF7E57">
        <w:rPr>
          <w:rFonts w:ascii="Arial" w:hAnsi="Arial" w:cs="Arial"/>
          <w:sz w:val="20"/>
          <w:szCs w:val="20"/>
        </w:rPr>
        <w:t>R</w:t>
      </w:r>
      <w:r w:rsidR="0053296E" w:rsidRPr="00BF7E57">
        <w:rPr>
          <w:rFonts w:ascii="Arial" w:hAnsi="Arial" w:cs="Arial"/>
          <w:sz w:val="20"/>
          <w:szCs w:val="20"/>
        </w:rPr>
        <w:t xml:space="preserve">aziskava ugotavlja, da je manjša volilna udeležba mladih, da je med njimi zaznana večja individualizacija in želja po avtonomiji. V večjem številu mladi zagovarjajo zdravo življenje in se ukvarjajo s športom. </w:t>
      </w:r>
      <w:r w:rsidRPr="00BF7E57">
        <w:rPr>
          <w:rFonts w:ascii="Arial" w:hAnsi="Arial" w:cs="Arial"/>
          <w:sz w:val="20"/>
          <w:szCs w:val="20"/>
        </w:rPr>
        <w:t>Mladi vidijo povečevanje števila starih ljudi kot velik problem, kljub temu je zaznano dobro sožitje med mladimi in starejšimi iz razloga, da so mnenja, da so oboji v družbi deprivilegirani.</w:t>
      </w:r>
    </w:p>
    <w:p w14:paraId="1A101FF5" w14:textId="77777777" w:rsidR="00094E57" w:rsidRPr="00BF7E57" w:rsidRDefault="00094E57" w:rsidP="00BE756C">
      <w:pPr>
        <w:spacing w:before="200" w:line="360" w:lineRule="auto"/>
        <w:jc w:val="both"/>
        <w:rPr>
          <w:rFonts w:ascii="Arial" w:hAnsi="Arial" w:cs="Arial"/>
          <w:sz w:val="20"/>
          <w:szCs w:val="20"/>
        </w:rPr>
      </w:pPr>
    </w:p>
    <w:p w14:paraId="3D7CD341"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u w:val="single"/>
        </w:rPr>
      </w:pPr>
      <w:r w:rsidRPr="00BF7E57">
        <w:rPr>
          <w:rFonts w:ascii="Arial" w:hAnsi="Arial" w:cs="Arial"/>
          <w:sz w:val="20"/>
          <w:szCs w:val="20"/>
          <w:u w:val="single"/>
        </w:rPr>
        <w:t>Nepridobitne organizacije in društva</w:t>
      </w:r>
    </w:p>
    <w:p w14:paraId="78C12CEA" w14:textId="76542853" w:rsidR="009E0216" w:rsidRPr="00BF7E57" w:rsidRDefault="008F0832"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Za socialno vključevanje prebivalcev na podeželju je pomembno</w:t>
      </w:r>
      <w:r w:rsidR="009E0216" w:rsidRPr="00BF7E57">
        <w:rPr>
          <w:rFonts w:ascii="Arial" w:hAnsi="Arial" w:cs="Arial"/>
          <w:sz w:val="20"/>
          <w:szCs w:val="20"/>
        </w:rPr>
        <w:t xml:space="preserve"> delovanje nepridobitnih organizacij in društev</w:t>
      </w:r>
      <w:r w:rsidR="007B2E0B" w:rsidRPr="00BF7E57">
        <w:rPr>
          <w:rFonts w:ascii="Arial" w:hAnsi="Arial" w:cs="Arial"/>
          <w:sz w:val="20"/>
          <w:szCs w:val="20"/>
        </w:rPr>
        <w:t>, ki je na podeželju zelo razvito in številčno ter</w:t>
      </w:r>
      <w:r w:rsidR="009E0216" w:rsidRPr="00BF7E57">
        <w:rPr>
          <w:rFonts w:ascii="Arial" w:hAnsi="Arial" w:cs="Arial"/>
          <w:sz w:val="20"/>
          <w:szCs w:val="20"/>
        </w:rPr>
        <w:t xml:space="preserve"> se je v obdobju 2008-2019 stalno povečevalo. Po </w:t>
      </w:r>
      <w:r w:rsidR="009E0216" w:rsidRPr="00BF7E57">
        <w:rPr>
          <w:rFonts w:ascii="Arial" w:hAnsi="Arial" w:cs="Arial"/>
          <w:sz w:val="20"/>
          <w:szCs w:val="20"/>
        </w:rPr>
        <w:lastRenderedPageBreak/>
        <w:t xml:space="preserve">podatkih AJPES se je število nepridobitnih organizacij in društev od leta 2008 do leta 2019 povečalo, kar prikazuje </w:t>
      </w:r>
      <w:r w:rsidR="00F113B1" w:rsidRPr="00BF7E57">
        <w:rPr>
          <w:rFonts w:ascii="Arial" w:hAnsi="Arial" w:cs="Arial"/>
          <w:sz w:val="20"/>
          <w:szCs w:val="20"/>
        </w:rPr>
        <w:fldChar w:fldCharType="begin"/>
      </w:r>
      <w:r w:rsidR="00F113B1" w:rsidRPr="00BF7E57">
        <w:rPr>
          <w:rFonts w:ascii="Arial" w:hAnsi="Arial" w:cs="Arial"/>
          <w:sz w:val="20"/>
          <w:szCs w:val="20"/>
        </w:rPr>
        <w:instrText xml:space="preserve"> REF _Ref84922243 \h </w:instrText>
      </w:r>
      <w:r w:rsidR="00F113B1" w:rsidRPr="00BF7E57">
        <w:rPr>
          <w:rFonts w:ascii="Arial" w:hAnsi="Arial" w:cs="Arial"/>
          <w:sz w:val="20"/>
          <w:szCs w:val="20"/>
        </w:rPr>
      </w:r>
      <w:r w:rsidR="00BF7E57">
        <w:rPr>
          <w:rFonts w:ascii="Arial" w:hAnsi="Arial" w:cs="Arial"/>
          <w:sz w:val="20"/>
          <w:szCs w:val="20"/>
        </w:rPr>
        <w:instrText xml:space="preserve"> \* MERGEFORMAT </w:instrText>
      </w:r>
      <w:r w:rsidR="00F113B1" w:rsidRPr="00BF7E57">
        <w:rPr>
          <w:rFonts w:ascii="Arial" w:hAnsi="Arial" w:cs="Arial"/>
          <w:sz w:val="20"/>
          <w:szCs w:val="20"/>
        </w:rPr>
        <w:fldChar w:fldCharType="separate"/>
      </w:r>
      <w:r w:rsidR="00236865" w:rsidRPr="00BF7E57">
        <w:t xml:space="preserve">Tabela </w:t>
      </w:r>
      <w:r w:rsidR="00236865">
        <w:rPr>
          <w:noProof/>
        </w:rPr>
        <w:t>16</w:t>
      </w:r>
      <w:r w:rsidR="00F113B1" w:rsidRPr="00BF7E57">
        <w:rPr>
          <w:rFonts w:ascii="Arial" w:hAnsi="Arial" w:cs="Arial"/>
          <w:sz w:val="20"/>
          <w:szCs w:val="20"/>
        </w:rPr>
        <w:fldChar w:fldCharType="end"/>
      </w:r>
      <w:r w:rsidR="009E0216" w:rsidRPr="00BF7E57">
        <w:rPr>
          <w:rFonts w:ascii="Arial" w:hAnsi="Arial" w:cs="Arial"/>
          <w:sz w:val="20"/>
          <w:szCs w:val="20"/>
        </w:rPr>
        <w:t>. Leta 2019 je bilo na podeželju 3.812 nepridobitnih organizacij (t.j. pravne osebe zasebnega prava), kar je 43 % vseh nepridobitnih organizacij v Sloveniji. Polovico od teh so zasebni zavodi, sledijo jim sindikati, ustanove, politične stranke, verske skupnosti ipd.</w:t>
      </w:r>
    </w:p>
    <w:p w14:paraId="25E51814" w14:textId="41171AA8" w:rsidR="009E0216" w:rsidRPr="00BF7E57" w:rsidRDefault="00F113B1"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Nepridobitne organizacije </w:t>
      </w:r>
      <w:r w:rsidR="009E0216" w:rsidRPr="00BF7E57">
        <w:rPr>
          <w:rFonts w:ascii="Arial" w:hAnsi="Arial" w:cs="Arial"/>
          <w:sz w:val="20"/>
          <w:szCs w:val="20"/>
        </w:rPr>
        <w:t xml:space="preserve">so leta 2018 v največjem deležu zaposlovale na področju izobraževanja (35,6 %), sledijo strokovne, znanstvene in tehnične dejavnosti (Informacija o poslovanju nepridobitnih organizacij – pravnih oseb zasebnega prava v RS v letu 2018, 2019). </w:t>
      </w:r>
    </w:p>
    <w:p w14:paraId="60D96F89"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Po podatki AJPES je bilo leta 2019 na podeželju 14.110 društev, kar predstavlja 58,4 % vseh slovenskih društev. Največ društev je bilo razvrščenih v skupino športnih in rekreativnih društev (okoli 35 % vseh društev), kulturnih in umetniških društev (okoli 17 % vseh društev) in društev za pomoč ljudem (13 % vseh društev). 235 društev je imelo status invalidske organizacije. (AJPES, </w:t>
      </w:r>
      <w:hyperlink r:id="rId34" w:history="1">
        <w:r w:rsidRPr="00BF7E57">
          <w:rPr>
            <w:rStyle w:val="Hiperpovezava"/>
            <w:rFonts w:ascii="Arial" w:hAnsi="Arial" w:cs="Arial"/>
            <w:sz w:val="20"/>
            <w:szCs w:val="20"/>
          </w:rPr>
          <w:t>https://www.ajpes.si/Registri/Poslovni_register/Porocila</w:t>
        </w:r>
      </w:hyperlink>
      <w:r w:rsidRPr="00BF7E57">
        <w:rPr>
          <w:rFonts w:ascii="Arial" w:hAnsi="Arial" w:cs="Arial"/>
          <w:sz w:val="20"/>
          <w:szCs w:val="20"/>
        </w:rPr>
        <w:t>).</w:t>
      </w:r>
    </w:p>
    <w:p w14:paraId="1098C46C" w14:textId="777DB295" w:rsidR="005B0F81"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letu 2018 so društva zaposlovala 3.638 delavcev. Glede na skupino društev je bil največji delež zaposlenih v društvih za pomoč ljudem, 48,2 %, ter v športnih in rekreativnih društvih, 24,8 %. Med regijami pa sta največji delež zaposlenih imeli osrednjeslovenska regija, tj. 54,9 %, in podravska</w:t>
      </w:r>
      <w:r w:rsidR="00F113B1" w:rsidRPr="00BF7E57">
        <w:rPr>
          <w:rFonts w:ascii="Arial" w:hAnsi="Arial" w:cs="Arial"/>
          <w:sz w:val="20"/>
          <w:szCs w:val="20"/>
        </w:rPr>
        <w:t>.</w:t>
      </w:r>
      <w:r w:rsidRPr="00BF7E57">
        <w:rPr>
          <w:rFonts w:ascii="Arial" w:hAnsi="Arial" w:cs="Arial"/>
          <w:sz w:val="20"/>
          <w:szCs w:val="20"/>
        </w:rPr>
        <w:t xml:space="preserve"> </w:t>
      </w:r>
    </w:p>
    <w:p w14:paraId="4FB41B0E" w14:textId="77777777" w:rsidR="000915F5" w:rsidRPr="00BF7E57" w:rsidRDefault="000915F5">
      <w:pPr>
        <w:rPr>
          <w:rFonts w:ascii="Arial" w:hAnsi="Arial" w:cs="Arial"/>
          <w:sz w:val="20"/>
          <w:szCs w:val="20"/>
        </w:rPr>
      </w:pPr>
      <w:r w:rsidRPr="00BF7E57">
        <w:rPr>
          <w:rFonts w:ascii="Arial" w:hAnsi="Arial" w:cs="Arial"/>
          <w:sz w:val="20"/>
          <w:szCs w:val="20"/>
        </w:rPr>
        <w:br w:type="page"/>
      </w:r>
    </w:p>
    <w:p w14:paraId="4B7ECE4A" w14:textId="07607265" w:rsidR="009E0216" w:rsidRPr="00BF7E57" w:rsidRDefault="00FB38E7" w:rsidP="001427AE">
      <w:pPr>
        <w:pStyle w:val="Napis"/>
      </w:pPr>
      <w:bookmarkStart w:id="97" w:name="_Ref84922243"/>
      <w:bookmarkStart w:id="98" w:name="_Toc86826454"/>
      <w:r w:rsidRPr="00BF7E57">
        <w:lastRenderedPageBreak/>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16</w:t>
      </w:r>
      <w:r w:rsidR="00A30B83" w:rsidRPr="00BF7E57">
        <w:rPr>
          <w:noProof/>
        </w:rPr>
        <w:fldChar w:fldCharType="end"/>
      </w:r>
      <w:bookmarkEnd w:id="97"/>
      <w:r w:rsidRPr="00BF7E57">
        <w:t>: Število nepridobitnih organizacij in društev na podeželju, po letih</w:t>
      </w:r>
      <w:bookmarkEnd w:id="98"/>
    </w:p>
    <w:tbl>
      <w:tblPr>
        <w:tblW w:w="7528" w:type="dxa"/>
        <w:tblInd w:w="55" w:type="dxa"/>
        <w:tblCellMar>
          <w:left w:w="70" w:type="dxa"/>
          <w:right w:w="70" w:type="dxa"/>
        </w:tblCellMar>
        <w:tblLook w:val="04A0" w:firstRow="1" w:lastRow="0" w:firstColumn="1" w:lastColumn="0" w:noHBand="0" w:noVBand="1"/>
      </w:tblPr>
      <w:tblGrid>
        <w:gridCol w:w="958"/>
        <w:gridCol w:w="1184"/>
        <w:gridCol w:w="3118"/>
        <w:gridCol w:w="2268"/>
      </w:tblGrid>
      <w:tr w:rsidR="009E0216" w:rsidRPr="00BF7E57" w14:paraId="74A1CC11" w14:textId="77777777" w:rsidTr="00094E57">
        <w:trPr>
          <w:trHeight w:val="759"/>
        </w:trPr>
        <w:tc>
          <w:tcPr>
            <w:tcW w:w="2142" w:type="dxa"/>
            <w:gridSpan w:val="2"/>
            <w:tcBorders>
              <w:top w:val="single" w:sz="8" w:space="0" w:color="auto"/>
              <w:left w:val="single" w:sz="4" w:space="0" w:color="auto"/>
              <w:bottom w:val="single" w:sz="8" w:space="0" w:color="auto"/>
              <w:right w:val="single" w:sz="4" w:space="0" w:color="000000"/>
            </w:tcBorders>
            <w:shd w:val="clear" w:color="auto" w:fill="92D050"/>
            <w:noWrap/>
            <w:vAlign w:val="center"/>
            <w:hideMark/>
          </w:tcPr>
          <w:p w14:paraId="5ABCBD6E"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Poslovni subjekti</w:t>
            </w:r>
          </w:p>
        </w:tc>
        <w:tc>
          <w:tcPr>
            <w:tcW w:w="3118" w:type="dxa"/>
            <w:tcBorders>
              <w:top w:val="single" w:sz="8" w:space="0" w:color="auto"/>
              <w:left w:val="nil"/>
              <w:bottom w:val="single" w:sz="8" w:space="0" w:color="auto"/>
              <w:right w:val="single" w:sz="4" w:space="0" w:color="auto"/>
            </w:tcBorders>
            <w:shd w:val="clear" w:color="auto" w:fill="92D050"/>
            <w:vAlign w:val="center"/>
            <w:hideMark/>
          </w:tcPr>
          <w:p w14:paraId="15BC08EB" w14:textId="77777777" w:rsidR="009E0216" w:rsidRPr="00BF7E57" w:rsidRDefault="009E0216" w:rsidP="00094E57">
            <w:pPr>
              <w:spacing w:before="60" w:after="0" w:line="360" w:lineRule="auto"/>
              <w:rPr>
                <w:rFonts w:ascii="Arial" w:hAnsi="Arial" w:cs="Arial"/>
                <w:sz w:val="20"/>
                <w:szCs w:val="20"/>
                <w:lang w:eastAsia="sl-SI"/>
              </w:rPr>
            </w:pPr>
            <w:r w:rsidRPr="00BF7E57">
              <w:rPr>
                <w:rFonts w:ascii="Arial" w:hAnsi="Arial" w:cs="Arial"/>
                <w:sz w:val="20"/>
                <w:szCs w:val="20"/>
                <w:lang w:eastAsia="sl-SI"/>
              </w:rPr>
              <w:t>Nepridobitne organizacije - pravne osebe zasebnega prava</w:t>
            </w:r>
          </w:p>
        </w:tc>
        <w:tc>
          <w:tcPr>
            <w:tcW w:w="2268" w:type="dxa"/>
            <w:tcBorders>
              <w:top w:val="single" w:sz="8" w:space="0" w:color="auto"/>
              <w:left w:val="nil"/>
              <w:bottom w:val="single" w:sz="8" w:space="0" w:color="auto"/>
              <w:right w:val="single" w:sz="8" w:space="0" w:color="auto"/>
            </w:tcBorders>
            <w:shd w:val="clear" w:color="auto" w:fill="92D050"/>
            <w:vAlign w:val="center"/>
            <w:hideMark/>
          </w:tcPr>
          <w:p w14:paraId="69AEDEAF"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Društva</w:t>
            </w:r>
          </w:p>
        </w:tc>
      </w:tr>
      <w:tr w:rsidR="009E0216" w:rsidRPr="00BF7E57" w14:paraId="685721E1"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E1EA8F9"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2008</w:t>
            </w:r>
          </w:p>
        </w:tc>
        <w:tc>
          <w:tcPr>
            <w:tcW w:w="1184" w:type="dxa"/>
            <w:tcBorders>
              <w:top w:val="nil"/>
              <w:left w:val="nil"/>
              <w:bottom w:val="single" w:sz="4" w:space="0" w:color="auto"/>
              <w:right w:val="single" w:sz="4" w:space="0" w:color="auto"/>
            </w:tcBorders>
            <w:shd w:val="clear" w:color="auto" w:fill="auto"/>
            <w:noWrap/>
            <w:vAlign w:val="bottom"/>
            <w:hideMark/>
          </w:tcPr>
          <w:p w14:paraId="794561F3"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5CB8D1A"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7.405</w:t>
            </w:r>
          </w:p>
        </w:tc>
        <w:tc>
          <w:tcPr>
            <w:tcW w:w="2268" w:type="dxa"/>
            <w:tcBorders>
              <w:top w:val="nil"/>
              <w:left w:val="nil"/>
              <w:bottom w:val="single" w:sz="4" w:space="0" w:color="auto"/>
              <w:right w:val="single" w:sz="8" w:space="0" w:color="auto"/>
            </w:tcBorders>
            <w:shd w:val="clear" w:color="auto" w:fill="auto"/>
            <w:hideMark/>
          </w:tcPr>
          <w:p w14:paraId="1CF118F5"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21.479</w:t>
            </w:r>
          </w:p>
        </w:tc>
      </w:tr>
      <w:tr w:rsidR="009E0216" w:rsidRPr="00BF7E57" w14:paraId="49078784"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71BB9B63"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45451F53"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07CF7E76"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3.559</w:t>
            </w:r>
          </w:p>
        </w:tc>
        <w:tc>
          <w:tcPr>
            <w:tcW w:w="2268" w:type="dxa"/>
            <w:tcBorders>
              <w:top w:val="nil"/>
              <w:left w:val="nil"/>
              <w:bottom w:val="single" w:sz="8" w:space="0" w:color="auto"/>
              <w:right w:val="single" w:sz="8" w:space="0" w:color="auto"/>
            </w:tcBorders>
            <w:shd w:val="clear" w:color="auto" w:fill="auto"/>
            <w:hideMark/>
          </w:tcPr>
          <w:p w14:paraId="3E331709"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12.836</w:t>
            </w:r>
          </w:p>
        </w:tc>
      </w:tr>
      <w:tr w:rsidR="009E0216" w:rsidRPr="00BF7E57" w14:paraId="5598153C"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40E6A53A"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2010</w:t>
            </w:r>
          </w:p>
        </w:tc>
        <w:tc>
          <w:tcPr>
            <w:tcW w:w="1184" w:type="dxa"/>
            <w:tcBorders>
              <w:top w:val="nil"/>
              <w:left w:val="nil"/>
              <w:bottom w:val="single" w:sz="4" w:space="0" w:color="auto"/>
              <w:right w:val="single" w:sz="4" w:space="0" w:color="auto"/>
            </w:tcBorders>
            <w:shd w:val="clear" w:color="auto" w:fill="auto"/>
            <w:noWrap/>
            <w:vAlign w:val="bottom"/>
            <w:hideMark/>
          </w:tcPr>
          <w:p w14:paraId="6B5D667A"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931504D"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7.609</w:t>
            </w:r>
          </w:p>
        </w:tc>
        <w:tc>
          <w:tcPr>
            <w:tcW w:w="2268" w:type="dxa"/>
            <w:tcBorders>
              <w:top w:val="nil"/>
              <w:left w:val="nil"/>
              <w:bottom w:val="single" w:sz="4" w:space="0" w:color="auto"/>
              <w:right w:val="single" w:sz="8" w:space="0" w:color="auto"/>
            </w:tcBorders>
            <w:shd w:val="clear" w:color="auto" w:fill="auto"/>
            <w:hideMark/>
          </w:tcPr>
          <w:p w14:paraId="73E28F15"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21.981</w:t>
            </w:r>
          </w:p>
        </w:tc>
      </w:tr>
      <w:tr w:rsidR="009E0216" w:rsidRPr="00BF7E57" w14:paraId="36A1AA0F"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46737B55"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574F523B" w14:textId="67CACD86" w:rsidR="009E0216" w:rsidRPr="00BF7E57" w:rsidRDefault="00A05198"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19127FEC"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3.603</w:t>
            </w:r>
          </w:p>
        </w:tc>
        <w:tc>
          <w:tcPr>
            <w:tcW w:w="2268" w:type="dxa"/>
            <w:tcBorders>
              <w:top w:val="nil"/>
              <w:left w:val="nil"/>
              <w:bottom w:val="single" w:sz="8" w:space="0" w:color="auto"/>
              <w:right w:val="single" w:sz="8" w:space="0" w:color="auto"/>
            </w:tcBorders>
            <w:shd w:val="clear" w:color="auto" w:fill="auto"/>
            <w:hideMark/>
          </w:tcPr>
          <w:p w14:paraId="75C23615"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13.186</w:t>
            </w:r>
          </w:p>
        </w:tc>
      </w:tr>
      <w:tr w:rsidR="009E0216" w:rsidRPr="00BF7E57" w14:paraId="06787089"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305C09C"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2013</w:t>
            </w:r>
          </w:p>
        </w:tc>
        <w:tc>
          <w:tcPr>
            <w:tcW w:w="1184" w:type="dxa"/>
            <w:tcBorders>
              <w:top w:val="nil"/>
              <w:left w:val="nil"/>
              <w:bottom w:val="single" w:sz="4" w:space="0" w:color="auto"/>
              <w:right w:val="single" w:sz="4" w:space="0" w:color="auto"/>
            </w:tcBorders>
            <w:shd w:val="clear" w:color="auto" w:fill="auto"/>
            <w:noWrap/>
            <w:vAlign w:val="bottom"/>
            <w:hideMark/>
          </w:tcPr>
          <w:p w14:paraId="3EBB2598"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2C9E1B0D"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7.959</w:t>
            </w:r>
          </w:p>
        </w:tc>
        <w:tc>
          <w:tcPr>
            <w:tcW w:w="2268" w:type="dxa"/>
            <w:tcBorders>
              <w:top w:val="nil"/>
              <w:left w:val="nil"/>
              <w:bottom w:val="single" w:sz="4" w:space="0" w:color="auto"/>
              <w:right w:val="single" w:sz="8" w:space="0" w:color="auto"/>
            </w:tcBorders>
            <w:shd w:val="clear" w:color="auto" w:fill="auto"/>
            <w:hideMark/>
          </w:tcPr>
          <w:p w14:paraId="48808B9A"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22.804</w:t>
            </w:r>
          </w:p>
        </w:tc>
      </w:tr>
      <w:tr w:rsidR="009E0216" w:rsidRPr="00BF7E57" w14:paraId="68591826"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5581E639"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736A0A38"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46170DAA" w14:textId="59FD8462"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3.689</w:t>
            </w:r>
          </w:p>
        </w:tc>
        <w:tc>
          <w:tcPr>
            <w:tcW w:w="2268" w:type="dxa"/>
            <w:tcBorders>
              <w:top w:val="nil"/>
              <w:left w:val="nil"/>
              <w:bottom w:val="single" w:sz="8" w:space="0" w:color="auto"/>
              <w:right w:val="single" w:sz="8" w:space="0" w:color="auto"/>
            </w:tcBorders>
            <w:shd w:val="clear" w:color="auto" w:fill="auto"/>
            <w:hideMark/>
          </w:tcPr>
          <w:p w14:paraId="7D740E64"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13.766</w:t>
            </w:r>
          </w:p>
        </w:tc>
      </w:tr>
      <w:tr w:rsidR="009E0216" w:rsidRPr="00BF7E57" w14:paraId="451545A2"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3D005387"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2015</w:t>
            </w:r>
          </w:p>
        </w:tc>
        <w:tc>
          <w:tcPr>
            <w:tcW w:w="1184" w:type="dxa"/>
            <w:tcBorders>
              <w:top w:val="nil"/>
              <w:left w:val="nil"/>
              <w:bottom w:val="single" w:sz="4" w:space="0" w:color="auto"/>
              <w:right w:val="single" w:sz="4" w:space="0" w:color="auto"/>
            </w:tcBorders>
            <w:shd w:val="clear" w:color="auto" w:fill="auto"/>
            <w:noWrap/>
            <w:vAlign w:val="bottom"/>
            <w:hideMark/>
          </w:tcPr>
          <w:p w14:paraId="50914732"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0652B3E"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8.516</w:t>
            </w:r>
          </w:p>
        </w:tc>
        <w:tc>
          <w:tcPr>
            <w:tcW w:w="2268" w:type="dxa"/>
            <w:tcBorders>
              <w:top w:val="nil"/>
              <w:left w:val="nil"/>
              <w:bottom w:val="single" w:sz="4" w:space="0" w:color="auto"/>
              <w:right w:val="single" w:sz="8" w:space="0" w:color="auto"/>
            </w:tcBorders>
            <w:shd w:val="clear" w:color="auto" w:fill="auto"/>
            <w:hideMark/>
          </w:tcPr>
          <w:p w14:paraId="7438E0CE"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23.863</w:t>
            </w:r>
          </w:p>
        </w:tc>
      </w:tr>
      <w:tr w:rsidR="009E0216" w:rsidRPr="00BF7E57" w14:paraId="38E68066"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5C1D28FF"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65BAB3F9"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46974288"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3.753</w:t>
            </w:r>
          </w:p>
        </w:tc>
        <w:tc>
          <w:tcPr>
            <w:tcW w:w="2268" w:type="dxa"/>
            <w:tcBorders>
              <w:top w:val="nil"/>
              <w:left w:val="nil"/>
              <w:bottom w:val="single" w:sz="8" w:space="0" w:color="auto"/>
              <w:right w:val="single" w:sz="8" w:space="0" w:color="auto"/>
            </w:tcBorders>
            <w:shd w:val="clear" w:color="auto" w:fill="auto"/>
            <w:hideMark/>
          </w:tcPr>
          <w:p w14:paraId="33E0248A"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13.900</w:t>
            </w:r>
          </w:p>
        </w:tc>
      </w:tr>
      <w:tr w:rsidR="009E0216" w:rsidRPr="00BF7E57" w14:paraId="7CEC52B6"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DD8A0B8"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2019</w:t>
            </w:r>
          </w:p>
        </w:tc>
        <w:tc>
          <w:tcPr>
            <w:tcW w:w="1184" w:type="dxa"/>
            <w:tcBorders>
              <w:top w:val="nil"/>
              <w:left w:val="nil"/>
              <w:bottom w:val="single" w:sz="4" w:space="0" w:color="auto"/>
              <w:right w:val="single" w:sz="4" w:space="0" w:color="auto"/>
            </w:tcBorders>
            <w:shd w:val="clear" w:color="auto" w:fill="auto"/>
            <w:noWrap/>
            <w:vAlign w:val="bottom"/>
            <w:hideMark/>
          </w:tcPr>
          <w:p w14:paraId="7A9AA09C"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191084EC"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8.872</w:t>
            </w:r>
          </w:p>
        </w:tc>
        <w:tc>
          <w:tcPr>
            <w:tcW w:w="2268" w:type="dxa"/>
            <w:tcBorders>
              <w:top w:val="nil"/>
              <w:left w:val="nil"/>
              <w:bottom w:val="single" w:sz="4" w:space="0" w:color="auto"/>
              <w:right w:val="single" w:sz="8" w:space="0" w:color="auto"/>
            </w:tcBorders>
            <w:shd w:val="clear" w:color="auto" w:fill="auto"/>
            <w:hideMark/>
          </w:tcPr>
          <w:p w14:paraId="29C81C24"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24.153</w:t>
            </w:r>
          </w:p>
        </w:tc>
      </w:tr>
      <w:tr w:rsidR="009E0216" w:rsidRPr="00BF7E57" w14:paraId="23BF6A10"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112E14D2"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2FE163C7"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74BD9890"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3.812</w:t>
            </w:r>
          </w:p>
        </w:tc>
        <w:tc>
          <w:tcPr>
            <w:tcW w:w="2268" w:type="dxa"/>
            <w:tcBorders>
              <w:top w:val="nil"/>
              <w:left w:val="nil"/>
              <w:bottom w:val="single" w:sz="8" w:space="0" w:color="auto"/>
              <w:right w:val="single" w:sz="8" w:space="0" w:color="auto"/>
            </w:tcBorders>
            <w:shd w:val="clear" w:color="auto" w:fill="auto"/>
            <w:hideMark/>
          </w:tcPr>
          <w:p w14:paraId="2892D343"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14.110</w:t>
            </w:r>
          </w:p>
        </w:tc>
      </w:tr>
    </w:tbl>
    <w:p w14:paraId="0154AE8D" w14:textId="77777777"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 xml:space="preserve">Vir: AJPES, </w:t>
      </w:r>
      <w:r w:rsidR="00026AF3" w:rsidRPr="00BF7E57">
        <w:rPr>
          <w:rFonts w:ascii="Arial" w:hAnsi="Arial" w:cs="Arial"/>
          <w:sz w:val="16"/>
          <w:szCs w:val="16"/>
        </w:rPr>
        <w:t>(2009, 2011, 2014, 2016, 2020)</w:t>
      </w:r>
    </w:p>
    <w:p w14:paraId="3BC0A3A9" w14:textId="6DB63097" w:rsidR="009E0216" w:rsidRPr="00BF7E57" w:rsidRDefault="00FB38E7" w:rsidP="001427AE">
      <w:pPr>
        <w:pStyle w:val="Napis"/>
      </w:pPr>
      <w:bookmarkStart w:id="99" w:name="_Toc8682645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17</w:t>
      </w:r>
      <w:r w:rsidR="00A30B83" w:rsidRPr="00BF7E57">
        <w:rPr>
          <w:noProof/>
        </w:rPr>
        <w:fldChar w:fldCharType="end"/>
      </w:r>
      <w:r w:rsidRPr="00BF7E57">
        <w:t>: Vrsta društva po letih (v letih 2008, 2013, 2018)</w:t>
      </w:r>
      <w:bookmarkEnd w:id="99"/>
      <w:r w:rsidRPr="00BF7E57" w:rsidDel="00FB38E7">
        <w:t xml:space="preserve"> </w:t>
      </w:r>
    </w:p>
    <w:tbl>
      <w:tblPr>
        <w:tblW w:w="64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2"/>
        <w:gridCol w:w="1241"/>
        <w:gridCol w:w="1241"/>
        <w:gridCol w:w="1241"/>
      </w:tblGrid>
      <w:tr w:rsidR="009E0216" w:rsidRPr="00BF7E57" w14:paraId="7BE519D3" w14:textId="77777777" w:rsidTr="00094E57">
        <w:trPr>
          <w:trHeight w:val="301"/>
        </w:trPr>
        <w:tc>
          <w:tcPr>
            <w:tcW w:w="2752" w:type="dxa"/>
            <w:shd w:val="clear" w:color="auto" w:fill="92D050"/>
            <w:noWrap/>
            <w:vAlign w:val="center"/>
            <w:hideMark/>
          </w:tcPr>
          <w:p w14:paraId="68534E21"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Vrsta društva</w:t>
            </w:r>
          </w:p>
        </w:tc>
        <w:tc>
          <w:tcPr>
            <w:tcW w:w="1241" w:type="dxa"/>
            <w:shd w:val="clear" w:color="auto" w:fill="92D050"/>
            <w:noWrap/>
            <w:vAlign w:val="center"/>
            <w:hideMark/>
          </w:tcPr>
          <w:p w14:paraId="5EE9299E"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2008 </w:t>
            </w:r>
          </w:p>
        </w:tc>
        <w:tc>
          <w:tcPr>
            <w:tcW w:w="1241" w:type="dxa"/>
            <w:shd w:val="clear" w:color="auto" w:fill="92D050"/>
            <w:noWrap/>
            <w:vAlign w:val="center"/>
            <w:hideMark/>
          </w:tcPr>
          <w:p w14:paraId="31EE863D"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2013</w:t>
            </w:r>
          </w:p>
        </w:tc>
        <w:tc>
          <w:tcPr>
            <w:tcW w:w="1241" w:type="dxa"/>
            <w:shd w:val="clear" w:color="auto" w:fill="92D050"/>
            <w:noWrap/>
            <w:vAlign w:val="center"/>
            <w:hideMark/>
          </w:tcPr>
          <w:p w14:paraId="26A0A4F5"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2018</w:t>
            </w:r>
          </w:p>
        </w:tc>
      </w:tr>
      <w:tr w:rsidR="009E0216" w:rsidRPr="00BF7E57" w14:paraId="2AF195EE" w14:textId="77777777" w:rsidTr="00C0502F">
        <w:trPr>
          <w:trHeight w:val="301"/>
        </w:trPr>
        <w:tc>
          <w:tcPr>
            <w:tcW w:w="2752" w:type="dxa"/>
            <w:shd w:val="clear" w:color="auto" w:fill="auto"/>
            <w:noWrap/>
            <w:vAlign w:val="center"/>
            <w:hideMark/>
          </w:tcPr>
          <w:p w14:paraId="1F1CB727"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Športna, rekreativna </w:t>
            </w:r>
          </w:p>
        </w:tc>
        <w:tc>
          <w:tcPr>
            <w:tcW w:w="1241" w:type="dxa"/>
            <w:shd w:val="clear" w:color="auto" w:fill="auto"/>
            <w:noWrap/>
            <w:vAlign w:val="center"/>
            <w:hideMark/>
          </w:tcPr>
          <w:p w14:paraId="2BAB249E"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33,90%</w:t>
            </w:r>
          </w:p>
        </w:tc>
        <w:tc>
          <w:tcPr>
            <w:tcW w:w="1241" w:type="dxa"/>
            <w:shd w:val="clear" w:color="auto" w:fill="auto"/>
            <w:noWrap/>
            <w:vAlign w:val="center"/>
            <w:hideMark/>
          </w:tcPr>
          <w:p w14:paraId="5FA885E2"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35,80%</w:t>
            </w:r>
          </w:p>
        </w:tc>
        <w:tc>
          <w:tcPr>
            <w:tcW w:w="1241" w:type="dxa"/>
            <w:shd w:val="clear" w:color="auto" w:fill="auto"/>
            <w:noWrap/>
            <w:vAlign w:val="center"/>
            <w:hideMark/>
          </w:tcPr>
          <w:p w14:paraId="5F2509B0"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35,20%</w:t>
            </w:r>
          </w:p>
        </w:tc>
      </w:tr>
      <w:tr w:rsidR="009E0216" w:rsidRPr="00BF7E57" w14:paraId="0DBC1933" w14:textId="77777777" w:rsidTr="00C0502F">
        <w:trPr>
          <w:trHeight w:val="301"/>
        </w:trPr>
        <w:tc>
          <w:tcPr>
            <w:tcW w:w="2752" w:type="dxa"/>
            <w:shd w:val="clear" w:color="auto" w:fill="auto"/>
            <w:noWrap/>
            <w:vAlign w:val="center"/>
            <w:hideMark/>
          </w:tcPr>
          <w:p w14:paraId="1111A202"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Kulturna, umetniška</w:t>
            </w:r>
          </w:p>
        </w:tc>
        <w:tc>
          <w:tcPr>
            <w:tcW w:w="1241" w:type="dxa"/>
            <w:shd w:val="clear" w:color="auto" w:fill="auto"/>
            <w:noWrap/>
            <w:vAlign w:val="center"/>
            <w:hideMark/>
          </w:tcPr>
          <w:p w14:paraId="6C80D255"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14,20%</w:t>
            </w:r>
          </w:p>
        </w:tc>
        <w:tc>
          <w:tcPr>
            <w:tcW w:w="1241" w:type="dxa"/>
            <w:shd w:val="clear" w:color="auto" w:fill="auto"/>
            <w:noWrap/>
            <w:vAlign w:val="center"/>
            <w:hideMark/>
          </w:tcPr>
          <w:p w14:paraId="2511FC25"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15,70%</w:t>
            </w:r>
          </w:p>
        </w:tc>
        <w:tc>
          <w:tcPr>
            <w:tcW w:w="1241" w:type="dxa"/>
            <w:shd w:val="clear" w:color="auto" w:fill="auto"/>
            <w:noWrap/>
            <w:vAlign w:val="center"/>
            <w:hideMark/>
          </w:tcPr>
          <w:p w14:paraId="3E02D542"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16,90%</w:t>
            </w:r>
          </w:p>
        </w:tc>
      </w:tr>
      <w:tr w:rsidR="009E0216" w:rsidRPr="00BF7E57" w14:paraId="083E5E83" w14:textId="77777777" w:rsidTr="00C0502F">
        <w:trPr>
          <w:trHeight w:val="301"/>
        </w:trPr>
        <w:tc>
          <w:tcPr>
            <w:tcW w:w="2752" w:type="dxa"/>
            <w:shd w:val="clear" w:color="auto" w:fill="auto"/>
            <w:noWrap/>
            <w:vAlign w:val="center"/>
            <w:hideMark/>
          </w:tcPr>
          <w:p w14:paraId="041F734D"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Društvo za pomoč ljudem</w:t>
            </w:r>
          </w:p>
        </w:tc>
        <w:tc>
          <w:tcPr>
            <w:tcW w:w="1241" w:type="dxa"/>
            <w:shd w:val="clear" w:color="auto" w:fill="auto"/>
            <w:noWrap/>
            <w:vAlign w:val="center"/>
            <w:hideMark/>
          </w:tcPr>
          <w:p w14:paraId="4597062C"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13,30%</w:t>
            </w:r>
          </w:p>
        </w:tc>
        <w:tc>
          <w:tcPr>
            <w:tcW w:w="1241" w:type="dxa"/>
            <w:shd w:val="clear" w:color="auto" w:fill="auto"/>
            <w:noWrap/>
            <w:vAlign w:val="center"/>
            <w:hideMark/>
          </w:tcPr>
          <w:p w14:paraId="4DD49E79"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13,10%</w:t>
            </w:r>
          </w:p>
        </w:tc>
        <w:tc>
          <w:tcPr>
            <w:tcW w:w="1241" w:type="dxa"/>
            <w:shd w:val="clear" w:color="auto" w:fill="auto"/>
            <w:noWrap/>
            <w:vAlign w:val="center"/>
            <w:hideMark/>
          </w:tcPr>
          <w:p w14:paraId="70D075A6"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12,90%</w:t>
            </w:r>
          </w:p>
        </w:tc>
      </w:tr>
    </w:tbl>
    <w:p w14:paraId="5BBC8F25" w14:textId="77777777"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AJPES, Informacija o poslovanju društev v Republiki Sloveniji v letu 2008, 2013, 2018</w:t>
      </w:r>
    </w:p>
    <w:p w14:paraId="6BCC6A30" w14:textId="6311439B"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letu 2013 je bilo 494 prostovoljskih organizacij in organizacij s prostovoljskim programom (Skupno poročilo o prostovoljstvu v Republiki Sloveniji za leto 2013, 2014</w:t>
      </w:r>
      <w:r w:rsidR="00F113B1" w:rsidRPr="00BF7E57">
        <w:rPr>
          <w:rFonts w:ascii="Arial" w:hAnsi="Arial" w:cs="Arial"/>
          <w:sz w:val="20"/>
          <w:szCs w:val="20"/>
        </w:rPr>
        <w:t>)</w:t>
      </w:r>
      <w:r w:rsidRPr="00BF7E57">
        <w:rPr>
          <w:rFonts w:ascii="Arial" w:hAnsi="Arial" w:cs="Arial"/>
          <w:sz w:val="20"/>
          <w:szCs w:val="20"/>
        </w:rPr>
        <w:t xml:space="preserve">. V naslednjih letih se je število povečevalo, tako da je </w:t>
      </w:r>
      <w:r w:rsidR="00F113B1" w:rsidRPr="00BF7E57">
        <w:rPr>
          <w:rFonts w:ascii="Arial" w:hAnsi="Arial" w:cs="Arial"/>
          <w:sz w:val="20"/>
          <w:szCs w:val="20"/>
        </w:rPr>
        <w:t xml:space="preserve">bilo </w:t>
      </w:r>
      <w:r w:rsidRPr="00BF7E57">
        <w:rPr>
          <w:rFonts w:ascii="Arial" w:hAnsi="Arial" w:cs="Arial"/>
          <w:sz w:val="20"/>
          <w:szCs w:val="20"/>
        </w:rPr>
        <w:t>v letu 2018 že 1.822 prostovoljskih organizacij in organizacij s prostovoljskim programom (Skupno poročilo o prostovoljstvu v Republiki Sloveniji za leto 2018, 2019).</w:t>
      </w:r>
    </w:p>
    <w:p w14:paraId="1C1294EC" w14:textId="77777777" w:rsidR="00026AF3" w:rsidRPr="00BF7E57" w:rsidRDefault="00026AF3" w:rsidP="00BE756C">
      <w:pPr>
        <w:pStyle w:val="Naslov2"/>
        <w:spacing w:after="200" w:line="360" w:lineRule="auto"/>
        <w:jc w:val="both"/>
        <w:rPr>
          <w:rFonts w:ascii="Arial" w:hAnsi="Arial" w:cs="Arial"/>
          <w:b w:val="0"/>
          <w:color w:val="auto"/>
          <w:sz w:val="20"/>
          <w:szCs w:val="20"/>
        </w:rPr>
      </w:pPr>
    </w:p>
    <w:p w14:paraId="0FE7E15A" w14:textId="77777777" w:rsidR="009E0216" w:rsidRPr="00BF7E57" w:rsidRDefault="009E0216" w:rsidP="00BE756C">
      <w:pPr>
        <w:pStyle w:val="Naslov2"/>
        <w:spacing w:after="200" w:line="360" w:lineRule="auto"/>
        <w:jc w:val="both"/>
        <w:rPr>
          <w:rFonts w:ascii="Arial" w:hAnsi="Arial" w:cs="Arial"/>
          <w:color w:val="auto"/>
          <w:sz w:val="24"/>
          <w:szCs w:val="24"/>
        </w:rPr>
      </w:pPr>
      <w:bookmarkStart w:id="100" w:name="_Toc86826372"/>
      <w:r w:rsidRPr="00BF7E57">
        <w:rPr>
          <w:rFonts w:ascii="Arial" w:hAnsi="Arial" w:cs="Arial"/>
          <w:color w:val="auto"/>
          <w:sz w:val="24"/>
          <w:szCs w:val="24"/>
        </w:rPr>
        <w:t>2.1 IZOBRAŽEVANJE</w:t>
      </w:r>
      <w:bookmarkEnd w:id="100"/>
    </w:p>
    <w:p w14:paraId="651CD48F" w14:textId="77777777" w:rsidR="00026AF3"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Vključenost v izobraževanje in izobrazbena struktura prebivalstva sta v Sloveniji relativno visoki. Med državami EU ima Slovenija nadpovprečen in rastoč delež visoko izobraženega prebivalstva, dosežki mladih pri naravoslovni, matematični in bralni pismenosti so dobri. Kljub temu se je država v obdobju visokega povpraševanja po delu v preteklih letih soočila s pomanjkanjem ustrezne delovne sile oziroma znanj in spretnosti, kar lahko dolgoročno negativno vpliva na razvoj gospodarstva in blaginjo prebivalstva. To je na eni strani posledica manjših generacij na trgu dela (demografske spremembe), zaradi česar se zmanjšuje ponudba delovne sile. Omejitve za polno izkoriščanje potencialov ob demografskih spremembah pomenijo tudi neskladja v znanju in spretnostih glede na potrebe trga dela (</w:t>
      </w:r>
      <w:r w:rsidR="00026AF3" w:rsidRPr="00BF7E57">
        <w:rPr>
          <w:rFonts w:ascii="Arial" w:hAnsi="Arial" w:cs="Arial"/>
          <w:sz w:val="20"/>
          <w:szCs w:val="20"/>
        </w:rPr>
        <w:t>Poročilo o razvoju 2020, 2020).</w:t>
      </w:r>
    </w:p>
    <w:p w14:paraId="1E135681" w14:textId="3C6B4A63"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lastRenderedPageBreak/>
        <w:t>Po podatkih SURS se je skupno število otrok v Sloveniji vključenih v formalno izobraževanje v zadnji</w:t>
      </w:r>
      <w:r w:rsidR="00F113B1" w:rsidRPr="00BF7E57">
        <w:rPr>
          <w:rFonts w:ascii="Arial" w:hAnsi="Arial" w:cs="Arial"/>
          <w:sz w:val="20"/>
          <w:szCs w:val="20"/>
        </w:rPr>
        <w:t>h</w:t>
      </w:r>
      <w:r w:rsidRPr="00BF7E57">
        <w:rPr>
          <w:rFonts w:ascii="Arial" w:hAnsi="Arial" w:cs="Arial"/>
          <w:sz w:val="20"/>
          <w:szCs w:val="20"/>
        </w:rPr>
        <w:t xml:space="preserve"> desetih letih nekoliko zmanjšalo (v šolskem letu 2018/19 422.576 oseb, na podeželju pa 255.968 oseb). Povečalo se je število otrok vrtcih in učencev v osnovnih šolah, tako v Sloveniji kot na podeželju, medtem ko se je število dijakov in študentov v povprečju v Sloveniji in na podeželju zmanjšalo. V šolskem letu 2018/2019 je v Sloveniji delovalo 968 vrtcev in enot vrtcev. Vanje je bilo leta 2019 vključenih </w:t>
      </w:r>
      <w:r w:rsidRPr="00BF7E57">
        <w:rPr>
          <w:rFonts w:ascii="Arial" w:hAnsi="Arial" w:cs="Arial"/>
          <w:color w:val="000000"/>
          <w:sz w:val="20"/>
          <w:szCs w:val="20"/>
          <w:lang w:eastAsia="sl-SI"/>
        </w:rPr>
        <w:t>87.708</w:t>
      </w:r>
      <w:r w:rsidRPr="00BF7E57">
        <w:rPr>
          <w:rFonts w:ascii="Arial" w:hAnsi="Arial" w:cs="Arial"/>
          <w:sz w:val="20"/>
          <w:szCs w:val="20"/>
        </w:rPr>
        <w:t xml:space="preserve"> otrok, od tega na podeželju skoraj 60 % vseh. Skoraj vsaka občina ima vrtec. V šolskem letu 2018/2019 je redni osnovnošolski program obiskovalo približno 184.100 učencev, od tega približno 112.200 učencev na podeželju (60 % vseh učencev). Na začetku šolskega leta 2018/2019 je bilo v srednješolsko izobraževanje vpisanih 73.110 dijakov, od tega približno 44.300 dijakov glede na prebivališče s podeželja (60 % vseh dijakov). V študijskem letu 2018/2019 je bilo v Sloveniji v terciarno izobraževanje vpisanih 75.990 študentov ali povprečno 37 študentov na 1.000 prebivalcev. Od tega jih s podeželja glede na prebivališče prihaja okoli 42.600 (55 % vseh študentov) (</w:t>
      </w:r>
      <w:r w:rsidR="00F113B1" w:rsidRPr="00BF7E57">
        <w:rPr>
          <w:rFonts w:ascii="Arial" w:hAnsi="Arial" w:cs="Arial"/>
          <w:sz w:val="20"/>
          <w:szCs w:val="20"/>
        </w:rPr>
        <w:fldChar w:fldCharType="begin"/>
      </w:r>
      <w:r w:rsidR="00F113B1" w:rsidRPr="00BF7E57">
        <w:rPr>
          <w:rFonts w:ascii="Arial" w:hAnsi="Arial" w:cs="Arial"/>
          <w:sz w:val="20"/>
          <w:szCs w:val="20"/>
        </w:rPr>
        <w:instrText xml:space="preserve"> REF _Ref84922478 \h </w:instrText>
      </w:r>
      <w:r w:rsidR="00F113B1" w:rsidRPr="00BF7E57">
        <w:rPr>
          <w:rFonts w:ascii="Arial" w:hAnsi="Arial" w:cs="Arial"/>
          <w:sz w:val="20"/>
          <w:szCs w:val="20"/>
        </w:rPr>
      </w:r>
      <w:r w:rsidR="00BF7E57">
        <w:rPr>
          <w:rFonts w:ascii="Arial" w:hAnsi="Arial" w:cs="Arial"/>
          <w:sz w:val="20"/>
          <w:szCs w:val="20"/>
        </w:rPr>
        <w:instrText xml:space="preserve"> \* MERGEFORMAT </w:instrText>
      </w:r>
      <w:r w:rsidR="00F113B1" w:rsidRPr="00BF7E57">
        <w:rPr>
          <w:rFonts w:ascii="Arial" w:hAnsi="Arial" w:cs="Arial"/>
          <w:sz w:val="20"/>
          <w:szCs w:val="20"/>
        </w:rPr>
        <w:fldChar w:fldCharType="separate"/>
      </w:r>
      <w:r w:rsidR="00236865" w:rsidRPr="00BF7E57">
        <w:t xml:space="preserve">Tabela </w:t>
      </w:r>
      <w:r w:rsidR="00236865">
        <w:rPr>
          <w:noProof/>
        </w:rPr>
        <w:t>18</w:t>
      </w:r>
      <w:r w:rsidR="00F113B1" w:rsidRPr="00BF7E57">
        <w:rPr>
          <w:rFonts w:ascii="Arial" w:hAnsi="Arial" w:cs="Arial"/>
          <w:sz w:val="20"/>
          <w:szCs w:val="20"/>
        </w:rPr>
        <w:fldChar w:fldCharType="end"/>
      </w:r>
      <w:r w:rsidRPr="00BF7E57">
        <w:rPr>
          <w:rFonts w:ascii="Arial" w:hAnsi="Arial" w:cs="Arial"/>
          <w:sz w:val="20"/>
          <w:szCs w:val="20"/>
        </w:rPr>
        <w:t>).</w:t>
      </w:r>
    </w:p>
    <w:p w14:paraId="66EA638F" w14:textId="0200BAC9" w:rsidR="009E0216" w:rsidRPr="00BF7E57" w:rsidRDefault="00FB38E7" w:rsidP="001427AE">
      <w:pPr>
        <w:pStyle w:val="Napis"/>
      </w:pPr>
      <w:bookmarkStart w:id="101" w:name="_Ref84922478"/>
      <w:bookmarkStart w:id="102" w:name="_Toc8682645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18</w:t>
      </w:r>
      <w:r w:rsidR="00A30B83" w:rsidRPr="00BF7E57">
        <w:rPr>
          <w:noProof/>
        </w:rPr>
        <w:fldChar w:fldCharType="end"/>
      </w:r>
      <w:bookmarkEnd w:id="101"/>
      <w:r w:rsidRPr="00BF7E57">
        <w:t>: Vključeni v formalno izobraževanje po vrsti programa, 2008, 2018</w:t>
      </w:r>
      <w:bookmarkEnd w:id="102"/>
    </w:p>
    <w:tbl>
      <w:tblPr>
        <w:tblW w:w="87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5"/>
        <w:gridCol w:w="1555"/>
        <w:gridCol w:w="1555"/>
        <w:gridCol w:w="1555"/>
        <w:gridCol w:w="1555"/>
      </w:tblGrid>
      <w:tr w:rsidR="009E0216" w:rsidRPr="00BF7E57" w14:paraId="570FDEA8" w14:textId="77777777" w:rsidTr="00B571E4">
        <w:trPr>
          <w:trHeight w:val="623"/>
        </w:trPr>
        <w:tc>
          <w:tcPr>
            <w:tcW w:w="2495" w:type="dxa"/>
            <w:shd w:val="clear" w:color="auto" w:fill="92D050"/>
            <w:vAlign w:val="bottom"/>
            <w:hideMark/>
          </w:tcPr>
          <w:p w14:paraId="48FA56D7"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Formalno izobraževanje, šolsko leto 2018/2019</w:t>
            </w:r>
          </w:p>
        </w:tc>
        <w:tc>
          <w:tcPr>
            <w:tcW w:w="1555" w:type="dxa"/>
            <w:shd w:val="clear" w:color="auto" w:fill="92D050"/>
            <w:vAlign w:val="bottom"/>
          </w:tcPr>
          <w:p w14:paraId="46E2538A"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Slovenija</w:t>
            </w:r>
          </w:p>
          <w:p w14:paraId="73ABC260" w14:textId="5D2FB5A3"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(leto 2008)</w:t>
            </w:r>
          </w:p>
        </w:tc>
        <w:tc>
          <w:tcPr>
            <w:tcW w:w="1555" w:type="dxa"/>
            <w:shd w:val="clear" w:color="auto" w:fill="92D050"/>
          </w:tcPr>
          <w:p w14:paraId="1F4CD6A3"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Slovenija (leto 2018/2019)</w:t>
            </w:r>
          </w:p>
        </w:tc>
        <w:tc>
          <w:tcPr>
            <w:tcW w:w="1555" w:type="dxa"/>
            <w:shd w:val="clear" w:color="auto" w:fill="92D050"/>
          </w:tcPr>
          <w:p w14:paraId="7984A571"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 xml:space="preserve">Podeželje </w:t>
            </w:r>
          </w:p>
          <w:p w14:paraId="70CBCE91"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(leto 2008)</w:t>
            </w:r>
          </w:p>
        </w:tc>
        <w:tc>
          <w:tcPr>
            <w:tcW w:w="1555" w:type="dxa"/>
            <w:shd w:val="clear" w:color="auto" w:fill="92D050"/>
          </w:tcPr>
          <w:p w14:paraId="55C08DE1"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Podeželje (leto 2018/2019)</w:t>
            </w:r>
          </w:p>
        </w:tc>
      </w:tr>
      <w:tr w:rsidR="009E0216" w:rsidRPr="00BF7E57" w14:paraId="09933A3F" w14:textId="77777777" w:rsidTr="00C0502F">
        <w:trPr>
          <w:trHeight w:val="273"/>
        </w:trPr>
        <w:tc>
          <w:tcPr>
            <w:tcW w:w="2495" w:type="dxa"/>
            <w:shd w:val="clear" w:color="auto" w:fill="auto"/>
            <w:noWrap/>
            <w:vAlign w:val="bottom"/>
            <w:hideMark/>
          </w:tcPr>
          <w:p w14:paraId="16DDBEC8"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Otroci v vrtcu</w:t>
            </w:r>
          </w:p>
        </w:tc>
        <w:tc>
          <w:tcPr>
            <w:tcW w:w="1555" w:type="dxa"/>
            <w:vAlign w:val="bottom"/>
          </w:tcPr>
          <w:p w14:paraId="53ECB9C6"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65.966</w:t>
            </w:r>
          </w:p>
        </w:tc>
        <w:tc>
          <w:tcPr>
            <w:tcW w:w="1555" w:type="dxa"/>
          </w:tcPr>
          <w:p w14:paraId="3B9FC6D5"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87.147</w:t>
            </w:r>
          </w:p>
        </w:tc>
        <w:tc>
          <w:tcPr>
            <w:tcW w:w="1555" w:type="dxa"/>
          </w:tcPr>
          <w:p w14:paraId="7B9BB46A"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35.921</w:t>
            </w:r>
          </w:p>
        </w:tc>
        <w:tc>
          <w:tcPr>
            <w:tcW w:w="1555" w:type="dxa"/>
          </w:tcPr>
          <w:p w14:paraId="1F653AF3"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51.000</w:t>
            </w:r>
          </w:p>
        </w:tc>
      </w:tr>
      <w:tr w:rsidR="009E0216" w:rsidRPr="00BF7E57" w14:paraId="1FE9E7EC" w14:textId="77777777" w:rsidTr="00C0502F">
        <w:trPr>
          <w:trHeight w:val="273"/>
        </w:trPr>
        <w:tc>
          <w:tcPr>
            <w:tcW w:w="2495" w:type="dxa"/>
            <w:shd w:val="clear" w:color="auto" w:fill="auto"/>
            <w:noWrap/>
            <w:vAlign w:val="bottom"/>
            <w:hideMark/>
          </w:tcPr>
          <w:p w14:paraId="702E3EAD"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Učenci</w:t>
            </w:r>
          </w:p>
        </w:tc>
        <w:tc>
          <w:tcPr>
            <w:tcW w:w="1555" w:type="dxa"/>
            <w:vAlign w:val="bottom"/>
          </w:tcPr>
          <w:p w14:paraId="3927711A"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161.887</w:t>
            </w:r>
          </w:p>
        </w:tc>
        <w:tc>
          <w:tcPr>
            <w:tcW w:w="1555" w:type="dxa"/>
          </w:tcPr>
          <w:p w14:paraId="392ACED5"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184.100</w:t>
            </w:r>
          </w:p>
        </w:tc>
        <w:tc>
          <w:tcPr>
            <w:tcW w:w="1555" w:type="dxa"/>
          </w:tcPr>
          <w:p w14:paraId="3A4D99CC"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100.340</w:t>
            </w:r>
          </w:p>
        </w:tc>
        <w:tc>
          <w:tcPr>
            <w:tcW w:w="1555" w:type="dxa"/>
          </w:tcPr>
          <w:p w14:paraId="4E11E779"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112.200</w:t>
            </w:r>
          </w:p>
        </w:tc>
      </w:tr>
      <w:tr w:rsidR="009E0216" w:rsidRPr="00BF7E57" w14:paraId="0363947D" w14:textId="77777777" w:rsidTr="00C0502F">
        <w:trPr>
          <w:trHeight w:val="273"/>
        </w:trPr>
        <w:tc>
          <w:tcPr>
            <w:tcW w:w="2495" w:type="dxa"/>
            <w:shd w:val="clear" w:color="auto" w:fill="auto"/>
            <w:noWrap/>
            <w:vAlign w:val="bottom"/>
            <w:hideMark/>
          </w:tcPr>
          <w:p w14:paraId="6B730FD7"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Dijaki</w:t>
            </w:r>
          </w:p>
        </w:tc>
        <w:tc>
          <w:tcPr>
            <w:tcW w:w="1555" w:type="dxa"/>
            <w:vAlign w:val="bottom"/>
          </w:tcPr>
          <w:p w14:paraId="38339368"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87.501</w:t>
            </w:r>
          </w:p>
        </w:tc>
        <w:tc>
          <w:tcPr>
            <w:tcW w:w="1555" w:type="dxa"/>
          </w:tcPr>
          <w:p w14:paraId="2DAAD0A1"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73.110</w:t>
            </w:r>
          </w:p>
        </w:tc>
        <w:tc>
          <w:tcPr>
            <w:tcW w:w="1555" w:type="dxa"/>
          </w:tcPr>
          <w:p w14:paraId="0D126DC8"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53.369</w:t>
            </w:r>
          </w:p>
        </w:tc>
        <w:tc>
          <w:tcPr>
            <w:tcW w:w="1555" w:type="dxa"/>
          </w:tcPr>
          <w:p w14:paraId="170A5B77"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44.300</w:t>
            </w:r>
          </w:p>
        </w:tc>
      </w:tr>
      <w:tr w:rsidR="009E0216" w:rsidRPr="00BF7E57" w14:paraId="4C5CA247" w14:textId="77777777" w:rsidTr="00C0502F">
        <w:trPr>
          <w:trHeight w:val="273"/>
        </w:trPr>
        <w:tc>
          <w:tcPr>
            <w:tcW w:w="2495" w:type="dxa"/>
            <w:shd w:val="clear" w:color="auto" w:fill="auto"/>
            <w:noWrap/>
            <w:vAlign w:val="bottom"/>
            <w:hideMark/>
          </w:tcPr>
          <w:p w14:paraId="1E4431FD"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Študenti</w:t>
            </w:r>
          </w:p>
        </w:tc>
        <w:tc>
          <w:tcPr>
            <w:tcW w:w="1555" w:type="dxa"/>
            <w:vAlign w:val="bottom"/>
          </w:tcPr>
          <w:p w14:paraId="393E81B0"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114.391</w:t>
            </w:r>
          </w:p>
        </w:tc>
        <w:tc>
          <w:tcPr>
            <w:tcW w:w="1555" w:type="dxa"/>
          </w:tcPr>
          <w:p w14:paraId="2E02216B"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75.991</w:t>
            </w:r>
          </w:p>
        </w:tc>
        <w:tc>
          <w:tcPr>
            <w:tcW w:w="1555" w:type="dxa"/>
          </w:tcPr>
          <w:p w14:paraId="22C8CF9A"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66.338</w:t>
            </w:r>
          </w:p>
        </w:tc>
        <w:tc>
          <w:tcPr>
            <w:tcW w:w="1555" w:type="dxa"/>
          </w:tcPr>
          <w:p w14:paraId="0CD11699"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42.600</w:t>
            </w:r>
          </w:p>
        </w:tc>
      </w:tr>
      <w:tr w:rsidR="009E0216" w:rsidRPr="00BF7E57" w14:paraId="2562075B" w14:textId="77777777" w:rsidTr="00C0502F">
        <w:trPr>
          <w:trHeight w:val="273"/>
        </w:trPr>
        <w:tc>
          <w:tcPr>
            <w:tcW w:w="2495" w:type="dxa"/>
            <w:shd w:val="clear" w:color="auto" w:fill="auto"/>
            <w:noWrap/>
            <w:vAlign w:val="bottom"/>
          </w:tcPr>
          <w:p w14:paraId="18CA6E90"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Skupaj</w:t>
            </w:r>
          </w:p>
        </w:tc>
        <w:tc>
          <w:tcPr>
            <w:tcW w:w="1555" w:type="dxa"/>
          </w:tcPr>
          <w:p w14:paraId="29004BF4"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429.745</w:t>
            </w:r>
          </w:p>
        </w:tc>
        <w:tc>
          <w:tcPr>
            <w:tcW w:w="1555" w:type="dxa"/>
          </w:tcPr>
          <w:p w14:paraId="0B6E879E"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420.348</w:t>
            </w:r>
          </w:p>
        </w:tc>
        <w:tc>
          <w:tcPr>
            <w:tcW w:w="1555" w:type="dxa"/>
          </w:tcPr>
          <w:p w14:paraId="2A555FD0"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255.968</w:t>
            </w:r>
          </w:p>
        </w:tc>
        <w:tc>
          <w:tcPr>
            <w:tcW w:w="1555" w:type="dxa"/>
          </w:tcPr>
          <w:p w14:paraId="284976DF"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250.100</w:t>
            </w:r>
          </w:p>
        </w:tc>
      </w:tr>
    </w:tbl>
    <w:p w14:paraId="3CC0E655" w14:textId="77777777" w:rsidR="009E0216" w:rsidRPr="00BF7E57" w:rsidRDefault="009E0216" w:rsidP="00EA2E4C">
      <w:pPr>
        <w:shd w:val="clear" w:color="auto" w:fill="FFFFFF"/>
        <w:spacing w:line="360" w:lineRule="auto"/>
        <w:jc w:val="both"/>
        <w:rPr>
          <w:rFonts w:ascii="Arial" w:hAnsi="Arial" w:cs="Arial"/>
          <w:sz w:val="16"/>
          <w:szCs w:val="16"/>
        </w:rPr>
      </w:pPr>
      <w:r w:rsidRPr="00BF7E57">
        <w:rPr>
          <w:rFonts w:ascii="Arial" w:hAnsi="Arial" w:cs="Arial"/>
          <w:sz w:val="16"/>
          <w:szCs w:val="16"/>
        </w:rPr>
        <w:t>Vir: SURS</w:t>
      </w:r>
    </w:p>
    <w:p w14:paraId="4F510E2A" w14:textId="198AD836" w:rsidR="009E0216" w:rsidRPr="00BF7E57" w:rsidRDefault="009E0216" w:rsidP="00EA2E4C">
      <w:pPr>
        <w:shd w:val="clear" w:color="auto" w:fill="FFFFFF"/>
        <w:spacing w:line="360" w:lineRule="auto"/>
        <w:jc w:val="both"/>
        <w:rPr>
          <w:rFonts w:ascii="Arial" w:hAnsi="Arial" w:cs="Arial"/>
          <w:sz w:val="20"/>
          <w:szCs w:val="20"/>
        </w:rPr>
      </w:pPr>
      <w:r w:rsidRPr="00BF7E57">
        <w:rPr>
          <w:rFonts w:ascii="Arial" w:hAnsi="Arial" w:cs="Arial"/>
          <w:sz w:val="20"/>
          <w:szCs w:val="20"/>
        </w:rPr>
        <w:t>Najvišji delež vključenih v izobrazbo je torej osnovnošolcev, na podeželju pa je nekoliko večji delež osnovnošolcev in dijakov v primerjavi s Slovenijo, delež študentov od vseh prebivalcev na podeželju pa je nekoliko nižji na podeželju kot v Sloveniji (</w:t>
      </w:r>
      <w:r w:rsidR="00F113B1" w:rsidRPr="00BF7E57">
        <w:rPr>
          <w:rFonts w:ascii="Arial" w:hAnsi="Arial" w:cs="Arial"/>
          <w:sz w:val="20"/>
          <w:szCs w:val="20"/>
        </w:rPr>
        <w:fldChar w:fldCharType="begin"/>
      </w:r>
      <w:r w:rsidR="00F113B1" w:rsidRPr="00BF7E57">
        <w:rPr>
          <w:rFonts w:ascii="Arial" w:hAnsi="Arial" w:cs="Arial"/>
          <w:sz w:val="20"/>
          <w:szCs w:val="20"/>
        </w:rPr>
        <w:instrText xml:space="preserve"> REF _Ref84922510 \h </w:instrText>
      </w:r>
      <w:r w:rsidR="00F113B1" w:rsidRPr="00BF7E57">
        <w:rPr>
          <w:rFonts w:ascii="Arial" w:hAnsi="Arial" w:cs="Arial"/>
          <w:sz w:val="20"/>
          <w:szCs w:val="20"/>
        </w:rPr>
      </w:r>
      <w:r w:rsidR="00BF7E57">
        <w:rPr>
          <w:rFonts w:ascii="Arial" w:hAnsi="Arial" w:cs="Arial"/>
          <w:sz w:val="20"/>
          <w:szCs w:val="20"/>
        </w:rPr>
        <w:instrText xml:space="preserve"> \* MERGEFORMAT </w:instrText>
      </w:r>
      <w:r w:rsidR="00F113B1" w:rsidRPr="00BF7E57">
        <w:rPr>
          <w:rFonts w:ascii="Arial" w:hAnsi="Arial" w:cs="Arial"/>
          <w:sz w:val="20"/>
          <w:szCs w:val="20"/>
        </w:rPr>
        <w:fldChar w:fldCharType="separate"/>
      </w:r>
      <w:r w:rsidR="00236865" w:rsidRPr="00BF7E57">
        <w:t xml:space="preserve">Slika </w:t>
      </w:r>
      <w:r w:rsidR="00236865">
        <w:rPr>
          <w:noProof/>
        </w:rPr>
        <w:t>20</w:t>
      </w:r>
      <w:r w:rsidR="00F113B1" w:rsidRPr="00BF7E57">
        <w:rPr>
          <w:rFonts w:ascii="Arial" w:hAnsi="Arial" w:cs="Arial"/>
          <w:sz w:val="20"/>
          <w:szCs w:val="20"/>
        </w:rPr>
        <w:fldChar w:fldCharType="end"/>
      </w:r>
      <w:r w:rsidRPr="00BF7E57">
        <w:rPr>
          <w:rFonts w:ascii="Arial" w:hAnsi="Arial" w:cs="Arial"/>
          <w:sz w:val="20"/>
          <w:szCs w:val="20"/>
        </w:rPr>
        <w:t>). Na podeželju je enak delež</w:t>
      </w:r>
      <w:r w:rsidR="009E0FB0" w:rsidRPr="00BF7E57">
        <w:rPr>
          <w:rFonts w:ascii="Arial" w:hAnsi="Arial" w:cs="Arial"/>
          <w:sz w:val="20"/>
          <w:szCs w:val="20"/>
        </w:rPr>
        <w:t xml:space="preserve"> </w:t>
      </w:r>
      <w:r w:rsidRPr="00BF7E57">
        <w:rPr>
          <w:rFonts w:ascii="Arial" w:hAnsi="Arial" w:cs="Arial"/>
          <w:sz w:val="20"/>
          <w:szCs w:val="20"/>
        </w:rPr>
        <w:t>diplomantov (na 1.000 prebivalcev) kot v Sloveniji.</w:t>
      </w:r>
    </w:p>
    <w:p w14:paraId="33EFEC3F" w14:textId="49ABA17F" w:rsidR="003E038D" w:rsidRPr="00BF7E57" w:rsidRDefault="003E038D" w:rsidP="001427AE">
      <w:pPr>
        <w:pStyle w:val="Napis"/>
      </w:pPr>
      <w:bookmarkStart w:id="103" w:name="_Ref84922510"/>
      <w:bookmarkStart w:id="104" w:name="_Toc47082379"/>
      <w:bookmarkStart w:id="105" w:name="_Toc47092620"/>
      <w:bookmarkStart w:id="106" w:name="_Toc86826410"/>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20</w:t>
      </w:r>
      <w:r w:rsidR="00A30B83" w:rsidRPr="00BF7E57">
        <w:rPr>
          <w:noProof/>
        </w:rPr>
        <w:fldChar w:fldCharType="end"/>
      </w:r>
      <w:bookmarkEnd w:id="103"/>
      <w:r w:rsidRPr="00BF7E57">
        <w:t>: Delež učencev, dijakov in študentov od celotnega prebivalstva na podeželju oz. Sloveniji (leto 2018)</w:t>
      </w:r>
      <w:bookmarkEnd w:id="106"/>
    </w:p>
    <w:bookmarkEnd w:id="104"/>
    <w:bookmarkEnd w:id="105"/>
    <w:p w14:paraId="5923B840" w14:textId="77777777" w:rsidR="009E0216" w:rsidRPr="00BF7E57" w:rsidRDefault="009E0216" w:rsidP="00EA2E4C">
      <w:pPr>
        <w:pStyle w:val="Napis"/>
        <w:spacing w:line="360" w:lineRule="auto"/>
        <w:jc w:val="both"/>
        <w:rPr>
          <w:sz w:val="20"/>
          <w:szCs w:val="20"/>
        </w:rPr>
      </w:pPr>
      <w:r w:rsidRPr="00BF7E57">
        <w:rPr>
          <w:noProof/>
          <w:sz w:val="20"/>
          <w:szCs w:val="20"/>
          <w:lang w:eastAsia="sl-SI"/>
        </w:rPr>
        <w:drawing>
          <wp:inline distT="0" distB="0" distL="0" distR="0" wp14:anchorId="2EF57EBA" wp14:editId="1B0B69FC">
            <wp:extent cx="4229100" cy="1812897"/>
            <wp:effectExtent l="0" t="0" r="0" b="1651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606629" w14:textId="77777777" w:rsidR="009E0216" w:rsidRPr="00BF7E57" w:rsidRDefault="00026AF3" w:rsidP="00EA2E4C">
      <w:pPr>
        <w:shd w:val="clear" w:color="auto" w:fill="FFFFFF"/>
        <w:spacing w:line="360" w:lineRule="auto"/>
        <w:jc w:val="both"/>
        <w:rPr>
          <w:rFonts w:ascii="Arial" w:hAnsi="Arial" w:cs="Arial"/>
          <w:sz w:val="16"/>
          <w:szCs w:val="16"/>
        </w:rPr>
      </w:pPr>
      <w:r w:rsidRPr="00BF7E57">
        <w:rPr>
          <w:rFonts w:ascii="Arial" w:hAnsi="Arial" w:cs="Arial"/>
          <w:sz w:val="16"/>
          <w:szCs w:val="16"/>
        </w:rPr>
        <w:t>Vir: SURS, lastni preračuni</w:t>
      </w:r>
    </w:p>
    <w:p w14:paraId="6F3C16D9" w14:textId="23BAA39F" w:rsidR="009E0216" w:rsidRPr="00BF7E57" w:rsidRDefault="009E0216" w:rsidP="00BE756C">
      <w:pPr>
        <w:shd w:val="clear" w:color="auto" w:fill="FFFFFF"/>
        <w:spacing w:before="200" w:line="360" w:lineRule="auto"/>
        <w:jc w:val="both"/>
        <w:rPr>
          <w:rFonts w:ascii="Arial" w:hAnsi="Arial" w:cs="Arial"/>
          <w:sz w:val="20"/>
          <w:szCs w:val="20"/>
        </w:rPr>
      </w:pPr>
      <w:r w:rsidRPr="00BF7E57">
        <w:rPr>
          <w:rFonts w:ascii="Arial" w:hAnsi="Arial" w:cs="Arial"/>
          <w:sz w:val="20"/>
          <w:szCs w:val="20"/>
        </w:rPr>
        <w:t xml:space="preserve">Med statističnimi regijami je imela največ študentov na 1.000 prebivalcev goriška statistična regija, najmanj pa obalno-kraška statistična regija. Zaradi zmanjševanja generacij in negativnih demografskih </w:t>
      </w:r>
      <w:r w:rsidRPr="00BF7E57">
        <w:rPr>
          <w:rFonts w:ascii="Arial" w:hAnsi="Arial" w:cs="Arial"/>
          <w:sz w:val="20"/>
          <w:szCs w:val="20"/>
        </w:rPr>
        <w:lastRenderedPageBreak/>
        <w:t>sprememb se število vpisanih otrok v osnovne in srednje šole ter število dijakov zmanjšuje, predvsem zaradi posledic negativnih demografskih sprememb (</w:t>
      </w:r>
      <w:r w:rsidR="00F113B1" w:rsidRPr="00BF7E57">
        <w:rPr>
          <w:rFonts w:ascii="Arial" w:hAnsi="Arial" w:cs="Arial"/>
          <w:sz w:val="20"/>
          <w:szCs w:val="20"/>
        </w:rPr>
        <w:t xml:space="preserve">v osmih letih se je </w:t>
      </w:r>
      <w:r w:rsidRPr="00BF7E57">
        <w:rPr>
          <w:rFonts w:ascii="Arial" w:hAnsi="Arial" w:cs="Arial"/>
          <w:sz w:val="20"/>
          <w:szCs w:val="20"/>
        </w:rPr>
        <w:t>št. dijakov zmanjšalo za 11 %, št. študentov pa je za 34 % nižje kot pred desetimi leti, predvsem na družboslovnih smereh) (SURS, 2020). Takšna gibanja, ki naj bi se po demografskih projekcijah nadaljevala še nekaj let, zmanjšujejo potencialno število mladih za neposreden vpis v terciarno izobraževanje in ponudbo mladih na trgu dela. Zmanjšanje števila mladih, vpisanih v poklicno izobraževanje, je bilo neugodno z vidika potreb delodajalcev, ki so zaradi demografskih razlogov težko dobili ustrezne kadre za zaposlitev (kljub v mednarodni primerjavi visokemu deležu vpisanih na poklicne programe). Že več let se zaradi demografskih razlogov zmanjšuje tudi število vpisanih v terciarno izobraževanje.</w:t>
      </w:r>
    </w:p>
    <w:p w14:paraId="6F456882" w14:textId="2CAEDD92"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Deleža mladih (20–24 let) in odraslih (25–64 let) z vsaj srednješolsko izobrazbo sta višja kot v povprečju EU in se dolgoročno gledano povečujeta. Leta 2018 je delež odraslih (25–64 let) s terciarno izobrazbo znašal 32,5 % (EU: 32,3 %). Dolgoletna rast deleža, ki je povezana z visoko vključenostjo mladih v terciarno izobraževanje, se je leta 2018 ustavila. Slednje je najverjetneje povezano z demografskim učinkom (zmanjšanje generacije mladih, pri katerih je delež terciarno izobraženih višji kot v višjih starostnih skupinah). Delež odraslih s terciarno izobrazbo se je v obdobju 2008–2018 najbolj povečal v starostnih skupinah 35–44 let in 25–34 let, znotraj katere je v starostni skupini 30–34 let že več let višji od povprečja EU.  Čeprav so bila takšna gibanja ugodna z vidika povečevanja človeškega kapitala in konkurenčnosti slovenskega gospodarstva, pa je ob staranju prebivalstva, rastočem povpraševanju delodajalcev po kadrih in neskladjih na trgu dela ponudba ustrezno izobraženih s terciarno izobrazbo zaostajala za potrebami družbe in gospodarstva. Glede na spol izstopa veliko večji delež terciarno izobraženih žensk kot moških. Razlike med regijami so relativno nizke. Več terciarno izobraženih je v zahodni (37,7 %) kot v vzhodni Sloveniji (27,9 %). Večji delež terciarno izobraženih je v statističnih regijah</w:t>
      </w:r>
      <w:r w:rsidR="00D30418" w:rsidRPr="00BF7E57">
        <w:rPr>
          <w:rFonts w:ascii="Arial" w:hAnsi="Arial" w:cs="Arial"/>
          <w:sz w:val="20"/>
          <w:szCs w:val="20"/>
        </w:rPr>
        <w:t>,</w:t>
      </w:r>
      <w:r w:rsidRPr="00BF7E57">
        <w:rPr>
          <w:rFonts w:ascii="Arial" w:hAnsi="Arial" w:cs="Arial"/>
          <w:sz w:val="20"/>
          <w:szCs w:val="20"/>
        </w:rPr>
        <w:t xml:space="preserve"> v katerih so visokošolske ustanove in več delovnih mest (Poročilo o razvoju 2020, 2020).</w:t>
      </w:r>
    </w:p>
    <w:p w14:paraId="54C72FCC" w14:textId="58F833D0"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Na podeželju je v primerjavi s celotno Slovenijo in ostalimi območji več ljudi brez izobrazbe. Brez izobrazbe ali samo z osnovnošolsko je na podeželju več žensk kot moških. Tako na podeželju, kot na ostalih območjih</w:t>
      </w:r>
      <w:r w:rsidR="00D30418" w:rsidRPr="00BF7E57">
        <w:rPr>
          <w:rFonts w:ascii="Arial" w:hAnsi="Arial" w:cs="Arial"/>
          <w:sz w:val="20"/>
          <w:szCs w:val="20"/>
        </w:rPr>
        <w:t>,</w:t>
      </w:r>
      <w:r w:rsidRPr="00BF7E57">
        <w:rPr>
          <w:rFonts w:ascii="Arial" w:hAnsi="Arial" w:cs="Arial"/>
          <w:sz w:val="20"/>
          <w:szCs w:val="20"/>
        </w:rPr>
        <w:t xml:space="preserve"> največji delež v doseženi stopnji izobrazbe predstavlja srednješolska izobrazba (nekoliko več na podeželju). V primerjavi po spolu več moških dosega srednješolsko izobrazbo, več žensk kot moških pa višješolsko izobrazbo, tako na podeželju, kot v ostalih območjih. Višješolska izobrazba je zastopana v skoraj enakem deležu tako na podeželju kot na ostalem območju, na ostalih območjih je veliko več le 3. stopnje višješolske izobrazbe (Slika </w:t>
      </w:r>
      <w:r w:rsidR="00FC7B0D" w:rsidRPr="00BF7E57">
        <w:rPr>
          <w:rFonts w:ascii="Arial" w:hAnsi="Arial" w:cs="Arial"/>
          <w:sz w:val="20"/>
          <w:szCs w:val="20"/>
        </w:rPr>
        <w:t>21</w:t>
      </w:r>
      <w:r w:rsidRPr="00BF7E57">
        <w:rPr>
          <w:rFonts w:ascii="Arial" w:hAnsi="Arial" w:cs="Arial"/>
          <w:sz w:val="20"/>
          <w:szCs w:val="20"/>
        </w:rPr>
        <w:t>).</w:t>
      </w:r>
    </w:p>
    <w:p w14:paraId="1980BCAD" w14:textId="3499B5C8" w:rsidR="00FB38E7" w:rsidRPr="00BF7E57" w:rsidRDefault="00FB38E7" w:rsidP="00A417A4">
      <w:pPr>
        <w:pStyle w:val="SCslika"/>
        <w:keepNext/>
        <w:keepLines/>
      </w:pPr>
      <w:bookmarkStart w:id="107" w:name="_Toc47092641"/>
    </w:p>
    <w:p w14:paraId="7AD2FA55" w14:textId="7476F420" w:rsidR="00FB38E7" w:rsidRPr="00BF7E57" w:rsidRDefault="00FB38E7" w:rsidP="001427AE">
      <w:pPr>
        <w:pStyle w:val="Napis"/>
        <w:jc w:val="both"/>
      </w:pPr>
      <w:bookmarkStart w:id="108" w:name="_Toc86826457"/>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19</w:t>
      </w:r>
      <w:r w:rsidR="00A30B83" w:rsidRPr="00BF7E57">
        <w:rPr>
          <w:noProof/>
        </w:rPr>
        <w:fldChar w:fldCharType="end"/>
      </w:r>
      <w:r w:rsidRPr="00BF7E57">
        <w:t>: Stopnja izobrazbe v letu 2019</w:t>
      </w:r>
      <w:bookmarkEnd w:id="108"/>
    </w:p>
    <w:bookmarkEnd w:id="107"/>
    <w:p w14:paraId="1C1534C3" w14:textId="07DF7CA5" w:rsidR="009E0216" w:rsidRPr="00BF7E57" w:rsidRDefault="009E0216" w:rsidP="00A417A4">
      <w:pPr>
        <w:pStyle w:val="SCslika"/>
        <w:keepNext/>
        <w:keepLines/>
      </w:pPr>
    </w:p>
    <w:tbl>
      <w:tblPr>
        <w:tblW w:w="7655" w:type="dxa"/>
        <w:tblCellMar>
          <w:left w:w="70" w:type="dxa"/>
          <w:right w:w="70" w:type="dxa"/>
        </w:tblCellMar>
        <w:tblLook w:val="04A0" w:firstRow="1" w:lastRow="0" w:firstColumn="1" w:lastColumn="0" w:noHBand="0" w:noVBand="1"/>
      </w:tblPr>
      <w:tblGrid>
        <w:gridCol w:w="1175"/>
        <w:gridCol w:w="1693"/>
        <w:gridCol w:w="1728"/>
        <w:gridCol w:w="1595"/>
        <w:gridCol w:w="1464"/>
      </w:tblGrid>
      <w:tr w:rsidR="009E0216" w:rsidRPr="00BF7E57" w14:paraId="06141AE8" w14:textId="77777777" w:rsidTr="00B571E4">
        <w:trPr>
          <w:trHeight w:val="344"/>
        </w:trPr>
        <w:tc>
          <w:tcPr>
            <w:tcW w:w="1175"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495D183"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 </w:t>
            </w:r>
          </w:p>
        </w:tc>
        <w:tc>
          <w:tcPr>
            <w:tcW w:w="1693" w:type="dxa"/>
            <w:tcBorders>
              <w:top w:val="single" w:sz="4" w:space="0" w:color="auto"/>
              <w:left w:val="nil"/>
              <w:bottom w:val="single" w:sz="4" w:space="0" w:color="auto"/>
              <w:right w:val="single" w:sz="4" w:space="0" w:color="auto"/>
            </w:tcBorders>
            <w:shd w:val="clear" w:color="auto" w:fill="92D050"/>
            <w:vAlign w:val="bottom"/>
            <w:hideMark/>
          </w:tcPr>
          <w:p w14:paraId="32938308"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Brez izobrazbe, nepopolna osnovnošolska</w:t>
            </w:r>
          </w:p>
        </w:tc>
        <w:tc>
          <w:tcPr>
            <w:tcW w:w="1728" w:type="dxa"/>
            <w:tcBorders>
              <w:top w:val="single" w:sz="4" w:space="0" w:color="auto"/>
              <w:left w:val="nil"/>
              <w:bottom w:val="single" w:sz="4" w:space="0" w:color="auto"/>
              <w:right w:val="single" w:sz="4" w:space="0" w:color="auto"/>
            </w:tcBorders>
            <w:shd w:val="clear" w:color="auto" w:fill="92D050"/>
            <w:vAlign w:val="bottom"/>
            <w:hideMark/>
          </w:tcPr>
          <w:p w14:paraId="601687DF"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Osnovnošolska</w:t>
            </w:r>
          </w:p>
        </w:tc>
        <w:tc>
          <w:tcPr>
            <w:tcW w:w="1595" w:type="dxa"/>
            <w:tcBorders>
              <w:top w:val="single" w:sz="4" w:space="0" w:color="auto"/>
              <w:left w:val="nil"/>
              <w:bottom w:val="single" w:sz="4" w:space="0" w:color="auto"/>
              <w:right w:val="single" w:sz="4" w:space="0" w:color="auto"/>
            </w:tcBorders>
            <w:shd w:val="clear" w:color="auto" w:fill="92D050"/>
            <w:vAlign w:val="bottom"/>
            <w:hideMark/>
          </w:tcPr>
          <w:p w14:paraId="5B67582B"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Srednješolska - Skupaj</w:t>
            </w:r>
          </w:p>
        </w:tc>
        <w:tc>
          <w:tcPr>
            <w:tcW w:w="1464" w:type="dxa"/>
            <w:tcBorders>
              <w:top w:val="single" w:sz="4" w:space="0" w:color="auto"/>
              <w:left w:val="nil"/>
              <w:bottom w:val="single" w:sz="4" w:space="0" w:color="auto"/>
              <w:right w:val="single" w:sz="4" w:space="0" w:color="auto"/>
            </w:tcBorders>
            <w:shd w:val="clear" w:color="auto" w:fill="92D050"/>
            <w:vAlign w:val="bottom"/>
            <w:hideMark/>
          </w:tcPr>
          <w:p w14:paraId="26AE4184"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Višješolska, visokošolska - Skupaj</w:t>
            </w:r>
          </w:p>
        </w:tc>
      </w:tr>
      <w:tr w:rsidR="009E0216" w:rsidRPr="00BF7E57" w14:paraId="4E759016" w14:textId="77777777" w:rsidTr="00C0502F">
        <w:trPr>
          <w:trHeight w:val="344"/>
        </w:trPr>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14:paraId="4C58E15D"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Slovenija</w:t>
            </w:r>
          </w:p>
        </w:tc>
        <w:tc>
          <w:tcPr>
            <w:tcW w:w="1693" w:type="dxa"/>
            <w:tcBorders>
              <w:top w:val="single" w:sz="4" w:space="0" w:color="auto"/>
              <w:left w:val="nil"/>
              <w:bottom w:val="single" w:sz="4" w:space="0" w:color="auto"/>
              <w:right w:val="single" w:sz="4" w:space="0" w:color="auto"/>
            </w:tcBorders>
            <w:shd w:val="clear" w:color="auto" w:fill="auto"/>
            <w:vAlign w:val="bottom"/>
          </w:tcPr>
          <w:p w14:paraId="08CA97A3"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52096</w:t>
            </w:r>
          </w:p>
        </w:tc>
        <w:tc>
          <w:tcPr>
            <w:tcW w:w="1728" w:type="dxa"/>
            <w:tcBorders>
              <w:top w:val="single" w:sz="4" w:space="0" w:color="auto"/>
              <w:left w:val="nil"/>
              <w:bottom w:val="single" w:sz="4" w:space="0" w:color="auto"/>
              <w:right w:val="single" w:sz="4" w:space="0" w:color="auto"/>
            </w:tcBorders>
            <w:shd w:val="clear" w:color="auto" w:fill="auto"/>
            <w:vAlign w:val="bottom"/>
          </w:tcPr>
          <w:p w14:paraId="5F27FC70"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354902</w:t>
            </w:r>
          </w:p>
        </w:tc>
        <w:tc>
          <w:tcPr>
            <w:tcW w:w="1595" w:type="dxa"/>
            <w:tcBorders>
              <w:top w:val="single" w:sz="4" w:space="0" w:color="auto"/>
              <w:left w:val="nil"/>
              <w:bottom w:val="single" w:sz="4" w:space="0" w:color="auto"/>
              <w:right w:val="single" w:sz="4" w:space="0" w:color="auto"/>
            </w:tcBorders>
            <w:shd w:val="clear" w:color="auto" w:fill="auto"/>
            <w:vAlign w:val="bottom"/>
          </w:tcPr>
          <w:p w14:paraId="1C0C45AF"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932871</w:t>
            </w:r>
          </w:p>
        </w:tc>
        <w:tc>
          <w:tcPr>
            <w:tcW w:w="1464" w:type="dxa"/>
            <w:tcBorders>
              <w:top w:val="single" w:sz="4" w:space="0" w:color="auto"/>
              <w:left w:val="nil"/>
              <w:bottom w:val="single" w:sz="4" w:space="0" w:color="auto"/>
              <w:right w:val="single" w:sz="4" w:space="0" w:color="auto"/>
            </w:tcBorders>
            <w:shd w:val="clear" w:color="auto" w:fill="auto"/>
            <w:vAlign w:val="bottom"/>
          </w:tcPr>
          <w:p w14:paraId="1DD9FAC1"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427333</w:t>
            </w:r>
          </w:p>
        </w:tc>
      </w:tr>
      <w:tr w:rsidR="009E0216" w:rsidRPr="00BF7E57" w14:paraId="47064EDB" w14:textId="77777777" w:rsidTr="00C0502F">
        <w:trPr>
          <w:trHeight w:val="159"/>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14:paraId="0F256AE5" w14:textId="75742097" w:rsidR="009E0216" w:rsidRPr="00BF7E57" w:rsidRDefault="00E23678" w:rsidP="00A05198">
            <w:pPr>
              <w:spacing w:before="60" w:after="0" w:line="312" w:lineRule="auto"/>
              <w:jc w:val="both"/>
              <w:rPr>
                <w:rFonts w:ascii="Arial" w:hAnsi="Arial" w:cs="Arial"/>
                <w:sz w:val="20"/>
                <w:szCs w:val="20"/>
              </w:rPr>
            </w:pPr>
            <w:r w:rsidRPr="00BF7E57">
              <w:rPr>
                <w:rFonts w:ascii="Arial" w:hAnsi="Arial" w:cs="Arial"/>
                <w:sz w:val="20"/>
                <w:szCs w:val="20"/>
              </w:rPr>
              <w:t>p</w:t>
            </w:r>
            <w:r w:rsidR="009E0216" w:rsidRPr="00BF7E57">
              <w:rPr>
                <w:rFonts w:ascii="Arial" w:hAnsi="Arial" w:cs="Arial"/>
                <w:sz w:val="20"/>
                <w:szCs w:val="20"/>
              </w:rPr>
              <w:t>odeželje</w:t>
            </w:r>
          </w:p>
        </w:tc>
        <w:tc>
          <w:tcPr>
            <w:tcW w:w="1693" w:type="dxa"/>
            <w:tcBorders>
              <w:top w:val="nil"/>
              <w:left w:val="nil"/>
              <w:bottom w:val="single" w:sz="4" w:space="0" w:color="auto"/>
              <w:right w:val="single" w:sz="4" w:space="0" w:color="auto"/>
            </w:tcBorders>
            <w:shd w:val="clear" w:color="auto" w:fill="auto"/>
            <w:noWrap/>
            <w:vAlign w:val="bottom"/>
            <w:hideMark/>
          </w:tcPr>
          <w:p w14:paraId="298290EF"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35551</w:t>
            </w:r>
          </w:p>
        </w:tc>
        <w:tc>
          <w:tcPr>
            <w:tcW w:w="1728" w:type="dxa"/>
            <w:tcBorders>
              <w:top w:val="nil"/>
              <w:left w:val="nil"/>
              <w:bottom w:val="single" w:sz="4" w:space="0" w:color="auto"/>
              <w:right w:val="single" w:sz="4" w:space="0" w:color="auto"/>
            </w:tcBorders>
            <w:shd w:val="clear" w:color="auto" w:fill="auto"/>
            <w:noWrap/>
            <w:vAlign w:val="bottom"/>
            <w:hideMark/>
          </w:tcPr>
          <w:p w14:paraId="10FEEE14"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223790</w:t>
            </w:r>
          </w:p>
        </w:tc>
        <w:tc>
          <w:tcPr>
            <w:tcW w:w="1595" w:type="dxa"/>
            <w:tcBorders>
              <w:top w:val="nil"/>
              <w:left w:val="nil"/>
              <w:bottom w:val="single" w:sz="4" w:space="0" w:color="auto"/>
              <w:right w:val="single" w:sz="4" w:space="0" w:color="auto"/>
            </w:tcBorders>
            <w:shd w:val="clear" w:color="auto" w:fill="auto"/>
            <w:noWrap/>
            <w:vAlign w:val="bottom"/>
            <w:hideMark/>
          </w:tcPr>
          <w:p w14:paraId="1F003329"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553105</w:t>
            </w:r>
          </w:p>
        </w:tc>
        <w:tc>
          <w:tcPr>
            <w:tcW w:w="1464" w:type="dxa"/>
            <w:tcBorders>
              <w:top w:val="nil"/>
              <w:left w:val="nil"/>
              <w:bottom w:val="single" w:sz="4" w:space="0" w:color="auto"/>
              <w:right w:val="single" w:sz="4" w:space="0" w:color="auto"/>
            </w:tcBorders>
            <w:shd w:val="clear" w:color="auto" w:fill="auto"/>
            <w:noWrap/>
            <w:vAlign w:val="bottom"/>
            <w:hideMark/>
          </w:tcPr>
          <w:p w14:paraId="65B760B8"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215727</w:t>
            </w:r>
          </w:p>
        </w:tc>
      </w:tr>
    </w:tbl>
    <w:p w14:paraId="580C037F" w14:textId="77777777" w:rsidR="009E0216" w:rsidRPr="00BF7E57" w:rsidRDefault="009E0216" w:rsidP="00EA2E4C">
      <w:pPr>
        <w:autoSpaceDE w:val="0"/>
        <w:autoSpaceDN w:val="0"/>
        <w:adjustRightInd w:val="0"/>
        <w:spacing w:line="360" w:lineRule="auto"/>
        <w:jc w:val="both"/>
        <w:rPr>
          <w:rFonts w:ascii="Arial" w:hAnsi="Arial" w:cs="Arial"/>
          <w:sz w:val="16"/>
          <w:szCs w:val="16"/>
        </w:rPr>
      </w:pPr>
      <w:r w:rsidRPr="00BF7E57">
        <w:rPr>
          <w:rFonts w:ascii="Arial" w:hAnsi="Arial" w:cs="Arial"/>
          <w:sz w:val="16"/>
          <w:szCs w:val="16"/>
        </w:rPr>
        <w:t>Vir: SURS, lastni preračuni</w:t>
      </w:r>
    </w:p>
    <w:p w14:paraId="1C75EFFB" w14:textId="17BF5EE4" w:rsidR="003E038D" w:rsidRPr="00BF7E57" w:rsidRDefault="003E038D" w:rsidP="001427AE">
      <w:pPr>
        <w:pStyle w:val="Napis"/>
      </w:pPr>
      <w:bookmarkStart w:id="109" w:name="_Toc47082380"/>
      <w:bookmarkStart w:id="110" w:name="_Toc47092621"/>
      <w:bookmarkStart w:id="111" w:name="_Toc86826411"/>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21</w:t>
      </w:r>
      <w:r w:rsidR="00A30B83" w:rsidRPr="00BF7E57">
        <w:rPr>
          <w:noProof/>
        </w:rPr>
        <w:fldChar w:fldCharType="end"/>
      </w:r>
      <w:r w:rsidRPr="00BF7E57">
        <w:t>: Stopnja izobrazbe v letu 2019</w:t>
      </w:r>
      <w:bookmarkEnd w:id="111"/>
    </w:p>
    <w:bookmarkEnd w:id="109"/>
    <w:bookmarkEnd w:id="110"/>
    <w:p w14:paraId="3AEBB845" w14:textId="49B324B0" w:rsidR="00026AF3" w:rsidRPr="00BF7E57" w:rsidRDefault="00026AF3" w:rsidP="001427AE">
      <w:pPr>
        <w:pStyle w:val="Napis"/>
      </w:pPr>
    </w:p>
    <w:p w14:paraId="00090B4F" w14:textId="73A6832E" w:rsidR="009E0216" w:rsidRPr="00BF7E57" w:rsidRDefault="009E0216" w:rsidP="002F2DED">
      <w:pPr>
        <w:pStyle w:val="Napis"/>
        <w:spacing w:line="240" w:lineRule="auto"/>
        <w:jc w:val="both"/>
        <w:rPr>
          <w:sz w:val="20"/>
          <w:szCs w:val="20"/>
        </w:rPr>
      </w:pPr>
      <w:r w:rsidRPr="00BF7E57">
        <w:rPr>
          <w:noProof/>
          <w:sz w:val="20"/>
          <w:szCs w:val="20"/>
          <w:lang w:eastAsia="sl-SI"/>
        </w:rPr>
        <w:drawing>
          <wp:inline distT="0" distB="0" distL="0" distR="0" wp14:anchorId="1FED95CE" wp14:editId="3A6B3D71">
            <wp:extent cx="5451895" cy="2613660"/>
            <wp:effectExtent l="0" t="0" r="15875" b="1524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0379D0" w14:textId="77777777" w:rsidR="009E0216" w:rsidRPr="00BF7E57" w:rsidRDefault="00026AF3" w:rsidP="00EA2E4C">
      <w:pPr>
        <w:shd w:val="clear" w:color="auto" w:fill="FFFFFF"/>
        <w:spacing w:line="360" w:lineRule="auto"/>
        <w:jc w:val="both"/>
        <w:rPr>
          <w:rFonts w:ascii="Arial" w:hAnsi="Arial" w:cs="Arial"/>
          <w:sz w:val="16"/>
          <w:szCs w:val="16"/>
        </w:rPr>
      </w:pPr>
      <w:r w:rsidRPr="00BF7E57">
        <w:rPr>
          <w:rFonts w:ascii="Arial" w:hAnsi="Arial" w:cs="Arial"/>
          <w:sz w:val="16"/>
          <w:szCs w:val="16"/>
        </w:rPr>
        <w:t>Vir: SURS, lastni preračuni</w:t>
      </w:r>
    </w:p>
    <w:p w14:paraId="7E650F87" w14:textId="68FDE3B1" w:rsidR="009E0216" w:rsidRPr="00BF7E57" w:rsidRDefault="009E0216" w:rsidP="00BE756C">
      <w:pPr>
        <w:shd w:val="clear" w:color="auto" w:fill="FFFFFF"/>
        <w:spacing w:before="200" w:line="360" w:lineRule="auto"/>
        <w:jc w:val="both"/>
        <w:rPr>
          <w:rFonts w:ascii="Arial" w:hAnsi="Arial" w:cs="Arial"/>
          <w:sz w:val="20"/>
          <w:szCs w:val="20"/>
        </w:rPr>
      </w:pPr>
      <w:r w:rsidRPr="00BF7E57">
        <w:rPr>
          <w:rFonts w:ascii="Arial" w:hAnsi="Arial" w:cs="Arial"/>
          <w:sz w:val="20"/>
          <w:szCs w:val="20"/>
        </w:rPr>
        <w:t>Nizke spretnosti odraslih (besedilne, matematične in digitalne) lahko vplivajo na kakovost njihovega življenja. Vključenost prebivalcev v starostni skupini 25–64 let v vseživljenjsko učenje se je v dolgoletnem obdobju znižala in je malo nad povprečjem EU. Od leta 2010, ko je bila najvišja, se je precej znižala in je leta 2018 znašala 11,4 % (EU: 11,1 %). Poleg tega izstopa nizka vključenost nizko izobraženih, starejših, moških ter odraslih z nizkimi spretnostmi v vseživljenjsko učenje, ki zmanjšuje njihove možnosti za vključenost v družbo in participacijo na trgu dela. To je z vidika spopadanja s tehnološkim napredkom, digitalizacijo in avtomatizacijo, neugoden trend. Z razvojnega vidika regij je neugodna nizka vključenost v nekaterih gospodarsko slabše razvitih regijah. V dolgoletnem obdobju se je vključenost v vseživljenjsko učenje znižala v vseh regijah. Vključenost delovno aktivnih v vseživljenjsko učenje se je v obdobju 2008–2016 zmanjšala, kar lahko zmanjšuje možnosti prilagajanja zaposlenih globalnim trendom in podjetij za dvig konkurenčnosti.</w:t>
      </w:r>
    </w:p>
    <w:p w14:paraId="0611BC56" w14:textId="5F1D516C" w:rsidR="009E0216" w:rsidRPr="00BF7E57" w:rsidRDefault="009E0216" w:rsidP="00BE756C">
      <w:pPr>
        <w:shd w:val="clear" w:color="auto" w:fill="FFFFFF"/>
        <w:spacing w:before="200" w:line="360" w:lineRule="auto"/>
        <w:jc w:val="both"/>
        <w:rPr>
          <w:rFonts w:ascii="Arial" w:hAnsi="Arial" w:cs="Arial"/>
          <w:sz w:val="20"/>
          <w:szCs w:val="20"/>
        </w:rPr>
      </w:pPr>
      <w:r w:rsidRPr="00BF7E57">
        <w:rPr>
          <w:rFonts w:ascii="Arial" w:hAnsi="Arial" w:cs="Arial"/>
          <w:sz w:val="20"/>
          <w:szCs w:val="20"/>
        </w:rPr>
        <w:t xml:space="preserve">Glede na status aktivnosti je vključenost v vseživljenjsko učenje najvišja med delovno aktivnimi prebivalci, pri katerih pa se je v dolgoletnem obdobju močno zmanjšala. Vključenost brezposelnih ne zaostaja veliko za vključenostjo delovno aktivnih (Poročilo o razvoju 2020, 2020). </w:t>
      </w:r>
    </w:p>
    <w:p w14:paraId="02C985E3" w14:textId="2DEB0AF3" w:rsidR="00237084" w:rsidRPr="00BF7E57" w:rsidRDefault="00237084" w:rsidP="00BE756C">
      <w:pPr>
        <w:shd w:val="clear" w:color="auto" w:fill="FFFFFF"/>
        <w:spacing w:before="200" w:line="360" w:lineRule="auto"/>
        <w:jc w:val="both"/>
        <w:rPr>
          <w:rFonts w:ascii="Arial" w:hAnsi="Arial" w:cs="Arial"/>
          <w:sz w:val="20"/>
          <w:szCs w:val="20"/>
        </w:rPr>
      </w:pPr>
      <w:r w:rsidRPr="00BF7E57">
        <w:rPr>
          <w:rFonts w:ascii="Arial" w:hAnsi="Arial" w:cs="Arial"/>
          <w:sz w:val="20"/>
          <w:szCs w:val="20"/>
        </w:rPr>
        <w:t>Po raziskavi (Lavrič, 2020) mladi v Sloveniji v krajšem času zaključijo formalno izobraževanje. Kljub temu je bilo leta 2018 še vedno 45 % mladih vključenih v visokošolsko izobraževanje, kar je daleč nad povprečjem EU, ki je 32 %. Več je mladih, ki imajo izkušnjo z izobraževanjem v tujini in tudi takih, ki se nameravajo odpraviti na izobraževanje v tujino. Med mladimi močno narašča število tistih, ki se poslužujejo neformalnega izobraževanja in priložnostnega učenja, ki verjetno predstavljata ključni razvojni področji izobraževalne politike v prihodnosti. Ključni vir priložnostnega učenja je internet. Internet je tudi glavni način nakupovanja (90 % mladih nakupuje preko interneta), poslušanja glasbe in obiskovanje družabnih omrežij, kar zahteva osnovno raven računalniške pismenosti</w:t>
      </w:r>
      <w:r w:rsidR="00D30418" w:rsidRPr="00BF7E57">
        <w:rPr>
          <w:rFonts w:ascii="Arial" w:hAnsi="Arial" w:cs="Arial"/>
          <w:sz w:val="20"/>
          <w:szCs w:val="20"/>
        </w:rPr>
        <w:t>.</w:t>
      </w:r>
    </w:p>
    <w:p w14:paraId="5A16C411" w14:textId="77777777" w:rsidR="002F2DED" w:rsidRPr="00BF7E57" w:rsidRDefault="002F2DED" w:rsidP="00BE756C">
      <w:pPr>
        <w:shd w:val="clear" w:color="auto" w:fill="FFFFFF"/>
        <w:spacing w:before="200" w:line="360" w:lineRule="auto"/>
        <w:jc w:val="both"/>
        <w:rPr>
          <w:rFonts w:ascii="Arial" w:hAnsi="Arial" w:cs="Arial"/>
          <w:sz w:val="20"/>
          <w:szCs w:val="20"/>
        </w:rPr>
      </w:pPr>
    </w:p>
    <w:p w14:paraId="7172E051" w14:textId="77777777" w:rsidR="009E0216" w:rsidRPr="00BF7E57" w:rsidRDefault="009E0216" w:rsidP="00BE756C">
      <w:pPr>
        <w:pStyle w:val="Naslov2"/>
        <w:spacing w:after="200" w:line="360" w:lineRule="auto"/>
        <w:jc w:val="both"/>
        <w:rPr>
          <w:rFonts w:ascii="Arial" w:hAnsi="Arial" w:cs="Arial"/>
          <w:color w:val="auto"/>
          <w:sz w:val="24"/>
          <w:szCs w:val="24"/>
        </w:rPr>
      </w:pPr>
      <w:bookmarkStart w:id="112" w:name="_Toc46486898"/>
      <w:bookmarkStart w:id="113" w:name="_Toc86826373"/>
      <w:bookmarkEnd w:id="112"/>
      <w:r w:rsidRPr="00BF7E57">
        <w:rPr>
          <w:rFonts w:ascii="Arial" w:hAnsi="Arial" w:cs="Arial"/>
          <w:color w:val="auto"/>
          <w:sz w:val="24"/>
          <w:szCs w:val="24"/>
        </w:rPr>
        <w:lastRenderedPageBreak/>
        <w:t>2.2 OPREMLJENOST S STORITVAMI</w:t>
      </w:r>
      <w:bookmarkEnd w:id="113"/>
    </w:p>
    <w:p w14:paraId="30E52AFE" w14:textId="24C8EE7C" w:rsidR="009E0216"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sz w:val="20"/>
          <w:szCs w:val="20"/>
          <w:lang w:val="sl-SI" w:eastAsia="sl-SI"/>
        </w:rPr>
        <w:t xml:space="preserve">Središčna naselja imajo na podeželju večplasten pomen, saj ohranjajo poselitev in kulturno pokrajino, omogočajo oskrbovanje in zaposlovanje prebivalstva, ohranjajo družabno življenje in imajo upravno funkcijo. </w:t>
      </w:r>
      <w:r w:rsidRPr="00BF7E57">
        <w:rPr>
          <w:rFonts w:ascii="Arial" w:hAnsi="Arial" w:cs="Arial"/>
          <w:sz w:val="20"/>
          <w:szCs w:val="20"/>
          <w:lang w:val="sl-SI"/>
        </w:rPr>
        <w:t>Pomembno vlogo imajo občinska središča. Opremljenost s storitvami splošnega pomena (npr. poštne storitve, bančne storitve, trgovina, javni promet, šolstvo, zdravstvo) je razmeroma ustrezna. Kot so pokazale študije (Nared, Polajnar Horvat in Razpotnik Visković, 2017) je struktura in opremljenost centralnih naselij (nacionalno, regionalna središča) nad 10.000 prebivalci razmeroma stabilna, večje spremembe v opremljenosti naselij so vidne v centralnih naseljih nižjih stopenj pod 10.000 prebivalci (medobčinska, središča lokalnega in središča ruralnega-vici</w:t>
      </w:r>
      <w:r w:rsidR="0080599C" w:rsidRPr="00BF7E57">
        <w:rPr>
          <w:rFonts w:ascii="Arial" w:hAnsi="Arial" w:cs="Arial"/>
          <w:sz w:val="20"/>
          <w:szCs w:val="20"/>
          <w:lang w:val="sl-SI"/>
        </w:rPr>
        <w:t>na</w:t>
      </w:r>
      <w:r w:rsidRPr="00BF7E57">
        <w:rPr>
          <w:rFonts w:ascii="Arial" w:hAnsi="Arial" w:cs="Arial"/>
          <w:sz w:val="20"/>
          <w:szCs w:val="20"/>
          <w:lang w:val="sl-SI"/>
        </w:rPr>
        <w:t xml:space="preserve">lnega pomena), ki so prikazana na spodnji </w:t>
      </w:r>
      <w:r w:rsidR="00D30418" w:rsidRPr="00BF7E57">
        <w:rPr>
          <w:rFonts w:ascii="Arial" w:hAnsi="Arial" w:cs="Arial"/>
          <w:sz w:val="20"/>
          <w:szCs w:val="20"/>
          <w:lang w:val="sl-SI"/>
        </w:rPr>
        <w:fldChar w:fldCharType="begin"/>
      </w:r>
      <w:r w:rsidR="00D30418" w:rsidRPr="00BF7E57">
        <w:rPr>
          <w:rFonts w:ascii="Arial" w:hAnsi="Arial" w:cs="Arial"/>
          <w:sz w:val="20"/>
          <w:szCs w:val="20"/>
          <w:lang w:val="sl-SI"/>
        </w:rPr>
        <w:instrText xml:space="preserve"> REF _Ref84923920 \h </w:instrText>
      </w:r>
      <w:r w:rsidR="00D30418" w:rsidRPr="00BF7E57">
        <w:rPr>
          <w:rFonts w:ascii="Arial" w:hAnsi="Arial" w:cs="Arial"/>
          <w:sz w:val="20"/>
          <w:szCs w:val="20"/>
          <w:lang w:val="sl-SI"/>
        </w:rPr>
      </w:r>
      <w:r w:rsidR="00BF7E57">
        <w:rPr>
          <w:rFonts w:ascii="Arial" w:hAnsi="Arial" w:cs="Arial"/>
          <w:sz w:val="20"/>
          <w:szCs w:val="20"/>
          <w:lang w:val="sl-SI"/>
        </w:rPr>
        <w:instrText xml:space="preserve"> \* MERGEFORMAT </w:instrText>
      </w:r>
      <w:r w:rsidR="00D30418" w:rsidRPr="00BF7E57">
        <w:rPr>
          <w:rFonts w:ascii="Arial" w:hAnsi="Arial" w:cs="Arial"/>
          <w:sz w:val="20"/>
          <w:szCs w:val="20"/>
          <w:lang w:val="sl-SI"/>
        </w:rPr>
        <w:fldChar w:fldCharType="separate"/>
      </w:r>
      <w:r w:rsidR="00236865" w:rsidRPr="00BF7E57">
        <w:t xml:space="preserve">Slika </w:t>
      </w:r>
      <w:r w:rsidR="00236865">
        <w:rPr>
          <w:noProof/>
        </w:rPr>
        <w:t>22</w:t>
      </w:r>
      <w:r w:rsidR="00D30418" w:rsidRPr="00BF7E57">
        <w:rPr>
          <w:rFonts w:ascii="Arial" w:hAnsi="Arial" w:cs="Arial"/>
          <w:sz w:val="20"/>
          <w:szCs w:val="20"/>
          <w:lang w:val="sl-SI"/>
        </w:rPr>
        <w:fldChar w:fldCharType="end"/>
      </w:r>
      <w:r w:rsidRPr="00BF7E57">
        <w:rPr>
          <w:rFonts w:ascii="Arial" w:hAnsi="Arial" w:cs="Arial"/>
          <w:sz w:val="20"/>
          <w:szCs w:val="20"/>
          <w:lang w:val="sl-SI"/>
        </w:rPr>
        <w:t xml:space="preserve">, zlasti zaradi prostorskih in družbenih sprememb v preteklih desetletjih: reforme lokalne samouprave, centralizacije, digitalizacije in povečane rabe interneta, izgradnje avtocestnega križa in naraščajoče mobilnosti, suburbanizacije in post suburbanizacije, demografskih sprememb, terciarizacije gospodarstva in privatizacije javnih služb ter gospodarske krize. Tudi glede </w:t>
      </w:r>
      <w:r w:rsidR="00D30418" w:rsidRPr="00BF7E57">
        <w:rPr>
          <w:rFonts w:ascii="Arial" w:hAnsi="Arial" w:cs="Arial"/>
          <w:sz w:val="20"/>
          <w:szCs w:val="20"/>
          <w:lang w:val="sl-SI"/>
        </w:rPr>
        <w:t xml:space="preserve">na </w:t>
      </w:r>
      <w:r w:rsidRPr="00BF7E57">
        <w:rPr>
          <w:rFonts w:ascii="Arial" w:hAnsi="Arial" w:cs="Arial"/>
          <w:sz w:val="20"/>
          <w:szCs w:val="20"/>
          <w:lang w:val="sl-SI"/>
        </w:rPr>
        <w:t>izvedeno javnomnenjsko raziskavo družbenih vrednost o prostoru in okolju, se naselja v Sloveniji razvijajo,</w:t>
      </w:r>
      <w:r w:rsidR="00F77BD0" w:rsidRPr="00BF7E57">
        <w:rPr>
          <w:rFonts w:ascii="Arial" w:hAnsi="Arial" w:cs="Arial"/>
          <w:sz w:val="20"/>
          <w:szCs w:val="20"/>
          <w:lang w:val="sl-SI"/>
        </w:rPr>
        <w:t xml:space="preserve"> </w:t>
      </w:r>
      <w:r w:rsidRPr="00BF7E57">
        <w:rPr>
          <w:rFonts w:ascii="Arial" w:hAnsi="Arial" w:cs="Arial"/>
          <w:sz w:val="20"/>
          <w:szCs w:val="20"/>
          <w:lang w:val="sl-SI"/>
        </w:rPr>
        <w:t>najmanj</w:t>
      </w:r>
      <w:r w:rsidR="00E952D2" w:rsidRPr="00BF7E57">
        <w:rPr>
          <w:rFonts w:ascii="Arial" w:hAnsi="Arial" w:cs="Arial"/>
          <w:sz w:val="20"/>
          <w:szCs w:val="20"/>
          <w:lang w:val="sl-SI"/>
        </w:rPr>
        <w:t xml:space="preserve"> se razvijajo</w:t>
      </w:r>
      <w:r w:rsidRPr="00BF7E57">
        <w:rPr>
          <w:rFonts w:ascii="Arial" w:hAnsi="Arial" w:cs="Arial"/>
          <w:sz w:val="20"/>
          <w:szCs w:val="20"/>
          <w:lang w:val="sl-SI"/>
        </w:rPr>
        <w:t xml:space="preserve"> naselja velikosti do 10.000 prebivalcev</w:t>
      </w:r>
      <w:r w:rsidR="00F77BD0" w:rsidRPr="00BF7E57">
        <w:rPr>
          <w:rFonts w:ascii="Arial" w:hAnsi="Arial" w:cs="Arial"/>
          <w:sz w:val="20"/>
          <w:szCs w:val="20"/>
          <w:lang w:val="sl-SI"/>
        </w:rPr>
        <w:t>.</w:t>
      </w:r>
      <w:r w:rsidRPr="00BF7E57">
        <w:rPr>
          <w:rFonts w:ascii="Arial" w:hAnsi="Arial" w:cs="Arial"/>
          <w:sz w:val="20"/>
          <w:szCs w:val="20"/>
          <w:lang w:val="sl-SI"/>
        </w:rPr>
        <w:t>(CRP 2017, ARRS, MOP).</w:t>
      </w:r>
    </w:p>
    <w:p w14:paraId="62AF2272"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color w:val="000000"/>
          <w:sz w:val="20"/>
          <w:szCs w:val="20"/>
        </w:rPr>
        <w:t>Nastanek številnih novih manjših občin je močno vplival na število centralnih naselij: 38 središč medobčinskega pomena, 55 središč lokalnega pomena, zlasti pa središč ruralnega/vicinalnega pomena, ki ne dosegajo meje</w:t>
      </w:r>
      <w:r w:rsidRPr="00BF7E57">
        <w:rPr>
          <w:rFonts w:ascii="Arial" w:hAnsi="Arial" w:cs="Arial"/>
          <w:sz w:val="20"/>
          <w:szCs w:val="20"/>
        </w:rPr>
        <w:t xml:space="preserve"> 500 prebivalcev (248 takšnih naselij). Zaradi velikega števila manjših občin ta naselja prevladujejo v vzhodni Sloveniji. Večja naselja so praviloma bolje opremljena s funkcijami kot manjša. Opremljenost je ponekod nadpovprečna na manj urbaniziranih predelih države, kar si lahko razlagamo z zavestnim enakomernim zagotavljanjem funkcij po celotnem državnem ozemlju kot posledico politike policentričnega urbanega razvoja od 60-ih let preteklega stoletja dalje. Podpovprečno so opremljena zlasti središča v bližini večjih mest, kar je posledica suburbanizacije. Zaradi selitev prebivalcev na obrobje mest se je v teh naseljih močno povečalo število prebivalcev, oskrba s funkcijami pa se temu ni dovolj hitro prilagajala (Nared, Polajnar Horvat idr., 2017).</w:t>
      </w:r>
    </w:p>
    <w:p w14:paraId="73C956E3" w14:textId="77777777" w:rsidR="009E0216" w:rsidRPr="00BF7E57" w:rsidRDefault="009E0216" w:rsidP="00BE756C">
      <w:pPr>
        <w:spacing w:before="200" w:line="360" w:lineRule="auto"/>
        <w:jc w:val="both"/>
        <w:rPr>
          <w:rFonts w:ascii="Arial" w:hAnsi="Arial" w:cs="Arial"/>
          <w:sz w:val="20"/>
          <w:szCs w:val="20"/>
          <w:u w:val="single"/>
        </w:rPr>
      </w:pPr>
      <w:r w:rsidRPr="00BF7E57">
        <w:rPr>
          <w:rFonts w:ascii="Arial" w:hAnsi="Arial" w:cs="Arial"/>
          <w:sz w:val="20"/>
          <w:szCs w:val="20"/>
          <w:u w:val="single"/>
        </w:rPr>
        <w:t>Družbeni vidik življenja na podeželju</w:t>
      </w:r>
    </w:p>
    <w:p w14:paraId="0E173CC0" w14:textId="1A79D205"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Na podlagi ankete (Potočnik Slavič, 2019) je bilo ugotovljeno, da so zelo pomembni dejavniki širšega življenjskega okolja dostopnost z avtomobilom in javnim prevozom ter medgeneracijsko sožitje. Za starostnike so pomembne različne storitve: delujoč sistem mobilnih storitev, vključevanje v različne aktivnosti za starejše, obstoječa mreža središčnih naselij. Na podlagi izvedene ankete anketiranci lokalno okolje običajno označujejo kot privlačno pokrajino</w:t>
      </w:r>
      <w:r w:rsidR="00E952D2" w:rsidRPr="00BF7E57">
        <w:rPr>
          <w:rFonts w:ascii="Arial" w:hAnsi="Arial" w:cs="Arial"/>
          <w:sz w:val="20"/>
          <w:szCs w:val="20"/>
        </w:rPr>
        <w:t>.</w:t>
      </w:r>
      <w:r w:rsidR="00F77BD0" w:rsidRPr="00BF7E57">
        <w:rPr>
          <w:rFonts w:ascii="Arial" w:hAnsi="Arial" w:cs="Arial"/>
          <w:sz w:val="20"/>
          <w:szCs w:val="20"/>
        </w:rPr>
        <w:t xml:space="preserve"> </w:t>
      </w:r>
      <w:r w:rsidR="00E952D2" w:rsidRPr="00BF7E57">
        <w:rPr>
          <w:rFonts w:ascii="Arial" w:hAnsi="Arial" w:cs="Arial"/>
          <w:sz w:val="20"/>
          <w:szCs w:val="20"/>
        </w:rPr>
        <w:t>V</w:t>
      </w:r>
      <w:r w:rsidRPr="00BF7E57">
        <w:rPr>
          <w:rFonts w:ascii="Arial" w:hAnsi="Arial" w:cs="Arial"/>
          <w:sz w:val="20"/>
          <w:szCs w:val="20"/>
        </w:rPr>
        <w:t xml:space="preserve">elika večina anketiranih (96 %) je zadovoljnih z življenjem v domačem naselju. Starostniki na podeželju izjemno visoko vrednotijo naravo, mir in prijazno, prijetno okolje. V lokalnem podeželskem okolju so tako anketirani najbolj ponosni na: naravno okolje, mir, naravni spomenik, urejeno naselje (skoraj 40 % vseh); sledi organiziranost, složnost ljudi, aktivnosti, prireditve, društva, običaje; kulturne znamenitosti, cerkev, zgodovinsko, kulturno, etnološko dediščino, znane osebnosti; šolo, gasilski dom, igrišče, ceste, javno razsvetljavo.  </w:t>
      </w:r>
    </w:p>
    <w:p w14:paraId="2C825603" w14:textId="4EC46F0D" w:rsidR="009E0216"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sz w:val="20"/>
          <w:szCs w:val="20"/>
          <w:lang w:val="sl-SI"/>
        </w:rPr>
        <w:lastRenderedPageBreak/>
        <w:t xml:space="preserve">Na podlagi </w:t>
      </w:r>
      <w:r w:rsidR="00E23678" w:rsidRPr="00BF7E57">
        <w:rPr>
          <w:rFonts w:ascii="Arial" w:hAnsi="Arial" w:cs="Arial"/>
          <w:sz w:val="20"/>
          <w:szCs w:val="20"/>
          <w:lang w:val="sl-SI"/>
        </w:rPr>
        <w:t>javnomnenjske</w:t>
      </w:r>
      <w:r w:rsidRPr="00BF7E57">
        <w:rPr>
          <w:rFonts w:ascii="Arial" w:hAnsi="Arial" w:cs="Arial"/>
          <w:sz w:val="20"/>
          <w:szCs w:val="20"/>
          <w:lang w:val="sl-SI"/>
        </w:rPr>
        <w:t xml:space="preserve"> raziskave družbenih vrednot o prostoru in okolju, ki je primerjala družbene vrednote v letu 2004 in 2018, je bilo ugotovljeno, da na splošno dinamika spreminjanja vrednotnih vzorcev ostaja izrazito nizka. Ljudje so sedaj nekoliko bolj pripravljeni na selitve, zlasti na bivanjsko mobilnost, </w:t>
      </w:r>
      <w:r w:rsidR="00E952D2" w:rsidRPr="00BF7E57">
        <w:rPr>
          <w:rFonts w:ascii="Arial" w:hAnsi="Arial" w:cs="Arial"/>
          <w:sz w:val="20"/>
          <w:szCs w:val="20"/>
          <w:lang w:val="sl-SI"/>
        </w:rPr>
        <w:t xml:space="preserve">predvsem </w:t>
      </w:r>
      <w:r w:rsidRPr="00BF7E57">
        <w:rPr>
          <w:rFonts w:ascii="Arial" w:hAnsi="Arial" w:cs="Arial"/>
          <w:sz w:val="20"/>
          <w:szCs w:val="20"/>
          <w:lang w:val="sl-SI"/>
        </w:rPr>
        <w:t xml:space="preserve">mladi, medtem ko za </w:t>
      </w:r>
      <w:r w:rsidR="00E23678" w:rsidRPr="00BF7E57">
        <w:rPr>
          <w:rFonts w:ascii="Arial" w:hAnsi="Arial" w:cs="Arial"/>
          <w:sz w:val="20"/>
          <w:szCs w:val="20"/>
          <w:lang w:val="sl-SI"/>
        </w:rPr>
        <w:t>starejše</w:t>
      </w:r>
      <w:r w:rsidRPr="00BF7E57">
        <w:rPr>
          <w:rFonts w:ascii="Arial" w:hAnsi="Arial" w:cs="Arial"/>
          <w:sz w:val="20"/>
          <w:szCs w:val="20"/>
          <w:lang w:val="sl-SI"/>
        </w:rPr>
        <w:t xml:space="preserve"> velja večja lokalna navezanost. Raziskava je pokazala, da ljudje višje </w:t>
      </w:r>
      <w:r w:rsidR="001427AE" w:rsidRPr="00BF7E57">
        <w:rPr>
          <w:rFonts w:ascii="Arial" w:hAnsi="Arial" w:cs="Arial"/>
          <w:sz w:val="20"/>
          <w:szCs w:val="20"/>
          <w:lang w:val="sl-SI"/>
        </w:rPr>
        <w:t>&lt;</w:t>
      </w:r>
      <w:r w:rsidRPr="00BF7E57">
        <w:rPr>
          <w:rFonts w:ascii="Arial" w:hAnsi="Arial" w:cs="Arial"/>
          <w:sz w:val="20"/>
          <w:szCs w:val="20"/>
          <w:lang w:val="sl-SI"/>
        </w:rPr>
        <w:t>vrednotijo življenje na podeželju in izven naselja (cca. 77 % sodelujočih v raziskavi). Povečala pa se je potreba po varnosti in bližini narave. V primerjalnih letih je več ljudi, ki bi živeli v vaseh ali na obrobju mesta, manj ljudi pa bi živelo v mestih (CRP 2017, ARRS, MOP).</w:t>
      </w:r>
    </w:p>
    <w:p w14:paraId="0D322734" w14:textId="36209BC6" w:rsidR="003E038D" w:rsidRPr="00BF7E57" w:rsidRDefault="003E038D" w:rsidP="00F77BD0">
      <w:pPr>
        <w:pStyle w:val="Napis"/>
      </w:pPr>
      <w:bookmarkStart w:id="114" w:name="_Ref84923920"/>
      <w:bookmarkStart w:id="115" w:name="_Toc86826412"/>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22</w:t>
      </w:r>
      <w:r w:rsidR="00A30B83" w:rsidRPr="00BF7E57">
        <w:rPr>
          <w:noProof/>
        </w:rPr>
        <w:fldChar w:fldCharType="end"/>
      </w:r>
      <w:bookmarkEnd w:id="114"/>
      <w:r w:rsidRPr="00BF7E57">
        <w:t>: Stopnja centralnosti glede na prebivalstvo in storitve</w:t>
      </w:r>
      <w:bookmarkEnd w:id="115"/>
    </w:p>
    <w:p w14:paraId="24621328" w14:textId="77777777" w:rsidR="009E0216" w:rsidRPr="00BF7E57" w:rsidRDefault="009E0216" w:rsidP="00BE756C">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193A26AA" wp14:editId="66E9F709">
            <wp:extent cx="3768702" cy="5646049"/>
            <wp:effectExtent l="13652" t="24448" r="17463" b="17462"/>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872" t="11385" r="42948" b="6688"/>
                    <a:stretch/>
                  </pic:blipFill>
                  <pic:spPr bwMode="auto">
                    <a:xfrm rot="5400000">
                      <a:off x="0" y="0"/>
                      <a:ext cx="3774630" cy="5654930"/>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1859BB4" w14:textId="77777777" w:rsidR="009E0216" w:rsidRPr="00BF7E57" w:rsidRDefault="00026AF3" w:rsidP="002F2DED">
      <w:pPr>
        <w:spacing w:line="360" w:lineRule="auto"/>
        <w:jc w:val="both"/>
        <w:rPr>
          <w:rFonts w:ascii="Arial" w:hAnsi="Arial" w:cs="Arial"/>
          <w:iCs/>
          <w:sz w:val="16"/>
          <w:szCs w:val="16"/>
        </w:rPr>
      </w:pPr>
      <w:bookmarkStart w:id="116" w:name="_Toc47082381"/>
      <w:bookmarkStart w:id="117" w:name="_Toc47092622"/>
      <w:r w:rsidRPr="00BF7E57">
        <w:rPr>
          <w:rFonts w:ascii="Arial" w:hAnsi="Arial" w:cs="Arial"/>
          <w:iCs/>
          <w:sz w:val="16"/>
          <w:szCs w:val="16"/>
        </w:rPr>
        <w:t>Vir:</w:t>
      </w:r>
      <w:r w:rsidR="009E0216" w:rsidRPr="00BF7E57">
        <w:rPr>
          <w:rFonts w:ascii="Arial" w:hAnsi="Arial" w:cs="Arial"/>
          <w:iCs/>
          <w:sz w:val="16"/>
          <w:szCs w:val="16"/>
        </w:rPr>
        <w:t xml:space="preserve"> Nared, Bole idr., 2017</w:t>
      </w:r>
      <w:bookmarkEnd w:id="116"/>
      <w:bookmarkEnd w:id="117"/>
    </w:p>
    <w:p w14:paraId="3E150D82" w14:textId="59EAF9E6" w:rsidR="009E0216" w:rsidRPr="00BF7E57" w:rsidRDefault="009E0216" w:rsidP="00BE756C">
      <w:pPr>
        <w:pStyle w:val="Navadensplet"/>
        <w:spacing w:before="200" w:after="200" w:line="360" w:lineRule="auto"/>
        <w:rPr>
          <w:rFonts w:ascii="Arial" w:hAnsi="Arial" w:cs="Arial"/>
          <w:u w:val="single"/>
        </w:rPr>
      </w:pPr>
      <w:r w:rsidRPr="00BF7E57">
        <w:rPr>
          <w:rFonts w:ascii="Arial" w:hAnsi="Arial" w:cs="Arial"/>
          <w:u w:val="single"/>
        </w:rPr>
        <w:t xml:space="preserve">Oskrba in bivanje </w:t>
      </w:r>
      <w:r w:rsidR="0036277E" w:rsidRPr="00BF7E57">
        <w:rPr>
          <w:rFonts w:ascii="Arial" w:hAnsi="Arial" w:cs="Arial"/>
          <w:u w:val="single"/>
        </w:rPr>
        <w:t>starejših</w:t>
      </w:r>
    </w:p>
    <w:p w14:paraId="48B40FF0"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 xml:space="preserve">Po vključenosti prebivalstva nad 65 let v storitve dolgotrajne oskrbe je Slovenija malenkost nad povprečjem 25-ih držav OECD in sicer 11,4 %, povečuje pa se zaostanek po vključenosti te skupine prebivalstva v oskrbo na domu. Institucionalno varstvo starejših je namenjeno odpravljanju osebnih stisk in težav starejših od 65 let in drugih oseb, ki zaradi bolezni, starosti ali drugih razlogov ne morejo živeti doma. 1. januarja 2018 je bilo v Sloveniji 401.262 starejših  ali skoraj vsaka peta oseba; 58 % teh oseb so bile ženske. V Sloveniji je bilo po </w:t>
      </w:r>
      <w:hyperlink r:id="rId38" w:history="1">
        <w:r w:rsidRPr="00BF7E57">
          <w:rPr>
            <w:rFonts w:ascii="Arial" w:hAnsi="Arial" w:cs="Arial"/>
          </w:rPr>
          <w:t xml:space="preserve">podatkih Skupnosti socialnih zavodov Slovenije </w:t>
        </w:r>
      </w:hyperlink>
      <w:r w:rsidRPr="00BF7E57">
        <w:rPr>
          <w:rFonts w:ascii="Arial" w:hAnsi="Arial" w:cs="Arial"/>
        </w:rPr>
        <w:t>1. januarja 2018 v javni mreži 123 domov za starostnike in posebnih socialnovarstvenih zavodov. V 91 občinah (od 212) je bila vsaj ena taka enota. Razporeditev kapacitet v javni mreži po statističnih regijah je skoraj povsem skladna z deležem prebivalcev, starih 65 ali več let.</w:t>
      </w:r>
    </w:p>
    <w:p w14:paraId="3E57BC0F" w14:textId="50B5D6C4" w:rsidR="003E038D" w:rsidRPr="00BF7E57" w:rsidRDefault="003E038D" w:rsidP="00F77BD0">
      <w:pPr>
        <w:pStyle w:val="Napis"/>
      </w:pPr>
      <w:bookmarkStart w:id="118" w:name="_Toc47082382"/>
      <w:bookmarkStart w:id="119" w:name="_Toc47092623"/>
      <w:bookmarkStart w:id="120" w:name="_Toc86826413"/>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23</w:t>
      </w:r>
      <w:r w:rsidR="00A30B83" w:rsidRPr="00BF7E57">
        <w:rPr>
          <w:noProof/>
        </w:rPr>
        <w:fldChar w:fldCharType="end"/>
      </w:r>
      <w:r w:rsidRPr="00BF7E57">
        <w:t>: Število mest v domovih za starejše in število prebivalcev, starih 65 let in več, po statističnih regijah, 1.1.2018</w:t>
      </w:r>
      <w:bookmarkEnd w:id="120"/>
    </w:p>
    <w:bookmarkEnd w:id="118"/>
    <w:bookmarkEnd w:id="119"/>
    <w:p w14:paraId="680A8410" w14:textId="05DAD193" w:rsidR="009E0216" w:rsidRPr="00BF7E57" w:rsidRDefault="009E0216" w:rsidP="00EA2E4C">
      <w:pPr>
        <w:pStyle w:val="Navadensplet"/>
        <w:keepNext/>
        <w:spacing w:line="360" w:lineRule="auto"/>
        <w:rPr>
          <w:rFonts w:ascii="Arial" w:hAnsi="Arial" w:cs="Arial"/>
        </w:rPr>
      </w:pPr>
      <w:r w:rsidRPr="00BF7E57">
        <w:rPr>
          <w:rFonts w:ascii="Arial" w:hAnsi="Arial" w:cs="Arial"/>
          <w:noProof/>
          <w:lang w:eastAsia="sl-SI"/>
        </w:rPr>
        <w:drawing>
          <wp:inline distT="0" distB="0" distL="0" distR="0" wp14:anchorId="38B705B6" wp14:editId="31335B85">
            <wp:extent cx="5760720" cy="2252980"/>
            <wp:effectExtent l="19050" t="19050" r="11430" b="13970"/>
            <wp:docPr id="1631865541" name="Slika 16318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41" name="št. mest dv domovih po regijah.png"/>
                    <pic:cNvPicPr/>
                  </pic:nvPicPr>
                  <pic:blipFill>
                    <a:blip r:embed="rId39">
                      <a:extLst>
                        <a:ext uri="{28A0092B-C50C-407E-A947-70E740481C1C}">
                          <a14:useLocalDpi xmlns:a14="http://schemas.microsoft.com/office/drawing/2010/main" val="0"/>
                        </a:ext>
                      </a:extLst>
                    </a:blip>
                    <a:stretch>
                      <a:fillRect/>
                    </a:stretch>
                  </pic:blipFill>
                  <pic:spPr>
                    <a:xfrm>
                      <a:off x="0" y="0"/>
                      <a:ext cx="5776790" cy="2259265"/>
                    </a:xfrm>
                    <a:prstGeom prst="rect">
                      <a:avLst/>
                    </a:prstGeom>
                    <a:ln w="6350">
                      <a:solidFill>
                        <a:schemeClr val="tx1">
                          <a:lumMod val="50000"/>
                          <a:lumOff val="50000"/>
                        </a:schemeClr>
                      </a:solidFill>
                    </a:ln>
                  </pic:spPr>
                </pic:pic>
              </a:graphicData>
            </a:graphic>
          </wp:inline>
        </w:drawing>
      </w:r>
    </w:p>
    <w:p w14:paraId="2329BA8F"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Konec leta 2018 je bilo v Sloveniji na voljo 21.063 mest v 59 javnih zavodih in 43 izvajalcih s koncesijo. Od tega je v javnih domovih za starejše 13.206 mest, v zasebnih domovih za starejše 5.361 mest in v posebnih zavodih za odrasle 2.496 mest (Skupnost socialnih zavodov Slovenije, 2019).</w:t>
      </w:r>
    </w:p>
    <w:p w14:paraId="37952D3C" w14:textId="61D685B6" w:rsidR="009E0216" w:rsidRPr="00BF7E57" w:rsidRDefault="00FB38E7" w:rsidP="00F77BD0">
      <w:pPr>
        <w:pStyle w:val="Napis"/>
      </w:pPr>
      <w:bookmarkStart w:id="121" w:name="_Toc47092642"/>
      <w:bookmarkStart w:id="122" w:name="_Toc86826458"/>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20</w:t>
      </w:r>
      <w:r w:rsidR="00A30B83" w:rsidRPr="00BF7E57">
        <w:rPr>
          <w:noProof/>
        </w:rPr>
        <w:fldChar w:fldCharType="end"/>
      </w:r>
      <w:r w:rsidRPr="00BF7E57">
        <w:t>: Institucionalno (domsko) varstvo starejših, pokritost potreb, maj 2019</w:t>
      </w:r>
      <w:bookmarkEnd w:id="121"/>
      <w:bookmarkEnd w:id="122"/>
    </w:p>
    <w:tbl>
      <w:tblPr>
        <w:tblW w:w="5240" w:type="dxa"/>
        <w:tblInd w:w="75" w:type="dxa"/>
        <w:tblCellMar>
          <w:left w:w="70" w:type="dxa"/>
          <w:right w:w="70" w:type="dxa"/>
        </w:tblCellMar>
        <w:tblLook w:val="04A0" w:firstRow="1" w:lastRow="0" w:firstColumn="1" w:lastColumn="0" w:noHBand="0" w:noVBand="1"/>
      </w:tblPr>
      <w:tblGrid>
        <w:gridCol w:w="3681"/>
        <w:gridCol w:w="1559"/>
      </w:tblGrid>
      <w:tr w:rsidR="00A05198" w:rsidRPr="00BF7E57" w14:paraId="174B769B" w14:textId="77777777" w:rsidTr="00C537D0">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9D5D7E4" w14:textId="14974814"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Prebivalci (skupaj)</w:t>
            </w:r>
          </w:p>
        </w:tc>
        <w:tc>
          <w:tcPr>
            <w:tcW w:w="1559" w:type="dxa"/>
            <w:tcBorders>
              <w:top w:val="single" w:sz="4" w:space="0" w:color="auto"/>
              <w:left w:val="nil"/>
              <w:bottom w:val="single" w:sz="4" w:space="0" w:color="auto"/>
              <w:right w:val="single" w:sz="4" w:space="0" w:color="auto"/>
            </w:tcBorders>
            <w:shd w:val="clear" w:color="auto" w:fill="92D050"/>
            <w:noWrap/>
            <w:vAlign w:val="bottom"/>
            <w:hideMark/>
          </w:tcPr>
          <w:p w14:paraId="0BC81E9F"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2.080.908</w:t>
            </w:r>
          </w:p>
        </w:tc>
      </w:tr>
      <w:tr w:rsidR="00A05198" w:rsidRPr="00BF7E57" w14:paraId="59980F1A" w14:textId="77777777" w:rsidTr="009D1026">
        <w:trPr>
          <w:trHeight w:val="30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11DEAB" w14:textId="77777777"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Prebivalci (stari 65 in več)</w:t>
            </w:r>
          </w:p>
        </w:tc>
      </w:tr>
      <w:tr w:rsidR="00A05198" w:rsidRPr="00BF7E57" w14:paraId="68CD8DC8"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9882F23" w14:textId="77777777" w:rsidR="00A05198" w:rsidRPr="00BF7E57"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število</w:t>
            </w:r>
          </w:p>
        </w:tc>
        <w:tc>
          <w:tcPr>
            <w:tcW w:w="1559" w:type="dxa"/>
            <w:tcBorders>
              <w:top w:val="nil"/>
              <w:left w:val="nil"/>
              <w:bottom w:val="single" w:sz="4" w:space="0" w:color="auto"/>
              <w:right w:val="single" w:sz="4" w:space="0" w:color="auto"/>
            </w:tcBorders>
            <w:shd w:val="clear" w:color="auto" w:fill="auto"/>
            <w:noWrap/>
            <w:vAlign w:val="bottom"/>
            <w:hideMark/>
          </w:tcPr>
          <w:p w14:paraId="388531A0"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413.054</w:t>
            </w:r>
          </w:p>
        </w:tc>
      </w:tr>
      <w:tr w:rsidR="00A05198" w:rsidRPr="00BF7E57" w14:paraId="7B372483"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0C51683" w14:textId="77777777" w:rsidR="00A05198" w:rsidRPr="00BF7E57"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delež (%)</w:t>
            </w:r>
          </w:p>
        </w:tc>
        <w:tc>
          <w:tcPr>
            <w:tcW w:w="1559" w:type="dxa"/>
            <w:tcBorders>
              <w:top w:val="nil"/>
              <w:left w:val="nil"/>
              <w:bottom w:val="single" w:sz="4" w:space="0" w:color="auto"/>
              <w:right w:val="single" w:sz="4" w:space="0" w:color="auto"/>
            </w:tcBorders>
            <w:shd w:val="clear" w:color="auto" w:fill="auto"/>
            <w:noWrap/>
            <w:vAlign w:val="bottom"/>
            <w:hideMark/>
          </w:tcPr>
          <w:p w14:paraId="13FD65CD"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19,85</w:t>
            </w:r>
          </w:p>
        </w:tc>
      </w:tr>
      <w:tr w:rsidR="00A05198" w:rsidRPr="00BF7E57" w14:paraId="1E8E75B3" w14:textId="77777777" w:rsidTr="009D1026">
        <w:trPr>
          <w:trHeight w:val="30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80BAE4" w14:textId="77777777"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Obstoječi domovi za starejše</w:t>
            </w:r>
          </w:p>
        </w:tc>
      </w:tr>
      <w:tr w:rsidR="00A05198" w:rsidRPr="00BF7E57" w14:paraId="5C72EBB9"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A4628B2" w14:textId="77777777" w:rsidR="00A05198" w:rsidRPr="00BF7E57"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število domov</w:t>
            </w:r>
          </w:p>
        </w:tc>
        <w:tc>
          <w:tcPr>
            <w:tcW w:w="1559" w:type="dxa"/>
            <w:tcBorders>
              <w:top w:val="nil"/>
              <w:left w:val="nil"/>
              <w:bottom w:val="single" w:sz="4" w:space="0" w:color="auto"/>
              <w:right w:val="single" w:sz="4" w:space="0" w:color="auto"/>
            </w:tcBorders>
            <w:shd w:val="clear" w:color="auto" w:fill="auto"/>
            <w:noWrap/>
            <w:vAlign w:val="bottom"/>
            <w:hideMark/>
          </w:tcPr>
          <w:p w14:paraId="5094183E"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118</w:t>
            </w:r>
          </w:p>
        </w:tc>
      </w:tr>
      <w:tr w:rsidR="00A05198" w:rsidRPr="00BF7E57" w14:paraId="01576AFD"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FC9F2F2" w14:textId="77777777" w:rsidR="00A05198" w:rsidRPr="00BF7E57"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število mest</w:t>
            </w:r>
          </w:p>
        </w:tc>
        <w:tc>
          <w:tcPr>
            <w:tcW w:w="1559" w:type="dxa"/>
            <w:tcBorders>
              <w:top w:val="nil"/>
              <w:left w:val="nil"/>
              <w:bottom w:val="single" w:sz="4" w:space="0" w:color="auto"/>
              <w:right w:val="single" w:sz="4" w:space="0" w:color="auto"/>
            </w:tcBorders>
            <w:shd w:val="clear" w:color="auto" w:fill="auto"/>
            <w:noWrap/>
            <w:vAlign w:val="bottom"/>
            <w:hideMark/>
          </w:tcPr>
          <w:p w14:paraId="417A067B"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17.819</w:t>
            </w:r>
          </w:p>
        </w:tc>
      </w:tr>
      <w:tr w:rsidR="00A05198" w:rsidRPr="00BF7E57" w14:paraId="2E05087F"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1B01845" w14:textId="77777777"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Mesta zadostujejo za % skupine</w:t>
            </w:r>
          </w:p>
        </w:tc>
        <w:tc>
          <w:tcPr>
            <w:tcW w:w="1559" w:type="dxa"/>
            <w:tcBorders>
              <w:top w:val="nil"/>
              <w:left w:val="nil"/>
              <w:bottom w:val="single" w:sz="4" w:space="0" w:color="auto"/>
              <w:right w:val="single" w:sz="4" w:space="0" w:color="auto"/>
            </w:tcBorders>
            <w:shd w:val="clear" w:color="auto" w:fill="auto"/>
            <w:noWrap/>
            <w:vAlign w:val="bottom"/>
            <w:hideMark/>
          </w:tcPr>
          <w:p w14:paraId="2B9FD6ED" w14:textId="32FC60D9" w:rsidR="00A05198" w:rsidRPr="00BF7E57" w:rsidRDefault="00A05198" w:rsidP="00E23678">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4,3</w:t>
            </w:r>
          </w:p>
        </w:tc>
      </w:tr>
      <w:tr w:rsidR="00A05198" w:rsidRPr="00BF7E57" w14:paraId="690EFAAB"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223A96C" w14:textId="77777777"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Potrebno število mest </w:t>
            </w:r>
            <w:r w:rsidRPr="00BF7E57">
              <w:rPr>
                <w:rFonts w:ascii="Arial" w:eastAsia="Times New Roman" w:hAnsi="Arial" w:cs="Arial"/>
                <w:color w:val="000000"/>
                <w:sz w:val="20"/>
                <w:szCs w:val="20"/>
                <w:lang w:eastAsia="sl-SI"/>
              </w:rPr>
              <w:br/>
              <w:t>(za 4,8 % ciljne skupine)</w:t>
            </w:r>
          </w:p>
        </w:tc>
        <w:tc>
          <w:tcPr>
            <w:tcW w:w="1559" w:type="dxa"/>
            <w:tcBorders>
              <w:top w:val="nil"/>
              <w:left w:val="nil"/>
              <w:bottom w:val="single" w:sz="4" w:space="0" w:color="auto"/>
              <w:right w:val="single" w:sz="4" w:space="0" w:color="auto"/>
            </w:tcBorders>
            <w:shd w:val="clear" w:color="auto" w:fill="auto"/>
            <w:noWrap/>
            <w:vAlign w:val="bottom"/>
            <w:hideMark/>
          </w:tcPr>
          <w:p w14:paraId="7D2755AE"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19.827</w:t>
            </w:r>
          </w:p>
        </w:tc>
      </w:tr>
      <w:tr w:rsidR="00A05198" w:rsidRPr="00BF7E57" w14:paraId="7696996F"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EB35D7D" w14:textId="77777777" w:rsidR="00A05198" w:rsidRPr="00BF7E57" w:rsidRDefault="00A05198" w:rsidP="009D1026">
            <w:pPr>
              <w:keepNext/>
              <w:keepLines/>
              <w:spacing w:before="60" w:after="0" w:line="312" w:lineRule="auto"/>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Razlika v številu mest</w:t>
            </w:r>
          </w:p>
        </w:tc>
        <w:tc>
          <w:tcPr>
            <w:tcW w:w="1559" w:type="dxa"/>
            <w:tcBorders>
              <w:top w:val="nil"/>
              <w:left w:val="nil"/>
              <w:bottom w:val="single" w:sz="4" w:space="0" w:color="auto"/>
              <w:right w:val="single" w:sz="4" w:space="0" w:color="auto"/>
            </w:tcBorders>
            <w:shd w:val="clear" w:color="auto" w:fill="auto"/>
            <w:noWrap/>
            <w:vAlign w:val="bottom"/>
            <w:hideMark/>
          </w:tcPr>
          <w:p w14:paraId="42168FC7" w14:textId="77777777" w:rsidR="00A05198" w:rsidRPr="00BF7E57" w:rsidRDefault="00A05198" w:rsidP="009D1026">
            <w:pPr>
              <w:keepNext/>
              <w:keepLines/>
              <w:spacing w:before="60" w:after="0" w:line="312"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-2.008</w:t>
            </w:r>
          </w:p>
        </w:tc>
      </w:tr>
    </w:tbl>
    <w:p w14:paraId="0A8936DB" w14:textId="77777777" w:rsidR="00A05198" w:rsidRPr="00BF7E57" w:rsidRDefault="00A05198" w:rsidP="00A05198">
      <w:pPr>
        <w:pStyle w:val="Navadensplet"/>
        <w:spacing w:line="360" w:lineRule="auto"/>
        <w:rPr>
          <w:rFonts w:ascii="Arial" w:hAnsi="Arial" w:cs="Arial"/>
          <w:iCs/>
          <w:sz w:val="18"/>
        </w:rPr>
      </w:pPr>
      <w:r w:rsidRPr="00BF7E57">
        <w:rPr>
          <w:rFonts w:ascii="Arial" w:hAnsi="Arial" w:cs="Arial"/>
          <w:iCs/>
          <w:sz w:val="18"/>
        </w:rPr>
        <w:t>Vir: Skupnost socialnih zavodov Slovenije</w:t>
      </w:r>
      <w:r w:rsidRPr="00BF7E57" w:rsidDel="00807F0A">
        <w:rPr>
          <w:rFonts w:ascii="Arial" w:hAnsi="Arial" w:cs="Arial"/>
          <w:iCs/>
          <w:sz w:val="18"/>
        </w:rPr>
        <w:t xml:space="preserve"> </w:t>
      </w:r>
    </w:p>
    <w:p w14:paraId="2CFC342B" w14:textId="55725233"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Trenutno v Sloveniji po podatkih ministrstva za delo, družino, socialne zadeve in enake možnosti primanjkuje približno 1100 mest. Druga težava na področju oskrbe starostnikov so visoki stroški oskrbe v domovih glede na višino pokojnin v Sloveniji. Najnižja oskrba med 12 naključno izbrani</w:t>
      </w:r>
      <w:r w:rsidR="00E952D2" w:rsidRPr="00BF7E57">
        <w:rPr>
          <w:rFonts w:ascii="Arial" w:hAnsi="Arial" w:cs="Arial"/>
        </w:rPr>
        <w:t>mi</w:t>
      </w:r>
      <w:r w:rsidRPr="00BF7E57">
        <w:rPr>
          <w:rFonts w:ascii="Arial" w:hAnsi="Arial" w:cs="Arial"/>
        </w:rPr>
        <w:t xml:space="preserve"> javni</w:t>
      </w:r>
      <w:r w:rsidR="00E952D2" w:rsidRPr="00BF7E57">
        <w:rPr>
          <w:rFonts w:ascii="Arial" w:hAnsi="Arial" w:cs="Arial"/>
        </w:rPr>
        <w:t>mi</w:t>
      </w:r>
      <w:r w:rsidRPr="00BF7E57">
        <w:rPr>
          <w:rFonts w:ascii="Arial" w:hAnsi="Arial" w:cs="Arial"/>
        </w:rPr>
        <w:t xml:space="preserve"> domovi je 568 </w:t>
      </w:r>
      <w:r w:rsidR="00FF2A8E" w:rsidRPr="00BF7E57">
        <w:rPr>
          <w:rFonts w:ascii="Arial" w:hAnsi="Arial" w:cs="Arial"/>
        </w:rPr>
        <w:t>EUR</w:t>
      </w:r>
      <w:r w:rsidRPr="00BF7E57">
        <w:rPr>
          <w:rFonts w:ascii="Arial" w:hAnsi="Arial" w:cs="Arial"/>
        </w:rPr>
        <w:t xml:space="preserve">, najvišja pa 1065 </w:t>
      </w:r>
      <w:r w:rsidR="00FF2A8E" w:rsidRPr="00BF7E57">
        <w:rPr>
          <w:rFonts w:ascii="Arial" w:hAnsi="Arial" w:cs="Arial"/>
        </w:rPr>
        <w:t>EUR</w:t>
      </w:r>
      <w:r w:rsidRPr="00BF7E57">
        <w:rPr>
          <w:rFonts w:ascii="Arial" w:hAnsi="Arial" w:cs="Arial"/>
        </w:rPr>
        <w:t xml:space="preserve"> (ZPIZ, 2020).</w:t>
      </w:r>
    </w:p>
    <w:p w14:paraId="1C3EAF7A"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 xml:space="preserve">Raziskave kažejo (Filipovič in Hlebec, 2006; Sendi in drugi, 2002 v Nagode 2011), da Slovenci želijo čim dlje in čim bolj neodvisno bivati v lastnem domu. Želje glede stanovanj so vezane predvsem na obstoječe stanovanje in sosesko. 7 % starih 50 let in več pa je izbralo kolektivno obliko bivanja. </w:t>
      </w:r>
    </w:p>
    <w:p w14:paraId="1532AD1C"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 xml:space="preserve">Oskrba in bivanje starejših pa vključuje tudi pomoč na domu, primer dnevni centri, stanovanjske skupine, oskrbovana stanovanja, varovanje na daljavo, dostava kosil in podobno. </w:t>
      </w:r>
    </w:p>
    <w:p w14:paraId="16701975"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lastRenderedPageBreak/>
        <w:t>Pomoč na domu je bila v okviru mreže javne službe na dan 31. 12. 2017 pravno-formalno zagotovljena v 210 od 212 občin. Le občini Jezersko in Kostel namreč nista podelili koncesije za izvajanje pomoči na domu oz. nista sklenili pogodbe z nobenim javnim zavodom. V treh občinah ni bilo nobenega uporabnika pomoči na domu. Skupaj je pomoč na domu v okviru mreže javne službe izvajalo 81 različnih izvajalcev. Na dan 31. 12. 2017 je bilo v Sloveniji 7.731 uporabnikov pomoči na domu. Število uporabnikov je v primerjavi z letom 2016 naraslo za 4,8 %. Pomoč na domu je v letu 2017 prejemalo 1,7 % oseb, starih 65 let ali več, ki zaradi starosti ali pojavov, ki spremljajo starost, niso sposobne za popolnoma samostojno življenje. Ob koncu leta 2017 je bilo v storitev vključenih tudi 939 oseb iz ciljne populacije odraslih invalidnih oseb, kronično bolnih in oseb z dolgotrajnimi okvarami zdravja (Izvajanje pomoči na domu, Analiza stanja v letu 2017, 2018). Višina stroškov za storitve dolgotrajne oskrbe na domu je že za osebe z zmerno oviranostjo zelo visoka in v povprečju presega dohodkovne zmožnosti upokojencev (Poročilo o razvoju 2020, 2020).</w:t>
      </w:r>
    </w:p>
    <w:p w14:paraId="7D1194B1" w14:textId="7E59F2FC"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Na podeželju </w:t>
      </w:r>
      <w:r w:rsidR="00C9225D" w:rsidRPr="00BF7E57">
        <w:rPr>
          <w:rFonts w:ascii="Arial" w:hAnsi="Arial" w:cs="Arial"/>
          <w:sz w:val="20"/>
          <w:szCs w:val="20"/>
        </w:rPr>
        <w:t xml:space="preserve">je </w:t>
      </w:r>
      <w:r w:rsidRPr="00BF7E57">
        <w:rPr>
          <w:rFonts w:ascii="Arial" w:hAnsi="Arial" w:cs="Arial"/>
          <w:sz w:val="20"/>
          <w:szCs w:val="20"/>
        </w:rPr>
        <w:t>že vzpostavljen</w:t>
      </w:r>
      <w:r w:rsidR="00C9225D" w:rsidRPr="00BF7E57">
        <w:rPr>
          <w:rFonts w:ascii="Arial" w:hAnsi="Arial" w:cs="Arial"/>
          <w:sz w:val="20"/>
          <w:szCs w:val="20"/>
        </w:rPr>
        <w:t>a</w:t>
      </w:r>
      <w:r w:rsidRPr="00BF7E57">
        <w:rPr>
          <w:rFonts w:ascii="Arial" w:hAnsi="Arial" w:cs="Arial"/>
          <w:sz w:val="20"/>
          <w:szCs w:val="20"/>
        </w:rPr>
        <w:t xml:space="preserve"> dokaj dobro prostorsko razporejen</w:t>
      </w:r>
      <w:r w:rsidR="00E952D2" w:rsidRPr="00BF7E57">
        <w:rPr>
          <w:rFonts w:ascii="Arial" w:hAnsi="Arial" w:cs="Arial"/>
          <w:sz w:val="20"/>
          <w:szCs w:val="20"/>
        </w:rPr>
        <w:t>a</w:t>
      </w:r>
      <w:r w:rsidRPr="00BF7E57">
        <w:rPr>
          <w:rFonts w:ascii="Arial" w:hAnsi="Arial" w:cs="Arial"/>
          <w:sz w:val="20"/>
          <w:szCs w:val="20"/>
        </w:rPr>
        <w:t xml:space="preserve"> mrež</w:t>
      </w:r>
      <w:r w:rsidR="00E952D2" w:rsidRPr="00BF7E57">
        <w:rPr>
          <w:rFonts w:ascii="Arial" w:hAnsi="Arial" w:cs="Arial"/>
          <w:sz w:val="20"/>
          <w:szCs w:val="20"/>
        </w:rPr>
        <w:t>a</w:t>
      </w:r>
      <w:r w:rsidRPr="00BF7E57">
        <w:rPr>
          <w:rFonts w:ascii="Arial" w:hAnsi="Arial" w:cs="Arial"/>
          <w:sz w:val="20"/>
          <w:szCs w:val="20"/>
        </w:rPr>
        <w:t xml:space="preserve"> institucij in dejavnosti ter deležnikov, ki s svojimi osebnimi viri in okoljem delujejo kot vmesnik, stičišče med starostniki in njihovim okoljem, kot prikazuje spodnja Slika</w:t>
      </w:r>
      <w:r w:rsidR="0036277E" w:rsidRPr="00BF7E57">
        <w:rPr>
          <w:rFonts w:ascii="Arial" w:hAnsi="Arial" w:cs="Arial"/>
          <w:sz w:val="20"/>
          <w:szCs w:val="20"/>
        </w:rPr>
        <w:t xml:space="preserve"> 21</w:t>
      </w:r>
      <w:r w:rsidRPr="00BF7E57">
        <w:rPr>
          <w:rFonts w:ascii="Arial" w:hAnsi="Arial" w:cs="Arial"/>
          <w:sz w:val="20"/>
          <w:szCs w:val="20"/>
        </w:rPr>
        <w:t>. S starostniki sodelujejo mreže osnovnih šol in vrtcev</w:t>
      </w:r>
      <w:r w:rsidR="00F657BE" w:rsidRPr="00BF7E57">
        <w:rPr>
          <w:rFonts w:ascii="Arial" w:hAnsi="Arial" w:cs="Arial"/>
          <w:sz w:val="20"/>
          <w:szCs w:val="20"/>
        </w:rPr>
        <w:t>,</w:t>
      </w:r>
      <w:r w:rsidRPr="00BF7E57">
        <w:rPr>
          <w:rFonts w:ascii="Arial" w:hAnsi="Arial" w:cs="Arial"/>
          <w:sz w:val="20"/>
          <w:szCs w:val="20"/>
        </w:rPr>
        <w:t xml:space="preserve"> predvsem na področju kulturnih in družbenih ter izobraževalnih aktivnosti; mreža župnij z materialno in duhovno pomočjo; domovi starejših občanov na več kot 110 lokacijah po Sloveniji in</w:t>
      </w:r>
      <w:r w:rsidR="00F657BE" w:rsidRPr="00BF7E57">
        <w:rPr>
          <w:rFonts w:ascii="Arial" w:hAnsi="Arial" w:cs="Arial"/>
          <w:sz w:val="20"/>
          <w:szCs w:val="20"/>
        </w:rPr>
        <w:t xml:space="preserve"> kateri</w:t>
      </w:r>
      <w:r w:rsidRPr="00BF7E57">
        <w:rPr>
          <w:rFonts w:ascii="Arial" w:hAnsi="Arial" w:cs="Arial"/>
          <w:sz w:val="20"/>
          <w:szCs w:val="20"/>
        </w:rPr>
        <w:t xml:space="preserve"> so odprti za sodelovanje s šolami, župnijami in društvi; večgeneracijski centri in občinski medgeneracijski centri, pri vzpostavitvi katerih sodelujejo številna prostovoljna društva, partnerstva, Slovenska univerza za tretje življenjsko obdobje</w:t>
      </w:r>
      <w:r w:rsidR="00F657BE" w:rsidRPr="00BF7E57">
        <w:rPr>
          <w:rFonts w:ascii="Arial" w:hAnsi="Arial" w:cs="Arial"/>
          <w:sz w:val="20"/>
          <w:szCs w:val="20"/>
        </w:rPr>
        <w:t xml:space="preserve"> idr</w:t>
      </w:r>
      <w:r w:rsidRPr="00BF7E57">
        <w:rPr>
          <w:rFonts w:ascii="Arial" w:hAnsi="Arial" w:cs="Arial"/>
          <w:sz w:val="20"/>
          <w:szCs w:val="20"/>
        </w:rPr>
        <w:t>.</w:t>
      </w:r>
    </w:p>
    <w:p w14:paraId="02563D2B" w14:textId="646CF475" w:rsidR="003E038D" w:rsidRPr="00BF7E57" w:rsidRDefault="003E038D" w:rsidP="00F77BD0">
      <w:pPr>
        <w:pStyle w:val="Napis"/>
      </w:pPr>
      <w:bookmarkStart w:id="123" w:name="_Toc86826414"/>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24</w:t>
      </w:r>
      <w:r w:rsidR="00A30B83" w:rsidRPr="00BF7E57">
        <w:rPr>
          <w:noProof/>
        </w:rPr>
        <w:fldChar w:fldCharType="end"/>
      </w:r>
      <w:r w:rsidRPr="00BF7E57">
        <w:t>: Ustanove, ki z delovanjem in mreženjem ustvarjajo vmesnik, stičišče med starostniki in njihovim okoljem na podeželju</w:t>
      </w:r>
      <w:bookmarkEnd w:id="123"/>
    </w:p>
    <w:p w14:paraId="6F430AAD" w14:textId="4781D2AC" w:rsidR="009E0216" w:rsidRPr="00BF7E57" w:rsidRDefault="009E0216" w:rsidP="00F77BD0">
      <w:pPr>
        <w:pStyle w:val="Napis"/>
      </w:pPr>
    </w:p>
    <w:p w14:paraId="79FD8AC7" w14:textId="34CD2AA9" w:rsidR="009E0216" w:rsidRPr="00BF7E57" w:rsidRDefault="00E7648B" w:rsidP="00E7648B">
      <w:pPr>
        <w:pStyle w:val="Napis"/>
        <w:spacing w:before="0" w:line="240" w:lineRule="auto"/>
        <w:jc w:val="both"/>
        <w:rPr>
          <w:sz w:val="20"/>
          <w:szCs w:val="20"/>
        </w:rPr>
      </w:pPr>
      <w:r w:rsidRPr="00BF7E57">
        <w:rPr>
          <w:noProof/>
          <w:sz w:val="20"/>
          <w:szCs w:val="20"/>
          <w:lang w:eastAsia="sl-SI"/>
        </w:rPr>
        <w:drawing>
          <wp:inline distT="0" distB="0" distL="0" distR="0" wp14:anchorId="3DEA5BAD" wp14:editId="66D8040D">
            <wp:extent cx="5805577" cy="4043810"/>
            <wp:effectExtent l="19050" t="19050" r="24130" b="139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08895" cy="4046121"/>
                    </a:xfrm>
                    <a:prstGeom prst="rect">
                      <a:avLst/>
                    </a:prstGeom>
                    <a:ln w="6350">
                      <a:solidFill>
                        <a:schemeClr val="tx1">
                          <a:lumMod val="65000"/>
                          <a:lumOff val="35000"/>
                        </a:schemeClr>
                      </a:solidFill>
                    </a:ln>
                  </pic:spPr>
                </pic:pic>
              </a:graphicData>
            </a:graphic>
          </wp:inline>
        </w:drawing>
      </w:r>
    </w:p>
    <w:p w14:paraId="0EC1DEEB" w14:textId="77777777" w:rsidR="009E0216" w:rsidRPr="00BF7E57" w:rsidRDefault="00026AF3" w:rsidP="00E7648B">
      <w:pPr>
        <w:pStyle w:val="Napis"/>
        <w:spacing w:before="0" w:after="200" w:line="360" w:lineRule="auto"/>
        <w:jc w:val="both"/>
      </w:pPr>
      <w:bookmarkStart w:id="124" w:name="_Toc47082383"/>
      <w:bookmarkStart w:id="125" w:name="_Toc47092624"/>
      <w:r w:rsidRPr="00BF7E57">
        <w:t xml:space="preserve">Vir: </w:t>
      </w:r>
      <w:r w:rsidR="009E0216" w:rsidRPr="00BF7E57">
        <w:t>Potočnik Slavič, 2019</w:t>
      </w:r>
      <w:bookmarkEnd w:id="124"/>
      <w:bookmarkEnd w:id="125"/>
    </w:p>
    <w:p w14:paraId="3E91A321" w14:textId="77777777" w:rsidR="00910940" w:rsidRPr="00BF7E57" w:rsidRDefault="00910940" w:rsidP="00EA2E4C">
      <w:pPr>
        <w:pStyle w:val="Navadensplet"/>
        <w:spacing w:line="360" w:lineRule="auto"/>
        <w:rPr>
          <w:rFonts w:ascii="Arial" w:hAnsi="Arial" w:cs="Arial"/>
        </w:rPr>
      </w:pPr>
    </w:p>
    <w:p w14:paraId="742C06F2" w14:textId="77777777" w:rsidR="009E0216" w:rsidRPr="00BF7E57" w:rsidRDefault="009E0216" w:rsidP="00A05198">
      <w:pPr>
        <w:pStyle w:val="tevilnatoka11Nova"/>
        <w:numPr>
          <w:ilvl w:val="1"/>
          <w:numId w:val="35"/>
        </w:numPr>
        <w:tabs>
          <w:tab w:val="clear" w:pos="4297"/>
        </w:tabs>
        <w:spacing w:before="200" w:after="200" w:line="360" w:lineRule="auto"/>
        <w:outlineLvl w:val="1"/>
        <w:rPr>
          <w:b/>
          <w:sz w:val="24"/>
          <w:szCs w:val="24"/>
        </w:rPr>
      </w:pPr>
      <w:bookmarkStart w:id="126" w:name="_Toc86826374"/>
      <w:r w:rsidRPr="00BF7E57">
        <w:rPr>
          <w:b/>
          <w:sz w:val="24"/>
          <w:szCs w:val="24"/>
        </w:rPr>
        <w:t>KULTURNA DEDIŠČINA</w:t>
      </w:r>
      <w:bookmarkEnd w:id="126"/>
    </w:p>
    <w:p w14:paraId="7BC60963" w14:textId="0A6E90D0"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Slovenija ima bogato in raznoliko kulturno dediščino ter dolgo tradicijo njenega organiziranega varstva. Kulturn</w:t>
      </w:r>
      <w:r w:rsidR="0038298F" w:rsidRPr="00BF7E57">
        <w:rPr>
          <w:rFonts w:ascii="Arial" w:hAnsi="Arial" w:cs="Arial"/>
          <w:sz w:val="20"/>
          <w:szCs w:val="20"/>
        </w:rPr>
        <w:t>a</w:t>
      </w:r>
      <w:r w:rsidRPr="00BF7E57">
        <w:rPr>
          <w:rFonts w:ascii="Arial" w:hAnsi="Arial" w:cs="Arial"/>
          <w:sz w:val="20"/>
          <w:szCs w:val="20"/>
        </w:rPr>
        <w:t xml:space="preserve"> dediščin</w:t>
      </w:r>
      <w:r w:rsidR="0038298F" w:rsidRPr="00BF7E57">
        <w:rPr>
          <w:rFonts w:ascii="Arial" w:hAnsi="Arial" w:cs="Arial"/>
          <w:sz w:val="20"/>
          <w:szCs w:val="20"/>
        </w:rPr>
        <w:t>a</w:t>
      </w:r>
      <w:r w:rsidRPr="00BF7E57">
        <w:rPr>
          <w:rFonts w:ascii="Arial" w:hAnsi="Arial" w:cs="Arial"/>
          <w:sz w:val="20"/>
          <w:szCs w:val="20"/>
        </w:rPr>
        <w:t xml:space="preserve">  je pomembna za gospodarski, družbeni in lokalni razvoj območja. Dediščina je temelj kulturne pestrosti Slovenije, ki se prepleta z izjemno krajinsko in biotsko raznovrstnostjo, privlačnostjo države za življenje državljanov, za izobraževanje, za razvoj, za umetniško ustvarjanje, za turizem in druge gospodarske dejavnosti.</w:t>
      </w:r>
    </w:p>
    <w:p w14:paraId="776304C3" w14:textId="77777777" w:rsidR="009E0216" w:rsidRPr="00BF7E57" w:rsidRDefault="009E0216" w:rsidP="00BE756C">
      <w:pPr>
        <w:spacing w:before="200" w:line="360" w:lineRule="auto"/>
        <w:jc w:val="both"/>
        <w:rPr>
          <w:rFonts w:ascii="Arial" w:eastAsia="Arial" w:hAnsi="Arial" w:cs="Arial"/>
          <w:color w:val="000000" w:themeColor="text1"/>
          <w:sz w:val="20"/>
          <w:szCs w:val="20"/>
        </w:rPr>
      </w:pPr>
      <w:r w:rsidRPr="00BF7E57">
        <w:rPr>
          <w:rFonts w:ascii="Arial" w:eastAsia="Arial" w:hAnsi="Arial" w:cs="Arial"/>
          <w:color w:val="000000" w:themeColor="text1"/>
          <w:sz w:val="20"/>
          <w:szCs w:val="20"/>
        </w:rPr>
        <w:t xml:space="preserve">V register nepremične kulturne dediščine, ki je </w:t>
      </w:r>
      <w:r w:rsidRPr="00BF7E57">
        <w:rPr>
          <w:rFonts w:ascii="Arial" w:hAnsi="Arial" w:cs="Arial"/>
          <w:sz w:val="20"/>
          <w:szCs w:val="20"/>
        </w:rPr>
        <w:t>osrednja zbirka podatkov o dediščini v Sloveniji, ki jo vodi Ministrstvo za kulturo,</w:t>
      </w:r>
      <w:r w:rsidRPr="00BF7E57">
        <w:rPr>
          <w:rFonts w:ascii="Arial" w:eastAsia="Arial" w:hAnsi="Arial" w:cs="Arial"/>
          <w:color w:val="000000" w:themeColor="text1"/>
          <w:sz w:val="20"/>
          <w:szCs w:val="20"/>
        </w:rPr>
        <w:t xml:space="preserve"> je trenutno vpisanih (na dan 2. 9. 2020) 30.685 enot dediščine, od tega je na podeželju 23.867 oziroma 78 % vseh enot kulturne dediščine. Poleg te dediščine je v registru evidentiranih še 1337 enot, ki so izgubile dediščinske lastnosti in so bile iz registra izbrisane oziroma se jih varuje le še arhivsko/dokumentarno. </w:t>
      </w:r>
    </w:p>
    <w:p w14:paraId="2CBA98F6" w14:textId="758C0C3E" w:rsidR="009E0216" w:rsidRPr="00BF7E57" w:rsidRDefault="009E0216" w:rsidP="00F77BD0">
      <w:pPr>
        <w:pStyle w:val="Napis"/>
      </w:pPr>
      <w:r w:rsidRPr="00BF7E57">
        <w:lastRenderedPageBreak/>
        <w:t xml:space="preserve"> </w:t>
      </w:r>
      <w:bookmarkStart w:id="127" w:name="_Toc86826459"/>
      <w:r w:rsidR="00FB38E7"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21</w:t>
      </w:r>
      <w:r w:rsidR="00A30B83" w:rsidRPr="00BF7E57">
        <w:rPr>
          <w:noProof/>
        </w:rPr>
        <w:fldChar w:fldCharType="end"/>
      </w:r>
      <w:r w:rsidR="00FB38E7" w:rsidRPr="00BF7E57">
        <w:t>: Vpisane enote dediščine, v Sloveniji in na podeželju po letih</w:t>
      </w:r>
      <w:bookmarkEnd w:id="127"/>
    </w:p>
    <w:tbl>
      <w:tblPr>
        <w:tblW w:w="8857" w:type="dxa"/>
        <w:tblInd w:w="55" w:type="dxa"/>
        <w:tblCellMar>
          <w:left w:w="70" w:type="dxa"/>
          <w:right w:w="70" w:type="dxa"/>
        </w:tblCellMar>
        <w:tblLook w:val="04A0" w:firstRow="1" w:lastRow="0" w:firstColumn="1" w:lastColumn="0" w:noHBand="0" w:noVBand="1"/>
      </w:tblPr>
      <w:tblGrid>
        <w:gridCol w:w="1538"/>
        <w:gridCol w:w="1521"/>
        <w:gridCol w:w="2126"/>
        <w:gridCol w:w="1559"/>
        <w:gridCol w:w="2113"/>
      </w:tblGrid>
      <w:tr w:rsidR="009E0216" w:rsidRPr="00BF7E57" w14:paraId="0225DAFF" w14:textId="77777777" w:rsidTr="00094E57">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D8AF368" w14:textId="77777777" w:rsidR="009E0216" w:rsidRPr="00BF7E57" w:rsidRDefault="009E0216" w:rsidP="00867E94">
            <w:pPr>
              <w:keepNext/>
              <w:keepLines/>
              <w:spacing w:before="60"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 </w:t>
            </w:r>
          </w:p>
        </w:tc>
        <w:tc>
          <w:tcPr>
            <w:tcW w:w="3647" w:type="dxa"/>
            <w:gridSpan w:val="2"/>
            <w:tcBorders>
              <w:top w:val="single" w:sz="4" w:space="0" w:color="auto"/>
              <w:left w:val="nil"/>
              <w:bottom w:val="single" w:sz="4" w:space="0" w:color="auto"/>
              <w:right w:val="single" w:sz="4" w:space="0" w:color="000000"/>
            </w:tcBorders>
            <w:shd w:val="clear" w:color="auto" w:fill="92D050"/>
            <w:noWrap/>
            <w:vAlign w:val="bottom"/>
            <w:hideMark/>
          </w:tcPr>
          <w:p w14:paraId="26A88EAF" w14:textId="77777777" w:rsidR="009E0216" w:rsidRPr="00BF7E57" w:rsidRDefault="009E0216" w:rsidP="00867E94">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vsa dediščina</w:t>
            </w:r>
          </w:p>
        </w:tc>
        <w:tc>
          <w:tcPr>
            <w:tcW w:w="3672" w:type="dxa"/>
            <w:gridSpan w:val="2"/>
            <w:tcBorders>
              <w:top w:val="single" w:sz="4" w:space="0" w:color="auto"/>
              <w:left w:val="nil"/>
              <w:bottom w:val="single" w:sz="4" w:space="0" w:color="auto"/>
              <w:right w:val="single" w:sz="4" w:space="0" w:color="000000"/>
            </w:tcBorders>
            <w:shd w:val="clear" w:color="auto" w:fill="92D050"/>
            <w:noWrap/>
            <w:vAlign w:val="bottom"/>
            <w:hideMark/>
          </w:tcPr>
          <w:p w14:paraId="2B76A85E" w14:textId="77777777" w:rsidR="009E0216" w:rsidRPr="00BF7E57" w:rsidRDefault="009E0216" w:rsidP="00867E94">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etnološka dediščina</w:t>
            </w:r>
          </w:p>
        </w:tc>
      </w:tr>
      <w:tr w:rsidR="009E0216" w:rsidRPr="00BF7E57" w14:paraId="2CA5404A" w14:textId="77777777" w:rsidTr="00F25C63">
        <w:trPr>
          <w:trHeight w:val="335"/>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014F08A3" w14:textId="77777777" w:rsidR="009E0216" w:rsidRPr="00BF7E57" w:rsidRDefault="009E0216"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leto</w:t>
            </w:r>
          </w:p>
        </w:tc>
        <w:tc>
          <w:tcPr>
            <w:tcW w:w="1521" w:type="dxa"/>
            <w:tcBorders>
              <w:top w:val="nil"/>
              <w:left w:val="nil"/>
              <w:bottom w:val="single" w:sz="4" w:space="0" w:color="auto"/>
              <w:right w:val="single" w:sz="4" w:space="0" w:color="auto"/>
            </w:tcBorders>
            <w:shd w:val="clear" w:color="auto" w:fill="auto"/>
            <w:vAlign w:val="bottom"/>
            <w:hideMark/>
          </w:tcPr>
          <w:p w14:paraId="500AF7D5" w14:textId="33848D78" w:rsidR="009E0216" w:rsidRPr="00BF7E57" w:rsidRDefault="00F25C63"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 xml:space="preserve">vpisane </w:t>
            </w:r>
            <w:r w:rsidR="009E0216" w:rsidRPr="00BF7E57">
              <w:rPr>
                <w:rFonts w:ascii="Arial" w:hAnsi="Arial" w:cs="Arial"/>
                <w:color w:val="000000"/>
                <w:sz w:val="20"/>
                <w:szCs w:val="20"/>
                <w:lang w:eastAsia="sl-SI"/>
              </w:rPr>
              <w:t>enote</w:t>
            </w:r>
          </w:p>
        </w:tc>
        <w:tc>
          <w:tcPr>
            <w:tcW w:w="2126" w:type="dxa"/>
            <w:tcBorders>
              <w:top w:val="nil"/>
              <w:left w:val="nil"/>
              <w:bottom w:val="single" w:sz="4" w:space="0" w:color="auto"/>
              <w:right w:val="single" w:sz="4" w:space="0" w:color="auto"/>
            </w:tcBorders>
            <w:shd w:val="clear" w:color="auto" w:fill="auto"/>
            <w:vAlign w:val="bottom"/>
            <w:hideMark/>
          </w:tcPr>
          <w:p w14:paraId="4FD29411" w14:textId="77777777" w:rsidR="009E0216" w:rsidRPr="00BF7E57" w:rsidRDefault="009E0216"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arhivsko varstvo/izbris</w:t>
            </w:r>
          </w:p>
        </w:tc>
        <w:tc>
          <w:tcPr>
            <w:tcW w:w="1559" w:type="dxa"/>
            <w:tcBorders>
              <w:top w:val="nil"/>
              <w:left w:val="nil"/>
              <w:bottom w:val="single" w:sz="4" w:space="0" w:color="auto"/>
              <w:right w:val="single" w:sz="4" w:space="0" w:color="auto"/>
            </w:tcBorders>
            <w:shd w:val="clear" w:color="auto" w:fill="auto"/>
            <w:vAlign w:val="bottom"/>
            <w:hideMark/>
          </w:tcPr>
          <w:p w14:paraId="5C873A46" w14:textId="0D54A0F7" w:rsidR="009E0216" w:rsidRPr="00BF7E57" w:rsidRDefault="00F25C63"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 xml:space="preserve">vpisane </w:t>
            </w:r>
            <w:r w:rsidR="009E0216" w:rsidRPr="00BF7E57">
              <w:rPr>
                <w:rFonts w:ascii="Arial" w:hAnsi="Arial" w:cs="Arial"/>
                <w:color w:val="000000"/>
                <w:sz w:val="20"/>
                <w:szCs w:val="20"/>
                <w:lang w:eastAsia="sl-SI"/>
              </w:rPr>
              <w:t>enote</w:t>
            </w:r>
          </w:p>
        </w:tc>
        <w:tc>
          <w:tcPr>
            <w:tcW w:w="2113" w:type="dxa"/>
            <w:tcBorders>
              <w:top w:val="nil"/>
              <w:left w:val="nil"/>
              <w:bottom w:val="single" w:sz="4" w:space="0" w:color="auto"/>
              <w:right w:val="single" w:sz="4" w:space="0" w:color="auto"/>
            </w:tcBorders>
            <w:shd w:val="clear" w:color="auto" w:fill="auto"/>
            <w:vAlign w:val="bottom"/>
            <w:hideMark/>
          </w:tcPr>
          <w:p w14:paraId="4AD37110" w14:textId="77777777" w:rsidR="009E0216" w:rsidRPr="00BF7E57" w:rsidRDefault="009E0216"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arhivsko varstvo/izbris</w:t>
            </w:r>
          </w:p>
        </w:tc>
      </w:tr>
      <w:tr w:rsidR="009E0216" w:rsidRPr="00BF7E57" w14:paraId="68A25B11"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5AA029AD" w14:textId="61F12864" w:rsidR="009E0216" w:rsidRPr="00BF7E57" w:rsidRDefault="009E0216" w:rsidP="00867E94">
            <w:pPr>
              <w:keepNext/>
              <w:keepLines/>
              <w:spacing w:before="60"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Slovenija</w:t>
            </w:r>
            <w:r w:rsidR="00867E94" w:rsidRPr="00BF7E57">
              <w:rPr>
                <w:rFonts w:ascii="Arial" w:hAnsi="Arial" w:cs="Arial"/>
                <w:b/>
                <w:bCs/>
                <w:color w:val="000000"/>
                <w:sz w:val="20"/>
                <w:szCs w:val="20"/>
                <w:lang w:eastAsia="sl-SI"/>
              </w:rPr>
              <w:t xml:space="preserve"> </w:t>
            </w:r>
            <w:r w:rsidRPr="00BF7E57">
              <w:rPr>
                <w:rFonts w:ascii="Arial" w:hAnsi="Arial" w:cs="Arial"/>
                <w:b/>
                <w:bCs/>
                <w:color w:val="000000"/>
                <w:sz w:val="20"/>
                <w:szCs w:val="20"/>
                <w:lang w:eastAsia="sl-SI"/>
              </w:rPr>
              <w:t>/</w:t>
            </w:r>
            <w:r w:rsidR="00867E94" w:rsidRPr="00BF7E57">
              <w:rPr>
                <w:rFonts w:ascii="Arial" w:hAnsi="Arial" w:cs="Arial"/>
                <w:b/>
                <w:bCs/>
                <w:color w:val="000000"/>
                <w:sz w:val="20"/>
                <w:szCs w:val="20"/>
                <w:lang w:eastAsia="sl-SI"/>
              </w:rPr>
              <w:t xml:space="preserve"> v</w:t>
            </w:r>
            <w:r w:rsidRPr="00BF7E57">
              <w:rPr>
                <w:rFonts w:ascii="Arial" w:hAnsi="Arial" w:cs="Arial"/>
                <w:b/>
                <w:bCs/>
                <w:color w:val="000000"/>
                <w:sz w:val="20"/>
                <w:szCs w:val="20"/>
                <w:lang w:eastAsia="sl-SI"/>
              </w:rPr>
              <w:t>si</w:t>
            </w:r>
          </w:p>
        </w:tc>
        <w:tc>
          <w:tcPr>
            <w:tcW w:w="1521" w:type="dxa"/>
            <w:tcBorders>
              <w:top w:val="nil"/>
              <w:left w:val="nil"/>
              <w:bottom w:val="single" w:sz="4" w:space="0" w:color="auto"/>
              <w:right w:val="single" w:sz="4" w:space="0" w:color="auto"/>
            </w:tcBorders>
            <w:shd w:val="clear" w:color="auto" w:fill="auto"/>
            <w:noWrap/>
            <w:vAlign w:val="bottom"/>
            <w:hideMark/>
          </w:tcPr>
          <w:p w14:paraId="4D6BC709" w14:textId="671466DE" w:rsidR="009E0216" w:rsidRPr="00BF7E57" w:rsidRDefault="009E0216" w:rsidP="00867E94">
            <w:pPr>
              <w:keepNext/>
              <w:keepLines/>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30</w:t>
            </w:r>
            <w:r w:rsidR="00867E94" w:rsidRPr="00BF7E57">
              <w:rPr>
                <w:rFonts w:ascii="Arial" w:hAnsi="Arial" w:cs="Arial"/>
                <w:b/>
                <w:bCs/>
                <w:color w:val="000000"/>
                <w:sz w:val="20"/>
                <w:szCs w:val="20"/>
                <w:lang w:eastAsia="sl-SI"/>
              </w:rPr>
              <w:t>.</w:t>
            </w:r>
            <w:r w:rsidRPr="00BF7E57">
              <w:rPr>
                <w:rFonts w:ascii="Arial" w:hAnsi="Arial" w:cs="Arial"/>
                <w:b/>
                <w:bCs/>
                <w:color w:val="000000"/>
                <w:sz w:val="20"/>
                <w:szCs w:val="20"/>
                <w:lang w:eastAsia="sl-SI"/>
              </w:rPr>
              <w:t>685</w:t>
            </w:r>
          </w:p>
        </w:tc>
        <w:tc>
          <w:tcPr>
            <w:tcW w:w="2126" w:type="dxa"/>
            <w:tcBorders>
              <w:top w:val="nil"/>
              <w:left w:val="nil"/>
              <w:bottom w:val="single" w:sz="4" w:space="0" w:color="auto"/>
              <w:right w:val="single" w:sz="4" w:space="0" w:color="auto"/>
            </w:tcBorders>
            <w:shd w:val="clear" w:color="auto" w:fill="auto"/>
            <w:noWrap/>
            <w:vAlign w:val="bottom"/>
            <w:hideMark/>
          </w:tcPr>
          <w:p w14:paraId="3ABF8168" w14:textId="0A24041C" w:rsidR="009E0216" w:rsidRPr="00BF7E57" w:rsidRDefault="009E0216" w:rsidP="00867E94">
            <w:pPr>
              <w:keepNext/>
              <w:keepLines/>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1</w:t>
            </w:r>
            <w:r w:rsidR="00867E94" w:rsidRPr="00BF7E57">
              <w:rPr>
                <w:rFonts w:ascii="Arial" w:hAnsi="Arial" w:cs="Arial"/>
                <w:b/>
                <w:bCs/>
                <w:color w:val="000000"/>
                <w:sz w:val="20"/>
                <w:szCs w:val="20"/>
                <w:lang w:eastAsia="sl-SI"/>
              </w:rPr>
              <w:t>.</w:t>
            </w:r>
            <w:r w:rsidRPr="00BF7E57">
              <w:rPr>
                <w:rFonts w:ascii="Arial" w:hAnsi="Arial" w:cs="Arial"/>
                <w:b/>
                <w:bCs/>
                <w:color w:val="000000"/>
                <w:sz w:val="20"/>
                <w:szCs w:val="20"/>
                <w:lang w:eastAsia="sl-SI"/>
              </w:rPr>
              <w:t>337</w:t>
            </w:r>
          </w:p>
        </w:tc>
        <w:tc>
          <w:tcPr>
            <w:tcW w:w="1559" w:type="dxa"/>
            <w:tcBorders>
              <w:top w:val="nil"/>
              <w:left w:val="nil"/>
              <w:bottom w:val="single" w:sz="4" w:space="0" w:color="auto"/>
              <w:right w:val="single" w:sz="4" w:space="0" w:color="auto"/>
            </w:tcBorders>
            <w:shd w:val="clear" w:color="auto" w:fill="auto"/>
            <w:noWrap/>
            <w:vAlign w:val="bottom"/>
            <w:hideMark/>
          </w:tcPr>
          <w:p w14:paraId="5FD44427" w14:textId="546AF377" w:rsidR="009E0216" w:rsidRPr="00BF7E57" w:rsidRDefault="009E0216" w:rsidP="00867E94">
            <w:pPr>
              <w:keepNext/>
              <w:keepLines/>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15</w:t>
            </w:r>
            <w:r w:rsidR="00867E94" w:rsidRPr="00BF7E57">
              <w:rPr>
                <w:rFonts w:ascii="Arial" w:hAnsi="Arial" w:cs="Arial"/>
                <w:b/>
                <w:bCs/>
                <w:color w:val="000000"/>
                <w:sz w:val="20"/>
                <w:szCs w:val="20"/>
                <w:lang w:eastAsia="sl-SI"/>
              </w:rPr>
              <w:t>.</w:t>
            </w:r>
            <w:r w:rsidRPr="00BF7E57">
              <w:rPr>
                <w:rFonts w:ascii="Arial" w:hAnsi="Arial" w:cs="Arial"/>
                <w:b/>
                <w:bCs/>
                <w:color w:val="000000"/>
                <w:sz w:val="20"/>
                <w:szCs w:val="20"/>
                <w:lang w:eastAsia="sl-SI"/>
              </w:rPr>
              <w:t>056</w:t>
            </w:r>
          </w:p>
        </w:tc>
        <w:tc>
          <w:tcPr>
            <w:tcW w:w="2113" w:type="dxa"/>
            <w:tcBorders>
              <w:top w:val="nil"/>
              <w:left w:val="nil"/>
              <w:bottom w:val="single" w:sz="4" w:space="0" w:color="auto"/>
              <w:right w:val="single" w:sz="4" w:space="0" w:color="auto"/>
            </w:tcBorders>
            <w:shd w:val="clear" w:color="auto" w:fill="auto"/>
            <w:noWrap/>
            <w:vAlign w:val="bottom"/>
            <w:hideMark/>
          </w:tcPr>
          <w:p w14:paraId="6D47700C" w14:textId="7C4E1B43" w:rsidR="009E0216" w:rsidRPr="00BF7E57" w:rsidRDefault="009E0216" w:rsidP="00867E94">
            <w:pPr>
              <w:keepNext/>
              <w:keepLines/>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1</w:t>
            </w:r>
            <w:r w:rsidR="00867E94" w:rsidRPr="00BF7E57">
              <w:rPr>
                <w:rFonts w:ascii="Arial" w:hAnsi="Arial" w:cs="Arial"/>
                <w:b/>
                <w:bCs/>
                <w:color w:val="000000"/>
                <w:sz w:val="20"/>
                <w:szCs w:val="20"/>
                <w:lang w:eastAsia="sl-SI"/>
              </w:rPr>
              <w:t>.</w:t>
            </w:r>
            <w:r w:rsidRPr="00BF7E57">
              <w:rPr>
                <w:rFonts w:ascii="Arial" w:hAnsi="Arial" w:cs="Arial"/>
                <w:b/>
                <w:bCs/>
                <w:color w:val="000000"/>
                <w:sz w:val="20"/>
                <w:szCs w:val="20"/>
                <w:lang w:eastAsia="sl-SI"/>
              </w:rPr>
              <w:t>078</w:t>
            </w:r>
          </w:p>
        </w:tc>
      </w:tr>
      <w:tr w:rsidR="009E0216" w:rsidRPr="00BF7E57" w14:paraId="767AAD43"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378C8BCB"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2008</w:t>
            </w:r>
          </w:p>
        </w:tc>
        <w:tc>
          <w:tcPr>
            <w:tcW w:w="1521" w:type="dxa"/>
            <w:tcBorders>
              <w:top w:val="nil"/>
              <w:left w:val="nil"/>
              <w:bottom w:val="single" w:sz="4" w:space="0" w:color="auto"/>
              <w:right w:val="single" w:sz="4" w:space="0" w:color="auto"/>
            </w:tcBorders>
            <w:shd w:val="clear" w:color="auto" w:fill="auto"/>
            <w:noWrap/>
            <w:vAlign w:val="bottom"/>
            <w:hideMark/>
          </w:tcPr>
          <w:p w14:paraId="25DBC4D0"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728</w:t>
            </w:r>
          </w:p>
        </w:tc>
        <w:tc>
          <w:tcPr>
            <w:tcW w:w="2126" w:type="dxa"/>
            <w:tcBorders>
              <w:top w:val="nil"/>
              <w:left w:val="nil"/>
              <w:bottom w:val="single" w:sz="4" w:space="0" w:color="auto"/>
              <w:right w:val="single" w:sz="4" w:space="0" w:color="auto"/>
            </w:tcBorders>
            <w:shd w:val="clear" w:color="auto" w:fill="auto"/>
            <w:noWrap/>
            <w:vAlign w:val="bottom"/>
            <w:hideMark/>
          </w:tcPr>
          <w:p w14:paraId="7B1A1FC6"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52</w:t>
            </w:r>
          </w:p>
        </w:tc>
        <w:tc>
          <w:tcPr>
            <w:tcW w:w="1559" w:type="dxa"/>
            <w:tcBorders>
              <w:top w:val="nil"/>
              <w:left w:val="nil"/>
              <w:bottom w:val="single" w:sz="4" w:space="0" w:color="auto"/>
              <w:right w:val="single" w:sz="4" w:space="0" w:color="auto"/>
            </w:tcBorders>
            <w:shd w:val="clear" w:color="auto" w:fill="auto"/>
            <w:noWrap/>
            <w:vAlign w:val="bottom"/>
            <w:hideMark/>
          </w:tcPr>
          <w:p w14:paraId="3441E252"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412</w:t>
            </w:r>
          </w:p>
        </w:tc>
        <w:tc>
          <w:tcPr>
            <w:tcW w:w="2113" w:type="dxa"/>
            <w:tcBorders>
              <w:top w:val="nil"/>
              <w:left w:val="nil"/>
              <w:bottom w:val="single" w:sz="4" w:space="0" w:color="auto"/>
              <w:right w:val="single" w:sz="4" w:space="0" w:color="auto"/>
            </w:tcBorders>
            <w:shd w:val="clear" w:color="auto" w:fill="auto"/>
            <w:noWrap/>
            <w:vAlign w:val="bottom"/>
            <w:hideMark/>
          </w:tcPr>
          <w:p w14:paraId="5E943323"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38</w:t>
            </w:r>
          </w:p>
        </w:tc>
      </w:tr>
      <w:tr w:rsidR="009E0216" w:rsidRPr="00BF7E57" w14:paraId="6EAF109E"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5B55E497"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2010</w:t>
            </w:r>
          </w:p>
        </w:tc>
        <w:tc>
          <w:tcPr>
            <w:tcW w:w="1521" w:type="dxa"/>
            <w:tcBorders>
              <w:top w:val="nil"/>
              <w:left w:val="nil"/>
              <w:bottom w:val="single" w:sz="4" w:space="0" w:color="auto"/>
              <w:right w:val="single" w:sz="4" w:space="0" w:color="auto"/>
            </w:tcBorders>
            <w:shd w:val="clear" w:color="auto" w:fill="auto"/>
            <w:noWrap/>
            <w:vAlign w:val="bottom"/>
            <w:hideMark/>
          </w:tcPr>
          <w:p w14:paraId="092F5B70"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956</w:t>
            </w:r>
          </w:p>
        </w:tc>
        <w:tc>
          <w:tcPr>
            <w:tcW w:w="2126" w:type="dxa"/>
            <w:tcBorders>
              <w:top w:val="nil"/>
              <w:left w:val="nil"/>
              <w:bottom w:val="single" w:sz="4" w:space="0" w:color="auto"/>
              <w:right w:val="single" w:sz="4" w:space="0" w:color="auto"/>
            </w:tcBorders>
            <w:shd w:val="clear" w:color="auto" w:fill="auto"/>
            <w:noWrap/>
            <w:vAlign w:val="bottom"/>
            <w:hideMark/>
          </w:tcPr>
          <w:p w14:paraId="78D37E59"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57</w:t>
            </w:r>
          </w:p>
        </w:tc>
        <w:tc>
          <w:tcPr>
            <w:tcW w:w="1559" w:type="dxa"/>
            <w:tcBorders>
              <w:top w:val="nil"/>
              <w:left w:val="nil"/>
              <w:bottom w:val="single" w:sz="4" w:space="0" w:color="auto"/>
              <w:right w:val="single" w:sz="4" w:space="0" w:color="auto"/>
            </w:tcBorders>
            <w:shd w:val="clear" w:color="auto" w:fill="auto"/>
            <w:noWrap/>
            <w:vAlign w:val="bottom"/>
            <w:hideMark/>
          </w:tcPr>
          <w:p w14:paraId="64A3120B"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516</w:t>
            </w:r>
          </w:p>
        </w:tc>
        <w:tc>
          <w:tcPr>
            <w:tcW w:w="2113" w:type="dxa"/>
            <w:tcBorders>
              <w:top w:val="nil"/>
              <w:left w:val="nil"/>
              <w:bottom w:val="single" w:sz="4" w:space="0" w:color="auto"/>
              <w:right w:val="single" w:sz="4" w:space="0" w:color="auto"/>
            </w:tcBorders>
            <w:shd w:val="clear" w:color="auto" w:fill="auto"/>
            <w:noWrap/>
            <w:vAlign w:val="bottom"/>
            <w:hideMark/>
          </w:tcPr>
          <w:p w14:paraId="5EF8179F"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34</w:t>
            </w:r>
          </w:p>
        </w:tc>
      </w:tr>
      <w:tr w:rsidR="009E0216" w:rsidRPr="00BF7E57" w14:paraId="5A3A0720"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4D1D5FC7"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2013</w:t>
            </w:r>
          </w:p>
        </w:tc>
        <w:tc>
          <w:tcPr>
            <w:tcW w:w="1521" w:type="dxa"/>
            <w:tcBorders>
              <w:top w:val="nil"/>
              <w:left w:val="nil"/>
              <w:bottom w:val="single" w:sz="4" w:space="0" w:color="auto"/>
              <w:right w:val="single" w:sz="4" w:space="0" w:color="auto"/>
            </w:tcBorders>
            <w:shd w:val="clear" w:color="auto" w:fill="auto"/>
            <w:noWrap/>
            <w:vAlign w:val="bottom"/>
            <w:hideMark/>
          </w:tcPr>
          <w:p w14:paraId="7AF04229"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144</w:t>
            </w:r>
          </w:p>
        </w:tc>
        <w:tc>
          <w:tcPr>
            <w:tcW w:w="2126" w:type="dxa"/>
            <w:tcBorders>
              <w:top w:val="nil"/>
              <w:left w:val="nil"/>
              <w:bottom w:val="single" w:sz="4" w:space="0" w:color="auto"/>
              <w:right w:val="single" w:sz="4" w:space="0" w:color="auto"/>
            </w:tcBorders>
            <w:shd w:val="clear" w:color="auto" w:fill="auto"/>
            <w:noWrap/>
            <w:vAlign w:val="bottom"/>
            <w:hideMark/>
          </w:tcPr>
          <w:p w14:paraId="6E271C2C"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62</w:t>
            </w:r>
          </w:p>
        </w:tc>
        <w:tc>
          <w:tcPr>
            <w:tcW w:w="1559" w:type="dxa"/>
            <w:tcBorders>
              <w:top w:val="nil"/>
              <w:left w:val="nil"/>
              <w:bottom w:val="single" w:sz="4" w:space="0" w:color="auto"/>
              <w:right w:val="single" w:sz="4" w:space="0" w:color="auto"/>
            </w:tcBorders>
            <w:shd w:val="clear" w:color="auto" w:fill="auto"/>
            <w:noWrap/>
            <w:vAlign w:val="bottom"/>
            <w:hideMark/>
          </w:tcPr>
          <w:p w14:paraId="6D70B8CC"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62</w:t>
            </w:r>
          </w:p>
        </w:tc>
        <w:tc>
          <w:tcPr>
            <w:tcW w:w="2113" w:type="dxa"/>
            <w:tcBorders>
              <w:top w:val="nil"/>
              <w:left w:val="nil"/>
              <w:bottom w:val="single" w:sz="4" w:space="0" w:color="auto"/>
              <w:right w:val="single" w:sz="4" w:space="0" w:color="auto"/>
            </w:tcBorders>
            <w:shd w:val="clear" w:color="auto" w:fill="auto"/>
            <w:noWrap/>
            <w:vAlign w:val="bottom"/>
            <w:hideMark/>
          </w:tcPr>
          <w:p w14:paraId="186E4AD8"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55</w:t>
            </w:r>
          </w:p>
        </w:tc>
      </w:tr>
      <w:tr w:rsidR="009E0216" w:rsidRPr="00BF7E57" w14:paraId="2CBD5C84"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7F303B7A"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2015</w:t>
            </w:r>
          </w:p>
        </w:tc>
        <w:tc>
          <w:tcPr>
            <w:tcW w:w="1521" w:type="dxa"/>
            <w:tcBorders>
              <w:top w:val="nil"/>
              <w:left w:val="nil"/>
              <w:bottom w:val="single" w:sz="4" w:space="0" w:color="auto"/>
              <w:right w:val="single" w:sz="4" w:space="0" w:color="auto"/>
            </w:tcBorders>
            <w:shd w:val="clear" w:color="auto" w:fill="auto"/>
            <w:noWrap/>
            <w:vAlign w:val="bottom"/>
            <w:hideMark/>
          </w:tcPr>
          <w:p w14:paraId="7866A3E3"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172</w:t>
            </w:r>
          </w:p>
        </w:tc>
        <w:tc>
          <w:tcPr>
            <w:tcW w:w="2126" w:type="dxa"/>
            <w:tcBorders>
              <w:top w:val="nil"/>
              <w:left w:val="nil"/>
              <w:bottom w:val="single" w:sz="4" w:space="0" w:color="auto"/>
              <w:right w:val="single" w:sz="4" w:space="0" w:color="auto"/>
            </w:tcBorders>
            <w:shd w:val="clear" w:color="auto" w:fill="auto"/>
            <w:noWrap/>
            <w:vAlign w:val="bottom"/>
            <w:hideMark/>
          </w:tcPr>
          <w:p w14:paraId="14AA4350"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55</w:t>
            </w:r>
          </w:p>
        </w:tc>
        <w:tc>
          <w:tcPr>
            <w:tcW w:w="1559" w:type="dxa"/>
            <w:tcBorders>
              <w:top w:val="nil"/>
              <w:left w:val="nil"/>
              <w:bottom w:val="single" w:sz="4" w:space="0" w:color="auto"/>
              <w:right w:val="single" w:sz="4" w:space="0" w:color="auto"/>
            </w:tcBorders>
            <w:shd w:val="clear" w:color="auto" w:fill="auto"/>
            <w:noWrap/>
            <w:vAlign w:val="bottom"/>
            <w:hideMark/>
          </w:tcPr>
          <w:p w14:paraId="62E513AD"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52</w:t>
            </w:r>
          </w:p>
        </w:tc>
        <w:tc>
          <w:tcPr>
            <w:tcW w:w="2113" w:type="dxa"/>
            <w:tcBorders>
              <w:top w:val="nil"/>
              <w:left w:val="nil"/>
              <w:bottom w:val="single" w:sz="4" w:space="0" w:color="auto"/>
              <w:right w:val="single" w:sz="4" w:space="0" w:color="auto"/>
            </w:tcBorders>
            <w:shd w:val="clear" w:color="auto" w:fill="auto"/>
            <w:noWrap/>
            <w:vAlign w:val="bottom"/>
            <w:hideMark/>
          </w:tcPr>
          <w:p w14:paraId="0930B5DC"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45</w:t>
            </w:r>
          </w:p>
        </w:tc>
      </w:tr>
      <w:tr w:rsidR="009E0216" w:rsidRPr="00BF7E57" w14:paraId="2180ADAB"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7792F224"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2019</w:t>
            </w:r>
          </w:p>
        </w:tc>
        <w:tc>
          <w:tcPr>
            <w:tcW w:w="1521" w:type="dxa"/>
            <w:tcBorders>
              <w:top w:val="nil"/>
              <w:left w:val="nil"/>
              <w:bottom w:val="single" w:sz="4" w:space="0" w:color="auto"/>
              <w:right w:val="single" w:sz="4" w:space="0" w:color="auto"/>
            </w:tcBorders>
            <w:shd w:val="clear" w:color="auto" w:fill="auto"/>
            <w:noWrap/>
            <w:vAlign w:val="bottom"/>
            <w:hideMark/>
          </w:tcPr>
          <w:p w14:paraId="5B604623"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61</w:t>
            </w:r>
          </w:p>
        </w:tc>
        <w:tc>
          <w:tcPr>
            <w:tcW w:w="2126" w:type="dxa"/>
            <w:tcBorders>
              <w:top w:val="nil"/>
              <w:left w:val="nil"/>
              <w:bottom w:val="single" w:sz="4" w:space="0" w:color="auto"/>
              <w:right w:val="single" w:sz="4" w:space="0" w:color="auto"/>
            </w:tcBorders>
            <w:shd w:val="clear" w:color="auto" w:fill="auto"/>
            <w:noWrap/>
            <w:vAlign w:val="bottom"/>
            <w:hideMark/>
          </w:tcPr>
          <w:p w14:paraId="176F9EAF"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131</w:t>
            </w:r>
          </w:p>
        </w:tc>
        <w:tc>
          <w:tcPr>
            <w:tcW w:w="1559" w:type="dxa"/>
            <w:tcBorders>
              <w:top w:val="nil"/>
              <w:left w:val="nil"/>
              <w:bottom w:val="single" w:sz="4" w:space="0" w:color="auto"/>
              <w:right w:val="single" w:sz="4" w:space="0" w:color="auto"/>
            </w:tcBorders>
            <w:shd w:val="clear" w:color="auto" w:fill="auto"/>
            <w:noWrap/>
            <w:vAlign w:val="bottom"/>
            <w:hideMark/>
          </w:tcPr>
          <w:p w14:paraId="30275D9E"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27</w:t>
            </w:r>
          </w:p>
        </w:tc>
        <w:tc>
          <w:tcPr>
            <w:tcW w:w="2113" w:type="dxa"/>
            <w:tcBorders>
              <w:top w:val="nil"/>
              <w:left w:val="nil"/>
              <w:bottom w:val="single" w:sz="4" w:space="0" w:color="auto"/>
              <w:right w:val="single" w:sz="4" w:space="0" w:color="auto"/>
            </w:tcBorders>
            <w:shd w:val="clear" w:color="auto" w:fill="auto"/>
            <w:noWrap/>
            <w:vAlign w:val="bottom"/>
            <w:hideMark/>
          </w:tcPr>
          <w:p w14:paraId="713F3928"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120</w:t>
            </w:r>
          </w:p>
        </w:tc>
      </w:tr>
      <w:tr w:rsidR="009E0216" w:rsidRPr="00BF7E57" w14:paraId="53550EE8"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32F98" w14:textId="4F3474B8" w:rsidR="009E0216" w:rsidRPr="00BF7E57" w:rsidRDefault="009E0216" w:rsidP="00867E94">
            <w:pPr>
              <w:keepNext/>
              <w:keepLines/>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Podeželje</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 xml:space="preserve">Vsi </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0995B616" w14:textId="105439E6"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23</w:t>
            </w:r>
            <w:r w:rsidR="00867E94" w:rsidRPr="00BF7E57">
              <w:rPr>
                <w:rFonts w:ascii="Arial" w:hAnsi="Arial" w:cs="Arial"/>
                <w:b/>
                <w:color w:val="000000"/>
                <w:sz w:val="20"/>
                <w:szCs w:val="20"/>
                <w:lang w:eastAsia="sl-SI"/>
              </w:rPr>
              <w:t>.</w:t>
            </w:r>
            <w:r w:rsidRPr="00BF7E57">
              <w:rPr>
                <w:rFonts w:ascii="Arial" w:hAnsi="Arial" w:cs="Arial"/>
                <w:b/>
                <w:color w:val="000000"/>
                <w:sz w:val="20"/>
                <w:szCs w:val="20"/>
                <w:lang w:eastAsia="sl-SI"/>
              </w:rPr>
              <w:t>867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F7711A1" w14:textId="552BBAD2"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1</w:t>
            </w:r>
            <w:r w:rsidR="00867E94" w:rsidRPr="00BF7E57">
              <w:rPr>
                <w:rFonts w:ascii="Arial" w:hAnsi="Arial" w:cs="Arial"/>
                <w:b/>
                <w:color w:val="000000"/>
                <w:sz w:val="20"/>
                <w:szCs w:val="20"/>
                <w:lang w:eastAsia="sl-SI"/>
              </w:rPr>
              <w:t>.</w:t>
            </w:r>
            <w:r w:rsidRPr="00BF7E57">
              <w:rPr>
                <w:rFonts w:ascii="Arial" w:hAnsi="Arial" w:cs="Arial"/>
                <w:b/>
                <w:color w:val="000000"/>
                <w:sz w:val="20"/>
                <w:szCs w:val="20"/>
                <w:lang w:eastAsia="sl-SI"/>
              </w:rPr>
              <w:t>118</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EC2AB3" w14:textId="15682294"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13</w:t>
            </w:r>
            <w:r w:rsidR="00867E94" w:rsidRPr="00BF7E57">
              <w:rPr>
                <w:rFonts w:ascii="Arial" w:hAnsi="Arial" w:cs="Arial"/>
                <w:b/>
                <w:color w:val="000000"/>
                <w:sz w:val="20"/>
                <w:szCs w:val="20"/>
                <w:lang w:eastAsia="sl-SI"/>
              </w:rPr>
              <w:t>.</w:t>
            </w:r>
            <w:r w:rsidRPr="00BF7E57">
              <w:rPr>
                <w:rFonts w:ascii="Arial" w:hAnsi="Arial" w:cs="Arial"/>
                <w:b/>
                <w:color w:val="000000"/>
                <w:sz w:val="20"/>
                <w:szCs w:val="20"/>
                <w:lang w:eastAsia="sl-SI"/>
              </w:rPr>
              <w:t>065</w:t>
            </w:r>
          </w:p>
        </w:tc>
        <w:tc>
          <w:tcPr>
            <w:tcW w:w="2113" w:type="dxa"/>
            <w:tcBorders>
              <w:top w:val="single" w:sz="4" w:space="0" w:color="auto"/>
              <w:left w:val="nil"/>
              <w:bottom w:val="single" w:sz="4" w:space="0" w:color="auto"/>
              <w:right w:val="single" w:sz="4" w:space="0" w:color="auto"/>
            </w:tcBorders>
            <w:shd w:val="clear" w:color="auto" w:fill="auto"/>
            <w:noWrap/>
            <w:vAlign w:val="bottom"/>
          </w:tcPr>
          <w:p w14:paraId="702EED5D" w14:textId="77777777"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935</w:t>
            </w:r>
          </w:p>
        </w:tc>
      </w:tr>
      <w:tr w:rsidR="009E0216" w:rsidRPr="00BF7E57" w14:paraId="2228943E"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9B985" w14:textId="77777777" w:rsidR="009E0216" w:rsidRPr="00BF7E57" w:rsidRDefault="009E0216" w:rsidP="00867E94">
            <w:pPr>
              <w:keepNext/>
              <w:keepLines/>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38BED19F" w14:textId="30486F72"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78</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B7CA459" w14:textId="05D728F4"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84</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7B99245" w14:textId="25B5D552"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87</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p>
        </w:tc>
        <w:tc>
          <w:tcPr>
            <w:tcW w:w="2113" w:type="dxa"/>
            <w:tcBorders>
              <w:top w:val="single" w:sz="4" w:space="0" w:color="auto"/>
              <w:left w:val="nil"/>
              <w:bottom w:val="single" w:sz="4" w:space="0" w:color="auto"/>
              <w:right w:val="single" w:sz="4" w:space="0" w:color="auto"/>
            </w:tcBorders>
            <w:shd w:val="clear" w:color="auto" w:fill="auto"/>
            <w:noWrap/>
            <w:vAlign w:val="bottom"/>
          </w:tcPr>
          <w:p w14:paraId="352D33CA" w14:textId="4B2B4AD9"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87</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p>
        </w:tc>
      </w:tr>
    </w:tbl>
    <w:p w14:paraId="09CBC96C" w14:textId="77777777" w:rsidR="009E0216" w:rsidRPr="00BF7E57" w:rsidRDefault="009E0216" w:rsidP="00EA2E4C">
      <w:pPr>
        <w:spacing w:line="360" w:lineRule="auto"/>
        <w:jc w:val="both"/>
        <w:rPr>
          <w:rFonts w:ascii="Arial" w:eastAsia="Arial" w:hAnsi="Arial" w:cs="Arial"/>
          <w:color w:val="000000" w:themeColor="text1"/>
          <w:sz w:val="16"/>
          <w:szCs w:val="16"/>
        </w:rPr>
      </w:pPr>
      <w:r w:rsidRPr="00BF7E57">
        <w:rPr>
          <w:rFonts w:ascii="Arial" w:eastAsia="Arial" w:hAnsi="Arial" w:cs="Arial"/>
          <w:color w:val="000000" w:themeColor="text1"/>
          <w:sz w:val="16"/>
          <w:szCs w:val="16"/>
        </w:rPr>
        <w:t>Vir: Ministrstvo za kulturo, 2020</w:t>
      </w:r>
    </w:p>
    <w:p w14:paraId="69FADEDE" w14:textId="708C097E" w:rsidR="009E0216" w:rsidRPr="00BF7E57" w:rsidRDefault="009E0216" w:rsidP="00BE756C">
      <w:pPr>
        <w:spacing w:before="200" w:line="360" w:lineRule="auto"/>
        <w:jc w:val="both"/>
        <w:rPr>
          <w:rFonts w:ascii="Arial" w:hAnsi="Arial" w:cs="Arial"/>
          <w:sz w:val="20"/>
          <w:szCs w:val="20"/>
        </w:rPr>
      </w:pPr>
      <w:r w:rsidRPr="00BF7E57">
        <w:rPr>
          <w:rFonts w:ascii="Arial" w:eastAsia="Arial" w:hAnsi="Arial" w:cs="Arial"/>
          <w:color w:val="000000" w:themeColor="text1"/>
          <w:sz w:val="20"/>
          <w:szCs w:val="20"/>
        </w:rPr>
        <w:t>Glede na način vpisovanja v register, število dediščine na podeželju še najbolj odraža etnološka dediščina (t. j. dediščina, ki ima med strokovnimi področji navedeno področje etnologija), ki na podeželju predstavlja 87 % vse etnološke dediščine v</w:t>
      </w:r>
      <w:r w:rsidR="00614692" w:rsidRPr="00BF7E57">
        <w:rPr>
          <w:rFonts w:ascii="Arial" w:eastAsia="Arial" w:hAnsi="Arial" w:cs="Arial"/>
          <w:color w:val="000000" w:themeColor="text1"/>
          <w:sz w:val="20"/>
          <w:szCs w:val="20"/>
        </w:rPr>
        <w:t xml:space="preserve"> Sloveniji. Trenutno (na dan 2. 9. </w:t>
      </w:r>
      <w:r w:rsidRPr="00BF7E57">
        <w:rPr>
          <w:rFonts w:ascii="Arial" w:eastAsia="Arial" w:hAnsi="Arial" w:cs="Arial"/>
          <w:color w:val="000000" w:themeColor="text1"/>
          <w:sz w:val="20"/>
          <w:szCs w:val="20"/>
        </w:rPr>
        <w:t>2020) je v register nepremične kulturne dediščine vpisanih 15.056 enot etnološke dediščine. Etnološka dediščina izginja bistveno hitreje oz. v večji meri kot druga dediščina. Veliko ogroženost etnološke dediščine potrjuje tudi število izbrisov (Ministrstvo za kulturo, 2020).</w:t>
      </w:r>
      <w:r w:rsidR="00360BE0" w:rsidRPr="00BF7E57">
        <w:rPr>
          <w:rFonts w:ascii="Arial" w:eastAsia="Arial" w:hAnsi="Arial" w:cs="Arial"/>
          <w:color w:val="000000" w:themeColor="text1"/>
          <w:sz w:val="20"/>
          <w:szCs w:val="20"/>
        </w:rPr>
        <w:t xml:space="preserve"> </w:t>
      </w:r>
      <w:r w:rsidR="00F425C8" w:rsidRPr="00BF7E57">
        <w:rPr>
          <w:rFonts w:ascii="Arial" w:eastAsia="Arial" w:hAnsi="Arial" w:cs="Arial"/>
          <w:color w:val="000000" w:themeColor="text1"/>
          <w:sz w:val="20"/>
          <w:szCs w:val="20"/>
        </w:rPr>
        <w:t>V Sloveniji so na podeželju tudi 4 večji muzeji na prostem ter 40 manjših muzejev na prostem in 4 ekomuzeji (Zavod za varstvo kulturne dediščine Slovenije, 2020).</w:t>
      </w:r>
    </w:p>
    <w:p w14:paraId="5844D20C" w14:textId="211414C3"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Kulturne krajine podeželja so skozi čas nakopičile izjemno zakladnico snovne in nesnovne dediščine, ki je vseskozi odražala prilagajanje človeka naravnim danostim, kulturnim, družbenim</w:t>
      </w:r>
      <w:r w:rsidR="00835FE6" w:rsidRPr="00BF7E57">
        <w:rPr>
          <w:rFonts w:ascii="Arial" w:hAnsi="Arial" w:cs="Arial"/>
          <w:sz w:val="20"/>
          <w:szCs w:val="20"/>
        </w:rPr>
        <w:t>,</w:t>
      </w:r>
      <w:r w:rsidRPr="00BF7E57">
        <w:rPr>
          <w:rFonts w:ascii="Arial" w:hAnsi="Arial" w:cs="Arial"/>
          <w:sz w:val="20"/>
          <w:szCs w:val="20"/>
        </w:rPr>
        <w:t xml:space="preserve"> političnim in gospodarskim razmeram. To pa ima na podeželsko krajino dvojni učinek, saj se nekatera območja na podeželju opuščajo in zaraščajo, medtem ko druga trpijo zaradi pretiranega poseljevanja. Ključna za ohranjanje raznovrstnosti podeželskih krajin je njihova uravnotežena, skladna raba in ohranjanje vseh tradicionalnih dejavnosti, ki so odraz večstoletnega skladnega sobivanja človeka z naravo (Priložnosti dediščine slovenskega podeželja, 2019).</w:t>
      </w:r>
      <w:r w:rsidR="009F18A1" w:rsidRPr="00BF7E57">
        <w:rPr>
          <w:rFonts w:ascii="Arial" w:hAnsi="Arial" w:cs="Arial"/>
          <w:sz w:val="20"/>
          <w:szCs w:val="20"/>
        </w:rPr>
        <w:t xml:space="preserve"> Spodbujanje ohranjanje nepremične kulturne dediščine spodbuja njeno ohranjanje in revitalizacijo ter omogoča trajnostni koncept pri oblikovanju novih zaposlitvenih možnosti na podeželju </w:t>
      </w:r>
      <w:r w:rsidR="009F18A1" w:rsidRPr="00BF7E57">
        <w:rPr>
          <w:rFonts w:ascii="Arial" w:eastAsia="Arial" w:hAnsi="Arial" w:cs="Arial"/>
          <w:color w:val="000000" w:themeColor="text1"/>
          <w:sz w:val="20"/>
          <w:szCs w:val="20"/>
        </w:rPr>
        <w:t>(Zavod za varstvo kulturne dediščine Slovenije, 2020).</w:t>
      </w:r>
    </w:p>
    <w:p w14:paraId="633B09AC"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Celostno ohranjanje dediščine ni samo dejavnost kulture, vzvodi zanj so medsektorski. Rezultati in učinki ohranjanja kulturne dediščine so odvisni tudi od uspešnosti in učinkovitosti, načrtovanja in urejanja prostora, kmetijstva in razvoja podeželja, turizma ter infrastrukture in prometa. Varstvo dediščine je neločljivo povezano tudi z varstvom okolja in ohranjanjem narave.</w:t>
      </w:r>
    </w:p>
    <w:p w14:paraId="6AEEFA3A"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Zaključki projekta HISTCAPE kažejo, da je potenciale ohranjanja in vrednotenja dediščine in krajine na podeželju mogoče najbolj razviti s celostnim načinom upravljanja. Celosten način upravljanja sloni na principih trajnostnega upravljanja, upravljanja s sodelovanjem skupnosti in na povezovanju ohranjanja kulture in naravne dediščine, ki se v nepretrganem procesu prilagajanja povezujejo z ekonomskimi, </w:t>
      </w:r>
      <w:r w:rsidRPr="00BF7E57">
        <w:rPr>
          <w:rFonts w:ascii="Arial" w:hAnsi="Arial" w:cs="Arial"/>
          <w:sz w:val="20"/>
          <w:szCs w:val="20"/>
        </w:rPr>
        <w:lastRenderedPageBreak/>
        <w:t>strukturnimi in infrastrukturnimi pospeševalci razvoja in značilnostmi vsakega posameznega področja. (Kulturna dediščina, krajina in razvoj podeželja, Rezultati projekta, 2014).</w:t>
      </w:r>
    </w:p>
    <w:p w14:paraId="6D026EBD" w14:textId="77777777" w:rsidR="009E0216" w:rsidRPr="00BF7E57" w:rsidRDefault="009E0216" w:rsidP="00BE756C">
      <w:pPr>
        <w:pStyle w:val="Navadensplet"/>
        <w:spacing w:before="200" w:after="200" w:line="360" w:lineRule="auto"/>
        <w:rPr>
          <w:rFonts w:ascii="Arial" w:hAnsi="Arial" w:cs="Arial"/>
        </w:rPr>
      </w:pPr>
    </w:p>
    <w:p w14:paraId="115F499D" w14:textId="77777777" w:rsidR="009E0216" w:rsidRPr="00BF7E57" w:rsidRDefault="009E0216" w:rsidP="00A05198">
      <w:pPr>
        <w:pStyle w:val="tevilnatoka11Nova"/>
        <w:numPr>
          <w:ilvl w:val="1"/>
          <w:numId w:val="35"/>
        </w:numPr>
        <w:tabs>
          <w:tab w:val="clear" w:pos="4297"/>
        </w:tabs>
        <w:spacing w:before="200" w:after="200" w:line="360" w:lineRule="auto"/>
        <w:outlineLvl w:val="1"/>
        <w:rPr>
          <w:b/>
          <w:sz w:val="24"/>
          <w:szCs w:val="24"/>
        </w:rPr>
      </w:pPr>
      <w:bookmarkStart w:id="128" w:name="_Toc86826375"/>
      <w:r w:rsidRPr="00BF7E57">
        <w:rPr>
          <w:b/>
          <w:sz w:val="24"/>
          <w:szCs w:val="24"/>
        </w:rPr>
        <w:t>PAMETNE VASI</w:t>
      </w:r>
      <w:bookmarkEnd w:id="128"/>
    </w:p>
    <w:p w14:paraId="4F15EE2C"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Pametne vasi so podeželska območja in skupnosti, ki gradijo na svojih obstoječih prednostih in pridobitvah, razvijajo pa tudi nove priložnosti«, kjer se »tradicionalna in nova omrežja krepijo preko digitalnih, telekomunikacijskih tehnologij, inovacij in boljše uporabe znanja«. (Blejska deklaracija, 2018).</w:t>
      </w:r>
    </w:p>
    <w:p w14:paraId="175EDBD6"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Koncept Pametnih vasi predstavlja nov koncept na področju oblikovanja politik EU, ki lahko krepi podeželje z uporabo digitalnih tehnologij in inovacij. Podeželske skupnosti z uporabo novih tehnologij in digitalizacije ohranjajo in razvijajo podeželje, in sicer z ohranjanjem in odpiranjem novih delovnih mest, s samooskrbo v prehrani in energiji, z ekološko osveščenostjo, s kvalitetnimi javnimi storitvami, pa tudi preko zdravstvenih, socialnih, izobraževalnih in kulturno-družabnih storitev. Nenazadnje pa skrbijo tudi za svetlejšo perspektivo mladih in njihovo vračanje na podeželje. Pri konceptu Pametnih vasi gre za lokalne pobude in mobiliziranje lokalnih potencialov ter povezovanje z drugimi skupnostmi in akterji. </w:t>
      </w:r>
    </w:p>
    <w:p w14:paraId="2D247005" w14:textId="2F972FB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Koncept Pametnih vasi se v Sloveniji je med letoma 1991 in 2004 delno izvajal preko projektov Celostnega razvoja podeželja in obnove vasi (program CRPOV), Razvojnih  programov podeželja, v prejšnjih programskih obdobjih</w:t>
      </w:r>
      <w:r w:rsidR="00835FE6" w:rsidRPr="00BF7E57">
        <w:rPr>
          <w:rFonts w:ascii="Arial" w:hAnsi="Arial" w:cs="Arial"/>
          <w:sz w:val="20"/>
          <w:szCs w:val="20"/>
        </w:rPr>
        <w:t xml:space="preserve"> (2007–2013 in 2014–2020)</w:t>
      </w:r>
      <w:r w:rsidRPr="00BF7E57">
        <w:rPr>
          <w:rFonts w:ascii="Arial" w:hAnsi="Arial" w:cs="Arial"/>
          <w:sz w:val="20"/>
          <w:szCs w:val="20"/>
        </w:rPr>
        <w:t xml:space="preserve"> pa delno preko ukrepa LEADER</w:t>
      </w:r>
      <w:r w:rsidR="00835FE6" w:rsidRPr="00BF7E57">
        <w:rPr>
          <w:rFonts w:ascii="Arial" w:hAnsi="Arial" w:cs="Arial"/>
          <w:sz w:val="20"/>
          <w:szCs w:val="20"/>
        </w:rPr>
        <w:t>.</w:t>
      </w:r>
      <w:r w:rsidR="00F77BD0" w:rsidRPr="00BF7E57">
        <w:rPr>
          <w:rFonts w:ascii="Arial" w:hAnsi="Arial" w:cs="Arial"/>
          <w:sz w:val="20"/>
          <w:szCs w:val="20"/>
        </w:rPr>
        <w:t xml:space="preserve"> </w:t>
      </w:r>
      <w:r w:rsidRPr="00BF7E57">
        <w:rPr>
          <w:rFonts w:ascii="Arial" w:hAnsi="Arial" w:cs="Arial"/>
          <w:sz w:val="20"/>
          <w:szCs w:val="20"/>
        </w:rPr>
        <w:t>Poseben ukrep za koncept Pame</w:t>
      </w:r>
      <w:r w:rsidR="0080599C" w:rsidRPr="00BF7E57">
        <w:rPr>
          <w:rFonts w:ascii="Arial" w:hAnsi="Arial" w:cs="Arial"/>
          <w:sz w:val="20"/>
          <w:szCs w:val="20"/>
        </w:rPr>
        <w:t>t</w:t>
      </w:r>
      <w:r w:rsidRPr="00BF7E57">
        <w:rPr>
          <w:rFonts w:ascii="Arial" w:hAnsi="Arial" w:cs="Arial"/>
          <w:sz w:val="20"/>
          <w:szCs w:val="20"/>
        </w:rPr>
        <w:t>nih vasi v programskem obdobju 2014-2020 ni bil programiran. Kljub temu pa se obstoječe »pametne rešitve« izvajajo v okviru ukrepa LEADER (podukrep M19.2 - Podpora za izvajanje operacij v okviru strategije lokalnega razvoja, ki ga vodi skupnost, podukrep M19.3 - Priprava in izvajanje dejavnosti sodelovanja lokalne akcijske skupine), v okviru Ukrepa M16 - Sodelovanje (podukrep M16.4 – Vzpostavitev in razvoj kratkih dobavnih verig in lokalnih trgov, M16.9 – Diverzifikacija dejavnosti na kmetiji) ter preko Mreže za podeželje, ki je vzpostavila platformo https://www.program-podezelja.si/sl/podezelje-prihodnosti-pametne-vasi.</w:t>
      </w:r>
    </w:p>
    <w:p w14:paraId="69EA2A09" w14:textId="77777777" w:rsidR="009E0216" w:rsidRPr="00BF7E57" w:rsidRDefault="009E0216" w:rsidP="00BE756C">
      <w:pPr>
        <w:spacing w:before="200" w:after="0" w:line="360" w:lineRule="auto"/>
        <w:jc w:val="both"/>
        <w:rPr>
          <w:rFonts w:ascii="Arial" w:hAnsi="Arial" w:cs="Arial"/>
          <w:sz w:val="20"/>
          <w:szCs w:val="20"/>
        </w:rPr>
      </w:pPr>
      <w:r w:rsidRPr="00BF7E57">
        <w:rPr>
          <w:rFonts w:ascii="Arial" w:hAnsi="Arial" w:cs="Arial"/>
          <w:sz w:val="20"/>
          <w:szCs w:val="20"/>
        </w:rPr>
        <w:t xml:space="preserve">Na podlagi narejene raziskave o konceptu Pametnih vasi v Sloveniji med deležniki na podeželju (Anketa o konceptu pametnih vasi, 2020), je bilo ugotovljeno, da je po konceptu Pametnih vasi smiselno razvijati območja v razvoju, ki že imajo razvito določeno infrastrukturo, na katerih se lahko gradi nadaljnji razvoj. Koncept pametnih vasi se lahko uporabi pri reševanju številnih potreb na naslednjih področjih:  </w:t>
      </w:r>
    </w:p>
    <w:p w14:paraId="575B7A47"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kratke dobavne verige, oskrba lokalnega okolja in bližnjih mest s kmetijskimi pridelki in proizvodi; oskrba javnih, zasebnih ustanov (javno naročanje), oskrba v turizmu, </w:t>
      </w:r>
    </w:p>
    <w:p w14:paraId="6B6EDBEB"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socialne inovacije, </w:t>
      </w:r>
    </w:p>
    <w:p w14:paraId="16F7B651"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povezovanje kmetov, skupine in organizacije proizvajalcev z enotnim nastopom na trgu, </w:t>
      </w:r>
    </w:p>
    <w:p w14:paraId="381A034A"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rekreacija, turizem, </w:t>
      </w:r>
    </w:p>
    <w:p w14:paraId="58FCFAC2"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izgradnja infrastrukture, obnova in razvoj vasi, </w:t>
      </w:r>
    </w:p>
    <w:p w14:paraId="7C2CCC40"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ohranjanje kulturne dediščine na podeželju ter običajev (MKGP, 2020).</w:t>
      </w:r>
    </w:p>
    <w:p w14:paraId="5DA4A30B" w14:textId="77777777" w:rsidR="009E0216" w:rsidRPr="00BF7E57" w:rsidRDefault="009E0216" w:rsidP="00EA2E4C">
      <w:pPr>
        <w:widowControl w:val="0"/>
        <w:autoSpaceDE w:val="0"/>
        <w:autoSpaceDN w:val="0"/>
        <w:adjustRightInd w:val="0"/>
        <w:spacing w:line="360" w:lineRule="auto"/>
        <w:jc w:val="both"/>
        <w:rPr>
          <w:rFonts w:ascii="Arial" w:hAnsi="Arial" w:cs="Arial"/>
          <w:sz w:val="20"/>
          <w:szCs w:val="20"/>
        </w:rPr>
      </w:pPr>
    </w:p>
    <w:p w14:paraId="100FB723" w14:textId="77777777" w:rsidR="009E0216" w:rsidRPr="00BF7E57" w:rsidRDefault="009E0216" w:rsidP="00B63AD2">
      <w:pPr>
        <w:pStyle w:val="Naslov2"/>
        <w:spacing w:after="200" w:line="360" w:lineRule="auto"/>
        <w:jc w:val="both"/>
        <w:rPr>
          <w:rFonts w:ascii="Arial" w:hAnsi="Arial" w:cs="Arial"/>
          <w:color w:val="auto"/>
          <w:sz w:val="24"/>
          <w:szCs w:val="24"/>
        </w:rPr>
      </w:pPr>
      <w:bookmarkStart w:id="129" w:name="_Toc86826376"/>
      <w:r w:rsidRPr="00BF7E57">
        <w:rPr>
          <w:rFonts w:ascii="Arial" w:hAnsi="Arial" w:cs="Arial"/>
          <w:color w:val="auto"/>
          <w:sz w:val="24"/>
          <w:szCs w:val="24"/>
        </w:rPr>
        <w:lastRenderedPageBreak/>
        <w:t>2.5 KLJUČNE UGOTOVITVE</w:t>
      </w:r>
      <w:bookmarkEnd w:id="129"/>
    </w:p>
    <w:p w14:paraId="3D84A643" w14:textId="1F25BAC4" w:rsidR="00797CBF" w:rsidRPr="00BF7E57" w:rsidRDefault="009E0216" w:rsidP="00797CBF">
      <w:pPr>
        <w:pStyle w:val="Odstavekseznama"/>
        <w:keepNext/>
        <w:keepLines/>
        <w:numPr>
          <w:ilvl w:val="0"/>
          <w:numId w:val="32"/>
        </w:numPr>
        <w:spacing w:before="200" w:line="360" w:lineRule="auto"/>
        <w:ind w:left="426" w:hanging="426"/>
        <w:contextualSpacing w:val="0"/>
        <w:jc w:val="both"/>
        <w:rPr>
          <w:rFonts w:ascii="Arial" w:hAnsi="Arial" w:cs="Arial"/>
          <w:sz w:val="20"/>
          <w:szCs w:val="20"/>
        </w:rPr>
      </w:pPr>
      <w:r w:rsidRPr="00BF7E57">
        <w:rPr>
          <w:rFonts w:ascii="Arial" w:hAnsi="Arial" w:cs="Arial"/>
          <w:b/>
          <w:sz w:val="20"/>
          <w:szCs w:val="20"/>
        </w:rPr>
        <w:t>Kazalniki kakovosti življenja in socialne vključenosti v Sloveniji se z leti na splošno izboljšujejo</w:t>
      </w:r>
      <w:r w:rsidR="00797CBF" w:rsidRPr="00BF7E57">
        <w:rPr>
          <w:rFonts w:ascii="Arial" w:hAnsi="Arial" w:cs="Arial"/>
          <w:b/>
          <w:sz w:val="20"/>
          <w:szCs w:val="20"/>
        </w:rPr>
        <w:t>, vendar so se nekateri kazalniki v času epidemije koronavirusne bolezni poslabšali</w:t>
      </w:r>
      <w:r w:rsidRPr="00BF7E57">
        <w:rPr>
          <w:rFonts w:ascii="Arial" w:hAnsi="Arial" w:cs="Arial"/>
          <w:b/>
          <w:sz w:val="20"/>
          <w:szCs w:val="20"/>
        </w:rPr>
        <w:t>.</w:t>
      </w:r>
      <w:r w:rsidRPr="00BF7E57">
        <w:rPr>
          <w:rFonts w:ascii="Arial" w:hAnsi="Arial" w:cs="Arial"/>
          <w:sz w:val="20"/>
          <w:szCs w:val="20"/>
        </w:rPr>
        <w:t xml:space="preserve"> Leta 2019</w:t>
      </w:r>
      <w:r w:rsidR="00C9225D" w:rsidRPr="00BF7E57">
        <w:rPr>
          <w:rFonts w:ascii="Arial" w:hAnsi="Arial" w:cs="Arial"/>
          <w:sz w:val="20"/>
          <w:szCs w:val="20"/>
        </w:rPr>
        <w:t xml:space="preserve"> bila</w:t>
      </w:r>
      <w:r w:rsidR="00422936" w:rsidRPr="00BF7E57">
        <w:rPr>
          <w:rFonts w:ascii="Arial" w:hAnsi="Arial" w:cs="Arial"/>
          <w:sz w:val="20"/>
          <w:szCs w:val="20"/>
        </w:rPr>
        <w:t xml:space="preserve"> je stopnja tveganja revščine le 12 </w:t>
      </w:r>
      <w:r w:rsidRPr="00BF7E57">
        <w:rPr>
          <w:rFonts w:ascii="Arial" w:hAnsi="Arial" w:cs="Arial"/>
          <w:sz w:val="20"/>
          <w:szCs w:val="20"/>
        </w:rPr>
        <w:t>%</w:t>
      </w:r>
      <w:r w:rsidR="00797CBF" w:rsidRPr="00BF7E57">
        <w:rPr>
          <w:rFonts w:ascii="Arial" w:hAnsi="Arial" w:cs="Arial"/>
          <w:sz w:val="20"/>
          <w:szCs w:val="20"/>
        </w:rPr>
        <w:t xml:space="preserve"> (leta 2020 se je dvignila na 12,4%)</w:t>
      </w:r>
      <w:r w:rsidRPr="00BF7E57">
        <w:rPr>
          <w:rFonts w:ascii="Arial" w:hAnsi="Arial" w:cs="Arial"/>
          <w:sz w:val="20"/>
          <w:szCs w:val="20"/>
        </w:rPr>
        <w:t>, stopnja tveganja socialne izključenosti 14,4 %</w:t>
      </w:r>
      <w:r w:rsidR="00797CBF" w:rsidRPr="00BF7E57">
        <w:rPr>
          <w:rFonts w:ascii="Arial" w:hAnsi="Arial" w:cs="Arial"/>
          <w:sz w:val="20"/>
          <w:szCs w:val="20"/>
        </w:rPr>
        <w:t xml:space="preserve"> (leta 2020 se je dvignila na 15%)</w:t>
      </w:r>
      <w:r w:rsidRPr="00BF7E57">
        <w:rPr>
          <w:rFonts w:ascii="Arial" w:hAnsi="Arial" w:cs="Arial"/>
          <w:sz w:val="20"/>
          <w:szCs w:val="20"/>
        </w:rPr>
        <w:t xml:space="preserve"> </w:t>
      </w:r>
      <w:r w:rsidR="00797CBF" w:rsidRPr="00BF7E57">
        <w:rPr>
          <w:rFonts w:ascii="Arial" w:hAnsi="Arial" w:cs="Arial"/>
          <w:sz w:val="20"/>
          <w:szCs w:val="20"/>
        </w:rPr>
        <w:t>D</w:t>
      </w:r>
      <w:r w:rsidRPr="00BF7E57">
        <w:rPr>
          <w:rFonts w:ascii="Arial" w:hAnsi="Arial" w:cs="Arial"/>
          <w:sz w:val="20"/>
          <w:szCs w:val="20"/>
        </w:rPr>
        <w:t>elež gospodinjstev z dostopom do internet</w:t>
      </w:r>
      <w:r w:rsidR="00422936" w:rsidRPr="00BF7E57">
        <w:rPr>
          <w:rFonts w:ascii="Arial" w:hAnsi="Arial" w:cs="Arial"/>
          <w:sz w:val="20"/>
          <w:szCs w:val="20"/>
        </w:rPr>
        <w:t>a je bil velik, in sicer kar 89 </w:t>
      </w:r>
      <w:r w:rsidRPr="00BF7E57">
        <w:rPr>
          <w:rFonts w:ascii="Arial" w:hAnsi="Arial" w:cs="Arial"/>
          <w:sz w:val="20"/>
          <w:szCs w:val="20"/>
        </w:rPr>
        <w:t>%</w:t>
      </w:r>
      <w:r w:rsidR="00797CBF" w:rsidRPr="00BF7E57">
        <w:rPr>
          <w:rFonts w:ascii="Arial" w:hAnsi="Arial" w:cs="Arial"/>
          <w:sz w:val="20"/>
          <w:szCs w:val="20"/>
        </w:rPr>
        <w:t xml:space="preserve"> (leta 2020 90%)</w:t>
      </w:r>
      <w:r w:rsidRPr="00BF7E57">
        <w:rPr>
          <w:rFonts w:ascii="Arial" w:hAnsi="Arial" w:cs="Arial"/>
          <w:sz w:val="20"/>
          <w:szCs w:val="20"/>
        </w:rPr>
        <w:t>. Prebivalstvo je bilo</w:t>
      </w:r>
      <w:r w:rsidR="00797CBF" w:rsidRPr="00BF7E57">
        <w:rPr>
          <w:rFonts w:ascii="Arial" w:hAnsi="Arial" w:cs="Arial"/>
          <w:sz w:val="20"/>
          <w:szCs w:val="20"/>
        </w:rPr>
        <w:t xml:space="preserve"> leta 2019</w:t>
      </w:r>
      <w:r w:rsidRPr="00BF7E57">
        <w:rPr>
          <w:rFonts w:ascii="Arial" w:hAnsi="Arial" w:cs="Arial"/>
          <w:sz w:val="20"/>
          <w:szCs w:val="20"/>
        </w:rPr>
        <w:t xml:space="preserve"> načeloma splošno zadovoljno z življenjem (7,5), stopnja resne materialne prikrajšanosti pa je bila precej nizka, le 2,6 % oseb. Po podatkih Eurostat je bila stopnja revščine leta 2018 nižja kot v obdobju pred krizo (2018</w:t>
      </w:r>
      <w:r w:rsidR="00835FE6" w:rsidRPr="00BF7E57">
        <w:rPr>
          <w:rFonts w:ascii="Arial" w:hAnsi="Arial" w:cs="Arial"/>
          <w:sz w:val="20"/>
          <w:szCs w:val="20"/>
        </w:rPr>
        <w:t>:</w:t>
      </w:r>
      <w:r w:rsidRPr="00BF7E57">
        <w:rPr>
          <w:rFonts w:ascii="Arial" w:hAnsi="Arial" w:cs="Arial"/>
          <w:sz w:val="20"/>
          <w:szCs w:val="20"/>
        </w:rPr>
        <w:t xml:space="preserve"> </w:t>
      </w:r>
      <w:r w:rsidR="00835FE6" w:rsidRPr="00BF7E57">
        <w:rPr>
          <w:rFonts w:ascii="Arial" w:hAnsi="Arial" w:cs="Arial"/>
          <w:sz w:val="20"/>
          <w:szCs w:val="20"/>
        </w:rPr>
        <w:t xml:space="preserve">Slo </w:t>
      </w:r>
      <w:r w:rsidRPr="00BF7E57">
        <w:rPr>
          <w:rFonts w:ascii="Arial" w:hAnsi="Arial" w:cs="Arial"/>
          <w:sz w:val="20"/>
          <w:szCs w:val="20"/>
        </w:rPr>
        <w:t>16,60</w:t>
      </w:r>
      <w:r w:rsidR="00C9225D" w:rsidRPr="00BF7E57">
        <w:rPr>
          <w:rFonts w:ascii="Arial" w:hAnsi="Arial" w:cs="Arial"/>
          <w:sz w:val="20"/>
          <w:szCs w:val="20"/>
        </w:rPr>
        <w:t xml:space="preserve"> </w:t>
      </w:r>
      <w:r w:rsidRPr="00BF7E57">
        <w:rPr>
          <w:rFonts w:ascii="Arial" w:hAnsi="Arial" w:cs="Arial"/>
          <w:sz w:val="20"/>
          <w:szCs w:val="20"/>
        </w:rPr>
        <w:t xml:space="preserve">%, EU 23,50 %) in celo nižja od evropskega povprečja.  </w:t>
      </w:r>
    </w:p>
    <w:p w14:paraId="34E63E98" w14:textId="599E8378" w:rsidR="009E0216" w:rsidRPr="00BF7E57" w:rsidRDefault="009E0216" w:rsidP="00A05198">
      <w:pPr>
        <w:pStyle w:val="Odstavekseznama"/>
        <w:numPr>
          <w:ilvl w:val="0"/>
          <w:numId w:val="32"/>
        </w:numPr>
        <w:spacing w:before="200" w:line="360" w:lineRule="auto"/>
        <w:ind w:left="426" w:hanging="426"/>
        <w:contextualSpacing w:val="0"/>
        <w:jc w:val="both"/>
        <w:rPr>
          <w:rFonts w:ascii="Arial" w:hAnsi="Arial" w:cs="Arial"/>
          <w:sz w:val="20"/>
          <w:szCs w:val="20"/>
        </w:rPr>
      </w:pPr>
      <w:r w:rsidRPr="00BF7E57">
        <w:rPr>
          <w:rFonts w:ascii="Arial" w:hAnsi="Arial" w:cs="Arial"/>
          <w:b/>
          <w:sz w:val="20"/>
          <w:szCs w:val="20"/>
        </w:rPr>
        <w:t>Finančni položaj gospodinjstev se na splošno izboljšuje</w:t>
      </w:r>
      <w:r w:rsidRPr="00BF7E57">
        <w:rPr>
          <w:rFonts w:ascii="Arial" w:hAnsi="Arial" w:cs="Arial"/>
          <w:sz w:val="20"/>
          <w:szCs w:val="20"/>
        </w:rPr>
        <w:t>. Letni prag tveganja revščine za enočl</w:t>
      </w:r>
      <w:r w:rsidR="00026AF3" w:rsidRPr="00BF7E57">
        <w:rPr>
          <w:rFonts w:ascii="Arial" w:hAnsi="Arial" w:cs="Arial"/>
          <w:sz w:val="20"/>
          <w:szCs w:val="20"/>
        </w:rPr>
        <w:t>ansko gospodinjstvo (8.440 EUR)</w:t>
      </w:r>
      <w:r w:rsidRPr="00BF7E57">
        <w:rPr>
          <w:rFonts w:ascii="Arial" w:hAnsi="Arial" w:cs="Arial"/>
          <w:sz w:val="20"/>
          <w:szCs w:val="20"/>
        </w:rPr>
        <w:t xml:space="preserve">. </w:t>
      </w:r>
      <w:r w:rsidRPr="00BF7E57">
        <w:rPr>
          <w:rFonts w:ascii="Arial" w:hAnsi="Arial" w:cs="Arial"/>
          <w:color w:val="000000"/>
          <w:sz w:val="20"/>
          <w:szCs w:val="20"/>
        </w:rPr>
        <w:t>Vendar pa se po razglasitvi epidemije koronavirusne bolezni v marcu 2020 poslabšuje tudi socialni položaj nekaterih skupin ljudi (</w:t>
      </w:r>
      <w:r w:rsidRPr="00BF7E57">
        <w:rPr>
          <w:rFonts w:ascii="Arial" w:hAnsi="Arial" w:cs="Arial"/>
          <w:sz w:val="20"/>
          <w:szCs w:val="20"/>
        </w:rPr>
        <w:t>otrok in mladostnikov, žensk, starejših ter brezposelni</w:t>
      </w:r>
      <w:r w:rsidR="00835FE6" w:rsidRPr="00BF7E57">
        <w:rPr>
          <w:rFonts w:ascii="Arial" w:hAnsi="Arial" w:cs="Arial"/>
          <w:sz w:val="20"/>
          <w:szCs w:val="20"/>
        </w:rPr>
        <w:t>h</w:t>
      </w:r>
      <w:r w:rsidRPr="00BF7E57">
        <w:rPr>
          <w:rFonts w:ascii="Arial" w:hAnsi="Arial" w:cs="Arial"/>
          <w:sz w:val="20"/>
          <w:szCs w:val="20"/>
        </w:rPr>
        <w:t xml:space="preserve"> </w:t>
      </w:r>
      <w:r w:rsidR="00835FE6" w:rsidRPr="00BF7E57">
        <w:rPr>
          <w:rFonts w:ascii="Arial" w:hAnsi="Arial" w:cs="Arial"/>
          <w:sz w:val="20"/>
          <w:szCs w:val="20"/>
        </w:rPr>
        <w:t>in</w:t>
      </w:r>
      <w:r w:rsidRPr="00BF7E57">
        <w:rPr>
          <w:rFonts w:ascii="Arial" w:hAnsi="Arial" w:cs="Arial"/>
          <w:sz w:val="20"/>
          <w:szCs w:val="20"/>
        </w:rPr>
        <w:t xml:space="preserve"> prekarnih delavcev)</w:t>
      </w:r>
      <w:r w:rsidRPr="00BF7E57">
        <w:rPr>
          <w:rFonts w:ascii="Arial" w:hAnsi="Arial" w:cs="Arial"/>
          <w:color w:val="000000"/>
          <w:sz w:val="20"/>
          <w:szCs w:val="20"/>
        </w:rPr>
        <w:t>.</w:t>
      </w:r>
    </w:p>
    <w:p w14:paraId="7FFC0AE2" w14:textId="628ED8D6" w:rsidR="00026AF3" w:rsidRPr="00BF7E57"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BF7E57">
        <w:rPr>
          <w:rFonts w:ascii="Arial" w:hAnsi="Arial" w:cs="Arial"/>
          <w:b/>
          <w:sz w:val="20"/>
          <w:szCs w:val="20"/>
        </w:rPr>
        <w:t>Glede na indeks regionalne ogroženosti (IRO) obstajajo velike regionalne razlike glede na razvojno ogroženost.</w:t>
      </w:r>
      <w:r w:rsidRPr="00BF7E57">
        <w:rPr>
          <w:rFonts w:ascii="Arial" w:hAnsi="Arial" w:cs="Arial"/>
          <w:sz w:val="20"/>
          <w:szCs w:val="20"/>
        </w:rPr>
        <w:t xml:space="preserve"> IRO je višji v vzhodni kohezijski regiji, najbolj razvite regije so osrednjeslovenska, gorenjska regija in JV Slovenija. V najmanj razvitih regijah, kot so  pomurska, zasavska, podravska, koroška ter primorsko-notranjska regija</w:t>
      </w:r>
      <w:r w:rsidR="00835FE6" w:rsidRPr="00BF7E57">
        <w:rPr>
          <w:rFonts w:ascii="Arial" w:hAnsi="Arial" w:cs="Arial"/>
          <w:sz w:val="20"/>
          <w:szCs w:val="20"/>
        </w:rPr>
        <w:t>,</w:t>
      </w:r>
      <w:r w:rsidRPr="00BF7E57">
        <w:rPr>
          <w:rFonts w:ascii="Arial" w:hAnsi="Arial" w:cs="Arial"/>
          <w:sz w:val="20"/>
          <w:szCs w:val="20"/>
        </w:rPr>
        <w:t xml:space="preserve"> so najbolj pro</w:t>
      </w:r>
      <w:r w:rsidR="0080599C" w:rsidRPr="00BF7E57">
        <w:rPr>
          <w:rFonts w:ascii="Arial" w:hAnsi="Arial" w:cs="Arial"/>
          <w:sz w:val="20"/>
          <w:szCs w:val="20"/>
        </w:rPr>
        <w:t>b</w:t>
      </w:r>
      <w:r w:rsidRPr="00BF7E57">
        <w:rPr>
          <w:rFonts w:ascii="Arial" w:hAnsi="Arial" w:cs="Arial"/>
          <w:sz w:val="20"/>
          <w:szCs w:val="20"/>
        </w:rPr>
        <w:t>lematični produktivnost, razpoložljivi dohodek, zaposlenost, visoka brezposelnost, še posebej med mladimi, slaba izobrazba, staro prebivalstvo, najnižji BDP na prebivalca, zelo nizek delež bruto investicij v osnovna sredstva in sredstev za raziskav</w:t>
      </w:r>
      <w:r w:rsidR="00835FE6" w:rsidRPr="00BF7E57">
        <w:rPr>
          <w:rFonts w:ascii="Arial" w:hAnsi="Arial" w:cs="Arial"/>
          <w:sz w:val="20"/>
          <w:szCs w:val="20"/>
        </w:rPr>
        <w:t>e</w:t>
      </w:r>
      <w:r w:rsidRPr="00BF7E57">
        <w:rPr>
          <w:rFonts w:ascii="Arial" w:hAnsi="Arial" w:cs="Arial"/>
          <w:sz w:val="20"/>
          <w:szCs w:val="20"/>
        </w:rPr>
        <w:t>, nizke investicije, redka poseljenost. Pozitivno je, da so se na splošno kazalniki v zadnjih letih izboljšali v vseh regijah, najbolj v JV Sloveniji in posavski regiji.</w:t>
      </w:r>
    </w:p>
    <w:p w14:paraId="033A6CC0" w14:textId="52EAABDF" w:rsidR="009E0216" w:rsidRPr="00BF7E57"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sz w:val="20"/>
          <w:szCs w:val="20"/>
        </w:rPr>
      </w:pPr>
      <w:r w:rsidRPr="00BF7E57">
        <w:rPr>
          <w:rFonts w:ascii="Arial" w:hAnsi="Arial" w:cs="Arial"/>
          <w:b/>
          <w:sz w:val="20"/>
          <w:szCs w:val="20"/>
        </w:rPr>
        <w:t>Stopnja tveganja socialne izključenosti</w:t>
      </w:r>
      <w:r w:rsidRPr="00BF7E57">
        <w:rPr>
          <w:rFonts w:ascii="Arial" w:hAnsi="Arial" w:cs="Arial"/>
          <w:sz w:val="20"/>
          <w:szCs w:val="20"/>
        </w:rPr>
        <w:t xml:space="preserve"> v Sloveniji se sicer znižuje, vendar so velike razlike med regijami (najvišja stopnja socialne izključenosti je v zasavski, koroški, podravski</w:t>
      </w:r>
      <w:r w:rsidR="00835FE6" w:rsidRPr="00BF7E57">
        <w:rPr>
          <w:rFonts w:ascii="Arial" w:hAnsi="Arial" w:cs="Arial"/>
          <w:sz w:val="20"/>
          <w:szCs w:val="20"/>
        </w:rPr>
        <w:t xml:space="preserve"> regiji</w:t>
      </w:r>
      <w:r w:rsidRPr="00BF7E57">
        <w:rPr>
          <w:rFonts w:ascii="Arial" w:hAnsi="Arial" w:cs="Arial"/>
          <w:sz w:val="20"/>
          <w:szCs w:val="20"/>
        </w:rPr>
        <w:t>). Stopnja</w:t>
      </w:r>
      <w:r w:rsidR="00C9225D" w:rsidRPr="00BF7E57">
        <w:rPr>
          <w:rFonts w:ascii="Arial" w:hAnsi="Arial" w:cs="Arial"/>
          <w:sz w:val="20"/>
          <w:szCs w:val="20"/>
        </w:rPr>
        <w:t xml:space="preserve"> tveganja socialne izključenosti</w:t>
      </w:r>
      <w:r w:rsidRPr="00BF7E57">
        <w:rPr>
          <w:rFonts w:ascii="Arial" w:hAnsi="Arial" w:cs="Arial"/>
          <w:sz w:val="20"/>
          <w:szCs w:val="20"/>
        </w:rPr>
        <w:t xml:space="preserve"> za ženske je nad povprečjem EU. Pod pragom revščine po podatkih SURS živi vsak osmi Slovenec oziroma 243.000 oseb, od tega je najvišji delež upokojencev (37 %), še posebej upokojenih žensk; sledijo pa mladoletni otroci (17 %); pa tudi 16 % delovno aktivnih, 16,5 % brezposelnih ter ostali (nezmožni za delo, gospodinje, študenti). </w:t>
      </w:r>
    </w:p>
    <w:p w14:paraId="736AC3E9" w14:textId="6B55E840" w:rsidR="00026AF3" w:rsidRPr="00BF7E57"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BF7E57">
        <w:rPr>
          <w:rFonts w:ascii="Arial" w:hAnsi="Arial" w:cs="Arial"/>
          <w:b/>
          <w:sz w:val="20"/>
          <w:szCs w:val="20"/>
        </w:rPr>
        <w:t>Na podlagi analize stanja so prepoznane naslednje najbolj ranljive skupine</w:t>
      </w:r>
      <w:r w:rsidRPr="00BF7E57">
        <w:rPr>
          <w:rFonts w:ascii="Arial" w:hAnsi="Arial" w:cs="Arial"/>
          <w:sz w:val="20"/>
          <w:szCs w:val="20"/>
        </w:rPr>
        <w:t xml:space="preserve">: brezposelne osebe, samozaposlene osebe, gospodinjstva z vzdrževanimi otroki, enočlanska in enostarševska gospodinjstva, upokojene ženske, še posebej ženske na podeželju stare nad 59 let; osebe brez izobrazbe, drugi neaktivni oz. nezmožni za delo. </w:t>
      </w:r>
    </w:p>
    <w:p w14:paraId="59BBE226" w14:textId="22619090" w:rsidR="00620C77" w:rsidRPr="00BF7E57" w:rsidRDefault="00620C77"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BF7E57">
        <w:rPr>
          <w:rFonts w:ascii="Arial" w:hAnsi="Arial" w:cs="Arial"/>
          <w:b/>
          <w:sz w:val="20"/>
          <w:szCs w:val="20"/>
        </w:rPr>
        <w:t>In</w:t>
      </w:r>
      <w:r w:rsidR="00F429EF" w:rsidRPr="00BF7E57">
        <w:rPr>
          <w:rFonts w:ascii="Arial" w:hAnsi="Arial" w:cs="Arial"/>
          <w:b/>
          <w:sz w:val="20"/>
          <w:szCs w:val="20"/>
        </w:rPr>
        <w:t>d</w:t>
      </w:r>
      <w:r w:rsidRPr="00BF7E57">
        <w:rPr>
          <w:rFonts w:ascii="Arial" w:hAnsi="Arial" w:cs="Arial"/>
          <w:b/>
          <w:sz w:val="20"/>
          <w:szCs w:val="20"/>
        </w:rPr>
        <w:t>eks enakosti spolov se z leti izboljšuje, vendar je bil v letu 2020 nekoliko nižji od evropskega povprečja (67,7)</w:t>
      </w:r>
      <w:r w:rsidRPr="00BF7E57">
        <w:rPr>
          <w:rFonts w:ascii="Arial" w:hAnsi="Arial" w:cs="Arial"/>
        </w:rPr>
        <w:t>.</w:t>
      </w:r>
    </w:p>
    <w:p w14:paraId="61EAAA65" w14:textId="038B0F3D" w:rsidR="009E0216" w:rsidRPr="00BF7E57"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sz w:val="20"/>
          <w:szCs w:val="20"/>
        </w:rPr>
      </w:pPr>
      <w:r w:rsidRPr="00BF7E57">
        <w:rPr>
          <w:rFonts w:ascii="Arial" w:hAnsi="Arial" w:cs="Arial"/>
          <w:sz w:val="20"/>
          <w:szCs w:val="20"/>
        </w:rPr>
        <w:lastRenderedPageBreak/>
        <w:t xml:space="preserve">. Stanovanjske razmere se sicer z leti izboljšujejo. Delež lastniških stanovanj je visok; visok je tudi delež oseb, ki živijo v individualnih hišah na podeželju in na kmetijah. </w:t>
      </w:r>
    </w:p>
    <w:p w14:paraId="4C34C4AE" w14:textId="31267427" w:rsidR="00D04CAC"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b/>
        </w:rPr>
      </w:pPr>
      <w:r w:rsidRPr="00BF7E57">
        <w:rPr>
          <w:rFonts w:ascii="Arial" w:hAnsi="Arial" w:cs="Arial"/>
          <w:b/>
        </w:rPr>
        <w:t>Dostop do interneta se zadnja leta zvišuje</w:t>
      </w:r>
      <w:r w:rsidRPr="00BF7E57">
        <w:rPr>
          <w:rFonts w:ascii="Arial" w:hAnsi="Arial" w:cs="Arial"/>
        </w:rPr>
        <w:t>, v letu 2019 je dostop do interneta imel</w:t>
      </w:r>
      <w:r w:rsidR="00835FE6" w:rsidRPr="00BF7E57">
        <w:rPr>
          <w:rFonts w:ascii="Arial" w:hAnsi="Arial" w:cs="Arial"/>
        </w:rPr>
        <w:t>o</w:t>
      </w:r>
      <w:r w:rsidRPr="00BF7E57">
        <w:rPr>
          <w:rFonts w:ascii="Arial" w:hAnsi="Arial" w:cs="Arial"/>
        </w:rPr>
        <w:t xml:space="preserve"> 89 % prebivalcev. </w:t>
      </w:r>
    </w:p>
    <w:p w14:paraId="0297D311" w14:textId="59316B9A"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b/>
        </w:rPr>
      </w:pPr>
      <w:r w:rsidRPr="00BF7E57">
        <w:rPr>
          <w:rFonts w:ascii="Arial" w:hAnsi="Arial" w:cs="Arial"/>
        </w:rPr>
        <w:t>Na podeželju, še posebej na redko poseljenih območjih, je</w:t>
      </w:r>
      <w:r w:rsidRPr="00BF7E57">
        <w:rPr>
          <w:rFonts w:ascii="Arial" w:hAnsi="Arial" w:cs="Arial"/>
          <w:b/>
        </w:rPr>
        <w:t xml:space="preserve"> visok delež bivanja v čistem okolju, </w:t>
      </w:r>
      <w:r w:rsidRPr="00BF7E57">
        <w:rPr>
          <w:rFonts w:ascii="Arial" w:hAnsi="Arial" w:cs="Arial"/>
        </w:rPr>
        <w:t xml:space="preserve">visok </w:t>
      </w:r>
      <w:r w:rsidR="00D04CAC" w:rsidRPr="00BF7E57">
        <w:rPr>
          <w:rFonts w:ascii="Arial" w:hAnsi="Arial" w:cs="Arial"/>
        </w:rPr>
        <w:t>je</w:t>
      </w:r>
      <w:r w:rsidR="00835FE6" w:rsidRPr="00BF7E57">
        <w:rPr>
          <w:rFonts w:ascii="Arial" w:hAnsi="Arial" w:cs="Arial"/>
        </w:rPr>
        <w:t xml:space="preserve"> tudi</w:t>
      </w:r>
      <w:r w:rsidR="00D04CAC" w:rsidRPr="00BF7E57">
        <w:rPr>
          <w:rFonts w:ascii="Arial" w:hAnsi="Arial" w:cs="Arial"/>
        </w:rPr>
        <w:t xml:space="preserve"> </w:t>
      </w:r>
      <w:r w:rsidRPr="00BF7E57">
        <w:rPr>
          <w:rFonts w:ascii="Arial" w:hAnsi="Arial" w:cs="Arial"/>
        </w:rPr>
        <w:t xml:space="preserve">delež bivanja v </w:t>
      </w:r>
      <w:r w:rsidRPr="00BF7E57">
        <w:rPr>
          <w:rFonts w:ascii="Arial" w:hAnsi="Arial" w:cs="Arial"/>
          <w:b/>
        </w:rPr>
        <w:t>okolju brez hrupa, nizka stopnja kriminala.</w:t>
      </w:r>
    </w:p>
    <w:p w14:paraId="1588D5A5" w14:textId="3B333DC4"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 xml:space="preserve">Demografske spremembe so razvidne iz zmanjševanja generacij v formalnem </w:t>
      </w:r>
      <w:r w:rsidR="00326660" w:rsidRPr="00BF7E57">
        <w:rPr>
          <w:rFonts w:ascii="Arial" w:hAnsi="Arial" w:cs="Arial"/>
          <w:b/>
        </w:rPr>
        <w:t>izobraževanju</w:t>
      </w:r>
      <w:r w:rsidRPr="00BF7E57">
        <w:rPr>
          <w:rFonts w:ascii="Arial" w:hAnsi="Arial" w:cs="Arial"/>
          <w:b/>
        </w:rPr>
        <w:t>.</w:t>
      </w:r>
      <w:r w:rsidRPr="00BF7E57">
        <w:rPr>
          <w:rFonts w:ascii="Arial" w:hAnsi="Arial" w:cs="Arial"/>
        </w:rPr>
        <w:t xml:space="preserve"> Trend vpisov v formalno obliko izobraževanja je do leta 2018 upadal, kar</w:t>
      </w:r>
      <w:r w:rsidR="00326660" w:rsidRPr="00BF7E57">
        <w:rPr>
          <w:rFonts w:ascii="Arial" w:hAnsi="Arial" w:cs="Arial"/>
        </w:rPr>
        <w:t xml:space="preserve"> </w:t>
      </w:r>
      <w:r w:rsidRPr="00BF7E57">
        <w:rPr>
          <w:rFonts w:ascii="Arial" w:hAnsi="Arial" w:cs="Arial"/>
        </w:rPr>
        <w:t xml:space="preserve">je bilo posledica </w:t>
      </w:r>
      <w:r w:rsidR="00326660" w:rsidRPr="00BF7E57">
        <w:rPr>
          <w:rFonts w:ascii="Arial" w:hAnsi="Arial" w:cs="Arial"/>
        </w:rPr>
        <w:t>predvsem</w:t>
      </w:r>
      <w:r w:rsidRPr="00BF7E57">
        <w:rPr>
          <w:rFonts w:ascii="Arial" w:hAnsi="Arial" w:cs="Arial"/>
        </w:rPr>
        <w:t xml:space="preserve"> </w:t>
      </w:r>
      <w:r w:rsidRPr="00BF7E57">
        <w:rPr>
          <w:rFonts w:ascii="Arial" w:hAnsi="Arial" w:cs="Arial"/>
          <w:b/>
        </w:rPr>
        <w:t>zmanjševanja generacij. Upad števila otrok je vid</w:t>
      </w:r>
      <w:r w:rsidR="00835FE6" w:rsidRPr="00BF7E57">
        <w:rPr>
          <w:rFonts w:ascii="Arial" w:hAnsi="Arial" w:cs="Arial"/>
          <w:b/>
        </w:rPr>
        <w:t>en</w:t>
      </w:r>
      <w:r w:rsidRPr="00BF7E57">
        <w:rPr>
          <w:rFonts w:ascii="Arial" w:hAnsi="Arial" w:cs="Arial"/>
          <w:b/>
        </w:rPr>
        <w:t xml:space="preserve"> v šolah in terciarnem izobraževanju (iz podeželja je nižji delež študentov) zaradi negativnih demografskih sprememb, kar zmanjšuje ponudbo mladih na trgu dela</w:t>
      </w:r>
      <w:r w:rsidRPr="00BF7E57">
        <w:rPr>
          <w:rFonts w:ascii="Arial" w:hAnsi="Arial" w:cs="Arial"/>
        </w:rPr>
        <w:t xml:space="preserve">. Na podeželju so v povprečju nižje izobraženi ljudje. Povečuje se delež oseb s terciarno izobrazbo, </w:t>
      </w:r>
      <w:r w:rsidR="00835FE6" w:rsidRPr="00BF7E57">
        <w:rPr>
          <w:rFonts w:ascii="Arial" w:hAnsi="Arial" w:cs="Arial"/>
        </w:rPr>
        <w:t>k</w:t>
      </w:r>
      <w:r w:rsidRPr="00BF7E57">
        <w:rPr>
          <w:rFonts w:ascii="Arial" w:hAnsi="Arial" w:cs="Arial"/>
        </w:rPr>
        <w:t xml:space="preserve">jer prevladujejo ženske, vendar je delež terciarno izobraženih na podeželju nižji od slovenskega povprečja. Največji delež na podeželju predstavlja srednješolska izobrazba, vendar pa je še veliko oseb brez izobrazbe.  </w:t>
      </w:r>
    </w:p>
    <w:p w14:paraId="3D78E3B3" w14:textId="32871507"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Vključenost v vseživljenjsko izobraževanje se je v zadnjih letih znižala</w:t>
      </w:r>
      <w:r w:rsidRPr="00BF7E57">
        <w:rPr>
          <w:rFonts w:ascii="Arial" w:hAnsi="Arial" w:cs="Arial"/>
        </w:rPr>
        <w:t>. Za to se najmanj odločajo nizko izobraženi, starejši, moški, osebe z nizkimi spretnostmi in tujci. Na kakovost življenja lahko vpliv</w:t>
      </w:r>
      <w:r w:rsidR="00D04CAC" w:rsidRPr="00BF7E57">
        <w:rPr>
          <w:rFonts w:ascii="Arial" w:hAnsi="Arial" w:cs="Arial"/>
        </w:rPr>
        <w:t>a</w:t>
      </w:r>
      <w:r w:rsidRPr="00BF7E57">
        <w:rPr>
          <w:rFonts w:ascii="Arial" w:hAnsi="Arial" w:cs="Arial"/>
        </w:rPr>
        <w:t xml:space="preserve">jo tudi nizke spretnosti odraslih, tako besedilne, matematične kot digitalne. </w:t>
      </w:r>
    </w:p>
    <w:p w14:paraId="3C788F22" w14:textId="79B48501"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rPr>
        <w:t xml:space="preserve">Opremljenost s storitvami splošnega pomena (npr. poštne storitve, bančne storitve, trgovina, javni promet, šolstvo, zdravstvo) je razmeroma ustrezna. </w:t>
      </w:r>
      <w:r w:rsidRPr="00BF7E57">
        <w:rPr>
          <w:rFonts w:ascii="Arial" w:hAnsi="Arial" w:cs="Arial"/>
          <w:b/>
        </w:rPr>
        <w:t>Struktura in opremljenost centralnih naselij nad 10.000 prebivalci je razmeroma stabilna, večje spremembe v opremljenosti naselij so vidne v centralnih naseljih pod 10.000 prebivalci</w:t>
      </w:r>
      <w:r w:rsidRPr="00BF7E57">
        <w:rPr>
          <w:rFonts w:ascii="Arial" w:hAnsi="Arial" w:cs="Arial"/>
        </w:rPr>
        <w:t xml:space="preserve"> (medobčinska, središča lokalnega in središča podeželskega pomena). Oskrba s </w:t>
      </w:r>
      <w:r w:rsidR="00F7076B" w:rsidRPr="00BF7E57">
        <w:rPr>
          <w:rFonts w:ascii="Arial" w:hAnsi="Arial" w:cs="Arial"/>
        </w:rPr>
        <w:t xml:space="preserve">storitvenimi </w:t>
      </w:r>
      <w:r w:rsidRPr="00BF7E57">
        <w:rPr>
          <w:rFonts w:ascii="Arial" w:hAnsi="Arial" w:cs="Arial"/>
        </w:rPr>
        <w:t xml:space="preserve">funkcijami je </w:t>
      </w:r>
      <w:r w:rsidR="00D04CAC" w:rsidRPr="00BF7E57">
        <w:rPr>
          <w:rFonts w:ascii="Arial" w:hAnsi="Arial" w:cs="Arial"/>
        </w:rPr>
        <w:t xml:space="preserve">slabša </w:t>
      </w:r>
      <w:r w:rsidRPr="00BF7E57">
        <w:rPr>
          <w:rFonts w:ascii="Arial" w:hAnsi="Arial" w:cs="Arial"/>
        </w:rPr>
        <w:t xml:space="preserve">v manjših naseljih; slabša npr. na območjih večjih selitev prebivalcev, kjer se ni dovolj hitro prilagajala.  </w:t>
      </w:r>
      <w:r w:rsidRPr="00BF7E57">
        <w:rPr>
          <w:rFonts w:ascii="Arial" w:hAnsi="Arial" w:cs="Arial"/>
          <w:b/>
        </w:rPr>
        <w:t xml:space="preserve">Za življenje na podeželju </w:t>
      </w:r>
      <w:r w:rsidRPr="00BF7E57">
        <w:rPr>
          <w:rFonts w:ascii="Arial" w:hAnsi="Arial" w:cs="Arial"/>
        </w:rPr>
        <w:t>so z vidika kvalitete bivanja pomembni</w:t>
      </w:r>
      <w:r w:rsidRPr="00BF7E57">
        <w:rPr>
          <w:rFonts w:ascii="Arial" w:hAnsi="Arial" w:cs="Arial"/>
          <w:b/>
        </w:rPr>
        <w:t xml:space="preserve"> naravno okolje</w:t>
      </w:r>
      <w:r w:rsidRPr="00BF7E57">
        <w:rPr>
          <w:rFonts w:ascii="Arial" w:hAnsi="Arial" w:cs="Arial"/>
        </w:rPr>
        <w:t xml:space="preserve"> in </w:t>
      </w:r>
      <w:r w:rsidRPr="00BF7E57">
        <w:rPr>
          <w:rFonts w:ascii="Arial" w:hAnsi="Arial" w:cs="Arial"/>
          <w:b/>
        </w:rPr>
        <w:t>bližina narave</w:t>
      </w:r>
      <w:r w:rsidRPr="00BF7E57">
        <w:rPr>
          <w:rFonts w:ascii="Arial" w:hAnsi="Arial" w:cs="Arial"/>
        </w:rPr>
        <w:t>, mir, dostop do šole, urejenost naselij, varnost, dostopnost do storitev z avtomobilom in javnim prevozom, pa tudi medgeneracijsko sožitje, socialni stiki (aktivnosti, prireditve, društva, ohranjanje običajev, kulturne znamenitosti, igrišča, idr</w:t>
      </w:r>
      <w:r w:rsidR="00E6498E" w:rsidRPr="00BF7E57">
        <w:rPr>
          <w:rFonts w:ascii="Arial" w:hAnsi="Arial" w:cs="Arial"/>
        </w:rPr>
        <w:t>.</w:t>
      </w:r>
      <w:r w:rsidRPr="00BF7E57">
        <w:rPr>
          <w:rFonts w:ascii="Arial" w:hAnsi="Arial" w:cs="Arial"/>
        </w:rPr>
        <w:t>).</w:t>
      </w:r>
    </w:p>
    <w:p w14:paraId="7817D1B5" w14:textId="638D0B1A"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Na podeželju je že vzpostavljena dokaj dobra prostorsko razporejena mreža institucij in dejavnosti ter deležnikov, ki delujejo kot vmesnik, stičišče med starostniki in njihovim okoljem</w:t>
      </w:r>
      <w:r w:rsidRPr="00BF7E57">
        <w:rPr>
          <w:rFonts w:ascii="Arial" w:hAnsi="Arial" w:cs="Arial"/>
        </w:rPr>
        <w:t xml:space="preserve">. Vzpostavljena je mreža večgeneracijskih centrov. Obstoječe oblike storitev za boljšo mobilnost iz težje dostopnih območij, medgeneracijsko pomoč. V storitve dolgotrajne oskrbe je vključenih 11,4 % prebivalstva nad 65 let (123 domov v 91 občinah (od 212)). Oblika pomoči na domu v okviru javne službe se izvaja v 210 občinah, število uporabnikov raste. </w:t>
      </w:r>
      <w:r w:rsidRPr="00BF7E57">
        <w:rPr>
          <w:rFonts w:ascii="Arial" w:hAnsi="Arial" w:cs="Arial"/>
          <w:b/>
        </w:rPr>
        <w:t>Višina stroškov doplačil za storitve dolgotrajne oskrbe na domu v povprečju presega dohodkovne zmožnosti upokojencev</w:t>
      </w:r>
      <w:r w:rsidRPr="00BF7E57">
        <w:rPr>
          <w:rFonts w:ascii="Arial" w:hAnsi="Arial" w:cs="Arial"/>
        </w:rPr>
        <w:t xml:space="preserve">. Okoli 40 % upokojencev ima namreč pokojnino nižjo od 600 EUR, kar je nižje od cenejših javnih domov (najcenejši je npr. 568 </w:t>
      </w:r>
      <w:r w:rsidR="00FF2A8E" w:rsidRPr="00BF7E57">
        <w:rPr>
          <w:rFonts w:ascii="Arial" w:hAnsi="Arial" w:cs="Arial"/>
        </w:rPr>
        <w:t>EUR</w:t>
      </w:r>
      <w:r w:rsidRPr="00BF7E57">
        <w:rPr>
          <w:rFonts w:ascii="Arial" w:hAnsi="Arial" w:cs="Arial"/>
        </w:rPr>
        <w:t>, dražji pa 1</w:t>
      </w:r>
      <w:r w:rsidR="00422936" w:rsidRPr="00BF7E57">
        <w:rPr>
          <w:rFonts w:ascii="Arial" w:hAnsi="Arial" w:cs="Arial"/>
        </w:rPr>
        <w:t>.</w:t>
      </w:r>
      <w:r w:rsidRPr="00BF7E57">
        <w:rPr>
          <w:rFonts w:ascii="Arial" w:hAnsi="Arial" w:cs="Arial"/>
        </w:rPr>
        <w:t xml:space="preserve">065 </w:t>
      </w:r>
      <w:r w:rsidR="00FF2A8E" w:rsidRPr="00BF7E57">
        <w:rPr>
          <w:rFonts w:ascii="Arial" w:hAnsi="Arial" w:cs="Arial"/>
        </w:rPr>
        <w:t>EUR</w:t>
      </w:r>
      <w:r w:rsidRPr="00BF7E57">
        <w:rPr>
          <w:rFonts w:ascii="Arial" w:hAnsi="Arial" w:cs="Arial"/>
        </w:rPr>
        <w:t xml:space="preserve"> mesečno). </w:t>
      </w:r>
    </w:p>
    <w:p w14:paraId="44D4FC19" w14:textId="77777777"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lastRenderedPageBreak/>
        <w:t>Opazen je zaostanek pri uvajanju in zagotavljanju podpornih tehnologij v storitve dolgotrajne oskrbe</w:t>
      </w:r>
      <w:r w:rsidRPr="00BF7E57">
        <w:rPr>
          <w:rFonts w:ascii="Arial" w:hAnsi="Arial" w:cs="Arial"/>
        </w:rPr>
        <w:t xml:space="preserve"> kot so oskrba na daljavo, e-medicina, pametni dom. </w:t>
      </w:r>
    </w:p>
    <w:p w14:paraId="39D821ED" w14:textId="0CAAB153"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 xml:space="preserve">Na podeželju je zelo razvito delovanje nepridobitnih organizacij in društev, </w:t>
      </w:r>
      <w:r w:rsidRPr="00BF7E57">
        <w:rPr>
          <w:rFonts w:ascii="Arial" w:hAnsi="Arial" w:cs="Arial"/>
        </w:rPr>
        <w:t>kar je pomembno z vidika socialne vključenosti prebivalcev na podeželju. Število nepridobitnih organizacij</w:t>
      </w:r>
      <w:r w:rsidR="00F7076B" w:rsidRPr="00BF7E57">
        <w:rPr>
          <w:rFonts w:ascii="Arial" w:hAnsi="Arial" w:cs="Arial"/>
        </w:rPr>
        <w:t xml:space="preserve"> </w:t>
      </w:r>
      <w:r w:rsidRPr="00BF7E57">
        <w:rPr>
          <w:rFonts w:ascii="Arial" w:hAnsi="Arial" w:cs="Arial"/>
        </w:rPr>
        <w:t>v Sloveniji zadnja leta raste. Leta 2019 jih je bilo na podeželju 3.812, kar je 43 % vseh tovrstnih organizacij v Sloveniji. Prav tako se na podeželju povečuje število društev: leta 2019 jih je bilo 14.110, kar predstavlja 58 % vseh slovenskih društev. Največ društev je športn</w:t>
      </w:r>
      <w:r w:rsidR="00BB2518" w:rsidRPr="00BF7E57">
        <w:rPr>
          <w:rFonts w:ascii="Arial" w:hAnsi="Arial" w:cs="Arial"/>
        </w:rPr>
        <w:t>o-</w:t>
      </w:r>
      <w:r w:rsidRPr="00BF7E57">
        <w:rPr>
          <w:rFonts w:ascii="Arial" w:hAnsi="Arial" w:cs="Arial"/>
        </w:rPr>
        <w:t>rekreativnih, kulturnih, umetniških društev ter društev za pomoč ljudem. V nepridobitnih organizacijah in društvih se od leta 2008 povečuje tudi število zaposlenih, in sicer največji delež na področju izobraževanja, sledijo strokovne, znanstvene in tehnične dejavnosti.</w:t>
      </w:r>
    </w:p>
    <w:p w14:paraId="339A4895" w14:textId="77777777"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Dostopnost do prostočasnih dejavnosti se je sicer povečala, kljub temu pa je nizka med starejšimi in osebami z nizkimi dohodki. Delovno aktivni prebivalci pa prostočasne dejavnosti težje koristijo zaradi pomanjkanja prostega časa</w:t>
      </w:r>
      <w:r w:rsidRPr="00BF7E57">
        <w:rPr>
          <w:rFonts w:ascii="Arial" w:hAnsi="Arial" w:cs="Arial"/>
        </w:rPr>
        <w:t xml:space="preserve">. Na podeželju so manjše možnosti za interesne dejavnosti, športne aktivnosti, manj prostega časa. </w:t>
      </w:r>
    </w:p>
    <w:p w14:paraId="40DF3A8B" w14:textId="77777777"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 xml:space="preserve">Dediščina na podeželju je pomembna, saj ustvarja kulturno pestrost </w:t>
      </w:r>
      <w:r w:rsidRPr="00BF7E57">
        <w:rPr>
          <w:rFonts w:ascii="Arial" w:hAnsi="Arial" w:cs="Arial"/>
        </w:rPr>
        <w:t>Slovenije, ki se prepleta z izjemno krajinsko in biotsko raznovrstnostjo, privlačnostjo države za življenje državljanov, za izobraževanje, za razvoj, za umetniško ustvarjanje, za turizem in druge gospodarske dejavnosti. Še posebej e</w:t>
      </w:r>
      <w:r w:rsidRPr="00BF7E57">
        <w:rPr>
          <w:rFonts w:ascii="Arial" w:eastAsia="Arial" w:hAnsi="Arial" w:cs="Arial"/>
          <w:color w:val="000000" w:themeColor="text1"/>
        </w:rPr>
        <w:t>tnološka dediščina izginja bistveno hitreje oz. v večji meri kot druga dediščina.</w:t>
      </w:r>
    </w:p>
    <w:p w14:paraId="4ED5CC19" w14:textId="0B616ADD"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Za koncept Pametnih vasi kot reševanje izzivov na podeželju obstajajo oblike in priložnosti v okviru digitalnih storitev, socialnih in tehnoloških vsebin ter drugih inovacij na podeželju, skozi</w:t>
      </w:r>
      <w:r w:rsidRPr="00BF7E57">
        <w:rPr>
          <w:rFonts w:ascii="Arial" w:hAnsi="Arial" w:cs="Arial"/>
        </w:rPr>
        <w:t xml:space="preserve"> ukrepe PRP 2014-2020, kot so LEADER, sodelovanje, investicije na podeželju, na področju kratkih dobavnih verig, povezovanja podeželja in mest (npr. z lokalnimi pridelki), socialnih inovacij, različnih oblik sodelovanja, rekreacije in turizma, obnove in razvoja vasi, varovanja naravne in kulturne dediščine.</w:t>
      </w:r>
    </w:p>
    <w:p w14:paraId="5A00FF3B" w14:textId="77777777" w:rsidR="005E3745" w:rsidRPr="00BF7E57" w:rsidRDefault="005E3745">
      <w:pPr>
        <w:rPr>
          <w:rFonts w:ascii="Arial" w:eastAsia="Times New Roman" w:hAnsi="Arial" w:cs="Arial"/>
          <w:sz w:val="20"/>
          <w:szCs w:val="20"/>
          <w:lang w:eastAsia="en-GB"/>
        </w:rPr>
      </w:pPr>
      <w:r w:rsidRPr="00BF7E57">
        <w:rPr>
          <w:rFonts w:ascii="Arial" w:hAnsi="Arial" w:cs="Arial"/>
        </w:rPr>
        <w:br w:type="page"/>
      </w:r>
    </w:p>
    <w:p w14:paraId="734C5D43" w14:textId="1FCF8026" w:rsidR="009E0216" w:rsidRPr="00BF7E57" w:rsidRDefault="005070F3"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130" w:name="_Toc86826377"/>
      <w:r w:rsidRPr="00BF7E57">
        <w:rPr>
          <w:rFonts w:ascii="Arial" w:hAnsi="Arial" w:cs="Arial"/>
          <w:color w:val="auto"/>
          <w:sz w:val="24"/>
          <w:szCs w:val="24"/>
        </w:rPr>
        <w:lastRenderedPageBreak/>
        <w:t xml:space="preserve">3 </w:t>
      </w:r>
      <w:r w:rsidR="009E0216" w:rsidRPr="00BF7E57">
        <w:rPr>
          <w:rFonts w:ascii="Arial" w:hAnsi="Arial" w:cs="Arial"/>
          <w:color w:val="auto"/>
          <w:sz w:val="24"/>
          <w:szCs w:val="24"/>
        </w:rPr>
        <w:t>GOSPODARSTVO</w:t>
      </w:r>
      <w:bookmarkEnd w:id="130"/>
    </w:p>
    <w:p w14:paraId="0655E26E" w14:textId="737D8F41" w:rsidR="00B05A43" w:rsidRPr="00BF7E57" w:rsidRDefault="00C8249E" w:rsidP="005E3745">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 podatkih UMAR (2021) Slovenija v letu 2019 še ni dosegla relativne gospodarske razvitosti iz vrha v letu 2008, nadaljevanje razvojnega dohitevanja in povečevanja blaginje pa je močno odvisno od sposobnosti izhoda iz krize zaradi epidemije covida-19.</w:t>
      </w:r>
      <w:r w:rsidR="009E0216" w:rsidRPr="00BF7E57">
        <w:rPr>
          <w:rFonts w:ascii="Arial" w:hAnsi="Arial" w:cs="Arial"/>
          <w:color w:val="auto"/>
          <w:sz w:val="20"/>
          <w:szCs w:val="20"/>
          <w:lang w:val="sl-SI"/>
        </w:rPr>
        <w:t xml:space="preserve"> </w:t>
      </w:r>
      <w:r w:rsidRPr="00BF7E57">
        <w:rPr>
          <w:rFonts w:ascii="Arial" w:hAnsi="Arial" w:cs="Arial"/>
          <w:color w:val="auto"/>
          <w:sz w:val="20"/>
          <w:szCs w:val="20"/>
          <w:lang w:val="sl-SI"/>
        </w:rPr>
        <w:t xml:space="preserve"> B</w:t>
      </w:r>
      <w:r w:rsidR="009E0216" w:rsidRPr="00BF7E57">
        <w:rPr>
          <w:rFonts w:ascii="Arial" w:hAnsi="Arial" w:cs="Arial"/>
          <w:color w:val="auto"/>
          <w:sz w:val="20"/>
          <w:szCs w:val="20"/>
          <w:lang w:val="sl-SI"/>
        </w:rPr>
        <w:t>ruto domači proizvod (BDP)</w:t>
      </w:r>
      <w:r w:rsidRPr="00BF7E57">
        <w:rPr>
          <w:rFonts w:ascii="Arial" w:hAnsi="Arial" w:cs="Arial"/>
          <w:color w:val="auto"/>
          <w:sz w:val="20"/>
          <w:szCs w:val="20"/>
          <w:lang w:val="sl-SI"/>
        </w:rPr>
        <w:t xml:space="preserve"> se je</w:t>
      </w:r>
      <w:r w:rsidR="009E0216" w:rsidRPr="00BF7E57">
        <w:rPr>
          <w:rFonts w:ascii="Arial" w:hAnsi="Arial" w:cs="Arial"/>
          <w:color w:val="auto"/>
          <w:sz w:val="20"/>
          <w:szCs w:val="20"/>
          <w:lang w:val="sl-SI"/>
        </w:rPr>
        <w:t xml:space="preserve"> v Sloveniji </w:t>
      </w:r>
      <w:r w:rsidRPr="00BF7E57">
        <w:rPr>
          <w:rFonts w:ascii="Arial" w:hAnsi="Arial" w:cs="Arial"/>
          <w:color w:val="auto"/>
          <w:sz w:val="20"/>
          <w:szCs w:val="20"/>
          <w:lang w:val="sl-SI"/>
        </w:rPr>
        <w:t>do leta 2020</w:t>
      </w:r>
      <w:r w:rsidR="00BA51A8" w:rsidRPr="00BF7E57">
        <w:rPr>
          <w:rFonts w:ascii="Arial" w:hAnsi="Arial" w:cs="Arial"/>
          <w:color w:val="auto"/>
          <w:sz w:val="20"/>
          <w:szCs w:val="20"/>
          <w:lang w:val="sl-SI"/>
        </w:rPr>
        <w:t xml:space="preserve"> </w:t>
      </w:r>
      <w:r w:rsidR="009E0216" w:rsidRPr="00BF7E57">
        <w:rPr>
          <w:rFonts w:ascii="Arial" w:hAnsi="Arial" w:cs="Arial"/>
          <w:color w:val="auto"/>
          <w:sz w:val="20"/>
          <w:szCs w:val="20"/>
          <w:lang w:val="sl-SI"/>
        </w:rPr>
        <w:t>povečal (znašal je</w:t>
      </w:r>
      <w:r w:rsidRPr="00BF7E57">
        <w:rPr>
          <w:rFonts w:ascii="Arial" w:hAnsi="Arial" w:cs="Arial"/>
          <w:color w:val="auto"/>
          <w:sz w:val="20"/>
          <w:szCs w:val="20"/>
          <w:lang w:val="sl-SI"/>
        </w:rPr>
        <w:t xml:space="preserve"> 46.918</w:t>
      </w:r>
      <w:r w:rsidR="009E0216" w:rsidRPr="00BF7E57">
        <w:rPr>
          <w:rFonts w:ascii="Arial" w:hAnsi="Arial" w:cs="Arial"/>
          <w:color w:val="auto"/>
          <w:sz w:val="20"/>
          <w:szCs w:val="20"/>
          <w:lang w:val="sl-SI"/>
        </w:rPr>
        <w:t xml:space="preserve"> mio. EUR</w:t>
      </w:r>
      <w:r w:rsidRPr="00BF7E57">
        <w:rPr>
          <w:rFonts w:ascii="Arial" w:hAnsi="Arial" w:cs="Arial"/>
          <w:color w:val="auto"/>
          <w:sz w:val="20"/>
          <w:szCs w:val="20"/>
          <w:lang w:val="sl-SI"/>
        </w:rPr>
        <w:t>).</w:t>
      </w:r>
      <w:r w:rsidR="00BA51A8" w:rsidRPr="00BF7E57">
        <w:rPr>
          <w:rFonts w:ascii="Arial" w:hAnsi="Arial" w:cs="Arial"/>
          <w:color w:val="auto"/>
          <w:sz w:val="20"/>
          <w:szCs w:val="20"/>
          <w:lang w:val="sl-SI"/>
        </w:rPr>
        <w:t xml:space="preserve"> </w:t>
      </w:r>
      <w:r w:rsidR="009E0216" w:rsidRPr="00BF7E57">
        <w:rPr>
          <w:rFonts w:ascii="Arial" w:hAnsi="Arial" w:cs="Arial"/>
          <w:color w:val="auto"/>
          <w:sz w:val="20"/>
          <w:szCs w:val="20"/>
          <w:lang w:val="sl-SI"/>
        </w:rPr>
        <w:t>Po recesiji se realni BDP v Sloveniji od leta 2014 povečuje in se je zato v obdobju 2016–2018 zmanjševal zaostanek v gospodarski razvitosti za EU (še vedno pa se Slovenija uvršča v spodnjo polovico držav članic EU).</w:t>
      </w:r>
      <w:r w:rsidR="00DA2325" w:rsidRPr="00BF7E57">
        <w:rPr>
          <w:rFonts w:ascii="Arial" w:hAnsi="Arial" w:cs="Arial"/>
          <w:color w:val="auto"/>
          <w:sz w:val="20"/>
          <w:szCs w:val="20"/>
          <w:lang w:val="sl-SI"/>
        </w:rPr>
        <w:t xml:space="preserve"> </w:t>
      </w:r>
      <w:r w:rsidR="009E0216" w:rsidRPr="00BF7E57">
        <w:rPr>
          <w:rFonts w:ascii="Arial" w:hAnsi="Arial" w:cs="Arial"/>
          <w:color w:val="auto"/>
          <w:sz w:val="20"/>
          <w:szCs w:val="20"/>
          <w:lang w:val="sl-SI"/>
        </w:rPr>
        <w:t>BDP na prebivalca po kupni moči je v letu 201</w:t>
      </w:r>
      <w:r w:rsidRPr="00BF7E57">
        <w:rPr>
          <w:rFonts w:ascii="Arial" w:hAnsi="Arial" w:cs="Arial"/>
          <w:color w:val="auto"/>
          <w:sz w:val="20"/>
          <w:szCs w:val="20"/>
          <w:lang w:val="sl-SI"/>
        </w:rPr>
        <w:t>9</w:t>
      </w:r>
      <w:r w:rsidR="009E0216" w:rsidRPr="00BF7E57">
        <w:rPr>
          <w:rFonts w:ascii="Arial" w:hAnsi="Arial" w:cs="Arial"/>
          <w:color w:val="auto"/>
          <w:sz w:val="20"/>
          <w:szCs w:val="20"/>
          <w:lang w:val="sl-SI"/>
        </w:rPr>
        <w:t xml:space="preserve"> dosegel 8</w:t>
      </w:r>
      <w:r w:rsidRPr="00BF7E57">
        <w:rPr>
          <w:rFonts w:ascii="Arial" w:hAnsi="Arial" w:cs="Arial"/>
          <w:color w:val="auto"/>
          <w:sz w:val="20"/>
          <w:szCs w:val="20"/>
          <w:lang w:val="sl-SI"/>
        </w:rPr>
        <w:t>9</w:t>
      </w:r>
      <w:r w:rsidR="009E0216" w:rsidRPr="00BF7E57">
        <w:rPr>
          <w:rFonts w:ascii="Arial" w:hAnsi="Arial" w:cs="Arial"/>
          <w:color w:val="auto"/>
          <w:sz w:val="20"/>
          <w:szCs w:val="20"/>
          <w:lang w:val="sl-SI"/>
        </w:rPr>
        <w:t xml:space="preserve"> % povprečja EU</w:t>
      </w:r>
      <w:r w:rsidRPr="00BF7E57">
        <w:rPr>
          <w:rFonts w:ascii="Arial" w:hAnsi="Arial" w:cs="Arial"/>
          <w:color w:val="auto"/>
          <w:sz w:val="20"/>
          <w:szCs w:val="20"/>
          <w:lang w:val="sl-SI"/>
        </w:rPr>
        <w:t>.</w:t>
      </w:r>
      <w:r w:rsidR="00B05A43" w:rsidRPr="00BF7E57">
        <w:rPr>
          <w:rFonts w:ascii="Arial" w:hAnsi="Arial" w:cs="Arial"/>
          <w:color w:val="auto"/>
          <w:sz w:val="20"/>
          <w:szCs w:val="20"/>
          <w:lang w:val="sl-SI"/>
        </w:rPr>
        <w:t xml:space="preserve"> Bolj pozitivna je primerjava podeželskih regij</w:t>
      </w:r>
      <w:r w:rsidR="00CA72E9" w:rsidRPr="00BF7E57">
        <w:rPr>
          <w:rFonts w:ascii="Arial" w:hAnsi="Arial" w:cs="Arial"/>
          <w:color w:val="auto"/>
          <w:sz w:val="20"/>
          <w:szCs w:val="20"/>
          <w:lang w:val="sl-SI"/>
        </w:rPr>
        <w:t xml:space="preserve">, saj je po podatku </w:t>
      </w:r>
      <w:r w:rsidR="00B05A43" w:rsidRPr="00BF7E57">
        <w:rPr>
          <w:rFonts w:ascii="Arial" w:hAnsi="Arial" w:cs="Arial"/>
          <w:color w:val="auto"/>
          <w:sz w:val="20"/>
          <w:szCs w:val="20"/>
          <w:lang w:val="sl-SI"/>
        </w:rPr>
        <w:t>Eurostata BDP na prebivalca za leto 2018 v EU-27</w:t>
      </w:r>
      <w:r w:rsidR="00CA72E9" w:rsidRPr="00BF7E57">
        <w:rPr>
          <w:rFonts w:ascii="Arial" w:hAnsi="Arial" w:cs="Arial"/>
          <w:color w:val="auto"/>
          <w:sz w:val="20"/>
          <w:szCs w:val="20"/>
          <w:lang w:val="sl-SI"/>
        </w:rPr>
        <w:t xml:space="preserve"> nižji</w:t>
      </w:r>
      <w:r w:rsidR="00B05A43" w:rsidRPr="00BF7E57">
        <w:rPr>
          <w:rFonts w:ascii="Arial" w:hAnsi="Arial" w:cs="Arial"/>
          <w:color w:val="auto"/>
          <w:sz w:val="20"/>
          <w:szCs w:val="20"/>
          <w:lang w:val="sl-SI"/>
        </w:rPr>
        <w:t xml:space="preserve"> </w:t>
      </w:r>
      <w:r w:rsidR="00CA72E9" w:rsidRPr="00BF7E57">
        <w:rPr>
          <w:rFonts w:ascii="Arial" w:hAnsi="Arial" w:cs="Arial"/>
          <w:color w:val="auto"/>
          <w:sz w:val="20"/>
          <w:szCs w:val="20"/>
          <w:lang w:val="sl-SI"/>
        </w:rPr>
        <w:t>(</w:t>
      </w:r>
      <w:r w:rsidR="00B05A43" w:rsidRPr="00BF7E57">
        <w:rPr>
          <w:rFonts w:ascii="Arial" w:hAnsi="Arial" w:cs="Arial"/>
          <w:color w:val="auto"/>
          <w:sz w:val="20"/>
          <w:szCs w:val="20"/>
          <w:lang w:val="sl-SI"/>
        </w:rPr>
        <w:t>20.067</w:t>
      </w:r>
      <w:r w:rsidR="00CA72E9" w:rsidRPr="00BF7E57">
        <w:rPr>
          <w:rFonts w:ascii="Arial" w:hAnsi="Arial" w:cs="Arial"/>
          <w:color w:val="auto"/>
          <w:sz w:val="20"/>
          <w:szCs w:val="20"/>
          <w:lang w:val="sl-SI"/>
        </w:rPr>
        <w:t>) kot v podeželskih regijah</w:t>
      </w:r>
      <w:r w:rsidR="00B05A43" w:rsidRPr="00BF7E57">
        <w:rPr>
          <w:rFonts w:ascii="Arial" w:hAnsi="Arial" w:cs="Arial"/>
          <w:color w:val="auto"/>
          <w:sz w:val="20"/>
          <w:szCs w:val="20"/>
          <w:lang w:val="sl-SI"/>
        </w:rPr>
        <w:t xml:space="preserve"> v Sloveniji </w:t>
      </w:r>
      <w:r w:rsidR="00CA72E9" w:rsidRPr="00BF7E57">
        <w:rPr>
          <w:rFonts w:ascii="Arial" w:hAnsi="Arial" w:cs="Arial"/>
          <w:color w:val="auto"/>
          <w:sz w:val="20"/>
          <w:szCs w:val="20"/>
          <w:lang w:val="sl-SI"/>
        </w:rPr>
        <w:t>(</w:t>
      </w:r>
      <w:r w:rsidR="00B05A43" w:rsidRPr="00BF7E57">
        <w:rPr>
          <w:rFonts w:ascii="Arial" w:hAnsi="Arial" w:cs="Arial"/>
          <w:color w:val="auto"/>
          <w:sz w:val="20"/>
          <w:szCs w:val="20"/>
          <w:lang w:val="sl-SI"/>
        </w:rPr>
        <w:t>21.900</w:t>
      </w:r>
      <w:r w:rsidR="00CA72E9" w:rsidRPr="00BF7E57">
        <w:rPr>
          <w:rFonts w:ascii="Arial" w:hAnsi="Arial" w:cs="Arial"/>
          <w:color w:val="auto"/>
          <w:sz w:val="20"/>
          <w:szCs w:val="20"/>
          <w:lang w:val="sl-SI"/>
        </w:rPr>
        <w:t>)</w:t>
      </w:r>
      <w:r w:rsidR="00B05A43" w:rsidRPr="00BF7E57">
        <w:rPr>
          <w:rFonts w:ascii="Arial" w:hAnsi="Arial" w:cs="Arial"/>
          <w:color w:val="auto"/>
          <w:sz w:val="20"/>
          <w:szCs w:val="20"/>
          <w:lang w:val="sl-SI"/>
        </w:rPr>
        <w:t>.</w:t>
      </w:r>
    </w:p>
    <w:p w14:paraId="1F326A52" w14:textId="77777777" w:rsidR="0072219F" w:rsidRPr="00BF7E57" w:rsidRDefault="00DA2325" w:rsidP="00BA51A8">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BDP se je v drugem četrtletju 2021 povečal glede na leto 2020. K rasti BDP v drugem četrtletju 2021 so največ prispevale končna potrošnja gospodinjstev in bruto investicije. BDP na prebivalca v letu 2020 je bil 22.312 EUR.</w:t>
      </w:r>
      <w:r w:rsidR="00B05A43" w:rsidRPr="00BF7E57">
        <w:rPr>
          <w:rFonts w:ascii="Arial" w:hAnsi="Arial" w:cs="Arial"/>
          <w:color w:val="auto"/>
          <w:sz w:val="20"/>
          <w:szCs w:val="20"/>
          <w:lang w:val="sl-SI"/>
        </w:rPr>
        <w:t xml:space="preserve"> </w:t>
      </w:r>
    </w:p>
    <w:p w14:paraId="0C027AE3" w14:textId="77777777" w:rsidR="0072219F" w:rsidRPr="00BF7E57" w:rsidRDefault="0072219F" w:rsidP="00A417A4">
      <w:pPr>
        <w:pStyle w:val="SCslika"/>
        <w:keepNext/>
        <w:keepLines/>
        <w:rPr>
          <w:noProof w:val="0"/>
          <w:szCs w:val="20"/>
          <w:lang w:eastAsia="en-GB"/>
        </w:rPr>
      </w:pPr>
    </w:p>
    <w:p w14:paraId="577DAE0F" w14:textId="39614BA1" w:rsidR="0008099E" w:rsidRPr="00BF7E57" w:rsidRDefault="0008099E" w:rsidP="00F77BD0">
      <w:pPr>
        <w:pStyle w:val="Napis"/>
        <w:rPr>
          <w:szCs w:val="20"/>
        </w:rPr>
      </w:pPr>
      <w:bookmarkStart w:id="131" w:name="_Toc86826460"/>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22</w:t>
      </w:r>
      <w:r w:rsidR="00A30B83" w:rsidRPr="00BF7E57">
        <w:rPr>
          <w:noProof/>
        </w:rPr>
        <w:fldChar w:fldCharType="end"/>
      </w:r>
      <w:r w:rsidRPr="00BF7E57">
        <w:t>: Bruto domači proizvod na prebivalca glede na posamezno regijo v letih 2008, 2013, 2018 in 2019</w:t>
      </w:r>
      <w:bookmarkEnd w:id="131"/>
    </w:p>
    <w:p w14:paraId="263608DE" w14:textId="49EF4540" w:rsidR="009E0216" w:rsidRPr="00BF7E57" w:rsidRDefault="009E0216" w:rsidP="00F77BD0">
      <w:pPr>
        <w:pStyle w:val="Napis"/>
        <w:rPr>
          <w:szCs w:val="20"/>
        </w:rPr>
      </w:pPr>
    </w:p>
    <w:tbl>
      <w:tblPr>
        <w:tblW w:w="8868" w:type="dxa"/>
        <w:tblInd w:w="70" w:type="dxa"/>
        <w:tblLayout w:type="fixed"/>
        <w:tblCellMar>
          <w:left w:w="70" w:type="dxa"/>
          <w:right w:w="70" w:type="dxa"/>
        </w:tblCellMar>
        <w:tblLook w:val="04A0" w:firstRow="1" w:lastRow="0" w:firstColumn="1" w:lastColumn="0" w:noHBand="0" w:noVBand="1"/>
      </w:tblPr>
      <w:tblGrid>
        <w:gridCol w:w="1822"/>
        <w:gridCol w:w="1006"/>
        <w:gridCol w:w="1006"/>
        <w:gridCol w:w="1007"/>
        <w:gridCol w:w="1006"/>
        <w:gridCol w:w="1007"/>
        <w:gridCol w:w="1007"/>
        <w:gridCol w:w="1007"/>
      </w:tblGrid>
      <w:tr w:rsidR="00DA2325" w:rsidRPr="00BF7E57" w14:paraId="3F574FC6" w14:textId="77777777" w:rsidTr="0098043D">
        <w:trPr>
          <w:trHeight w:val="459"/>
        </w:trPr>
        <w:tc>
          <w:tcPr>
            <w:tcW w:w="182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1534425"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Regija / Leto</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526A17EE"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2008</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4B24F328"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2013</w:t>
            </w:r>
          </w:p>
        </w:tc>
        <w:tc>
          <w:tcPr>
            <w:tcW w:w="1007" w:type="dxa"/>
            <w:tcBorders>
              <w:top w:val="single" w:sz="4" w:space="0" w:color="auto"/>
              <w:left w:val="nil"/>
              <w:bottom w:val="single" w:sz="4" w:space="0" w:color="auto"/>
              <w:right w:val="single" w:sz="4" w:space="0" w:color="auto"/>
            </w:tcBorders>
            <w:shd w:val="clear" w:color="auto" w:fill="92D050"/>
            <w:noWrap/>
            <w:vAlign w:val="center"/>
            <w:hideMark/>
          </w:tcPr>
          <w:p w14:paraId="63911C5F"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Indeks_13</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50FA565B"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2018</w:t>
            </w:r>
          </w:p>
        </w:tc>
        <w:tc>
          <w:tcPr>
            <w:tcW w:w="1007" w:type="dxa"/>
            <w:tcBorders>
              <w:top w:val="single" w:sz="4" w:space="0" w:color="auto"/>
              <w:left w:val="nil"/>
              <w:bottom w:val="single" w:sz="4" w:space="0" w:color="auto"/>
              <w:right w:val="single" w:sz="4" w:space="0" w:color="auto"/>
            </w:tcBorders>
            <w:shd w:val="clear" w:color="auto" w:fill="92D050"/>
            <w:noWrap/>
            <w:vAlign w:val="center"/>
            <w:hideMark/>
          </w:tcPr>
          <w:p w14:paraId="2ECFC5D7"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Indeks_18</w:t>
            </w:r>
          </w:p>
        </w:tc>
        <w:tc>
          <w:tcPr>
            <w:tcW w:w="1007" w:type="dxa"/>
            <w:tcBorders>
              <w:top w:val="single" w:sz="4" w:space="0" w:color="auto"/>
              <w:left w:val="nil"/>
              <w:bottom w:val="single" w:sz="4" w:space="0" w:color="auto"/>
              <w:right w:val="single" w:sz="4" w:space="0" w:color="auto"/>
            </w:tcBorders>
            <w:shd w:val="clear" w:color="auto" w:fill="92D050"/>
          </w:tcPr>
          <w:p w14:paraId="73E58858"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2019</w:t>
            </w:r>
          </w:p>
        </w:tc>
        <w:tc>
          <w:tcPr>
            <w:tcW w:w="1007" w:type="dxa"/>
            <w:tcBorders>
              <w:top w:val="single" w:sz="4" w:space="0" w:color="auto"/>
              <w:left w:val="nil"/>
              <w:bottom w:val="single" w:sz="4" w:space="0" w:color="auto"/>
              <w:right w:val="single" w:sz="4" w:space="0" w:color="auto"/>
            </w:tcBorders>
            <w:shd w:val="clear" w:color="auto" w:fill="92D050"/>
          </w:tcPr>
          <w:p w14:paraId="47AC7D7F"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Indeks_19</w:t>
            </w:r>
          </w:p>
        </w:tc>
      </w:tr>
      <w:tr w:rsidR="00DA2325" w:rsidRPr="00BF7E57" w14:paraId="05737F2D"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39C2238"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Pomurska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67D9762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11.875</w:t>
            </w:r>
          </w:p>
        </w:tc>
        <w:tc>
          <w:tcPr>
            <w:tcW w:w="1006" w:type="dxa"/>
            <w:tcBorders>
              <w:top w:val="nil"/>
              <w:left w:val="nil"/>
              <w:bottom w:val="single" w:sz="4" w:space="0" w:color="auto"/>
              <w:right w:val="single" w:sz="4" w:space="0" w:color="auto"/>
            </w:tcBorders>
            <w:shd w:val="clear" w:color="auto" w:fill="auto"/>
            <w:noWrap/>
            <w:vAlign w:val="center"/>
            <w:hideMark/>
          </w:tcPr>
          <w:p w14:paraId="1C970F7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12.191</w:t>
            </w:r>
          </w:p>
        </w:tc>
        <w:tc>
          <w:tcPr>
            <w:tcW w:w="1007" w:type="dxa"/>
            <w:tcBorders>
              <w:top w:val="nil"/>
              <w:left w:val="nil"/>
              <w:bottom w:val="single" w:sz="4" w:space="0" w:color="auto"/>
              <w:right w:val="single" w:sz="4" w:space="0" w:color="auto"/>
            </w:tcBorders>
            <w:shd w:val="clear" w:color="auto" w:fill="auto"/>
            <w:noWrap/>
            <w:vAlign w:val="center"/>
            <w:hideMark/>
          </w:tcPr>
          <w:p w14:paraId="6A38F26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69,5</w:t>
            </w:r>
          </w:p>
        </w:tc>
        <w:tc>
          <w:tcPr>
            <w:tcW w:w="1006" w:type="dxa"/>
            <w:tcBorders>
              <w:top w:val="nil"/>
              <w:left w:val="nil"/>
              <w:bottom w:val="single" w:sz="4" w:space="0" w:color="auto"/>
              <w:right w:val="single" w:sz="4" w:space="0" w:color="auto"/>
            </w:tcBorders>
            <w:shd w:val="clear" w:color="auto" w:fill="auto"/>
            <w:noWrap/>
            <w:vAlign w:val="center"/>
            <w:hideMark/>
          </w:tcPr>
          <w:p w14:paraId="25B8B077"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14.937</w:t>
            </w:r>
          </w:p>
        </w:tc>
        <w:tc>
          <w:tcPr>
            <w:tcW w:w="1007" w:type="dxa"/>
            <w:tcBorders>
              <w:top w:val="nil"/>
              <w:left w:val="nil"/>
              <w:bottom w:val="single" w:sz="4" w:space="0" w:color="auto"/>
              <w:right w:val="single" w:sz="4" w:space="0" w:color="auto"/>
            </w:tcBorders>
            <w:shd w:val="clear" w:color="auto" w:fill="auto"/>
            <w:noWrap/>
            <w:vAlign w:val="center"/>
            <w:hideMark/>
          </w:tcPr>
          <w:p w14:paraId="3956848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67,6</w:t>
            </w:r>
          </w:p>
        </w:tc>
        <w:tc>
          <w:tcPr>
            <w:tcW w:w="1007" w:type="dxa"/>
            <w:tcBorders>
              <w:top w:val="nil"/>
              <w:left w:val="nil"/>
              <w:bottom w:val="single" w:sz="4" w:space="0" w:color="auto"/>
              <w:right w:val="single" w:sz="4" w:space="0" w:color="auto"/>
            </w:tcBorders>
          </w:tcPr>
          <w:p w14:paraId="4727B4FE"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15.705</w:t>
            </w:r>
          </w:p>
        </w:tc>
        <w:tc>
          <w:tcPr>
            <w:tcW w:w="1007" w:type="dxa"/>
            <w:tcBorders>
              <w:top w:val="nil"/>
              <w:left w:val="nil"/>
              <w:bottom w:val="single" w:sz="4" w:space="0" w:color="auto"/>
              <w:right w:val="single" w:sz="4" w:space="0" w:color="auto"/>
            </w:tcBorders>
          </w:tcPr>
          <w:p w14:paraId="59574EB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67,8</w:t>
            </w:r>
          </w:p>
        </w:tc>
      </w:tr>
      <w:tr w:rsidR="00DA2325" w:rsidRPr="00BF7E57" w14:paraId="43AC5285"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AE299C5"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Podravska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231EBC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15.697</w:t>
            </w:r>
          </w:p>
        </w:tc>
        <w:tc>
          <w:tcPr>
            <w:tcW w:w="1006" w:type="dxa"/>
            <w:tcBorders>
              <w:top w:val="nil"/>
              <w:left w:val="nil"/>
              <w:bottom w:val="single" w:sz="4" w:space="0" w:color="auto"/>
              <w:right w:val="single" w:sz="4" w:space="0" w:color="auto"/>
            </w:tcBorders>
            <w:shd w:val="clear" w:color="auto" w:fill="auto"/>
            <w:noWrap/>
            <w:vAlign w:val="center"/>
            <w:hideMark/>
          </w:tcPr>
          <w:p w14:paraId="702F7A53"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14.465</w:t>
            </w:r>
          </w:p>
        </w:tc>
        <w:tc>
          <w:tcPr>
            <w:tcW w:w="1007" w:type="dxa"/>
            <w:tcBorders>
              <w:top w:val="nil"/>
              <w:left w:val="nil"/>
              <w:bottom w:val="single" w:sz="4" w:space="0" w:color="auto"/>
              <w:right w:val="single" w:sz="4" w:space="0" w:color="auto"/>
            </w:tcBorders>
            <w:shd w:val="clear" w:color="auto" w:fill="auto"/>
            <w:noWrap/>
            <w:vAlign w:val="center"/>
            <w:hideMark/>
          </w:tcPr>
          <w:p w14:paraId="6874A91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82,4</w:t>
            </w:r>
          </w:p>
        </w:tc>
        <w:tc>
          <w:tcPr>
            <w:tcW w:w="1006" w:type="dxa"/>
            <w:tcBorders>
              <w:top w:val="nil"/>
              <w:left w:val="nil"/>
              <w:bottom w:val="single" w:sz="4" w:space="0" w:color="auto"/>
              <w:right w:val="single" w:sz="4" w:space="0" w:color="auto"/>
            </w:tcBorders>
            <w:shd w:val="clear" w:color="auto" w:fill="auto"/>
            <w:noWrap/>
            <w:vAlign w:val="center"/>
            <w:hideMark/>
          </w:tcPr>
          <w:p w14:paraId="5E883A7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17.838</w:t>
            </w:r>
          </w:p>
        </w:tc>
        <w:tc>
          <w:tcPr>
            <w:tcW w:w="1007" w:type="dxa"/>
            <w:tcBorders>
              <w:top w:val="nil"/>
              <w:left w:val="nil"/>
              <w:bottom w:val="single" w:sz="4" w:space="0" w:color="auto"/>
              <w:right w:val="single" w:sz="4" w:space="0" w:color="auto"/>
            </w:tcBorders>
            <w:shd w:val="clear" w:color="auto" w:fill="auto"/>
            <w:noWrap/>
            <w:vAlign w:val="center"/>
            <w:hideMark/>
          </w:tcPr>
          <w:p w14:paraId="2B37AFE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80,8</w:t>
            </w:r>
          </w:p>
        </w:tc>
        <w:tc>
          <w:tcPr>
            <w:tcW w:w="1007" w:type="dxa"/>
            <w:tcBorders>
              <w:top w:val="nil"/>
              <w:left w:val="nil"/>
              <w:bottom w:val="single" w:sz="4" w:space="0" w:color="auto"/>
              <w:right w:val="single" w:sz="4" w:space="0" w:color="auto"/>
            </w:tcBorders>
          </w:tcPr>
          <w:p w14:paraId="12645ED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18.887</w:t>
            </w:r>
          </w:p>
        </w:tc>
        <w:tc>
          <w:tcPr>
            <w:tcW w:w="1007" w:type="dxa"/>
            <w:tcBorders>
              <w:top w:val="nil"/>
              <w:left w:val="nil"/>
              <w:bottom w:val="single" w:sz="4" w:space="0" w:color="auto"/>
              <w:right w:val="single" w:sz="4" w:space="0" w:color="auto"/>
            </w:tcBorders>
          </w:tcPr>
          <w:p w14:paraId="2F96B50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81,5</w:t>
            </w:r>
          </w:p>
        </w:tc>
      </w:tr>
      <w:tr w:rsidR="00DA2325" w:rsidRPr="00BF7E57" w14:paraId="1E0B8D71"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44E684E5"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Koroška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5A851118"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14.451</w:t>
            </w:r>
          </w:p>
        </w:tc>
        <w:tc>
          <w:tcPr>
            <w:tcW w:w="1006" w:type="dxa"/>
            <w:tcBorders>
              <w:top w:val="nil"/>
              <w:left w:val="nil"/>
              <w:bottom w:val="single" w:sz="4" w:space="0" w:color="auto"/>
              <w:right w:val="single" w:sz="4" w:space="0" w:color="auto"/>
            </w:tcBorders>
            <w:shd w:val="clear" w:color="auto" w:fill="auto"/>
            <w:noWrap/>
            <w:vAlign w:val="center"/>
            <w:hideMark/>
          </w:tcPr>
          <w:p w14:paraId="3DED9FA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13.886</w:t>
            </w:r>
          </w:p>
        </w:tc>
        <w:tc>
          <w:tcPr>
            <w:tcW w:w="1007" w:type="dxa"/>
            <w:tcBorders>
              <w:top w:val="nil"/>
              <w:left w:val="nil"/>
              <w:bottom w:val="single" w:sz="4" w:space="0" w:color="auto"/>
              <w:right w:val="single" w:sz="4" w:space="0" w:color="auto"/>
            </w:tcBorders>
            <w:shd w:val="clear" w:color="auto" w:fill="auto"/>
            <w:noWrap/>
            <w:vAlign w:val="center"/>
            <w:hideMark/>
          </w:tcPr>
          <w:p w14:paraId="6011E27D"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79,1</w:t>
            </w:r>
          </w:p>
        </w:tc>
        <w:tc>
          <w:tcPr>
            <w:tcW w:w="1006" w:type="dxa"/>
            <w:tcBorders>
              <w:top w:val="nil"/>
              <w:left w:val="nil"/>
              <w:bottom w:val="single" w:sz="4" w:space="0" w:color="auto"/>
              <w:right w:val="single" w:sz="4" w:space="0" w:color="auto"/>
            </w:tcBorders>
            <w:shd w:val="clear" w:color="auto" w:fill="auto"/>
            <w:noWrap/>
            <w:vAlign w:val="center"/>
            <w:hideMark/>
          </w:tcPr>
          <w:p w14:paraId="292AD10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17.885</w:t>
            </w:r>
          </w:p>
        </w:tc>
        <w:tc>
          <w:tcPr>
            <w:tcW w:w="1007" w:type="dxa"/>
            <w:tcBorders>
              <w:top w:val="nil"/>
              <w:left w:val="nil"/>
              <w:bottom w:val="single" w:sz="4" w:space="0" w:color="auto"/>
              <w:right w:val="single" w:sz="4" w:space="0" w:color="auto"/>
            </w:tcBorders>
            <w:shd w:val="clear" w:color="auto" w:fill="auto"/>
            <w:noWrap/>
            <w:vAlign w:val="center"/>
            <w:hideMark/>
          </w:tcPr>
          <w:p w14:paraId="6AA26198"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81,0</w:t>
            </w:r>
          </w:p>
        </w:tc>
        <w:tc>
          <w:tcPr>
            <w:tcW w:w="1007" w:type="dxa"/>
            <w:tcBorders>
              <w:top w:val="nil"/>
              <w:left w:val="nil"/>
              <w:bottom w:val="single" w:sz="4" w:space="0" w:color="auto"/>
              <w:right w:val="single" w:sz="4" w:space="0" w:color="auto"/>
            </w:tcBorders>
          </w:tcPr>
          <w:p w14:paraId="7286F2C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18.694</w:t>
            </w:r>
          </w:p>
        </w:tc>
        <w:tc>
          <w:tcPr>
            <w:tcW w:w="1007" w:type="dxa"/>
            <w:tcBorders>
              <w:top w:val="nil"/>
              <w:left w:val="nil"/>
              <w:bottom w:val="single" w:sz="4" w:space="0" w:color="auto"/>
              <w:right w:val="single" w:sz="4" w:space="0" w:color="auto"/>
            </w:tcBorders>
          </w:tcPr>
          <w:p w14:paraId="3E1DF34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80,7</w:t>
            </w:r>
          </w:p>
        </w:tc>
      </w:tr>
      <w:tr w:rsidR="00DA2325" w:rsidRPr="00BF7E57" w14:paraId="2833C249"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C3DF1EE"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Savinjska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F77150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16.778</w:t>
            </w:r>
          </w:p>
        </w:tc>
        <w:tc>
          <w:tcPr>
            <w:tcW w:w="1006" w:type="dxa"/>
            <w:tcBorders>
              <w:top w:val="nil"/>
              <w:left w:val="nil"/>
              <w:bottom w:val="single" w:sz="4" w:space="0" w:color="auto"/>
              <w:right w:val="single" w:sz="4" w:space="0" w:color="auto"/>
            </w:tcBorders>
            <w:shd w:val="clear" w:color="auto" w:fill="auto"/>
            <w:noWrap/>
            <w:vAlign w:val="center"/>
            <w:hideMark/>
          </w:tcPr>
          <w:p w14:paraId="066F422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15.837</w:t>
            </w:r>
          </w:p>
        </w:tc>
        <w:tc>
          <w:tcPr>
            <w:tcW w:w="1007" w:type="dxa"/>
            <w:tcBorders>
              <w:top w:val="nil"/>
              <w:left w:val="nil"/>
              <w:bottom w:val="single" w:sz="4" w:space="0" w:color="auto"/>
              <w:right w:val="single" w:sz="4" w:space="0" w:color="auto"/>
            </w:tcBorders>
            <w:shd w:val="clear" w:color="auto" w:fill="auto"/>
            <w:noWrap/>
            <w:vAlign w:val="center"/>
            <w:hideMark/>
          </w:tcPr>
          <w:p w14:paraId="754AA9D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90,2</w:t>
            </w:r>
          </w:p>
        </w:tc>
        <w:tc>
          <w:tcPr>
            <w:tcW w:w="1006" w:type="dxa"/>
            <w:tcBorders>
              <w:top w:val="nil"/>
              <w:left w:val="nil"/>
              <w:bottom w:val="single" w:sz="4" w:space="0" w:color="auto"/>
              <w:right w:val="single" w:sz="4" w:space="0" w:color="auto"/>
            </w:tcBorders>
            <w:shd w:val="clear" w:color="auto" w:fill="auto"/>
            <w:noWrap/>
            <w:vAlign w:val="center"/>
            <w:hideMark/>
          </w:tcPr>
          <w:p w14:paraId="4C63643E"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19.987</w:t>
            </w:r>
          </w:p>
        </w:tc>
        <w:tc>
          <w:tcPr>
            <w:tcW w:w="1007" w:type="dxa"/>
            <w:tcBorders>
              <w:top w:val="nil"/>
              <w:left w:val="nil"/>
              <w:bottom w:val="single" w:sz="4" w:space="0" w:color="auto"/>
              <w:right w:val="single" w:sz="4" w:space="0" w:color="auto"/>
            </w:tcBorders>
            <w:shd w:val="clear" w:color="auto" w:fill="auto"/>
            <w:noWrap/>
            <w:vAlign w:val="center"/>
            <w:hideMark/>
          </w:tcPr>
          <w:p w14:paraId="1C097A2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90,5</w:t>
            </w:r>
          </w:p>
        </w:tc>
        <w:tc>
          <w:tcPr>
            <w:tcW w:w="1007" w:type="dxa"/>
            <w:tcBorders>
              <w:top w:val="nil"/>
              <w:left w:val="nil"/>
              <w:bottom w:val="single" w:sz="4" w:space="0" w:color="auto"/>
              <w:right w:val="single" w:sz="4" w:space="0" w:color="auto"/>
            </w:tcBorders>
          </w:tcPr>
          <w:p w14:paraId="32A0565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20.954</w:t>
            </w:r>
          </w:p>
        </w:tc>
        <w:tc>
          <w:tcPr>
            <w:tcW w:w="1007" w:type="dxa"/>
            <w:tcBorders>
              <w:top w:val="nil"/>
              <w:left w:val="nil"/>
              <w:bottom w:val="single" w:sz="4" w:space="0" w:color="auto"/>
              <w:right w:val="single" w:sz="4" w:space="0" w:color="auto"/>
            </w:tcBorders>
          </w:tcPr>
          <w:p w14:paraId="4C1DA445"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90,5</w:t>
            </w:r>
          </w:p>
        </w:tc>
      </w:tr>
      <w:tr w:rsidR="00DA2325" w:rsidRPr="00BF7E57" w14:paraId="27E9D210"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64B12E7A"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Zasavska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7C50F4D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11.377</w:t>
            </w:r>
          </w:p>
        </w:tc>
        <w:tc>
          <w:tcPr>
            <w:tcW w:w="1006" w:type="dxa"/>
            <w:tcBorders>
              <w:top w:val="nil"/>
              <w:left w:val="nil"/>
              <w:bottom w:val="single" w:sz="4" w:space="0" w:color="auto"/>
              <w:right w:val="single" w:sz="4" w:space="0" w:color="auto"/>
            </w:tcBorders>
            <w:shd w:val="clear" w:color="auto" w:fill="auto"/>
            <w:noWrap/>
            <w:vAlign w:val="center"/>
            <w:hideMark/>
          </w:tcPr>
          <w:p w14:paraId="48CE5D0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10.972</w:t>
            </w:r>
          </w:p>
        </w:tc>
        <w:tc>
          <w:tcPr>
            <w:tcW w:w="1007" w:type="dxa"/>
            <w:tcBorders>
              <w:top w:val="nil"/>
              <w:left w:val="nil"/>
              <w:bottom w:val="single" w:sz="4" w:space="0" w:color="auto"/>
              <w:right w:val="single" w:sz="4" w:space="0" w:color="auto"/>
            </w:tcBorders>
            <w:shd w:val="clear" w:color="auto" w:fill="auto"/>
            <w:noWrap/>
            <w:vAlign w:val="center"/>
            <w:hideMark/>
          </w:tcPr>
          <w:p w14:paraId="2FD3F64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62,5</w:t>
            </w:r>
          </w:p>
        </w:tc>
        <w:tc>
          <w:tcPr>
            <w:tcW w:w="1006" w:type="dxa"/>
            <w:tcBorders>
              <w:top w:val="nil"/>
              <w:left w:val="nil"/>
              <w:bottom w:val="single" w:sz="4" w:space="0" w:color="auto"/>
              <w:right w:val="single" w:sz="4" w:space="0" w:color="auto"/>
            </w:tcBorders>
            <w:shd w:val="clear" w:color="auto" w:fill="auto"/>
            <w:noWrap/>
            <w:vAlign w:val="center"/>
            <w:hideMark/>
          </w:tcPr>
          <w:p w14:paraId="719B59EE"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11.574</w:t>
            </w:r>
          </w:p>
        </w:tc>
        <w:tc>
          <w:tcPr>
            <w:tcW w:w="1007" w:type="dxa"/>
            <w:tcBorders>
              <w:top w:val="nil"/>
              <w:left w:val="nil"/>
              <w:bottom w:val="single" w:sz="4" w:space="0" w:color="auto"/>
              <w:right w:val="single" w:sz="4" w:space="0" w:color="auto"/>
            </w:tcBorders>
            <w:shd w:val="clear" w:color="auto" w:fill="auto"/>
            <w:noWrap/>
            <w:vAlign w:val="center"/>
            <w:hideMark/>
          </w:tcPr>
          <w:p w14:paraId="6FD5E76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52,4</w:t>
            </w:r>
          </w:p>
        </w:tc>
        <w:tc>
          <w:tcPr>
            <w:tcW w:w="1007" w:type="dxa"/>
            <w:tcBorders>
              <w:top w:val="nil"/>
              <w:left w:val="nil"/>
              <w:bottom w:val="single" w:sz="4" w:space="0" w:color="auto"/>
              <w:right w:val="single" w:sz="4" w:space="0" w:color="auto"/>
            </w:tcBorders>
          </w:tcPr>
          <w:p w14:paraId="7C1A9867"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12.287</w:t>
            </w:r>
          </w:p>
        </w:tc>
        <w:tc>
          <w:tcPr>
            <w:tcW w:w="1007" w:type="dxa"/>
            <w:tcBorders>
              <w:top w:val="nil"/>
              <w:left w:val="nil"/>
              <w:bottom w:val="single" w:sz="4" w:space="0" w:color="auto"/>
              <w:right w:val="single" w:sz="4" w:space="0" w:color="auto"/>
            </w:tcBorders>
          </w:tcPr>
          <w:p w14:paraId="2355A6B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53,0</w:t>
            </w:r>
          </w:p>
        </w:tc>
      </w:tr>
      <w:tr w:rsidR="00DA2325" w:rsidRPr="00BF7E57" w14:paraId="25BC9874"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502C74E5"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Posavska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548D612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14.964</w:t>
            </w:r>
          </w:p>
        </w:tc>
        <w:tc>
          <w:tcPr>
            <w:tcW w:w="1006" w:type="dxa"/>
            <w:tcBorders>
              <w:top w:val="nil"/>
              <w:left w:val="nil"/>
              <w:bottom w:val="single" w:sz="4" w:space="0" w:color="auto"/>
              <w:right w:val="single" w:sz="4" w:space="0" w:color="auto"/>
            </w:tcBorders>
            <w:shd w:val="clear" w:color="auto" w:fill="auto"/>
            <w:noWrap/>
            <w:vAlign w:val="center"/>
            <w:hideMark/>
          </w:tcPr>
          <w:p w14:paraId="4ED55848"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15.147</w:t>
            </w:r>
          </w:p>
        </w:tc>
        <w:tc>
          <w:tcPr>
            <w:tcW w:w="1007" w:type="dxa"/>
            <w:tcBorders>
              <w:top w:val="nil"/>
              <w:left w:val="nil"/>
              <w:bottom w:val="single" w:sz="4" w:space="0" w:color="auto"/>
              <w:right w:val="single" w:sz="4" w:space="0" w:color="auto"/>
            </w:tcBorders>
            <w:shd w:val="clear" w:color="auto" w:fill="auto"/>
            <w:noWrap/>
            <w:vAlign w:val="center"/>
            <w:hideMark/>
          </w:tcPr>
          <w:p w14:paraId="69A89BB1"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86,3</w:t>
            </w:r>
          </w:p>
        </w:tc>
        <w:tc>
          <w:tcPr>
            <w:tcW w:w="1006" w:type="dxa"/>
            <w:tcBorders>
              <w:top w:val="nil"/>
              <w:left w:val="nil"/>
              <w:bottom w:val="single" w:sz="4" w:space="0" w:color="auto"/>
              <w:right w:val="single" w:sz="4" w:space="0" w:color="auto"/>
            </w:tcBorders>
            <w:shd w:val="clear" w:color="auto" w:fill="auto"/>
            <w:noWrap/>
            <w:vAlign w:val="center"/>
            <w:hideMark/>
          </w:tcPr>
          <w:p w14:paraId="0469D7D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18.314</w:t>
            </w:r>
          </w:p>
        </w:tc>
        <w:tc>
          <w:tcPr>
            <w:tcW w:w="1007" w:type="dxa"/>
            <w:tcBorders>
              <w:top w:val="nil"/>
              <w:left w:val="nil"/>
              <w:bottom w:val="single" w:sz="4" w:space="0" w:color="auto"/>
              <w:right w:val="single" w:sz="4" w:space="0" w:color="auto"/>
            </w:tcBorders>
            <w:shd w:val="clear" w:color="auto" w:fill="auto"/>
            <w:noWrap/>
            <w:vAlign w:val="center"/>
            <w:hideMark/>
          </w:tcPr>
          <w:p w14:paraId="6B89A38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82,9</w:t>
            </w:r>
          </w:p>
        </w:tc>
        <w:tc>
          <w:tcPr>
            <w:tcW w:w="1007" w:type="dxa"/>
            <w:tcBorders>
              <w:top w:val="nil"/>
              <w:left w:val="nil"/>
              <w:bottom w:val="single" w:sz="4" w:space="0" w:color="auto"/>
              <w:right w:val="single" w:sz="4" w:space="0" w:color="auto"/>
            </w:tcBorders>
          </w:tcPr>
          <w:p w14:paraId="1A533EC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19.456</w:t>
            </w:r>
          </w:p>
        </w:tc>
        <w:tc>
          <w:tcPr>
            <w:tcW w:w="1007" w:type="dxa"/>
            <w:tcBorders>
              <w:top w:val="nil"/>
              <w:left w:val="nil"/>
              <w:bottom w:val="single" w:sz="4" w:space="0" w:color="auto"/>
              <w:right w:val="single" w:sz="4" w:space="0" w:color="auto"/>
            </w:tcBorders>
          </w:tcPr>
          <w:p w14:paraId="069BE56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84,0</w:t>
            </w:r>
          </w:p>
        </w:tc>
      </w:tr>
      <w:tr w:rsidR="00DA2325" w:rsidRPr="00BF7E57" w14:paraId="1B161AA5"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4F317388"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JV Slovenija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3729F6A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18.202</w:t>
            </w:r>
          </w:p>
        </w:tc>
        <w:tc>
          <w:tcPr>
            <w:tcW w:w="1006" w:type="dxa"/>
            <w:tcBorders>
              <w:top w:val="nil"/>
              <w:left w:val="nil"/>
              <w:bottom w:val="single" w:sz="4" w:space="0" w:color="auto"/>
              <w:right w:val="single" w:sz="4" w:space="0" w:color="auto"/>
            </w:tcBorders>
            <w:shd w:val="clear" w:color="auto" w:fill="auto"/>
            <w:noWrap/>
            <w:vAlign w:val="center"/>
            <w:hideMark/>
          </w:tcPr>
          <w:p w14:paraId="5FE7709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16.672</w:t>
            </w:r>
          </w:p>
        </w:tc>
        <w:tc>
          <w:tcPr>
            <w:tcW w:w="1007" w:type="dxa"/>
            <w:tcBorders>
              <w:top w:val="nil"/>
              <w:left w:val="nil"/>
              <w:bottom w:val="single" w:sz="4" w:space="0" w:color="auto"/>
              <w:right w:val="single" w:sz="4" w:space="0" w:color="auto"/>
            </w:tcBorders>
            <w:shd w:val="clear" w:color="auto" w:fill="auto"/>
            <w:noWrap/>
            <w:vAlign w:val="center"/>
            <w:hideMark/>
          </w:tcPr>
          <w:p w14:paraId="4CD7B64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95,0</w:t>
            </w:r>
          </w:p>
        </w:tc>
        <w:tc>
          <w:tcPr>
            <w:tcW w:w="1006" w:type="dxa"/>
            <w:tcBorders>
              <w:top w:val="nil"/>
              <w:left w:val="nil"/>
              <w:bottom w:val="single" w:sz="4" w:space="0" w:color="auto"/>
              <w:right w:val="single" w:sz="4" w:space="0" w:color="auto"/>
            </w:tcBorders>
            <w:shd w:val="clear" w:color="auto" w:fill="auto"/>
            <w:noWrap/>
            <w:vAlign w:val="center"/>
            <w:hideMark/>
          </w:tcPr>
          <w:p w14:paraId="0A78EF68"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21.630</w:t>
            </w:r>
          </w:p>
        </w:tc>
        <w:tc>
          <w:tcPr>
            <w:tcW w:w="1007" w:type="dxa"/>
            <w:tcBorders>
              <w:top w:val="nil"/>
              <w:left w:val="nil"/>
              <w:bottom w:val="single" w:sz="4" w:space="0" w:color="auto"/>
              <w:right w:val="single" w:sz="4" w:space="0" w:color="auto"/>
            </w:tcBorders>
            <w:shd w:val="clear" w:color="auto" w:fill="auto"/>
            <w:noWrap/>
            <w:vAlign w:val="center"/>
            <w:hideMark/>
          </w:tcPr>
          <w:p w14:paraId="5C8516F0"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97,9</w:t>
            </w:r>
          </w:p>
        </w:tc>
        <w:tc>
          <w:tcPr>
            <w:tcW w:w="1007" w:type="dxa"/>
            <w:tcBorders>
              <w:top w:val="nil"/>
              <w:left w:val="nil"/>
              <w:bottom w:val="single" w:sz="4" w:space="0" w:color="auto"/>
              <w:right w:val="single" w:sz="4" w:space="0" w:color="auto"/>
            </w:tcBorders>
          </w:tcPr>
          <w:p w14:paraId="78CDCAD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23.096</w:t>
            </w:r>
          </w:p>
        </w:tc>
        <w:tc>
          <w:tcPr>
            <w:tcW w:w="1007" w:type="dxa"/>
            <w:tcBorders>
              <w:top w:val="nil"/>
              <w:left w:val="nil"/>
              <w:bottom w:val="single" w:sz="4" w:space="0" w:color="auto"/>
              <w:right w:val="single" w:sz="4" w:space="0" w:color="auto"/>
            </w:tcBorders>
          </w:tcPr>
          <w:p w14:paraId="09EB187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99,7</w:t>
            </w:r>
          </w:p>
        </w:tc>
      </w:tr>
      <w:tr w:rsidR="00DA2325" w:rsidRPr="00BF7E57" w14:paraId="195D5AF5" w14:textId="77777777" w:rsidTr="00E150C2">
        <w:trPr>
          <w:trHeight w:val="588"/>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A08F320"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Osrednje-slovenska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0463DB8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27.172</w:t>
            </w:r>
          </w:p>
        </w:tc>
        <w:tc>
          <w:tcPr>
            <w:tcW w:w="1006" w:type="dxa"/>
            <w:tcBorders>
              <w:top w:val="nil"/>
              <w:left w:val="nil"/>
              <w:bottom w:val="single" w:sz="4" w:space="0" w:color="auto"/>
              <w:right w:val="single" w:sz="4" w:space="0" w:color="auto"/>
            </w:tcBorders>
            <w:shd w:val="clear" w:color="auto" w:fill="auto"/>
            <w:noWrap/>
            <w:vAlign w:val="center"/>
            <w:hideMark/>
          </w:tcPr>
          <w:p w14:paraId="05E9C02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24.845</w:t>
            </w:r>
          </w:p>
        </w:tc>
        <w:tc>
          <w:tcPr>
            <w:tcW w:w="1007" w:type="dxa"/>
            <w:tcBorders>
              <w:top w:val="nil"/>
              <w:left w:val="nil"/>
              <w:bottom w:val="single" w:sz="4" w:space="0" w:color="auto"/>
              <w:right w:val="single" w:sz="4" w:space="0" w:color="auto"/>
            </w:tcBorders>
            <w:shd w:val="clear" w:color="auto" w:fill="auto"/>
            <w:noWrap/>
            <w:vAlign w:val="center"/>
            <w:hideMark/>
          </w:tcPr>
          <w:p w14:paraId="737C960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141,6</w:t>
            </w:r>
          </w:p>
        </w:tc>
        <w:tc>
          <w:tcPr>
            <w:tcW w:w="1006" w:type="dxa"/>
            <w:tcBorders>
              <w:top w:val="nil"/>
              <w:left w:val="nil"/>
              <w:bottom w:val="single" w:sz="4" w:space="0" w:color="auto"/>
              <w:right w:val="single" w:sz="4" w:space="0" w:color="auto"/>
            </w:tcBorders>
            <w:shd w:val="clear" w:color="auto" w:fill="auto"/>
            <w:noWrap/>
            <w:vAlign w:val="center"/>
            <w:hideMark/>
          </w:tcPr>
          <w:p w14:paraId="0D94041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31.169</w:t>
            </w:r>
          </w:p>
        </w:tc>
        <w:tc>
          <w:tcPr>
            <w:tcW w:w="1007" w:type="dxa"/>
            <w:tcBorders>
              <w:top w:val="nil"/>
              <w:left w:val="nil"/>
              <w:bottom w:val="single" w:sz="4" w:space="0" w:color="auto"/>
              <w:right w:val="single" w:sz="4" w:space="0" w:color="auto"/>
            </w:tcBorders>
            <w:shd w:val="clear" w:color="auto" w:fill="auto"/>
            <w:noWrap/>
            <w:vAlign w:val="center"/>
            <w:hideMark/>
          </w:tcPr>
          <w:p w14:paraId="026E1B9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141,1</w:t>
            </w:r>
          </w:p>
        </w:tc>
        <w:tc>
          <w:tcPr>
            <w:tcW w:w="1007" w:type="dxa"/>
            <w:tcBorders>
              <w:top w:val="nil"/>
              <w:left w:val="nil"/>
              <w:bottom w:val="single" w:sz="4" w:space="0" w:color="auto"/>
              <w:right w:val="single" w:sz="4" w:space="0" w:color="auto"/>
            </w:tcBorders>
          </w:tcPr>
          <w:p w14:paraId="5525F20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32.620</w:t>
            </w:r>
          </w:p>
        </w:tc>
        <w:tc>
          <w:tcPr>
            <w:tcW w:w="1007" w:type="dxa"/>
            <w:tcBorders>
              <w:top w:val="nil"/>
              <w:left w:val="nil"/>
              <w:bottom w:val="single" w:sz="4" w:space="0" w:color="auto"/>
              <w:right w:val="single" w:sz="4" w:space="0" w:color="auto"/>
            </w:tcBorders>
          </w:tcPr>
          <w:p w14:paraId="2BC400B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140,8</w:t>
            </w:r>
          </w:p>
        </w:tc>
      </w:tr>
      <w:tr w:rsidR="00DA2325" w:rsidRPr="00BF7E57" w14:paraId="04DC45EF"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2D772BFE"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Gorenjska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4FDF719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15.883</w:t>
            </w:r>
          </w:p>
        </w:tc>
        <w:tc>
          <w:tcPr>
            <w:tcW w:w="1006" w:type="dxa"/>
            <w:tcBorders>
              <w:top w:val="nil"/>
              <w:left w:val="nil"/>
              <w:bottom w:val="single" w:sz="4" w:space="0" w:color="auto"/>
              <w:right w:val="single" w:sz="4" w:space="0" w:color="auto"/>
            </w:tcBorders>
            <w:shd w:val="clear" w:color="auto" w:fill="auto"/>
            <w:noWrap/>
            <w:vAlign w:val="center"/>
            <w:hideMark/>
          </w:tcPr>
          <w:p w14:paraId="4A1557D1"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14.958</w:t>
            </w:r>
          </w:p>
        </w:tc>
        <w:tc>
          <w:tcPr>
            <w:tcW w:w="1007" w:type="dxa"/>
            <w:tcBorders>
              <w:top w:val="nil"/>
              <w:left w:val="nil"/>
              <w:bottom w:val="single" w:sz="4" w:space="0" w:color="auto"/>
              <w:right w:val="single" w:sz="4" w:space="0" w:color="auto"/>
            </w:tcBorders>
            <w:shd w:val="clear" w:color="auto" w:fill="auto"/>
            <w:noWrap/>
            <w:vAlign w:val="center"/>
            <w:hideMark/>
          </w:tcPr>
          <w:p w14:paraId="2FD6BBF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85,2</w:t>
            </w:r>
          </w:p>
        </w:tc>
        <w:tc>
          <w:tcPr>
            <w:tcW w:w="1006" w:type="dxa"/>
            <w:tcBorders>
              <w:top w:val="nil"/>
              <w:left w:val="nil"/>
              <w:bottom w:val="single" w:sz="4" w:space="0" w:color="auto"/>
              <w:right w:val="single" w:sz="4" w:space="0" w:color="auto"/>
            </w:tcBorders>
            <w:shd w:val="clear" w:color="auto" w:fill="auto"/>
            <w:noWrap/>
            <w:vAlign w:val="center"/>
            <w:hideMark/>
          </w:tcPr>
          <w:p w14:paraId="5BF6317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19.833</w:t>
            </w:r>
          </w:p>
        </w:tc>
        <w:tc>
          <w:tcPr>
            <w:tcW w:w="1007" w:type="dxa"/>
            <w:tcBorders>
              <w:top w:val="nil"/>
              <w:left w:val="nil"/>
              <w:bottom w:val="single" w:sz="4" w:space="0" w:color="auto"/>
              <w:right w:val="single" w:sz="4" w:space="0" w:color="auto"/>
            </w:tcBorders>
            <w:shd w:val="clear" w:color="auto" w:fill="auto"/>
            <w:noWrap/>
            <w:vAlign w:val="center"/>
            <w:hideMark/>
          </w:tcPr>
          <w:p w14:paraId="0ED5C083"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89,9</w:t>
            </w:r>
          </w:p>
        </w:tc>
        <w:tc>
          <w:tcPr>
            <w:tcW w:w="1007" w:type="dxa"/>
            <w:tcBorders>
              <w:top w:val="nil"/>
              <w:left w:val="nil"/>
              <w:bottom w:val="single" w:sz="4" w:space="0" w:color="auto"/>
              <w:right w:val="single" w:sz="4" w:space="0" w:color="auto"/>
            </w:tcBorders>
          </w:tcPr>
          <w:p w14:paraId="3947203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20.790</w:t>
            </w:r>
          </w:p>
        </w:tc>
        <w:tc>
          <w:tcPr>
            <w:tcW w:w="1007" w:type="dxa"/>
            <w:tcBorders>
              <w:top w:val="nil"/>
              <w:left w:val="nil"/>
              <w:bottom w:val="single" w:sz="4" w:space="0" w:color="auto"/>
              <w:right w:val="single" w:sz="4" w:space="0" w:color="auto"/>
            </w:tcBorders>
          </w:tcPr>
          <w:p w14:paraId="78AC4B93"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89,7</w:t>
            </w:r>
          </w:p>
        </w:tc>
      </w:tr>
      <w:tr w:rsidR="00DA2325" w:rsidRPr="00BF7E57" w14:paraId="220E4576" w14:textId="77777777" w:rsidTr="00E150C2">
        <w:trPr>
          <w:trHeight w:val="624"/>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1739B4C"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Primorsko-notranjska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1B19724D"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13.686</w:t>
            </w:r>
          </w:p>
        </w:tc>
        <w:tc>
          <w:tcPr>
            <w:tcW w:w="1006" w:type="dxa"/>
            <w:tcBorders>
              <w:top w:val="nil"/>
              <w:left w:val="nil"/>
              <w:bottom w:val="single" w:sz="4" w:space="0" w:color="auto"/>
              <w:right w:val="single" w:sz="4" w:space="0" w:color="auto"/>
            </w:tcBorders>
            <w:shd w:val="clear" w:color="auto" w:fill="auto"/>
            <w:noWrap/>
            <w:vAlign w:val="center"/>
            <w:hideMark/>
          </w:tcPr>
          <w:p w14:paraId="3A42B69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12.240</w:t>
            </w:r>
          </w:p>
        </w:tc>
        <w:tc>
          <w:tcPr>
            <w:tcW w:w="1007" w:type="dxa"/>
            <w:tcBorders>
              <w:top w:val="nil"/>
              <w:left w:val="nil"/>
              <w:bottom w:val="single" w:sz="4" w:space="0" w:color="auto"/>
              <w:right w:val="single" w:sz="4" w:space="0" w:color="auto"/>
            </w:tcBorders>
            <w:shd w:val="clear" w:color="auto" w:fill="auto"/>
            <w:noWrap/>
            <w:vAlign w:val="center"/>
            <w:hideMark/>
          </w:tcPr>
          <w:p w14:paraId="2C635E5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69,7</w:t>
            </w:r>
          </w:p>
        </w:tc>
        <w:tc>
          <w:tcPr>
            <w:tcW w:w="1006" w:type="dxa"/>
            <w:tcBorders>
              <w:top w:val="nil"/>
              <w:left w:val="nil"/>
              <w:bottom w:val="single" w:sz="4" w:space="0" w:color="auto"/>
              <w:right w:val="single" w:sz="4" w:space="0" w:color="auto"/>
            </w:tcBorders>
            <w:shd w:val="clear" w:color="auto" w:fill="auto"/>
            <w:noWrap/>
            <w:vAlign w:val="center"/>
            <w:hideMark/>
          </w:tcPr>
          <w:p w14:paraId="7B267B1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15.837</w:t>
            </w:r>
          </w:p>
        </w:tc>
        <w:tc>
          <w:tcPr>
            <w:tcW w:w="1007" w:type="dxa"/>
            <w:tcBorders>
              <w:top w:val="nil"/>
              <w:left w:val="nil"/>
              <w:bottom w:val="single" w:sz="4" w:space="0" w:color="auto"/>
              <w:right w:val="single" w:sz="4" w:space="0" w:color="auto"/>
            </w:tcBorders>
            <w:shd w:val="clear" w:color="auto" w:fill="auto"/>
            <w:noWrap/>
            <w:vAlign w:val="center"/>
            <w:hideMark/>
          </w:tcPr>
          <w:p w14:paraId="0E4CA1C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71,7</w:t>
            </w:r>
          </w:p>
        </w:tc>
        <w:tc>
          <w:tcPr>
            <w:tcW w:w="1007" w:type="dxa"/>
            <w:tcBorders>
              <w:top w:val="nil"/>
              <w:left w:val="nil"/>
              <w:bottom w:val="single" w:sz="4" w:space="0" w:color="auto"/>
              <w:right w:val="single" w:sz="4" w:space="0" w:color="auto"/>
            </w:tcBorders>
          </w:tcPr>
          <w:p w14:paraId="2CE8394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16.154</w:t>
            </w:r>
          </w:p>
        </w:tc>
        <w:tc>
          <w:tcPr>
            <w:tcW w:w="1007" w:type="dxa"/>
            <w:tcBorders>
              <w:top w:val="nil"/>
              <w:left w:val="nil"/>
              <w:bottom w:val="single" w:sz="4" w:space="0" w:color="auto"/>
              <w:right w:val="single" w:sz="4" w:space="0" w:color="auto"/>
            </w:tcBorders>
          </w:tcPr>
          <w:p w14:paraId="63E9F94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69,7</w:t>
            </w:r>
          </w:p>
        </w:tc>
      </w:tr>
      <w:tr w:rsidR="00DA2325" w:rsidRPr="00BF7E57" w14:paraId="6621B2F3"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88B79B7"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Goriška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39C91DA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17.915</w:t>
            </w:r>
          </w:p>
        </w:tc>
        <w:tc>
          <w:tcPr>
            <w:tcW w:w="1006" w:type="dxa"/>
            <w:tcBorders>
              <w:top w:val="nil"/>
              <w:left w:val="nil"/>
              <w:bottom w:val="single" w:sz="4" w:space="0" w:color="auto"/>
              <w:right w:val="single" w:sz="4" w:space="0" w:color="auto"/>
            </w:tcBorders>
            <w:shd w:val="clear" w:color="auto" w:fill="auto"/>
            <w:noWrap/>
            <w:vAlign w:val="center"/>
            <w:hideMark/>
          </w:tcPr>
          <w:p w14:paraId="73833DA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15.865</w:t>
            </w:r>
          </w:p>
        </w:tc>
        <w:tc>
          <w:tcPr>
            <w:tcW w:w="1007" w:type="dxa"/>
            <w:tcBorders>
              <w:top w:val="nil"/>
              <w:left w:val="nil"/>
              <w:bottom w:val="single" w:sz="4" w:space="0" w:color="auto"/>
              <w:right w:val="single" w:sz="4" w:space="0" w:color="auto"/>
            </w:tcBorders>
            <w:shd w:val="clear" w:color="auto" w:fill="auto"/>
            <w:noWrap/>
            <w:vAlign w:val="center"/>
            <w:hideMark/>
          </w:tcPr>
          <w:p w14:paraId="0CE1DD8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90,4</w:t>
            </w:r>
          </w:p>
        </w:tc>
        <w:tc>
          <w:tcPr>
            <w:tcW w:w="1006" w:type="dxa"/>
            <w:tcBorders>
              <w:top w:val="nil"/>
              <w:left w:val="nil"/>
              <w:bottom w:val="single" w:sz="4" w:space="0" w:color="auto"/>
              <w:right w:val="single" w:sz="4" w:space="0" w:color="auto"/>
            </w:tcBorders>
            <w:shd w:val="clear" w:color="auto" w:fill="auto"/>
            <w:noWrap/>
            <w:vAlign w:val="center"/>
            <w:hideMark/>
          </w:tcPr>
          <w:p w14:paraId="4FFD63F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19.930</w:t>
            </w:r>
          </w:p>
        </w:tc>
        <w:tc>
          <w:tcPr>
            <w:tcW w:w="1007" w:type="dxa"/>
            <w:tcBorders>
              <w:top w:val="nil"/>
              <w:left w:val="nil"/>
              <w:bottom w:val="single" w:sz="4" w:space="0" w:color="auto"/>
              <w:right w:val="single" w:sz="4" w:space="0" w:color="auto"/>
            </w:tcBorders>
            <w:shd w:val="clear" w:color="auto" w:fill="auto"/>
            <w:noWrap/>
            <w:vAlign w:val="center"/>
            <w:hideMark/>
          </w:tcPr>
          <w:p w14:paraId="46F1746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90,2</w:t>
            </w:r>
          </w:p>
        </w:tc>
        <w:tc>
          <w:tcPr>
            <w:tcW w:w="1007" w:type="dxa"/>
            <w:tcBorders>
              <w:top w:val="nil"/>
              <w:left w:val="nil"/>
              <w:bottom w:val="single" w:sz="4" w:space="0" w:color="auto"/>
              <w:right w:val="single" w:sz="4" w:space="0" w:color="auto"/>
            </w:tcBorders>
          </w:tcPr>
          <w:p w14:paraId="380B02D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20.707</w:t>
            </w:r>
          </w:p>
        </w:tc>
        <w:tc>
          <w:tcPr>
            <w:tcW w:w="1007" w:type="dxa"/>
            <w:tcBorders>
              <w:top w:val="nil"/>
              <w:left w:val="nil"/>
              <w:bottom w:val="single" w:sz="4" w:space="0" w:color="auto"/>
              <w:right w:val="single" w:sz="4" w:space="0" w:color="auto"/>
            </w:tcBorders>
          </w:tcPr>
          <w:p w14:paraId="1979864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89,4</w:t>
            </w:r>
          </w:p>
        </w:tc>
      </w:tr>
      <w:tr w:rsidR="00DA2325" w:rsidRPr="00BF7E57" w14:paraId="624B555E"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5DB0DF6"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Obalno-kraška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FB36F9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20.086</w:t>
            </w:r>
          </w:p>
        </w:tc>
        <w:tc>
          <w:tcPr>
            <w:tcW w:w="1006" w:type="dxa"/>
            <w:tcBorders>
              <w:top w:val="nil"/>
              <w:left w:val="nil"/>
              <w:bottom w:val="single" w:sz="4" w:space="0" w:color="auto"/>
              <w:right w:val="single" w:sz="4" w:space="0" w:color="auto"/>
            </w:tcBorders>
            <w:shd w:val="clear" w:color="auto" w:fill="auto"/>
            <w:noWrap/>
            <w:vAlign w:val="center"/>
            <w:hideMark/>
          </w:tcPr>
          <w:p w14:paraId="11CD73F7"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17.238</w:t>
            </w:r>
          </w:p>
        </w:tc>
        <w:tc>
          <w:tcPr>
            <w:tcW w:w="1007" w:type="dxa"/>
            <w:tcBorders>
              <w:top w:val="nil"/>
              <w:left w:val="nil"/>
              <w:bottom w:val="single" w:sz="4" w:space="0" w:color="auto"/>
              <w:right w:val="single" w:sz="4" w:space="0" w:color="auto"/>
            </w:tcBorders>
            <w:shd w:val="clear" w:color="auto" w:fill="auto"/>
            <w:noWrap/>
            <w:vAlign w:val="center"/>
            <w:hideMark/>
          </w:tcPr>
          <w:p w14:paraId="11E6785D"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98,2</w:t>
            </w:r>
          </w:p>
        </w:tc>
        <w:tc>
          <w:tcPr>
            <w:tcW w:w="1006" w:type="dxa"/>
            <w:tcBorders>
              <w:top w:val="nil"/>
              <w:left w:val="nil"/>
              <w:bottom w:val="single" w:sz="4" w:space="0" w:color="auto"/>
              <w:right w:val="single" w:sz="4" w:space="0" w:color="auto"/>
            </w:tcBorders>
            <w:shd w:val="clear" w:color="auto" w:fill="auto"/>
            <w:noWrap/>
            <w:vAlign w:val="center"/>
            <w:hideMark/>
          </w:tcPr>
          <w:p w14:paraId="51A45303"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22.627</w:t>
            </w:r>
          </w:p>
        </w:tc>
        <w:tc>
          <w:tcPr>
            <w:tcW w:w="1007" w:type="dxa"/>
            <w:tcBorders>
              <w:top w:val="nil"/>
              <w:left w:val="nil"/>
              <w:bottom w:val="single" w:sz="4" w:space="0" w:color="auto"/>
              <w:right w:val="single" w:sz="4" w:space="0" w:color="auto"/>
            </w:tcBorders>
            <w:shd w:val="clear" w:color="auto" w:fill="auto"/>
            <w:noWrap/>
            <w:vAlign w:val="center"/>
            <w:hideMark/>
          </w:tcPr>
          <w:p w14:paraId="2811820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102,5</w:t>
            </w:r>
          </w:p>
        </w:tc>
        <w:tc>
          <w:tcPr>
            <w:tcW w:w="1007" w:type="dxa"/>
            <w:tcBorders>
              <w:top w:val="nil"/>
              <w:left w:val="nil"/>
              <w:bottom w:val="single" w:sz="4" w:space="0" w:color="auto"/>
              <w:right w:val="single" w:sz="4" w:space="0" w:color="auto"/>
            </w:tcBorders>
          </w:tcPr>
          <w:p w14:paraId="42B5AAD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22.894</w:t>
            </w:r>
          </w:p>
        </w:tc>
        <w:tc>
          <w:tcPr>
            <w:tcW w:w="1007" w:type="dxa"/>
            <w:tcBorders>
              <w:top w:val="nil"/>
              <w:left w:val="nil"/>
              <w:bottom w:val="single" w:sz="4" w:space="0" w:color="auto"/>
              <w:right w:val="single" w:sz="4" w:space="0" w:color="auto"/>
            </w:tcBorders>
          </w:tcPr>
          <w:p w14:paraId="4E670C2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98,8</w:t>
            </w:r>
          </w:p>
        </w:tc>
      </w:tr>
      <w:tr w:rsidR="00DA2325" w:rsidRPr="00BF7E57" w14:paraId="22848508"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7F16DF5F"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Slovenija</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14:paraId="2B8432C1"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18.757</w:t>
            </w:r>
          </w:p>
        </w:tc>
        <w:tc>
          <w:tcPr>
            <w:tcW w:w="1006" w:type="dxa"/>
            <w:tcBorders>
              <w:top w:val="nil"/>
              <w:left w:val="nil"/>
              <w:bottom w:val="single" w:sz="4" w:space="0" w:color="auto"/>
              <w:right w:val="single" w:sz="4" w:space="0" w:color="auto"/>
            </w:tcBorders>
            <w:shd w:val="clear" w:color="auto" w:fill="auto"/>
            <w:vAlign w:val="center"/>
            <w:hideMark/>
          </w:tcPr>
          <w:p w14:paraId="099BD7AE"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17.700</w:t>
            </w:r>
          </w:p>
        </w:tc>
        <w:tc>
          <w:tcPr>
            <w:tcW w:w="1007" w:type="dxa"/>
            <w:tcBorders>
              <w:top w:val="nil"/>
              <w:left w:val="nil"/>
              <w:bottom w:val="single" w:sz="4" w:space="0" w:color="auto"/>
              <w:right w:val="single" w:sz="4" w:space="0" w:color="auto"/>
            </w:tcBorders>
            <w:shd w:val="clear" w:color="auto" w:fill="auto"/>
            <w:vAlign w:val="center"/>
            <w:hideMark/>
          </w:tcPr>
          <w:p w14:paraId="3AADDF37"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Sl =100</w:t>
            </w:r>
          </w:p>
        </w:tc>
        <w:tc>
          <w:tcPr>
            <w:tcW w:w="1006" w:type="dxa"/>
            <w:tcBorders>
              <w:top w:val="nil"/>
              <w:left w:val="nil"/>
              <w:bottom w:val="single" w:sz="4" w:space="0" w:color="auto"/>
              <w:right w:val="single" w:sz="4" w:space="0" w:color="auto"/>
            </w:tcBorders>
            <w:shd w:val="clear" w:color="auto" w:fill="auto"/>
            <w:vAlign w:val="center"/>
            <w:hideMark/>
          </w:tcPr>
          <w:p w14:paraId="3B5912E1"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22.135</w:t>
            </w:r>
          </w:p>
        </w:tc>
        <w:tc>
          <w:tcPr>
            <w:tcW w:w="1007" w:type="dxa"/>
            <w:tcBorders>
              <w:top w:val="nil"/>
              <w:left w:val="nil"/>
              <w:bottom w:val="single" w:sz="4" w:space="0" w:color="auto"/>
              <w:right w:val="single" w:sz="4" w:space="0" w:color="auto"/>
            </w:tcBorders>
            <w:shd w:val="clear" w:color="auto" w:fill="auto"/>
            <w:vAlign w:val="center"/>
            <w:hideMark/>
          </w:tcPr>
          <w:p w14:paraId="633609A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Sl=100</w:t>
            </w:r>
          </w:p>
        </w:tc>
        <w:tc>
          <w:tcPr>
            <w:tcW w:w="1007" w:type="dxa"/>
            <w:tcBorders>
              <w:top w:val="nil"/>
              <w:left w:val="nil"/>
              <w:bottom w:val="single" w:sz="4" w:space="0" w:color="auto"/>
              <w:right w:val="single" w:sz="4" w:space="0" w:color="auto"/>
            </w:tcBorders>
          </w:tcPr>
          <w:p w14:paraId="2B1DCD5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23.165</w:t>
            </w:r>
          </w:p>
        </w:tc>
        <w:tc>
          <w:tcPr>
            <w:tcW w:w="1007" w:type="dxa"/>
            <w:tcBorders>
              <w:top w:val="nil"/>
              <w:left w:val="nil"/>
              <w:bottom w:val="single" w:sz="4" w:space="0" w:color="auto"/>
              <w:right w:val="single" w:sz="4" w:space="0" w:color="auto"/>
            </w:tcBorders>
          </w:tcPr>
          <w:p w14:paraId="315B9C3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100,0</w:t>
            </w:r>
          </w:p>
        </w:tc>
      </w:tr>
    </w:tbl>
    <w:p w14:paraId="207FC748" w14:textId="77777777" w:rsidR="00026AF3" w:rsidRPr="00BF7E57" w:rsidRDefault="00026AF3" w:rsidP="00026AF3">
      <w:pPr>
        <w:spacing w:line="360" w:lineRule="auto"/>
        <w:jc w:val="both"/>
        <w:rPr>
          <w:rFonts w:ascii="Arial" w:hAnsi="Arial" w:cs="Arial"/>
          <w:sz w:val="20"/>
          <w:szCs w:val="20"/>
        </w:rPr>
      </w:pPr>
    </w:p>
    <w:p w14:paraId="2CEE6BCE" w14:textId="7C950B01" w:rsidR="003E038D" w:rsidRPr="00BF7E57" w:rsidRDefault="003E038D" w:rsidP="00F77BD0">
      <w:pPr>
        <w:pStyle w:val="Napis"/>
      </w:pPr>
      <w:bookmarkStart w:id="132" w:name="_Toc86826415"/>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25</w:t>
      </w:r>
      <w:r w:rsidR="00A30B83" w:rsidRPr="00BF7E57">
        <w:rPr>
          <w:noProof/>
        </w:rPr>
        <w:fldChar w:fldCharType="end"/>
      </w:r>
      <w:r w:rsidRPr="00BF7E57">
        <w:t>: BDP na prebivalca glede na posamezno regijo, 2019</w:t>
      </w:r>
      <w:bookmarkEnd w:id="132"/>
    </w:p>
    <w:p w14:paraId="610CD5D1" w14:textId="1950E7B2" w:rsidR="009E0216" w:rsidRPr="00BF7E57" w:rsidRDefault="009E0216" w:rsidP="00F77BD0">
      <w:pPr>
        <w:pStyle w:val="Napis"/>
      </w:pPr>
    </w:p>
    <w:p w14:paraId="1802E98A" w14:textId="4502A730" w:rsidR="00993A99" w:rsidRPr="00BF7E57" w:rsidRDefault="00DA2325" w:rsidP="0072219F">
      <w:pPr>
        <w:pStyle w:val="SCslika"/>
        <w:keepNext/>
        <w:keepLines/>
      </w:pPr>
      <w:r w:rsidRPr="00BF7E57">
        <w:drawing>
          <wp:inline distT="0" distB="0" distL="0" distR="0" wp14:anchorId="62E2A333" wp14:editId="13193A96">
            <wp:extent cx="5760720" cy="3423285"/>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423285"/>
                    </a:xfrm>
                    <a:prstGeom prst="rect">
                      <a:avLst/>
                    </a:prstGeom>
                  </pic:spPr>
                </pic:pic>
              </a:graphicData>
            </a:graphic>
          </wp:inline>
        </w:drawing>
      </w:r>
    </w:p>
    <w:p w14:paraId="24447AD4" w14:textId="06DE17C1" w:rsidR="009E0216" w:rsidRPr="00BF7E57" w:rsidRDefault="009E0216" w:rsidP="005E3745">
      <w:pPr>
        <w:pStyle w:val="Napis"/>
        <w:spacing w:before="0" w:line="360" w:lineRule="auto"/>
        <w:jc w:val="both"/>
      </w:pPr>
      <w:r w:rsidRPr="00BF7E57">
        <w:t>Vir: SURS</w:t>
      </w:r>
      <w:r w:rsidR="007E2079" w:rsidRPr="00BF7E57">
        <w:t>, 202</w:t>
      </w:r>
      <w:r w:rsidR="00DA2325" w:rsidRPr="00BF7E57">
        <w:t>1</w:t>
      </w:r>
    </w:p>
    <w:p w14:paraId="7228DA73" w14:textId="43E17F10" w:rsidR="009E0216" w:rsidRPr="00BF7E57" w:rsidRDefault="009E0216" w:rsidP="005E3745">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Najvišji BDP na prebivalca ima osrednjeslovenska regija</w:t>
      </w:r>
      <w:r w:rsidR="0036277E" w:rsidRPr="00BF7E57">
        <w:rPr>
          <w:rFonts w:ascii="Arial" w:hAnsi="Arial" w:cs="Arial"/>
          <w:color w:val="auto"/>
          <w:sz w:val="20"/>
          <w:szCs w:val="20"/>
          <w:lang w:val="sl-SI"/>
        </w:rPr>
        <w:t xml:space="preserve"> (Slika 2</w:t>
      </w:r>
      <w:r w:rsidR="00BA51A8" w:rsidRPr="00BF7E57">
        <w:rPr>
          <w:rFonts w:ascii="Arial" w:hAnsi="Arial" w:cs="Arial"/>
          <w:color w:val="auto"/>
          <w:sz w:val="20"/>
          <w:szCs w:val="20"/>
          <w:lang w:val="sl-SI"/>
        </w:rPr>
        <w:t>5</w:t>
      </w:r>
      <w:r w:rsidR="0036277E" w:rsidRPr="00BF7E57">
        <w:rPr>
          <w:rFonts w:ascii="Arial" w:hAnsi="Arial" w:cs="Arial"/>
          <w:color w:val="auto"/>
          <w:sz w:val="20"/>
          <w:szCs w:val="20"/>
          <w:lang w:val="sl-SI"/>
        </w:rPr>
        <w:t>)</w:t>
      </w:r>
      <w:r w:rsidRPr="00BF7E57">
        <w:rPr>
          <w:rFonts w:ascii="Arial" w:hAnsi="Arial" w:cs="Arial"/>
          <w:color w:val="auto"/>
          <w:sz w:val="20"/>
          <w:szCs w:val="20"/>
          <w:lang w:val="sl-SI"/>
        </w:rPr>
        <w:t xml:space="preserve">. Regija ima največ delovnih mest in posledično veliko delovnih migracij, kar ji viša BDP na prebivalca. </w:t>
      </w:r>
      <w:r w:rsidR="00C8249E" w:rsidRPr="00BF7E57">
        <w:rPr>
          <w:rFonts w:ascii="Arial" w:hAnsi="Arial" w:cs="Arial"/>
          <w:color w:val="auto"/>
          <w:sz w:val="20"/>
          <w:szCs w:val="20"/>
          <w:lang w:val="sl-SI"/>
        </w:rPr>
        <w:t>Blizu s</w:t>
      </w:r>
      <w:r w:rsidRPr="00BF7E57">
        <w:rPr>
          <w:rFonts w:ascii="Arial" w:hAnsi="Arial" w:cs="Arial"/>
          <w:color w:val="auto"/>
          <w:sz w:val="20"/>
          <w:szCs w:val="20"/>
          <w:lang w:val="sl-SI"/>
        </w:rPr>
        <w:t>lovensk</w:t>
      </w:r>
      <w:r w:rsidR="00C8249E" w:rsidRPr="00BF7E57">
        <w:rPr>
          <w:rFonts w:ascii="Arial" w:hAnsi="Arial" w:cs="Arial"/>
          <w:color w:val="auto"/>
          <w:sz w:val="20"/>
          <w:szCs w:val="20"/>
          <w:lang w:val="sl-SI"/>
        </w:rPr>
        <w:t>ega</w:t>
      </w:r>
      <w:r w:rsidRPr="00BF7E57">
        <w:rPr>
          <w:rFonts w:ascii="Arial" w:hAnsi="Arial" w:cs="Arial"/>
          <w:color w:val="auto"/>
          <w:sz w:val="20"/>
          <w:szCs w:val="20"/>
          <w:lang w:val="sl-SI"/>
        </w:rPr>
        <w:t xml:space="preserve"> povprečj</w:t>
      </w:r>
      <w:r w:rsidR="00C8249E" w:rsidRPr="00BF7E57">
        <w:rPr>
          <w:rFonts w:ascii="Arial" w:hAnsi="Arial" w:cs="Arial"/>
          <w:color w:val="auto"/>
          <w:sz w:val="20"/>
          <w:szCs w:val="20"/>
          <w:lang w:val="sl-SI"/>
        </w:rPr>
        <w:t>a</w:t>
      </w:r>
      <w:r w:rsidRPr="00BF7E57">
        <w:rPr>
          <w:rFonts w:ascii="Arial" w:hAnsi="Arial" w:cs="Arial"/>
          <w:color w:val="auto"/>
          <w:sz w:val="20"/>
          <w:szCs w:val="20"/>
          <w:lang w:val="sl-SI"/>
        </w:rPr>
        <w:t xml:space="preserve"> po BDP na prebivalca</w:t>
      </w:r>
      <w:r w:rsidR="00C8249E" w:rsidRPr="00BF7E57">
        <w:rPr>
          <w:rFonts w:ascii="Arial" w:hAnsi="Arial" w:cs="Arial"/>
          <w:color w:val="auto"/>
          <w:sz w:val="20"/>
          <w:szCs w:val="20"/>
          <w:lang w:val="sl-SI"/>
        </w:rPr>
        <w:t xml:space="preserve"> sta le še</w:t>
      </w:r>
      <w:r w:rsidR="00E150C2" w:rsidRPr="00BF7E57">
        <w:rPr>
          <w:rFonts w:ascii="Arial" w:hAnsi="Arial" w:cs="Arial"/>
          <w:color w:val="auto"/>
          <w:sz w:val="20"/>
          <w:szCs w:val="20"/>
          <w:lang w:val="sl-SI"/>
        </w:rPr>
        <w:t xml:space="preserve"> </w:t>
      </w:r>
      <w:r w:rsidRPr="00BF7E57">
        <w:rPr>
          <w:rFonts w:ascii="Arial" w:hAnsi="Arial" w:cs="Arial"/>
          <w:color w:val="auto"/>
          <w:sz w:val="20"/>
          <w:szCs w:val="20"/>
          <w:lang w:val="sl-SI"/>
        </w:rPr>
        <w:t>obalno-kraška regija, ena bolj prizadetih regij v krizi 2009–2013, kjer pa je bila gospodarska rast v obdobju 2014–2018 najvišja v Sloveniji</w:t>
      </w:r>
      <w:r w:rsidR="00C8249E" w:rsidRPr="00BF7E57">
        <w:rPr>
          <w:rFonts w:ascii="Arial" w:hAnsi="Arial" w:cs="Arial"/>
          <w:color w:val="auto"/>
          <w:sz w:val="20"/>
          <w:szCs w:val="20"/>
          <w:lang w:val="sl-SI"/>
        </w:rPr>
        <w:t xml:space="preserve"> in</w:t>
      </w:r>
      <w:r w:rsidRPr="00BF7E57">
        <w:rPr>
          <w:rFonts w:ascii="Arial" w:hAnsi="Arial" w:cs="Arial"/>
          <w:color w:val="auto"/>
          <w:sz w:val="20"/>
          <w:szCs w:val="20"/>
          <w:lang w:val="sl-SI"/>
        </w:rPr>
        <w:t xml:space="preserve"> jugovzhodna Slovenija, ki je imela v letu 201</w:t>
      </w:r>
      <w:r w:rsidR="00C8249E" w:rsidRPr="00BF7E57">
        <w:rPr>
          <w:rFonts w:ascii="Arial" w:hAnsi="Arial" w:cs="Arial"/>
          <w:color w:val="auto"/>
          <w:sz w:val="20"/>
          <w:szCs w:val="20"/>
          <w:lang w:val="sl-SI"/>
        </w:rPr>
        <w:t>9</w:t>
      </w:r>
      <w:r w:rsidRPr="00BF7E57">
        <w:rPr>
          <w:rFonts w:ascii="Arial" w:hAnsi="Arial" w:cs="Arial"/>
          <w:color w:val="auto"/>
          <w:sz w:val="20"/>
          <w:szCs w:val="20"/>
          <w:lang w:val="sl-SI"/>
        </w:rPr>
        <w:t xml:space="preserve"> ponovno visoko rast BDP, takoj za osrednjeslovensko z najvišjo rastjo. Na repu regij je že vrsto let zasavska,</w:t>
      </w:r>
      <w:r w:rsidR="00C8249E" w:rsidRPr="00BF7E57">
        <w:rPr>
          <w:rFonts w:ascii="Arial" w:hAnsi="Arial" w:cs="Arial"/>
          <w:color w:val="auto"/>
          <w:sz w:val="20"/>
          <w:szCs w:val="20"/>
          <w:lang w:val="sl-SI"/>
        </w:rPr>
        <w:t xml:space="preserve"> nizko pa še pomurska in primorsko-notranjska</w:t>
      </w:r>
      <w:r w:rsidR="00BA51A8" w:rsidRPr="00BF7E57">
        <w:rPr>
          <w:rFonts w:ascii="Arial" w:hAnsi="Arial" w:cs="Arial"/>
          <w:color w:val="auto"/>
          <w:sz w:val="20"/>
          <w:szCs w:val="20"/>
          <w:lang w:val="sl-SI"/>
        </w:rPr>
        <w:t>.</w:t>
      </w:r>
    </w:p>
    <w:p w14:paraId="14823283" w14:textId="34250C6F" w:rsidR="003E038D" w:rsidRPr="00BF7E57" w:rsidRDefault="003E038D" w:rsidP="00F77BD0">
      <w:pPr>
        <w:pStyle w:val="Napis"/>
      </w:pPr>
      <w:bookmarkStart w:id="133" w:name="_Ref84925592"/>
      <w:bookmarkStart w:id="134" w:name="_Toc86826416"/>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26</w:t>
      </w:r>
      <w:r w:rsidR="00A30B83" w:rsidRPr="00BF7E57">
        <w:rPr>
          <w:noProof/>
        </w:rPr>
        <w:fldChar w:fldCharType="end"/>
      </w:r>
      <w:bookmarkEnd w:id="133"/>
      <w:r w:rsidRPr="00BF7E57">
        <w:t>: Razčlenitev bruto domačega proizvoda na prebivalca na stopnjo zaposlenosti in produktivnosti dela</w:t>
      </w:r>
      <w:bookmarkEnd w:id="134"/>
    </w:p>
    <w:p w14:paraId="7B873B1E" w14:textId="77777777" w:rsidR="009E0216" w:rsidRPr="00BF7E57" w:rsidRDefault="009E0216" w:rsidP="00B63AD2">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1EA186C2" wp14:editId="6C7D8959">
            <wp:extent cx="3925019" cy="3348603"/>
            <wp:effectExtent l="19050" t="19050" r="18415" b="23495"/>
            <wp:docPr id="1631865546" name="Slika 163186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1583"/>
                    <a:stretch/>
                  </pic:blipFill>
                  <pic:spPr bwMode="auto">
                    <a:xfrm>
                      <a:off x="0" y="0"/>
                      <a:ext cx="3939780" cy="3361196"/>
                    </a:xfrm>
                    <a:prstGeom prst="rect">
                      <a:avLst/>
                    </a:prstGeom>
                    <a:noFill/>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DF3ED0E" w14:textId="5DE80B98"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UMAR (202</w:t>
      </w:r>
      <w:r w:rsidR="00DA2325" w:rsidRPr="00BF7E57">
        <w:rPr>
          <w:rFonts w:ascii="Arial" w:hAnsi="Arial" w:cs="Arial"/>
          <w:sz w:val="16"/>
          <w:szCs w:val="16"/>
        </w:rPr>
        <w:t>1</w:t>
      </w:r>
      <w:r w:rsidRPr="00BF7E57">
        <w:rPr>
          <w:rFonts w:ascii="Arial" w:hAnsi="Arial" w:cs="Arial"/>
          <w:sz w:val="16"/>
          <w:szCs w:val="16"/>
        </w:rPr>
        <w:t>): Poročilo o razvoju 202</w:t>
      </w:r>
      <w:r w:rsidR="00DA2325" w:rsidRPr="00BF7E57">
        <w:rPr>
          <w:rFonts w:ascii="Arial" w:hAnsi="Arial" w:cs="Arial"/>
          <w:sz w:val="16"/>
          <w:szCs w:val="16"/>
        </w:rPr>
        <w:t>0, 2021</w:t>
      </w:r>
    </w:p>
    <w:p w14:paraId="00B2C6B2" w14:textId="7F2085F7" w:rsidR="009E0216" w:rsidRPr="00BF7E57" w:rsidRDefault="009E0216" w:rsidP="00BA51A8">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 podatkih UMAR</w:t>
      </w:r>
      <w:r w:rsidR="000C775F" w:rsidRPr="00BF7E57">
        <w:rPr>
          <w:rFonts w:ascii="Arial" w:hAnsi="Arial" w:cs="Arial"/>
          <w:color w:val="auto"/>
          <w:sz w:val="20"/>
          <w:szCs w:val="20"/>
          <w:lang w:val="sl-SI"/>
        </w:rPr>
        <w:t xml:space="preserve"> (2020)</w:t>
      </w:r>
      <w:r w:rsidRPr="00BF7E57">
        <w:rPr>
          <w:rFonts w:ascii="Arial" w:hAnsi="Arial" w:cs="Arial"/>
          <w:color w:val="auto"/>
          <w:sz w:val="20"/>
          <w:szCs w:val="20"/>
          <w:lang w:val="sl-SI"/>
        </w:rPr>
        <w:t xml:space="preserve"> je bila stopnja zaposlenosti v Sloveniji vsa leta nad povprečjem EU, medtem ko je produktivnost dela ostala nizka (leta 2018: 82 % povprečja EU)</w:t>
      </w:r>
      <w:r w:rsidR="0036277E" w:rsidRPr="00BF7E57">
        <w:rPr>
          <w:rFonts w:ascii="Arial" w:hAnsi="Arial" w:cs="Arial"/>
          <w:color w:val="auto"/>
          <w:sz w:val="20"/>
          <w:szCs w:val="20"/>
          <w:lang w:val="sl-SI"/>
        </w:rPr>
        <w:t xml:space="preserve"> (</w:t>
      </w:r>
      <w:r w:rsidR="00403EBA" w:rsidRPr="00BF7E57">
        <w:rPr>
          <w:rFonts w:ascii="Arial" w:hAnsi="Arial" w:cs="Arial"/>
          <w:color w:val="auto"/>
          <w:sz w:val="20"/>
          <w:szCs w:val="20"/>
          <w:lang w:val="sl-SI"/>
        </w:rPr>
        <w:fldChar w:fldCharType="begin"/>
      </w:r>
      <w:r w:rsidR="00403EBA" w:rsidRPr="00BF7E57">
        <w:rPr>
          <w:rFonts w:ascii="Arial" w:hAnsi="Arial" w:cs="Arial"/>
          <w:color w:val="auto"/>
          <w:sz w:val="20"/>
          <w:szCs w:val="20"/>
          <w:lang w:val="sl-SI"/>
        </w:rPr>
        <w:instrText xml:space="preserve"> REF _Ref84925592 \h </w:instrText>
      </w:r>
      <w:r w:rsidR="00403EBA" w:rsidRPr="00BF7E57">
        <w:rPr>
          <w:rFonts w:ascii="Arial" w:hAnsi="Arial" w:cs="Arial"/>
          <w:color w:val="auto"/>
          <w:sz w:val="20"/>
          <w:szCs w:val="20"/>
          <w:lang w:val="sl-SI"/>
        </w:rPr>
      </w:r>
      <w:r w:rsidR="00BF7E57">
        <w:rPr>
          <w:rFonts w:ascii="Arial" w:hAnsi="Arial" w:cs="Arial"/>
          <w:color w:val="auto"/>
          <w:sz w:val="20"/>
          <w:szCs w:val="20"/>
          <w:lang w:val="sl-SI"/>
        </w:rPr>
        <w:instrText xml:space="preserve"> \* MERGEFORMAT </w:instrText>
      </w:r>
      <w:r w:rsidR="00403EBA" w:rsidRPr="00BF7E57">
        <w:rPr>
          <w:rFonts w:ascii="Arial" w:hAnsi="Arial" w:cs="Arial"/>
          <w:color w:val="auto"/>
          <w:sz w:val="20"/>
          <w:szCs w:val="20"/>
          <w:lang w:val="sl-SI"/>
        </w:rPr>
        <w:fldChar w:fldCharType="separate"/>
      </w:r>
      <w:r w:rsidR="00236865" w:rsidRPr="00BF7E57">
        <w:t xml:space="preserve">Slika </w:t>
      </w:r>
      <w:r w:rsidR="00236865">
        <w:rPr>
          <w:noProof/>
        </w:rPr>
        <w:t>26</w:t>
      </w:r>
      <w:r w:rsidR="00403EBA" w:rsidRPr="00BF7E57">
        <w:rPr>
          <w:rFonts w:ascii="Arial" w:hAnsi="Arial" w:cs="Arial"/>
          <w:color w:val="auto"/>
          <w:sz w:val="20"/>
          <w:szCs w:val="20"/>
          <w:lang w:val="sl-SI"/>
        </w:rPr>
        <w:fldChar w:fldCharType="end"/>
      </w:r>
      <w:r w:rsidR="0036277E" w:rsidRPr="00BF7E57">
        <w:rPr>
          <w:rFonts w:ascii="Arial" w:hAnsi="Arial" w:cs="Arial"/>
          <w:color w:val="auto"/>
          <w:sz w:val="20"/>
          <w:szCs w:val="20"/>
          <w:lang w:val="sl-SI"/>
        </w:rPr>
        <w:t>)</w:t>
      </w:r>
      <w:r w:rsidRPr="00BF7E57">
        <w:rPr>
          <w:rFonts w:ascii="Arial" w:hAnsi="Arial" w:cs="Arial"/>
          <w:color w:val="auto"/>
          <w:sz w:val="20"/>
          <w:szCs w:val="20"/>
          <w:lang w:val="sl-SI"/>
        </w:rPr>
        <w:t xml:space="preserve">. Zaostanek na tem področju v celoti pojasnjuje relativno nizko raven gospodarske razvitosti Slovenije, merjeno s kazalnikom BDP na prebivalca. </w:t>
      </w:r>
    </w:p>
    <w:p w14:paraId="14ABBE82" w14:textId="7872E7D2" w:rsidR="0007507A" w:rsidRPr="00BF7E57" w:rsidRDefault="0007507A" w:rsidP="0072219F">
      <w:pPr>
        <w:spacing w:before="60" w:after="0" w:line="312" w:lineRule="auto"/>
        <w:rPr>
          <w:rFonts w:ascii="Arial" w:eastAsia="Times New Roman" w:hAnsi="Arial" w:cs="Arial"/>
          <w:sz w:val="20"/>
          <w:szCs w:val="20"/>
          <w:lang w:eastAsia="en-GB"/>
        </w:rPr>
      </w:pPr>
      <w:r w:rsidRPr="00BF7E57">
        <w:rPr>
          <w:rFonts w:ascii="Arial" w:eastAsia="Times New Roman" w:hAnsi="Arial" w:cs="Arial"/>
          <w:sz w:val="20"/>
          <w:szCs w:val="20"/>
          <w:lang w:eastAsia="en-GB"/>
        </w:rPr>
        <w:t>Bruto dodana vrednost se z leti povišuje. V letu 2019 je znašal</w:t>
      </w:r>
      <w:r w:rsidR="00BA51A8" w:rsidRPr="00BF7E57">
        <w:rPr>
          <w:rFonts w:ascii="Arial" w:eastAsia="Times New Roman" w:hAnsi="Arial" w:cs="Arial"/>
          <w:sz w:val="20"/>
          <w:szCs w:val="20"/>
          <w:lang w:eastAsia="en-GB"/>
        </w:rPr>
        <w:t>a</w:t>
      </w:r>
      <w:r w:rsidRPr="00BF7E57">
        <w:rPr>
          <w:rFonts w:ascii="Arial" w:eastAsia="Times New Roman" w:hAnsi="Arial" w:cs="Arial"/>
          <w:sz w:val="20"/>
          <w:szCs w:val="20"/>
          <w:lang w:eastAsia="en-GB"/>
        </w:rPr>
        <w:t xml:space="preserve"> 42.343,20 mio EUR. Glede na sektor je najvišj</w:t>
      </w:r>
      <w:r w:rsidR="00BA51A8" w:rsidRPr="00BF7E57">
        <w:rPr>
          <w:rFonts w:ascii="Arial" w:eastAsia="Times New Roman" w:hAnsi="Arial" w:cs="Arial"/>
          <w:sz w:val="20"/>
          <w:szCs w:val="20"/>
          <w:lang w:eastAsia="en-GB"/>
        </w:rPr>
        <w:t>a</w:t>
      </w:r>
      <w:r w:rsidRPr="00BF7E57">
        <w:rPr>
          <w:rFonts w:ascii="Arial" w:eastAsia="Times New Roman" w:hAnsi="Arial" w:cs="Arial"/>
          <w:sz w:val="20"/>
          <w:szCs w:val="20"/>
          <w:lang w:eastAsia="en-GB"/>
        </w:rPr>
        <w:t xml:space="preserve"> v terciarnem sektorju, v katerem se postopoma povečuje (leta 2019 33,02 %). </w:t>
      </w:r>
    </w:p>
    <w:p w14:paraId="4B0FDE48" w14:textId="5D7DD1ED" w:rsidR="0008099E" w:rsidRPr="00BF7E57" w:rsidRDefault="0008099E" w:rsidP="0072219F">
      <w:pPr>
        <w:spacing w:before="60" w:after="0" w:line="312" w:lineRule="auto"/>
      </w:pPr>
    </w:p>
    <w:p w14:paraId="3ACF3A30" w14:textId="1FDD8E55" w:rsidR="0008099E" w:rsidRPr="00BF7E57" w:rsidRDefault="0008099E" w:rsidP="0008099E">
      <w:pPr>
        <w:pStyle w:val="Napis"/>
      </w:pPr>
      <w:bookmarkStart w:id="135" w:name="_Toc86826461"/>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23</w:t>
      </w:r>
      <w:r w:rsidR="00A30B83" w:rsidRPr="00BF7E57">
        <w:rPr>
          <w:noProof/>
        </w:rPr>
        <w:fldChar w:fldCharType="end"/>
      </w:r>
      <w:r w:rsidRPr="00BF7E57">
        <w:t>: Bruto dodana vrednost</w:t>
      </w:r>
      <w:bookmarkEnd w:id="135"/>
    </w:p>
    <w:p w14:paraId="2AF85E61" w14:textId="77777777" w:rsidR="0072219F" w:rsidRPr="00BF7E57" w:rsidRDefault="0072219F" w:rsidP="0072219F">
      <w:pPr>
        <w:spacing w:before="60" w:after="0" w:line="312" w:lineRule="auto"/>
        <w:jc w:val="right"/>
        <w:rPr>
          <w:rFonts w:ascii="Arial" w:eastAsia="Times New Roman" w:hAnsi="Arial" w:cs="Arial"/>
          <w:color w:val="000000"/>
          <w:sz w:val="18"/>
          <w:szCs w:val="18"/>
          <w:lang w:eastAsia="sl-SI"/>
        </w:rPr>
      </w:pPr>
    </w:p>
    <w:tbl>
      <w:tblPr>
        <w:tblW w:w="9005" w:type="dxa"/>
        <w:tblCellMar>
          <w:left w:w="70" w:type="dxa"/>
          <w:right w:w="70" w:type="dxa"/>
        </w:tblCellMar>
        <w:tblLook w:val="04A0" w:firstRow="1" w:lastRow="0" w:firstColumn="1" w:lastColumn="0" w:noHBand="0" w:noVBand="1"/>
      </w:tblPr>
      <w:tblGrid>
        <w:gridCol w:w="546"/>
        <w:gridCol w:w="1247"/>
        <w:gridCol w:w="1160"/>
        <w:gridCol w:w="563"/>
        <w:gridCol w:w="1127"/>
        <w:gridCol w:w="1127"/>
        <w:gridCol w:w="986"/>
        <w:gridCol w:w="1127"/>
        <w:gridCol w:w="1122"/>
      </w:tblGrid>
      <w:tr w:rsidR="0072219F" w:rsidRPr="00BF7E57" w14:paraId="79AEC5C8" w14:textId="77777777" w:rsidTr="006D1E0F">
        <w:trPr>
          <w:trHeight w:val="385"/>
        </w:trPr>
        <w:tc>
          <w:tcPr>
            <w:tcW w:w="54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6F36579" w14:textId="5561BAC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C.11</w:t>
            </w:r>
          </w:p>
        </w:tc>
        <w:tc>
          <w:tcPr>
            <w:tcW w:w="2407" w:type="dxa"/>
            <w:gridSpan w:val="2"/>
            <w:tcBorders>
              <w:top w:val="single" w:sz="4" w:space="0" w:color="auto"/>
              <w:left w:val="nil"/>
              <w:bottom w:val="single" w:sz="4" w:space="0" w:color="auto"/>
              <w:right w:val="single" w:sz="4" w:space="0" w:color="auto"/>
            </w:tcBorders>
            <w:shd w:val="clear" w:color="auto" w:fill="92D050"/>
            <w:noWrap/>
            <w:vAlign w:val="bottom"/>
            <w:hideMark/>
          </w:tcPr>
          <w:p w14:paraId="4E2F18BE" w14:textId="1A97656B"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Bruto dodana vrednost</w:t>
            </w:r>
          </w:p>
        </w:tc>
        <w:tc>
          <w:tcPr>
            <w:tcW w:w="563" w:type="dxa"/>
            <w:tcBorders>
              <w:top w:val="single" w:sz="4" w:space="0" w:color="auto"/>
              <w:left w:val="nil"/>
              <w:bottom w:val="single" w:sz="4" w:space="0" w:color="auto"/>
              <w:right w:val="single" w:sz="4" w:space="0" w:color="auto"/>
            </w:tcBorders>
            <w:shd w:val="clear" w:color="auto" w:fill="92D050"/>
            <w:noWrap/>
            <w:vAlign w:val="bottom"/>
            <w:hideMark/>
          </w:tcPr>
          <w:p w14:paraId="7FD50026" w14:textId="62E8D533" w:rsidR="0072219F" w:rsidRPr="00BF7E57" w:rsidRDefault="0072219F" w:rsidP="006D1E0F">
            <w:pPr>
              <w:spacing w:before="60" w:after="0" w:line="312" w:lineRule="auto"/>
              <w:jc w:val="right"/>
              <w:rPr>
                <w:rFonts w:ascii="Arial" w:hAnsi="Arial" w:cs="Arial"/>
                <w:color w:val="000000"/>
                <w:sz w:val="18"/>
                <w:szCs w:val="18"/>
                <w:lang w:eastAsia="sl-SI"/>
              </w:rPr>
            </w:pP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29739B75"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2010</w:t>
            </w: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53F9CC63"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2013</w:t>
            </w:r>
          </w:p>
        </w:tc>
        <w:tc>
          <w:tcPr>
            <w:tcW w:w="986" w:type="dxa"/>
            <w:tcBorders>
              <w:top w:val="single" w:sz="4" w:space="0" w:color="auto"/>
              <w:left w:val="nil"/>
              <w:bottom w:val="single" w:sz="4" w:space="0" w:color="auto"/>
              <w:right w:val="single" w:sz="4" w:space="0" w:color="auto"/>
            </w:tcBorders>
            <w:shd w:val="clear" w:color="auto" w:fill="92D050"/>
            <w:noWrap/>
            <w:vAlign w:val="bottom"/>
            <w:hideMark/>
          </w:tcPr>
          <w:p w14:paraId="20951CA1"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2015</w:t>
            </w: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363767C0"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2018</w:t>
            </w:r>
          </w:p>
        </w:tc>
        <w:tc>
          <w:tcPr>
            <w:tcW w:w="1122" w:type="dxa"/>
            <w:tcBorders>
              <w:top w:val="single" w:sz="4" w:space="0" w:color="auto"/>
              <w:left w:val="nil"/>
              <w:bottom w:val="single" w:sz="4" w:space="0" w:color="auto"/>
              <w:right w:val="single" w:sz="4" w:space="0" w:color="auto"/>
            </w:tcBorders>
            <w:shd w:val="clear" w:color="auto" w:fill="92D050"/>
            <w:noWrap/>
            <w:vAlign w:val="bottom"/>
            <w:hideMark/>
          </w:tcPr>
          <w:p w14:paraId="06941322"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2019</w:t>
            </w:r>
          </w:p>
        </w:tc>
      </w:tr>
      <w:tr w:rsidR="0072219F" w:rsidRPr="00BF7E57" w14:paraId="68B3EA63" w14:textId="77777777" w:rsidTr="006D1E0F">
        <w:trPr>
          <w:trHeight w:val="212"/>
        </w:trPr>
        <w:tc>
          <w:tcPr>
            <w:tcW w:w="546" w:type="dxa"/>
            <w:vMerge w:val="restart"/>
            <w:tcBorders>
              <w:top w:val="nil"/>
              <w:left w:val="single" w:sz="4" w:space="0" w:color="auto"/>
              <w:bottom w:val="single" w:sz="4" w:space="0" w:color="auto"/>
              <w:right w:val="single" w:sz="4" w:space="0" w:color="auto"/>
            </w:tcBorders>
            <w:shd w:val="clear" w:color="auto" w:fill="auto"/>
            <w:vAlign w:val="bottom"/>
          </w:tcPr>
          <w:p w14:paraId="40E67FF8" w14:textId="498889B5"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val="restart"/>
            <w:tcBorders>
              <w:top w:val="nil"/>
              <w:left w:val="single" w:sz="4" w:space="0" w:color="auto"/>
              <w:bottom w:val="single" w:sz="4" w:space="0" w:color="auto"/>
              <w:right w:val="single" w:sz="4" w:space="0" w:color="auto"/>
            </w:tcBorders>
            <w:shd w:val="clear" w:color="auto" w:fill="auto"/>
            <w:vAlign w:val="bottom"/>
            <w:hideMark/>
          </w:tcPr>
          <w:p w14:paraId="65C81FBD"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Glede na sektor</w:t>
            </w:r>
          </w:p>
        </w:tc>
        <w:tc>
          <w:tcPr>
            <w:tcW w:w="1160" w:type="dxa"/>
            <w:tcBorders>
              <w:top w:val="nil"/>
              <w:left w:val="nil"/>
              <w:bottom w:val="single" w:sz="4" w:space="0" w:color="auto"/>
              <w:right w:val="single" w:sz="4" w:space="0" w:color="auto"/>
            </w:tcBorders>
            <w:shd w:val="clear" w:color="auto" w:fill="auto"/>
            <w:noWrap/>
            <w:vAlign w:val="bottom"/>
            <w:hideMark/>
          </w:tcPr>
          <w:p w14:paraId="49767CE9"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primarni sektor</w:t>
            </w:r>
          </w:p>
        </w:tc>
        <w:tc>
          <w:tcPr>
            <w:tcW w:w="563" w:type="dxa"/>
            <w:tcBorders>
              <w:top w:val="nil"/>
              <w:left w:val="nil"/>
              <w:bottom w:val="single" w:sz="4" w:space="0" w:color="auto"/>
              <w:right w:val="single" w:sz="4" w:space="0" w:color="auto"/>
            </w:tcBorders>
            <w:shd w:val="clear" w:color="auto" w:fill="auto"/>
            <w:noWrap/>
            <w:vAlign w:val="bottom"/>
            <w:hideMark/>
          </w:tcPr>
          <w:p w14:paraId="61A2DC05"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3FDFA2CE"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2,17</w:t>
            </w:r>
          </w:p>
        </w:tc>
        <w:tc>
          <w:tcPr>
            <w:tcW w:w="1127" w:type="dxa"/>
            <w:tcBorders>
              <w:top w:val="nil"/>
              <w:left w:val="nil"/>
              <w:bottom w:val="single" w:sz="4" w:space="0" w:color="auto"/>
              <w:right w:val="single" w:sz="4" w:space="0" w:color="auto"/>
            </w:tcBorders>
            <w:shd w:val="clear" w:color="auto" w:fill="auto"/>
            <w:noWrap/>
            <w:vAlign w:val="bottom"/>
            <w:hideMark/>
          </w:tcPr>
          <w:p w14:paraId="4263F6C2"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2,28</w:t>
            </w:r>
          </w:p>
        </w:tc>
        <w:tc>
          <w:tcPr>
            <w:tcW w:w="986" w:type="dxa"/>
            <w:tcBorders>
              <w:top w:val="nil"/>
              <w:left w:val="nil"/>
              <w:bottom w:val="single" w:sz="4" w:space="0" w:color="auto"/>
              <w:right w:val="single" w:sz="4" w:space="0" w:color="auto"/>
            </w:tcBorders>
            <w:shd w:val="clear" w:color="auto" w:fill="auto"/>
            <w:noWrap/>
            <w:vAlign w:val="bottom"/>
            <w:hideMark/>
          </w:tcPr>
          <w:p w14:paraId="2ABEF841"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2,43</w:t>
            </w:r>
          </w:p>
        </w:tc>
        <w:tc>
          <w:tcPr>
            <w:tcW w:w="1127" w:type="dxa"/>
            <w:tcBorders>
              <w:top w:val="nil"/>
              <w:left w:val="nil"/>
              <w:bottom w:val="single" w:sz="4" w:space="0" w:color="auto"/>
              <w:right w:val="single" w:sz="4" w:space="0" w:color="auto"/>
            </w:tcBorders>
            <w:shd w:val="clear" w:color="auto" w:fill="auto"/>
            <w:noWrap/>
            <w:vAlign w:val="bottom"/>
            <w:hideMark/>
          </w:tcPr>
          <w:p w14:paraId="3EBFBD7A"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2,58</w:t>
            </w:r>
          </w:p>
        </w:tc>
        <w:tc>
          <w:tcPr>
            <w:tcW w:w="1122" w:type="dxa"/>
            <w:tcBorders>
              <w:top w:val="nil"/>
              <w:left w:val="nil"/>
              <w:bottom w:val="single" w:sz="4" w:space="0" w:color="auto"/>
              <w:right w:val="single" w:sz="4" w:space="0" w:color="auto"/>
            </w:tcBorders>
            <w:shd w:val="clear" w:color="auto" w:fill="auto"/>
            <w:noWrap/>
            <w:vAlign w:val="bottom"/>
            <w:hideMark/>
          </w:tcPr>
          <w:p w14:paraId="5CD4BF18"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2,29</w:t>
            </w:r>
          </w:p>
        </w:tc>
      </w:tr>
      <w:tr w:rsidR="0072219F" w:rsidRPr="00BF7E57" w14:paraId="433DA9B3"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5933BCA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30D9CAC2"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2E4437C3"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sekundarni sektor</w:t>
            </w:r>
          </w:p>
        </w:tc>
        <w:tc>
          <w:tcPr>
            <w:tcW w:w="563" w:type="dxa"/>
            <w:tcBorders>
              <w:top w:val="nil"/>
              <w:left w:val="nil"/>
              <w:bottom w:val="single" w:sz="4" w:space="0" w:color="auto"/>
              <w:right w:val="single" w:sz="4" w:space="0" w:color="auto"/>
            </w:tcBorders>
            <w:shd w:val="clear" w:color="auto" w:fill="auto"/>
            <w:noWrap/>
            <w:vAlign w:val="bottom"/>
            <w:hideMark/>
          </w:tcPr>
          <w:p w14:paraId="0A1C120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71EC5661"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30,41</w:t>
            </w:r>
          </w:p>
        </w:tc>
        <w:tc>
          <w:tcPr>
            <w:tcW w:w="1127" w:type="dxa"/>
            <w:tcBorders>
              <w:top w:val="nil"/>
              <w:left w:val="nil"/>
              <w:bottom w:val="single" w:sz="4" w:space="0" w:color="auto"/>
              <w:right w:val="single" w:sz="4" w:space="0" w:color="auto"/>
            </w:tcBorders>
            <w:shd w:val="clear" w:color="auto" w:fill="auto"/>
            <w:noWrap/>
            <w:vAlign w:val="bottom"/>
            <w:hideMark/>
          </w:tcPr>
          <w:p w14:paraId="07F0270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31,80</w:t>
            </w:r>
          </w:p>
        </w:tc>
        <w:tc>
          <w:tcPr>
            <w:tcW w:w="986" w:type="dxa"/>
            <w:tcBorders>
              <w:top w:val="nil"/>
              <w:left w:val="nil"/>
              <w:bottom w:val="single" w:sz="4" w:space="0" w:color="auto"/>
              <w:right w:val="single" w:sz="4" w:space="0" w:color="auto"/>
            </w:tcBorders>
            <w:shd w:val="clear" w:color="auto" w:fill="auto"/>
            <w:noWrap/>
            <w:vAlign w:val="bottom"/>
            <w:hideMark/>
          </w:tcPr>
          <w:p w14:paraId="1D13976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32,42</w:t>
            </w:r>
          </w:p>
        </w:tc>
        <w:tc>
          <w:tcPr>
            <w:tcW w:w="1127" w:type="dxa"/>
            <w:tcBorders>
              <w:top w:val="nil"/>
              <w:left w:val="nil"/>
              <w:bottom w:val="single" w:sz="4" w:space="0" w:color="auto"/>
              <w:right w:val="single" w:sz="4" w:space="0" w:color="auto"/>
            </w:tcBorders>
            <w:shd w:val="clear" w:color="auto" w:fill="auto"/>
            <w:noWrap/>
            <w:vAlign w:val="bottom"/>
            <w:hideMark/>
          </w:tcPr>
          <w:p w14:paraId="77CB665D"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32,47</w:t>
            </w:r>
          </w:p>
        </w:tc>
        <w:tc>
          <w:tcPr>
            <w:tcW w:w="1122" w:type="dxa"/>
            <w:tcBorders>
              <w:top w:val="nil"/>
              <w:left w:val="nil"/>
              <w:bottom w:val="single" w:sz="4" w:space="0" w:color="auto"/>
              <w:right w:val="single" w:sz="4" w:space="0" w:color="auto"/>
            </w:tcBorders>
            <w:shd w:val="clear" w:color="auto" w:fill="auto"/>
            <w:noWrap/>
            <w:vAlign w:val="bottom"/>
            <w:hideMark/>
          </w:tcPr>
          <w:p w14:paraId="5122E87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33,02</w:t>
            </w:r>
          </w:p>
        </w:tc>
      </w:tr>
      <w:tr w:rsidR="0072219F" w:rsidRPr="00BF7E57" w14:paraId="36803A9A"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2FA40AE6"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4342EF59"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79E50258"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terciarni sektor</w:t>
            </w:r>
          </w:p>
        </w:tc>
        <w:tc>
          <w:tcPr>
            <w:tcW w:w="563" w:type="dxa"/>
            <w:tcBorders>
              <w:top w:val="nil"/>
              <w:left w:val="nil"/>
              <w:bottom w:val="single" w:sz="4" w:space="0" w:color="auto"/>
              <w:right w:val="single" w:sz="4" w:space="0" w:color="auto"/>
            </w:tcBorders>
            <w:shd w:val="clear" w:color="auto" w:fill="auto"/>
            <w:noWrap/>
            <w:vAlign w:val="bottom"/>
            <w:hideMark/>
          </w:tcPr>
          <w:p w14:paraId="6197E214"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1AC8F9B3"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67,42</w:t>
            </w:r>
          </w:p>
        </w:tc>
        <w:tc>
          <w:tcPr>
            <w:tcW w:w="1127" w:type="dxa"/>
            <w:tcBorders>
              <w:top w:val="nil"/>
              <w:left w:val="nil"/>
              <w:bottom w:val="single" w:sz="4" w:space="0" w:color="auto"/>
              <w:right w:val="single" w:sz="4" w:space="0" w:color="auto"/>
            </w:tcBorders>
            <w:shd w:val="clear" w:color="auto" w:fill="auto"/>
            <w:noWrap/>
            <w:vAlign w:val="bottom"/>
            <w:hideMark/>
          </w:tcPr>
          <w:p w14:paraId="1F83A4F9"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65,92</w:t>
            </w:r>
          </w:p>
        </w:tc>
        <w:tc>
          <w:tcPr>
            <w:tcW w:w="986" w:type="dxa"/>
            <w:tcBorders>
              <w:top w:val="nil"/>
              <w:left w:val="nil"/>
              <w:bottom w:val="single" w:sz="4" w:space="0" w:color="auto"/>
              <w:right w:val="single" w:sz="4" w:space="0" w:color="auto"/>
            </w:tcBorders>
            <w:shd w:val="clear" w:color="auto" w:fill="auto"/>
            <w:noWrap/>
            <w:vAlign w:val="bottom"/>
            <w:hideMark/>
          </w:tcPr>
          <w:p w14:paraId="366DD8C5"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65,16</w:t>
            </w:r>
          </w:p>
        </w:tc>
        <w:tc>
          <w:tcPr>
            <w:tcW w:w="1127" w:type="dxa"/>
            <w:tcBorders>
              <w:top w:val="nil"/>
              <w:left w:val="nil"/>
              <w:bottom w:val="single" w:sz="4" w:space="0" w:color="auto"/>
              <w:right w:val="single" w:sz="4" w:space="0" w:color="auto"/>
            </w:tcBorders>
            <w:shd w:val="clear" w:color="auto" w:fill="auto"/>
            <w:noWrap/>
            <w:vAlign w:val="bottom"/>
            <w:hideMark/>
          </w:tcPr>
          <w:p w14:paraId="7CDC6E9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64,95</w:t>
            </w:r>
          </w:p>
        </w:tc>
        <w:tc>
          <w:tcPr>
            <w:tcW w:w="1122" w:type="dxa"/>
            <w:tcBorders>
              <w:top w:val="nil"/>
              <w:left w:val="nil"/>
              <w:bottom w:val="single" w:sz="4" w:space="0" w:color="auto"/>
              <w:right w:val="single" w:sz="4" w:space="0" w:color="auto"/>
            </w:tcBorders>
            <w:shd w:val="clear" w:color="auto" w:fill="auto"/>
            <w:noWrap/>
            <w:vAlign w:val="bottom"/>
            <w:hideMark/>
          </w:tcPr>
          <w:p w14:paraId="2F8C5AB2"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64,69</w:t>
            </w:r>
          </w:p>
        </w:tc>
      </w:tr>
      <w:tr w:rsidR="0072219F" w:rsidRPr="00BF7E57" w14:paraId="231F481D"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7054FAE9"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val="restart"/>
            <w:tcBorders>
              <w:top w:val="nil"/>
              <w:left w:val="single" w:sz="4" w:space="0" w:color="auto"/>
              <w:bottom w:val="single" w:sz="4" w:space="0" w:color="auto"/>
              <w:right w:val="single" w:sz="4" w:space="0" w:color="auto"/>
            </w:tcBorders>
            <w:shd w:val="clear" w:color="auto" w:fill="auto"/>
            <w:vAlign w:val="bottom"/>
            <w:hideMark/>
          </w:tcPr>
          <w:p w14:paraId="072ABC1A"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Glede na tip regije</w:t>
            </w:r>
          </w:p>
        </w:tc>
        <w:tc>
          <w:tcPr>
            <w:tcW w:w="1160" w:type="dxa"/>
            <w:tcBorders>
              <w:top w:val="nil"/>
              <w:left w:val="nil"/>
              <w:bottom w:val="single" w:sz="4" w:space="0" w:color="auto"/>
              <w:right w:val="single" w:sz="4" w:space="0" w:color="auto"/>
            </w:tcBorders>
            <w:shd w:val="clear" w:color="auto" w:fill="auto"/>
            <w:noWrap/>
            <w:vAlign w:val="bottom"/>
            <w:hideMark/>
          </w:tcPr>
          <w:p w14:paraId="0D7EE3E0" w14:textId="307D0AEB"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vmesne regije</w:t>
            </w:r>
          </w:p>
        </w:tc>
        <w:tc>
          <w:tcPr>
            <w:tcW w:w="563" w:type="dxa"/>
            <w:tcBorders>
              <w:top w:val="nil"/>
              <w:left w:val="nil"/>
              <w:bottom w:val="single" w:sz="4" w:space="0" w:color="auto"/>
              <w:right w:val="single" w:sz="4" w:space="0" w:color="auto"/>
            </w:tcBorders>
            <w:shd w:val="clear" w:color="auto" w:fill="auto"/>
            <w:noWrap/>
            <w:vAlign w:val="bottom"/>
            <w:hideMark/>
          </w:tcPr>
          <w:p w14:paraId="57F8C53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7DB2BBB3"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50,72</w:t>
            </w:r>
          </w:p>
        </w:tc>
        <w:tc>
          <w:tcPr>
            <w:tcW w:w="1127" w:type="dxa"/>
            <w:tcBorders>
              <w:top w:val="nil"/>
              <w:left w:val="nil"/>
              <w:bottom w:val="single" w:sz="4" w:space="0" w:color="auto"/>
              <w:right w:val="single" w:sz="4" w:space="0" w:color="auto"/>
            </w:tcBorders>
            <w:shd w:val="clear" w:color="auto" w:fill="auto"/>
            <w:noWrap/>
            <w:vAlign w:val="bottom"/>
            <w:hideMark/>
          </w:tcPr>
          <w:p w14:paraId="1AC94A8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50,59</w:t>
            </w:r>
          </w:p>
        </w:tc>
        <w:tc>
          <w:tcPr>
            <w:tcW w:w="986" w:type="dxa"/>
            <w:tcBorders>
              <w:top w:val="nil"/>
              <w:left w:val="nil"/>
              <w:bottom w:val="single" w:sz="4" w:space="0" w:color="auto"/>
              <w:right w:val="single" w:sz="4" w:space="0" w:color="auto"/>
            </w:tcBorders>
            <w:shd w:val="clear" w:color="auto" w:fill="auto"/>
            <w:noWrap/>
            <w:vAlign w:val="bottom"/>
            <w:hideMark/>
          </w:tcPr>
          <w:p w14:paraId="4BBAF43F"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50,77</w:t>
            </w:r>
          </w:p>
        </w:tc>
        <w:tc>
          <w:tcPr>
            <w:tcW w:w="1127" w:type="dxa"/>
            <w:tcBorders>
              <w:top w:val="nil"/>
              <w:left w:val="nil"/>
              <w:bottom w:val="single" w:sz="4" w:space="0" w:color="auto"/>
              <w:right w:val="single" w:sz="4" w:space="0" w:color="auto"/>
            </w:tcBorders>
            <w:shd w:val="clear" w:color="auto" w:fill="auto"/>
            <w:noWrap/>
            <w:vAlign w:val="bottom"/>
            <w:hideMark/>
          </w:tcPr>
          <w:p w14:paraId="4A75D5D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51,43</w:t>
            </w:r>
          </w:p>
        </w:tc>
        <w:tc>
          <w:tcPr>
            <w:tcW w:w="1122" w:type="dxa"/>
            <w:tcBorders>
              <w:top w:val="nil"/>
              <w:left w:val="nil"/>
              <w:bottom w:val="single" w:sz="4" w:space="0" w:color="auto"/>
              <w:right w:val="single" w:sz="4" w:space="0" w:color="auto"/>
            </w:tcBorders>
            <w:shd w:val="clear" w:color="auto" w:fill="auto"/>
            <w:noWrap/>
            <w:vAlign w:val="bottom"/>
            <w:hideMark/>
          </w:tcPr>
          <w:p w14:paraId="259A14DE" w14:textId="30681D3B" w:rsidR="0007507A" w:rsidRPr="00BF7E57" w:rsidRDefault="0072219F"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r>
      <w:tr w:rsidR="0072219F" w:rsidRPr="00BF7E57" w14:paraId="32073DBC"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021E549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60A09081"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0AD488A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podeželske regije</w:t>
            </w:r>
          </w:p>
        </w:tc>
        <w:tc>
          <w:tcPr>
            <w:tcW w:w="563" w:type="dxa"/>
            <w:tcBorders>
              <w:top w:val="nil"/>
              <w:left w:val="nil"/>
              <w:bottom w:val="single" w:sz="4" w:space="0" w:color="auto"/>
              <w:right w:val="single" w:sz="4" w:space="0" w:color="auto"/>
            </w:tcBorders>
            <w:shd w:val="clear" w:color="auto" w:fill="auto"/>
            <w:noWrap/>
            <w:vAlign w:val="bottom"/>
            <w:hideMark/>
          </w:tcPr>
          <w:p w14:paraId="168BF6DE"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128A67F6"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49,28</w:t>
            </w:r>
          </w:p>
        </w:tc>
        <w:tc>
          <w:tcPr>
            <w:tcW w:w="1127" w:type="dxa"/>
            <w:tcBorders>
              <w:top w:val="nil"/>
              <w:left w:val="nil"/>
              <w:bottom w:val="single" w:sz="4" w:space="0" w:color="auto"/>
              <w:right w:val="single" w:sz="4" w:space="0" w:color="auto"/>
            </w:tcBorders>
            <w:shd w:val="clear" w:color="auto" w:fill="auto"/>
            <w:noWrap/>
            <w:vAlign w:val="bottom"/>
            <w:hideMark/>
          </w:tcPr>
          <w:p w14:paraId="537C7A7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49,41</w:t>
            </w:r>
          </w:p>
        </w:tc>
        <w:tc>
          <w:tcPr>
            <w:tcW w:w="986" w:type="dxa"/>
            <w:tcBorders>
              <w:top w:val="nil"/>
              <w:left w:val="nil"/>
              <w:bottom w:val="single" w:sz="4" w:space="0" w:color="auto"/>
              <w:right w:val="single" w:sz="4" w:space="0" w:color="auto"/>
            </w:tcBorders>
            <w:shd w:val="clear" w:color="auto" w:fill="auto"/>
            <w:noWrap/>
            <w:vAlign w:val="bottom"/>
            <w:hideMark/>
          </w:tcPr>
          <w:p w14:paraId="1785241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49,23</w:t>
            </w:r>
          </w:p>
        </w:tc>
        <w:tc>
          <w:tcPr>
            <w:tcW w:w="1127" w:type="dxa"/>
            <w:tcBorders>
              <w:top w:val="nil"/>
              <w:left w:val="nil"/>
              <w:bottom w:val="single" w:sz="4" w:space="0" w:color="auto"/>
              <w:right w:val="single" w:sz="4" w:space="0" w:color="auto"/>
            </w:tcBorders>
            <w:shd w:val="clear" w:color="auto" w:fill="auto"/>
            <w:noWrap/>
            <w:vAlign w:val="bottom"/>
            <w:hideMark/>
          </w:tcPr>
          <w:p w14:paraId="5475412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48,30</w:t>
            </w:r>
          </w:p>
        </w:tc>
        <w:tc>
          <w:tcPr>
            <w:tcW w:w="1122" w:type="dxa"/>
            <w:tcBorders>
              <w:top w:val="nil"/>
              <w:left w:val="nil"/>
              <w:bottom w:val="single" w:sz="4" w:space="0" w:color="auto"/>
              <w:right w:val="single" w:sz="4" w:space="0" w:color="auto"/>
            </w:tcBorders>
            <w:shd w:val="clear" w:color="auto" w:fill="auto"/>
            <w:noWrap/>
            <w:vAlign w:val="bottom"/>
            <w:hideMark/>
          </w:tcPr>
          <w:p w14:paraId="31520143" w14:textId="4CD9AAF0" w:rsidR="0007507A" w:rsidRPr="00BF7E57" w:rsidRDefault="0072219F"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r>
      <w:tr w:rsidR="0072219F" w:rsidRPr="00BF7E57" w14:paraId="679B2C2A"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5AD81955"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tcBorders>
              <w:top w:val="nil"/>
              <w:left w:val="nil"/>
              <w:bottom w:val="single" w:sz="4" w:space="0" w:color="auto"/>
              <w:right w:val="single" w:sz="4" w:space="0" w:color="auto"/>
            </w:tcBorders>
            <w:shd w:val="clear" w:color="auto" w:fill="auto"/>
            <w:vAlign w:val="bottom"/>
            <w:hideMark/>
          </w:tcPr>
          <w:p w14:paraId="2F50A906"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4471082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skupaj</w:t>
            </w:r>
          </w:p>
        </w:tc>
        <w:tc>
          <w:tcPr>
            <w:tcW w:w="563" w:type="dxa"/>
            <w:tcBorders>
              <w:top w:val="nil"/>
              <w:left w:val="nil"/>
              <w:bottom w:val="single" w:sz="4" w:space="0" w:color="auto"/>
              <w:right w:val="single" w:sz="4" w:space="0" w:color="auto"/>
            </w:tcBorders>
            <w:shd w:val="clear" w:color="auto" w:fill="auto"/>
            <w:noWrap/>
            <w:vAlign w:val="bottom"/>
            <w:hideMark/>
          </w:tcPr>
          <w:p w14:paraId="3F53544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EUR mio</w:t>
            </w:r>
          </w:p>
        </w:tc>
        <w:tc>
          <w:tcPr>
            <w:tcW w:w="1127" w:type="dxa"/>
            <w:tcBorders>
              <w:top w:val="nil"/>
              <w:left w:val="nil"/>
              <w:bottom w:val="single" w:sz="4" w:space="0" w:color="auto"/>
              <w:right w:val="single" w:sz="4" w:space="0" w:color="auto"/>
            </w:tcBorders>
            <w:shd w:val="clear" w:color="auto" w:fill="auto"/>
            <w:noWrap/>
            <w:vAlign w:val="bottom"/>
            <w:hideMark/>
          </w:tcPr>
          <w:p w14:paraId="7AD50EE4"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31.693,50</w:t>
            </w:r>
          </w:p>
        </w:tc>
        <w:tc>
          <w:tcPr>
            <w:tcW w:w="1127" w:type="dxa"/>
            <w:tcBorders>
              <w:top w:val="nil"/>
              <w:left w:val="nil"/>
              <w:bottom w:val="single" w:sz="4" w:space="0" w:color="auto"/>
              <w:right w:val="single" w:sz="4" w:space="0" w:color="auto"/>
            </w:tcBorders>
            <w:shd w:val="clear" w:color="auto" w:fill="auto"/>
            <w:noWrap/>
            <w:vAlign w:val="bottom"/>
            <w:hideMark/>
          </w:tcPr>
          <w:p w14:paraId="5DE92786"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31.508,80</w:t>
            </w:r>
          </w:p>
        </w:tc>
        <w:tc>
          <w:tcPr>
            <w:tcW w:w="986" w:type="dxa"/>
            <w:tcBorders>
              <w:top w:val="nil"/>
              <w:left w:val="nil"/>
              <w:bottom w:val="single" w:sz="4" w:space="0" w:color="auto"/>
              <w:right w:val="single" w:sz="4" w:space="0" w:color="auto"/>
            </w:tcBorders>
            <w:shd w:val="clear" w:color="auto" w:fill="auto"/>
            <w:noWrap/>
            <w:vAlign w:val="bottom"/>
            <w:hideMark/>
          </w:tcPr>
          <w:p w14:paraId="51DE02A0"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33.591,70</w:t>
            </w:r>
          </w:p>
        </w:tc>
        <w:tc>
          <w:tcPr>
            <w:tcW w:w="1127" w:type="dxa"/>
            <w:tcBorders>
              <w:top w:val="nil"/>
              <w:left w:val="nil"/>
              <w:bottom w:val="single" w:sz="4" w:space="0" w:color="auto"/>
              <w:right w:val="single" w:sz="4" w:space="0" w:color="auto"/>
            </w:tcBorders>
            <w:shd w:val="clear" w:color="auto" w:fill="auto"/>
            <w:noWrap/>
            <w:vAlign w:val="bottom"/>
            <w:hideMark/>
          </w:tcPr>
          <w:p w14:paraId="6A031DAD"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39.945,70</w:t>
            </w:r>
          </w:p>
        </w:tc>
        <w:tc>
          <w:tcPr>
            <w:tcW w:w="1122" w:type="dxa"/>
            <w:tcBorders>
              <w:top w:val="nil"/>
              <w:left w:val="nil"/>
              <w:bottom w:val="single" w:sz="4" w:space="0" w:color="auto"/>
              <w:right w:val="single" w:sz="4" w:space="0" w:color="auto"/>
            </w:tcBorders>
            <w:shd w:val="clear" w:color="auto" w:fill="auto"/>
            <w:noWrap/>
            <w:vAlign w:val="bottom"/>
            <w:hideMark/>
          </w:tcPr>
          <w:p w14:paraId="14965DDA"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42.343,20</w:t>
            </w:r>
          </w:p>
        </w:tc>
      </w:tr>
    </w:tbl>
    <w:p w14:paraId="54D2FCA0" w14:textId="4509603A" w:rsidR="0007507A" w:rsidRPr="00BF7E57" w:rsidRDefault="0007507A" w:rsidP="0072219F">
      <w:pPr>
        <w:spacing w:before="60" w:after="0" w:line="312" w:lineRule="auto"/>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Vir: Eurostat, 2021</w:t>
      </w:r>
    </w:p>
    <w:p w14:paraId="6BBFB537" w14:textId="582E07BE" w:rsidR="00026AF3" w:rsidRPr="00BF7E57" w:rsidRDefault="003E038D" w:rsidP="00F77BD0">
      <w:pPr>
        <w:pStyle w:val="Napis"/>
      </w:pPr>
      <w:bookmarkStart w:id="136" w:name="_Ref84925636"/>
      <w:bookmarkStart w:id="137" w:name="_Toc86826417"/>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27</w:t>
      </w:r>
      <w:r w:rsidR="00A30B83" w:rsidRPr="00BF7E57">
        <w:rPr>
          <w:noProof/>
        </w:rPr>
        <w:fldChar w:fldCharType="end"/>
      </w:r>
      <w:bookmarkEnd w:id="136"/>
      <w:r w:rsidRPr="00BF7E57">
        <w:t>: Bruto dodana vrednost na zaposlenega v gospodarskih družbah, zadrugah in samostojnih podjetnikih posamezniki</w:t>
      </w:r>
      <w:r w:rsidR="00026AF3" w:rsidRPr="00BF7E57">
        <w:rPr>
          <w:szCs w:val="20"/>
          <w:vertAlign w:val="superscript"/>
        </w:rPr>
        <w:footnoteReference w:id="3"/>
      </w:r>
      <w:bookmarkEnd w:id="137"/>
    </w:p>
    <w:p w14:paraId="50B57AE9" w14:textId="77777777" w:rsidR="003E038D" w:rsidRPr="00BF7E57" w:rsidRDefault="003E038D" w:rsidP="00F77BD0">
      <w:pPr>
        <w:rPr>
          <w:lang w:eastAsia="en-GB"/>
        </w:rPr>
      </w:pPr>
    </w:p>
    <w:p w14:paraId="3497F5BE" w14:textId="3F310F5D" w:rsidR="009E0216" w:rsidRPr="00BF7E57" w:rsidRDefault="009E0216" w:rsidP="00422936">
      <w:pPr>
        <w:pStyle w:val="Default"/>
        <w:jc w:val="both"/>
        <w:rPr>
          <w:rFonts w:ascii="Arial" w:hAnsi="Arial" w:cs="Arial"/>
          <w:sz w:val="20"/>
          <w:szCs w:val="20"/>
          <w:lang w:val="sl-SI"/>
        </w:rPr>
      </w:pPr>
      <w:r w:rsidRPr="00BF7E57">
        <w:rPr>
          <w:rFonts w:ascii="Arial" w:hAnsi="Arial" w:cs="Arial"/>
          <w:noProof/>
          <w:sz w:val="20"/>
          <w:szCs w:val="20"/>
          <w:lang w:val="sl-SI" w:eastAsia="sl-SI"/>
        </w:rPr>
        <w:drawing>
          <wp:inline distT="0" distB="0" distL="0" distR="0" wp14:anchorId="754A9311" wp14:editId="0DC27A97">
            <wp:extent cx="5507990" cy="2735885"/>
            <wp:effectExtent l="0" t="0" r="16510" b="762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BB501E" w14:textId="77777777" w:rsidR="00026AF3" w:rsidRPr="00BF7E57" w:rsidRDefault="00026AF3" w:rsidP="00422936">
      <w:pPr>
        <w:spacing w:line="240" w:lineRule="auto"/>
        <w:jc w:val="both"/>
        <w:rPr>
          <w:rFonts w:ascii="Arial" w:hAnsi="Arial" w:cs="Arial"/>
          <w:color w:val="000000"/>
          <w:sz w:val="16"/>
          <w:szCs w:val="16"/>
        </w:rPr>
      </w:pPr>
      <w:r w:rsidRPr="00BF7E57">
        <w:rPr>
          <w:rFonts w:ascii="Arial" w:hAnsi="Arial" w:cs="Arial"/>
          <w:sz w:val="16"/>
          <w:szCs w:val="16"/>
        </w:rPr>
        <w:t>Vir: SURS</w:t>
      </w:r>
      <w:r w:rsidR="007E2079" w:rsidRPr="00BF7E57">
        <w:rPr>
          <w:rFonts w:ascii="Arial" w:hAnsi="Arial" w:cs="Arial"/>
          <w:sz w:val="16"/>
          <w:szCs w:val="16"/>
        </w:rPr>
        <w:t>,</w:t>
      </w:r>
      <w:r w:rsidRPr="00BF7E57">
        <w:rPr>
          <w:rFonts w:ascii="Arial" w:hAnsi="Arial" w:cs="Arial"/>
          <w:color w:val="000000"/>
          <w:sz w:val="16"/>
          <w:szCs w:val="16"/>
        </w:rPr>
        <w:t xml:space="preserve"> </w:t>
      </w:r>
      <w:r w:rsidR="000C775F" w:rsidRPr="00BF7E57">
        <w:rPr>
          <w:rFonts w:ascii="Arial" w:hAnsi="Arial" w:cs="Arial"/>
          <w:color w:val="000000"/>
          <w:sz w:val="16"/>
          <w:szCs w:val="16"/>
        </w:rPr>
        <w:t>2020</w:t>
      </w:r>
    </w:p>
    <w:p w14:paraId="60FD5D6C" w14:textId="7C9706D1"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Skupna bruto dodana vrednost (BDV)</w:t>
      </w:r>
      <w:r w:rsidR="0007507A" w:rsidRPr="00BF7E57">
        <w:rPr>
          <w:rFonts w:ascii="Arial" w:hAnsi="Arial" w:cs="Arial"/>
          <w:color w:val="auto"/>
          <w:sz w:val="20"/>
          <w:szCs w:val="20"/>
          <w:lang w:val="sl-SI"/>
        </w:rPr>
        <w:t xml:space="preserve"> na zaposlenega</w:t>
      </w:r>
      <w:r w:rsidRPr="00BF7E57">
        <w:rPr>
          <w:rFonts w:ascii="Arial" w:hAnsi="Arial" w:cs="Arial"/>
          <w:color w:val="auto"/>
          <w:sz w:val="20"/>
          <w:szCs w:val="20"/>
          <w:lang w:val="sl-SI"/>
        </w:rPr>
        <w:t>, ustvarjena v letu 2015, se je najbolj približala vrednosti iz »predkriznega« leta 2008, a je bila še vedno za več kot 61 milijonov EUR nižja; znašala je 19,7 milijarde EUR</w:t>
      </w:r>
      <w:r w:rsidR="00B3003E" w:rsidRPr="00BF7E57">
        <w:rPr>
          <w:rFonts w:ascii="Arial" w:hAnsi="Arial" w:cs="Arial"/>
          <w:color w:val="auto"/>
          <w:sz w:val="20"/>
          <w:szCs w:val="20"/>
          <w:lang w:val="sl-SI"/>
        </w:rPr>
        <w:t xml:space="preserve"> (</w:t>
      </w:r>
      <w:r w:rsidR="00403EBA" w:rsidRPr="00BF7E57">
        <w:rPr>
          <w:rFonts w:ascii="Arial" w:hAnsi="Arial" w:cs="Arial"/>
          <w:color w:val="auto"/>
          <w:sz w:val="20"/>
          <w:szCs w:val="20"/>
          <w:lang w:val="sl-SI"/>
        </w:rPr>
        <w:fldChar w:fldCharType="begin"/>
      </w:r>
      <w:r w:rsidR="00403EBA" w:rsidRPr="00BF7E57">
        <w:rPr>
          <w:rFonts w:ascii="Arial" w:hAnsi="Arial" w:cs="Arial"/>
          <w:color w:val="auto"/>
          <w:sz w:val="20"/>
          <w:szCs w:val="20"/>
          <w:lang w:val="sl-SI"/>
        </w:rPr>
        <w:instrText xml:space="preserve"> REF _Ref84925636 \h </w:instrText>
      </w:r>
      <w:r w:rsidR="00403EBA" w:rsidRPr="00BF7E57">
        <w:rPr>
          <w:rFonts w:ascii="Arial" w:hAnsi="Arial" w:cs="Arial"/>
          <w:color w:val="auto"/>
          <w:sz w:val="20"/>
          <w:szCs w:val="20"/>
          <w:lang w:val="sl-SI"/>
        </w:rPr>
      </w:r>
      <w:r w:rsidR="00BF7E57">
        <w:rPr>
          <w:rFonts w:ascii="Arial" w:hAnsi="Arial" w:cs="Arial"/>
          <w:color w:val="auto"/>
          <w:sz w:val="20"/>
          <w:szCs w:val="20"/>
          <w:lang w:val="sl-SI"/>
        </w:rPr>
        <w:instrText xml:space="preserve"> \* MERGEFORMAT </w:instrText>
      </w:r>
      <w:r w:rsidR="00403EBA" w:rsidRPr="00BF7E57">
        <w:rPr>
          <w:rFonts w:ascii="Arial" w:hAnsi="Arial" w:cs="Arial"/>
          <w:color w:val="auto"/>
          <w:sz w:val="20"/>
          <w:szCs w:val="20"/>
          <w:lang w:val="sl-SI"/>
        </w:rPr>
        <w:fldChar w:fldCharType="separate"/>
      </w:r>
      <w:r w:rsidR="00236865" w:rsidRPr="00BF7E57">
        <w:t xml:space="preserve">Slika </w:t>
      </w:r>
      <w:r w:rsidR="00236865">
        <w:rPr>
          <w:noProof/>
        </w:rPr>
        <w:t>27</w:t>
      </w:r>
      <w:r w:rsidR="00403EBA" w:rsidRPr="00BF7E57">
        <w:rPr>
          <w:rFonts w:ascii="Arial" w:hAnsi="Arial" w:cs="Arial"/>
          <w:color w:val="auto"/>
          <w:sz w:val="20"/>
          <w:szCs w:val="20"/>
          <w:lang w:val="sl-SI"/>
        </w:rPr>
        <w:fldChar w:fldCharType="end"/>
      </w:r>
      <w:r w:rsidR="00B3003E" w:rsidRPr="00BF7E57">
        <w:rPr>
          <w:rFonts w:ascii="Arial" w:hAnsi="Arial" w:cs="Arial"/>
          <w:color w:val="auto"/>
          <w:sz w:val="20"/>
          <w:szCs w:val="20"/>
          <w:lang w:val="sl-SI"/>
        </w:rPr>
        <w:t>)</w:t>
      </w:r>
      <w:r w:rsidRPr="00BF7E57">
        <w:rPr>
          <w:rFonts w:ascii="Arial" w:hAnsi="Arial" w:cs="Arial"/>
          <w:color w:val="auto"/>
          <w:sz w:val="20"/>
          <w:szCs w:val="20"/>
          <w:lang w:val="sl-SI"/>
        </w:rPr>
        <w:t xml:space="preserve">. Višja od tiste iz leta 2008 je bila v industriji (za 6,2 %) in drugih storitvah (za 8,1 %), občutno nižja pa zlasti v gradbeništvu (kar za 36,9 %) in tudi v trgovini (za 8,6 %). Skupna BDV, dosežena v 2015, je bila za več kot 845.000 EUR višja kot v letu 2014 . </w:t>
      </w:r>
    </w:p>
    <w:p w14:paraId="72F5DFDB" w14:textId="0B1AC5A6"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Gospodarske družbe, zadruge in samostojni podjetniki posamezniki so v 2015 ustvarili 40.263 EUR bruto dodane vrednosti na zaposlenega, to je za 2 % več kot v 2014. Vrednost tega kazalnika se v zadnjih letih postopno povečuje.</w:t>
      </w:r>
    </w:p>
    <w:p w14:paraId="1692150A" w14:textId="14F8106A" w:rsidR="005E3745"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color w:val="auto"/>
          <w:sz w:val="20"/>
          <w:szCs w:val="20"/>
          <w:lang w:val="sl-SI"/>
        </w:rPr>
        <w:t>V marcu 2020 je bila v Sloveniji razglašena epidemija koronavirusne bolezni, ki je prinesla negativne učinke na gospodarski in socialni položaj. Razmere bodo kot posledica nujnih zaščitnih ukrepov močno vplivale na zmanjšanje gospodarske aktivnosti, hkrati pa so tudi pokazale, da je Slovenija na nekaterih področjih, kjer v preteklih letih ni sprejela ustreznih ukrepov ali je napredovala prepočasi, v času epidemije še ranljivejša (med njimi velik delež prekarnih zaposlitev, sistemska neurejenost dolgotrajne oskrbe, čakalne dobe v zdravstvu, pomanjkanje digitalnih spretnosti prebivalstva, administrativne ovire in dolgotrajnost nekaterih postopkov)</w:t>
      </w:r>
      <w:r w:rsidR="000C775F" w:rsidRPr="00BF7E57">
        <w:rPr>
          <w:rFonts w:ascii="Arial" w:hAnsi="Arial" w:cs="Arial"/>
          <w:color w:val="auto"/>
          <w:sz w:val="20"/>
          <w:szCs w:val="20"/>
          <w:lang w:val="sl-SI"/>
        </w:rPr>
        <w:t xml:space="preserve"> (UMAR, 2020)</w:t>
      </w:r>
      <w:r w:rsidRPr="00BF7E57">
        <w:rPr>
          <w:rFonts w:ascii="Arial" w:hAnsi="Arial" w:cs="Arial"/>
          <w:color w:val="auto"/>
          <w:sz w:val="20"/>
          <w:szCs w:val="20"/>
          <w:lang w:val="sl-SI"/>
        </w:rPr>
        <w:t xml:space="preserve">. </w:t>
      </w:r>
    </w:p>
    <w:p w14:paraId="7D3DDB86" w14:textId="0B9A79C5" w:rsidR="009E0216" w:rsidRPr="00BF7E57" w:rsidRDefault="00AE0A93" w:rsidP="00BE756C">
      <w:pPr>
        <w:rPr>
          <w:rFonts w:ascii="Arial" w:hAnsi="Arial" w:cs="Arial"/>
          <w:sz w:val="20"/>
          <w:szCs w:val="20"/>
        </w:rPr>
      </w:pPr>
      <w:r w:rsidRPr="00BF7E57">
        <w:rPr>
          <w:rFonts w:ascii="Arial" w:hAnsi="Arial" w:cs="Arial"/>
          <w:sz w:val="20"/>
          <w:szCs w:val="20"/>
        </w:rPr>
        <w:br w:type="page"/>
      </w:r>
    </w:p>
    <w:p w14:paraId="4317B61C" w14:textId="5865459C" w:rsidR="009E0216" w:rsidRPr="00BF7E57" w:rsidRDefault="00CE0B15" w:rsidP="00CE0B15">
      <w:pPr>
        <w:pStyle w:val="Naslov2"/>
        <w:keepLines w:val="0"/>
        <w:tabs>
          <w:tab w:val="left" w:pos="0"/>
          <w:tab w:val="left" w:pos="567"/>
          <w:tab w:val="left" w:pos="1276"/>
        </w:tabs>
        <w:spacing w:after="200" w:line="360" w:lineRule="auto"/>
        <w:jc w:val="both"/>
        <w:rPr>
          <w:rFonts w:ascii="Arial" w:hAnsi="Arial" w:cs="Arial"/>
          <w:color w:val="000000" w:themeColor="text1"/>
          <w:sz w:val="24"/>
          <w:szCs w:val="24"/>
        </w:rPr>
      </w:pPr>
      <w:bookmarkStart w:id="138" w:name="_Toc45016619"/>
      <w:bookmarkStart w:id="139" w:name="_Toc86826378"/>
      <w:r w:rsidRPr="00BF7E57">
        <w:rPr>
          <w:rFonts w:ascii="Arial" w:hAnsi="Arial" w:cs="Arial"/>
          <w:color w:val="000000" w:themeColor="text1"/>
          <w:sz w:val="24"/>
          <w:szCs w:val="24"/>
        </w:rPr>
        <w:lastRenderedPageBreak/>
        <w:t xml:space="preserve">3.1 </w:t>
      </w:r>
      <w:r w:rsidR="00BA2D0E" w:rsidRPr="00BF7E57">
        <w:rPr>
          <w:rFonts w:ascii="Arial" w:hAnsi="Arial" w:cs="Arial"/>
          <w:color w:val="000000" w:themeColor="text1"/>
          <w:sz w:val="24"/>
          <w:szCs w:val="24"/>
        </w:rPr>
        <w:t xml:space="preserve">ZNAČILNOSTI </w:t>
      </w:r>
      <w:bookmarkEnd w:id="138"/>
      <w:r w:rsidR="00BA2D0E" w:rsidRPr="00BF7E57">
        <w:rPr>
          <w:rFonts w:ascii="Arial" w:hAnsi="Arial" w:cs="Arial"/>
          <w:color w:val="000000" w:themeColor="text1"/>
          <w:sz w:val="24"/>
          <w:szCs w:val="24"/>
        </w:rPr>
        <w:t>PODJETNIŠTVA</w:t>
      </w:r>
      <w:bookmarkEnd w:id="139"/>
      <w:r w:rsidR="00BA2D0E" w:rsidRPr="00BF7E57">
        <w:rPr>
          <w:rFonts w:ascii="Arial" w:hAnsi="Arial" w:cs="Arial"/>
          <w:color w:val="000000" w:themeColor="text1"/>
          <w:sz w:val="24"/>
          <w:szCs w:val="24"/>
        </w:rPr>
        <w:t xml:space="preserve"> </w:t>
      </w:r>
    </w:p>
    <w:p w14:paraId="23264702" w14:textId="5694479A" w:rsidR="003E5C8E" w:rsidRPr="00BF7E57" w:rsidRDefault="003E5C8E" w:rsidP="005E7C38">
      <w:pPr>
        <w:spacing w:before="200" w:afterLines="200" w:after="480" w:line="360" w:lineRule="auto"/>
        <w:jc w:val="both"/>
        <w:rPr>
          <w:rFonts w:ascii="Arial" w:hAnsi="Arial" w:cs="Arial"/>
          <w:sz w:val="20"/>
          <w:szCs w:val="20"/>
        </w:rPr>
      </w:pPr>
      <w:r w:rsidRPr="00BF7E57">
        <w:rPr>
          <w:rFonts w:ascii="Arial" w:hAnsi="Arial" w:cs="Arial"/>
          <w:sz w:val="20"/>
          <w:szCs w:val="20"/>
        </w:rPr>
        <w:t>Svetovna raziskava Globalni podjetniški monitor</w:t>
      </w:r>
      <w:r w:rsidR="00CE0B15" w:rsidRPr="00BF7E57">
        <w:rPr>
          <w:rFonts w:ascii="Arial" w:hAnsi="Arial" w:cs="Arial"/>
          <w:sz w:val="20"/>
          <w:szCs w:val="20"/>
        </w:rPr>
        <w:t xml:space="preserve"> (GEM Slovenija) </w:t>
      </w:r>
      <w:r w:rsidRPr="00BF7E57">
        <w:rPr>
          <w:rFonts w:ascii="Arial" w:hAnsi="Arial" w:cs="Arial"/>
          <w:sz w:val="20"/>
          <w:szCs w:val="20"/>
        </w:rPr>
        <w:t>je za leto 2019 pokazala, da v Sloveniji kljub vse večji družbeni sprejetosti podjetništva ter samozaupanju posameznikov v podjetniške zmogljivosti ne zaznavamo rasti zgodnje podjetniške aktivnosti, posledica tega pa je neizkoriščen podjetniški potencial. Po podatkih GEM Slovenija je leta 2019 v Sloveniji 47,59 % ljudi, ki v svojem okolju zaznava</w:t>
      </w:r>
      <w:r w:rsidR="00403EBA" w:rsidRPr="00BF7E57">
        <w:rPr>
          <w:rFonts w:ascii="Arial" w:hAnsi="Arial" w:cs="Arial"/>
          <w:sz w:val="20"/>
          <w:szCs w:val="20"/>
        </w:rPr>
        <w:t>jo</w:t>
      </w:r>
      <w:r w:rsidRPr="00BF7E57">
        <w:rPr>
          <w:rFonts w:ascii="Arial" w:hAnsi="Arial" w:cs="Arial"/>
          <w:sz w:val="20"/>
          <w:szCs w:val="20"/>
        </w:rPr>
        <w:t xml:space="preserve"> obetavne poslovne priložnosti. Zelo pozitiven rezultat za Slovenijo je, da se zadnja leta ta delež vztrajno veča: 20,5 % leta 2015, nato 25,3 % leta 2016 in 34,60 % leta 2017 ter 42,17 % leta 2018. Slovenija se je na lestvici 21 evropskih držav po tem kazalniku v letu 2019 uvrstila na sredino lestvice in pod evropsko povprečje, ki znaša 50,17 %.</w:t>
      </w:r>
    </w:p>
    <w:p w14:paraId="0E7ECF2D" w14:textId="32D87AC8" w:rsidR="003E5C8E" w:rsidRPr="00BF7E57" w:rsidRDefault="003E5C8E" w:rsidP="005E7C38">
      <w:pPr>
        <w:spacing w:before="200" w:afterLines="200" w:after="480" w:line="360" w:lineRule="auto"/>
        <w:jc w:val="both"/>
        <w:rPr>
          <w:rFonts w:ascii="Arial" w:hAnsi="Arial" w:cs="Arial"/>
          <w:sz w:val="20"/>
          <w:szCs w:val="20"/>
        </w:rPr>
      </w:pPr>
      <w:r w:rsidRPr="00BF7E57">
        <w:rPr>
          <w:rFonts w:ascii="Arial" w:hAnsi="Arial" w:cs="Arial"/>
          <w:sz w:val="20"/>
          <w:szCs w:val="20"/>
        </w:rPr>
        <w:t>V Sloveniji podjetniške namere ljudi (</w:t>
      </w:r>
      <w:r w:rsidR="00CE0B15" w:rsidRPr="00BF7E57">
        <w:rPr>
          <w:rFonts w:ascii="Arial" w:hAnsi="Arial" w:cs="Arial"/>
          <w:sz w:val="20"/>
          <w:szCs w:val="20"/>
        </w:rPr>
        <w:t xml:space="preserve">ljudje, ki </w:t>
      </w:r>
      <w:r w:rsidRPr="00BF7E57">
        <w:rPr>
          <w:rFonts w:ascii="Arial" w:hAnsi="Arial" w:cs="Arial"/>
          <w:sz w:val="20"/>
          <w:szCs w:val="20"/>
        </w:rPr>
        <w:t>nameravajo v prihodnjih treh letih začeti nov posel) v zadnjih letih ostajajo na približno enaki ravni – leta 2019 je bilo takih 16,6 % odraslih prebivalcev. Po podatkih GEM Slovenija to Slovenijo uvršča na 6. mesto v Evropi, kjer so vrhu Latvija (23,2 %), Ciper (21,2 %) in Hrvaška (20,6 %), na drugem koncu lestvice pa so Italija (5,4 %), Norveška (5,7 %) in Poljska (6 %). Med podjetniškimi namerami in njihovo uresničitvijo je velik razkorak (med nastajajoče podjetnike se je lani uvrstilo 4,4 % odraslega prebivalstva). To opozarja, da je treba več pozornosti posvetiti spodbujanju podjetništva ob sočasnem lajšanju pogojev zanj, da bi se izgubilo čim manj podjetniškega potenciala. To bo postalo še posebej pomembno ob slabšanju gospodarskega položaja.</w:t>
      </w:r>
    </w:p>
    <w:p w14:paraId="31DEB4B6" w14:textId="452CB1D1" w:rsidR="003E5C8E" w:rsidRPr="00BF7E57" w:rsidRDefault="003E5C8E" w:rsidP="005E7C38">
      <w:pPr>
        <w:spacing w:before="200" w:afterLines="200" w:after="480" w:line="360" w:lineRule="auto"/>
        <w:jc w:val="both"/>
        <w:rPr>
          <w:rFonts w:ascii="Arial" w:hAnsi="Arial" w:cs="Arial"/>
          <w:color w:val="000000"/>
          <w:sz w:val="20"/>
          <w:szCs w:val="20"/>
        </w:rPr>
      </w:pPr>
      <w:r w:rsidRPr="00BF7E57">
        <w:rPr>
          <w:rFonts w:ascii="Arial" w:hAnsi="Arial" w:cs="Arial"/>
          <w:color w:val="000000"/>
          <w:sz w:val="20"/>
          <w:szCs w:val="20"/>
        </w:rPr>
        <w:t>V Sloveniji je tudi večji delež podjetnikov, ki niso zaposlovalci in tudi ne načrtujejo postati dejanski zaposlovalci. Delež takšnih odraslih prebivalcev je v Sloveniji leta 2019 znašal 5,77 %. S tem se je Slovenija v evropskem merilu uvrstila pod povprečje držav, vključenih v raziskavo GEM. Največji delež odraslih prebivalcev, ki že ustvarjajo delovna mesta ali verjamejo, da jih bodo ustvarjali v naslednjih petih letih, je v Latviji (12,37 %), na Cipru (10,59 %) in na Slovaškem (10,18 %), najmanjši delež (2,32 %)</w:t>
      </w:r>
      <w:r w:rsidR="00CE0B15" w:rsidRPr="00BF7E57">
        <w:rPr>
          <w:rFonts w:ascii="Arial" w:hAnsi="Arial" w:cs="Arial"/>
          <w:color w:val="000000"/>
          <w:sz w:val="20"/>
          <w:szCs w:val="20"/>
        </w:rPr>
        <w:t xml:space="preserve"> </w:t>
      </w:r>
      <w:r w:rsidRPr="00BF7E57">
        <w:rPr>
          <w:rFonts w:ascii="Arial" w:hAnsi="Arial" w:cs="Arial"/>
          <w:color w:val="000000"/>
          <w:sz w:val="20"/>
          <w:szCs w:val="20"/>
        </w:rPr>
        <w:t>pa v Italiji (GEM Slovenija).</w:t>
      </w:r>
    </w:p>
    <w:p w14:paraId="701F70FA" w14:textId="40E817D3"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 podatkih SURS</w:t>
      </w:r>
      <w:r w:rsidR="000C775F" w:rsidRPr="00BF7E57">
        <w:rPr>
          <w:rFonts w:ascii="Arial" w:hAnsi="Arial" w:cs="Arial"/>
          <w:color w:val="auto"/>
          <w:sz w:val="20"/>
          <w:szCs w:val="20"/>
          <w:lang w:val="sl-SI"/>
        </w:rPr>
        <w:t xml:space="preserve"> (2020)</w:t>
      </w:r>
      <w:r w:rsidRPr="00BF7E57">
        <w:rPr>
          <w:rFonts w:ascii="Arial" w:hAnsi="Arial" w:cs="Arial"/>
          <w:color w:val="auto"/>
          <w:sz w:val="20"/>
          <w:szCs w:val="20"/>
          <w:lang w:val="sl-SI"/>
        </w:rPr>
        <w:t xml:space="preserve"> je v Sloveniji leta 2018 poslovalo 200.174 podjetij, ki so v tem letu izkazale prihodek, zaposlene ali investicije in tako bila aktivne vsaj del tega leta (podjetja). Zaposlovala so 872.772 oseb in ustvarila 117.041 milijonov EUR prihodka. Število podjetij se je od leta 2008 do 2018 povečalo za 30 %. </w:t>
      </w:r>
    </w:p>
    <w:p w14:paraId="76A9F42E" w14:textId="0ECF0188" w:rsidR="0008099E" w:rsidRPr="00BF7E57" w:rsidRDefault="0008099E" w:rsidP="00F77BD0">
      <w:pPr>
        <w:pStyle w:val="Napis"/>
      </w:pPr>
      <w:bookmarkStart w:id="140" w:name="_Toc86826462"/>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24</w:t>
      </w:r>
      <w:r w:rsidR="00A30B83" w:rsidRPr="00BF7E57">
        <w:rPr>
          <w:noProof/>
        </w:rPr>
        <w:fldChar w:fldCharType="end"/>
      </w:r>
      <w:r w:rsidRPr="00BF7E57">
        <w:t>: Število podjetij in prihodek po letih</w:t>
      </w:r>
      <w:bookmarkEnd w:id="140"/>
    </w:p>
    <w:p w14:paraId="013E12F2" w14:textId="195AF3B5" w:rsidR="009E0216" w:rsidRPr="00BF7E57" w:rsidRDefault="009E0216" w:rsidP="00F77BD0">
      <w:pPr>
        <w:pStyle w:val="Napis"/>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209"/>
        <w:gridCol w:w="1201"/>
        <w:gridCol w:w="1134"/>
        <w:gridCol w:w="1134"/>
        <w:gridCol w:w="1134"/>
        <w:gridCol w:w="1276"/>
        <w:gridCol w:w="992"/>
      </w:tblGrid>
      <w:tr w:rsidR="00DA2325" w:rsidRPr="00BF7E57" w14:paraId="0E5325BB" w14:textId="5783C230" w:rsidTr="00402774">
        <w:trPr>
          <w:trHeight w:val="277"/>
        </w:trPr>
        <w:tc>
          <w:tcPr>
            <w:tcW w:w="1696" w:type="dxa"/>
            <w:shd w:val="clear" w:color="auto" w:fill="92D050"/>
            <w:noWrap/>
            <w:vAlign w:val="bottom"/>
            <w:hideMark/>
          </w:tcPr>
          <w:p w14:paraId="45698596" w14:textId="49989601" w:rsidR="00DA2325" w:rsidRPr="00BF7E57" w:rsidRDefault="00DA2325" w:rsidP="00DA2325">
            <w:pPr>
              <w:keepNext/>
              <w:spacing w:before="60" w:after="0" w:line="312" w:lineRule="auto"/>
              <w:jc w:val="center"/>
              <w:rPr>
                <w:rFonts w:ascii="Arial" w:hAnsi="Arial" w:cs="Arial"/>
                <w:color w:val="000000"/>
                <w:sz w:val="18"/>
                <w:szCs w:val="18"/>
                <w:lang w:eastAsia="sl-SI"/>
              </w:rPr>
            </w:pPr>
            <w:r w:rsidRPr="00BF7E57">
              <w:rPr>
                <w:rFonts w:ascii="Arial" w:hAnsi="Arial" w:cs="Arial"/>
                <w:color w:val="000000"/>
                <w:sz w:val="18"/>
                <w:szCs w:val="18"/>
                <w:lang w:eastAsia="sl-SI"/>
              </w:rPr>
              <w:t>Leto</w:t>
            </w:r>
          </w:p>
        </w:tc>
        <w:tc>
          <w:tcPr>
            <w:tcW w:w="1209" w:type="dxa"/>
            <w:shd w:val="clear" w:color="auto" w:fill="92D050"/>
            <w:noWrap/>
            <w:vAlign w:val="bottom"/>
            <w:hideMark/>
          </w:tcPr>
          <w:p w14:paraId="7C36A3C1" w14:textId="7DBF7DE6" w:rsidR="00DA2325" w:rsidRPr="00BF7E57" w:rsidRDefault="00DA2325" w:rsidP="00DA2325">
            <w:pPr>
              <w:keepNext/>
              <w:spacing w:before="60" w:after="0" w:line="312" w:lineRule="auto"/>
              <w:jc w:val="center"/>
              <w:rPr>
                <w:rFonts w:ascii="Arial" w:hAnsi="Arial" w:cs="Arial"/>
                <w:color w:val="000000"/>
                <w:sz w:val="18"/>
                <w:szCs w:val="18"/>
                <w:lang w:eastAsia="sl-SI"/>
              </w:rPr>
            </w:pPr>
          </w:p>
        </w:tc>
        <w:tc>
          <w:tcPr>
            <w:tcW w:w="1201" w:type="dxa"/>
            <w:shd w:val="clear" w:color="auto" w:fill="92D050"/>
            <w:noWrap/>
            <w:vAlign w:val="bottom"/>
            <w:hideMark/>
          </w:tcPr>
          <w:p w14:paraId="57352DBB" w14:textId="364DE315"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2008</w:t>
            </w:r>
          </w:p>
        </w:tc>
        <w:tc>
          <w:tcPr>
            <w:tcW w:w="1134" w:type="dxa"/>
            <w:shd w:val="clear" w:color="auto" w:fill="92D050"/>
            <w:noWrap/>
            <w:vAlign w:val="bottom"/>
            <w:hideMark/>
          </w:tcPr>
          <w:p w14:paraId="2E283A46" w14:textId="650D604A"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2010</w:t>
            </w:r>
          </w:p>
        </w:tc>
        <w:tc>
          <w:tcPr>
            <w:tcW w:w="1134" w:type="dxa"/>
            <w:shd w:val="clear" w:color="auto" w:fill="92D050"/>
            <w:noWrap/>
            <w:vAlign w:val="bottom"/>
            <w:hideMark/>
          </w:tcPr>
          <w:p w14:paraId="58505304" w14:textId="4D33D18C"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2013</w:t>
            </w:r>
          </w:p>
        </w:tc>
        <w:tc>
          <w:tcPr>
            <w:tcW w:w="1134" w:type="dxa"/>
            <w:shd w:val="clear" w:color="auto" w:fill="92D050"/>
            <w:noWrap/>
            <w:vAlign w:val="bottom"/>
            <w:hideMark/>
          </w:tcPr>
          <w:p w14:paraId="1C8D9427" w14:textId="48A98FED"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2015</w:t>
            </w:r>
          </w:p>
        </w:tc>
        <w:tc>
          <w:tcPr>
            <w:tcW w:w="1276" w:type="dxa"/>
            <w:shd w:val="clear" w:color="auto" w:fill="92D050"/>
            <w:noWrap/>
            <w:vAlign w:val="bottom"/>
            <w:hideMark/>
          </w:tcPr>
          <w:p w14:paraId="7E794B85" w14:textId="2C034972"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2018</w:t>
            </w:r>
          </w:p>
        </w:tc>
        <w:tc>
          <w:tcPr>
            <w:tcW w:w="992" w:type="dxa"/>
            <w:shd w:val="clear" w:color="auto" w:fill="92D050"/>
          </w:tcPr>
          <w:p w14:paraId="59861F22" w14:textId="60033E92"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2019</w:t>
            </w:r>
          </w:p>
        </w:tc>
      </w:tr>
      <w:tr w:rsidR="00DA2325" w:rsidRPr="00BF7E57" w14:paraId="7251EF04" w14:textId="26979BFE" w:rsidTr="00402774">
        <w:trPr>
          <w:trHeight w:val="277"/>
        </w:trPr>
        <w:tc>
          <w:tcPr>
            <w:tcW w:w="1696" w:type="dxa"/>
            <w:vMerge w:val="restart"/>
            <w:shd w:val="clear" w:color="auto" w:fill="auto"/>
            <w:noWrap/>
            <w:vAlign w:val="center"/>
            <w:hideMark/>
          </w:tcPr>
          <w:p w14:paraId="26DB2684" w14:textId="56BEEC3E" w:rsidR="00DA2325" w:rsidRPr="00BF7E57" w:rsidRDefault="00DA2325" w:rsidP="00DA2325">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podjetij</w:t>
            </w:r>
          </w:p>
        </w:tc>
        <w:tc>
          <w:tcPr>
            <w:tcW w:w="1209" w:type="dxa"/>
            <w:shd w:val="clear" w:color="auto" w:fill="auto"/>
            <w:noWrap/>
            <w:vAlign w:val="bottom"/>
            <w:hideMark/>
          </w:tcPr>
          <w:p w14:paraId="4061568B" w14:textId="7579FC02" w:rsidR="00DA2325" w:rsidRPr="00BF7E57" w:rsidRDefault="00DA2325" w:rsidP="00DA2325">
            <w:pPr>
              <w:spacing w:before="60" w:after="0" w:line="312" w:lineRule="auto"/>
              <w:jc w:val="both"/>
              <w:rPr>
                <w:rFonts w:ascii="Arial" w:hAnsi="Arial" w:cs="Arial"/>
                <w:bCs/>
                <w:color w:val="000000"/>
                <w:sz w:val="18"/>
                <w:szCs w:val="18"/>
                <w:lang w:eastAsia="sl-SI"/>
              </w:rPr>
            </w:pPr>
            <w:r w:rsidRPr="00BF7E57">
              <w:rPr>
                <w:rFonts w:ascii="Arial" w:hAnsi="Arial" w:cs="Arial"/>
                <w:bCs/>
                <w:color w:val="000000"/>
                <w:sz w:val="18"/>
                <w:szCs w:val="18"/>
                <w:lang w:eastAsia="sl-SI"/>
              </w:rPr>
              <w:t>Slovenija</w:t>
            </w:r>
          </w:p>
        </w:tc>
        <w:tc>
          <w:tcPr>
            <w:tcW w:w="1201" w:type="dxa"/>
            <w:shd w:val="clear" w:color="auto" w:fill="auto"/>
            <w:noWrap/>
            <w:vAlign w:val="bottom"/>
            <w:hideMark/>
          </w:tcPr>
          <w:p w14:paraId="7141DC00" w14:textId="63C5D1BC"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152.541</w:t>
            </w:r>
          </w:p>
        </w:tc>
        <w:tc>
          <w:tcPr>
            <w:tcW w:w="1134" w:type="dxa"/>
            <w:shd w:val="clear" w:color="auto" w:fill="auto"/>
            <w:noWrap/>
            <w:vAlign w:val="bottom"/>
            <w:hideMark/>
          </w:tcPr>
          <w:p w14:paraId="06A1CD1C" w14:textId="370C00A0"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165.595</w:t>
            </w:r>
          </w:p>
        </w:tc>
        <w:tc>
          <w:tcPr>
            <w:tcW w:w="1134" w:type="dxa"/>
            <w:shd w:val="clear" w:color="auto" w:fill="auto"/>
            <w:noWrap/>
            <w:vAlign w:val="bottom"/>
            <w:hideMark/>
          </w:tcPr>
          <w:p w14:paraId="08466E3D" w14:textId="6280C01B"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182.089</w:t>
            </w:r>
          </w:p>
        </w:tc>
        <w:tc>
          <w:tcPr>
            <w:tcW w:w="1134" w:type="dxa"/>
            <w:shd w:val="clear" w:color="auto" w:fill="auto"/>
            <w:noWrap/>
            <w:vAlign w:val="bottom"/>
            <w:hideMark/>
          </w:tcPr>
          <w:p w14:paraId="10FFBD14" w14:textId="0056BEAE"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191.863</w:t>
            </w:r>
          </w:p>
        </w:tc>
        <w:tc>
          <w:tcPr>
            <w:tcW w:w="1276" w:type="dxa"/>
            <w:shd w:val="clear" w:color="auto" w:fill="auto"/>
            <w:noWrap/>
            <w:vAlign w:val="bottom"/>
            <w:hideMark/>
          </w:tcPr>
          <w:p w14:paraId="3E057478" w14:textId="1ADDB7C9"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200.174</w:t>
            </w:r>
          </w:p>
        </w:tc>
        <w:tc>
          <w:tcPr>
            <w:tcW w:w="992" w:type="dxa"/>
          </w:tcPr>
          <w:p w14:paraId="0BE43CE6" w14:textId="77844E23"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205.139</w:t>
            </w:r>
          </w:p>
        </w:tc>
      </w:tr>
      <w:tr w:rsidR="00DA2325" w:rsidRPr="00BF7E57" w14:paraId="5BCD73BD" w14:textId="66AD8E48" w:rsidTr="00402774">
        <w:trPr>
          <w:trHeight w:val="291"/>
        </w:trPr>
        <w:tc>
          <w:tcPr>
            <w:tcW w:w="1696" w:type="dxa"/>
            <w:vMerge/>
            <w:shd w:val="clear" w:color="auto" w:fill="auto"/>
            <w:noWrap/>
            <w:vAlign w:val="bottom"/>
            <w:hideMark/>
          </w:tcPr>
          <w:p w14:paraId="4C4B5AF9" w14:textId="26AAD9F4" w:rsidR="00DA2325" w:rsidRPr="00BF7E57" w:rsidRDefault="00DA2325" w:rsidP="00DA2325">
            <w:pPr>
              <w:spacing w:before="60" w:after="0" w:line="312" w:lineRule="auto"/>
              <w:rPr>
                <w:rFonts w:ascii="Arial" w:hAnsi="Arial" w:cs="Arial"/>
                <w:b/>
                <w:bCs/>
                <w:color w:val="000000"/>
                <w:sz w:val="18"/>
                <w:szCs w:val="18"/>
                <w:lang w:eastAsia="sl-SI"/>
              </w:rPr>
            </w:pPr>
          </w:p>
        </w:tc>
        <w:tc>
          <w:tcPr>
            <w:tcW w:w="1209" w:type="dxa"/>
            <w:shd w:val="clear" w:color="auto" w:fill="auto"/>
            <w:noWrap/>
            <w:vAlign w:val="bottom"/>
            <w:hideMark/>
          </w:tcPr>
          <w:p w14:paraId="01EDD94E" w14:textId="660AF350" w:rsidR="00DA2325" w:rsidRPr="00BF7E57" w:rsidRDefault="00DA2325" w:rsidP="00DA2325">
            <w:pPr>
              <w:spacing w:before="60" w:after="0" w:line="312" w:lineRule="auto"/>
              <w:jc w:val="both"/>
              <w:rPr>
                <w:rFonts w:ascii="Arial" w:hAnsi="Arial" w:cs="Arial"/>
                <w:bCs/>
                <w:color w:val="000000"/>
                <w:sz w:val="18"/>
                <w:szCs w:val="18"/>
                <w:lang w:eastAsia="sl-SI"/>
              </w:rPr>
            </w:pPr>
            <w:r w:rsidRPr="00BF7E57">
              <w:rPr>
                <w:rFonts w:ascii="Arial" w:hAnsi="Arial" w:cs="Arial"/>
                <w:bCs/>
                <w:color w:val="000000"/>
                <w:sz w:val="18"/>
                <w:szCs w:val="18"/>
                <w:lang w:eastAsia="sl-SI"/>
              </w:rPr>
              <w:t>podeželje</w:t>
            </w:r>
          </w:p>
        </w:tc>
        <w:tc>
          <w:tcPr>
            <w:tcW w:w="1201" w:type="dxa"/>
            <w:shd w:val="clear" w:color="auto" w:fill="auto"/>
            <w:noWrap/>
            <w:vAlign w:val="bottom"/>
            <w:hideMark/>
          </w:tcPr>
          <w:p w14:paraId="1CB62675" w14:textId="3647ED72"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77.173</w:t>
            </w:r>
          </w:p>
        </w:tc>
        <w:tc>
          <w:tcPr>
            <w:tcW w:w="1134" w:type="dxa"/>
            <w:shd w:val="clear" w:color="auto" w:fill="auto"/>
            <w:noWrap/>
            <w:vAlign w:val="bottom"/>
            <w:hideMark/>
          </w:tcPr>
          <w:p w14:paraId="12EE14ED" w14:textId="006CEFFB"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84.162</w:t>
            </w:r>
          </w:p>
        </w:tc>
        <w:tc>
          <w:tcPr>
            <w:tcW w:w="1134" w:type="dxa"/>
            <w:shd w:val="clear" w:color="auto" w:fill="auto"/>
            <w:noWrap/>
            <w:vAlign w:val="bottom"/>
            <w:hideMark/>
          </w:tcPr>
          <w:p w14:paraId="52A577FA" w14:textId="6E3F212F"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93.496</w:t>
            </w:r>
          </w:p>
        </w:tc>
        <w:tc>
          <w:tcPr>
            <w:tcW w:w="1134" w:type="dxa"/>
            <w:shd w:val="clear" w:color="auto" w:fill="auto"/>
            <w:noWrap/>
            <w:vAlign w:val="bottom"/>
            <w:hideMark/>
          </w:tcPr>
          <w:p w14:paraId="30F88E48" w14:textId="06E90057"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98.228</w:t>
            </w:r>
          </w:p>
        </w:tc>
        <w:tc>
          <w:tcPr>
            <w:tcW w:w="1276" w:type="dxa"/>
            <w:shd w:val="clear" w:color="auto" w:fill="auto"/>
            <w:noWrap/>
            <w:vAlign w:val="bottom"/>
            <w:hideMark/>
          </w:tcPr>
          <w:p w14:paraId="4A773F8A" w14:textId="33BEB6CA"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102.205</w:t>
            </w:r>
          </w:p>
        </w:tc>
        <w:tc>
          <w:tcPr>
            <w:tcW w:w="992" w:type="dxa"/>
          </w:tcPr>
          <w:p w14:paraId="146572DA" w14:textId="29B69285"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104.733</w:t>
            </w:r>
          </w:p>
        </w:tc>
      </w:tr>
      <w:tr w:rsidR="00DA2325" w:rsidRPr="00BF7E57" w14:paraId="7C2EB979" w14:textId="2799F75D" w:rsidTr="00402774">
        <w:trPr>
          <w:trHeight w:val="277"/>
        </w:trPr>
        <w:tc>
          <w:tcPr>
            <w:tcW w:w="1696" w:type="dxa"/>
            <w:vMerge w:val="restart"/>
            <w:shd w:val="clear" w:color="auto" w:fill="auto"/>
            <w:noWrap/>
            <w:vAlign w:val="bottom"/>
            <w:hideMark/>
          </w:tcPr>
          <w:p w14:paraId="73DDF4FF" w14:textId="157974DA" w:rsidR="00DA2325" w:rsidRPr="00BF7E57" w:rsidRDefault="00DA2325" w:rsidP="00DA2325">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Prihodek podjetij (v 1.000 EUR)</w:t>
            </w:r>
          </w:p>
        </w:tc>
        <w:tc>
          <w:tcPr>
            <w:tcW w:w="1209" w:type="dxa"/>
            <w:shd w:val="clear" w:color="auto" w:fill="auto"/>
            <w:noWrap/>
            <w:vAlign w:val="bottom"/>
            <w:hideMark/>
          </w:tcPr>
          <w:p w14:paraId="250CC496" w14:textId="6F84794D" w:rsidR="00DA2325" w:rsidRPr="00BF7E57" w:rsidRDefault="00DA2325" w:rsidP="00DA2325">
            <w:pPr>
              <w:spacing w:before="60" w:after="0" w:line="312" w:lineRule="auto"/>
              <w:jc w:val="both"/>
              <w:rPr>
                <w:rFonts w:ascii="Arial" w:hAnsi="Arial" w:cs="Arial"/>
                <w:bCs/>
                <w:color w:val="000000"/>
                <w:sz w:val="18"/>
                <w:szCs w:val="18"/>
                <w:lang w:eastAsia="sl-SI"/>
              </w:rPr>
            </w:pPr>
            <w:r w:rsidRPr="00BF7E57">
              <w:rPr>
                <w:rFonts w:ascii="Arial" w:hAnsi="Arial" w:cs="Arial"/>
                <w:bCs/>
                <w:color w:val="000000"/>
                <w:sz w:val="18"/>
                <w:szCs w:val="18"/>
                <w:lang w:eastAsia="sl-SI"/>
              </w:rPr>
              <w:t>Slovenija</w:t>
            </w:r>
          </w:p>
        </w:tc>
        <w:tc>
          <w:tcPr>
            <w:tcW w:w="1201" w:type="dxa"/>
            <w:shd w:val="clear" w:color="auto" w:fill="auto"/>
            <w:noWrap/>
            <w:vAlign w:val="bottom"/>
            <w:hideMark/>
          </w:tcPr>
          <w:p w14:paraId="75DE8256" w14:textId="482E8252"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95.786.283</w:t>
            </w:r>
          </w:p>
        </w:tc>
        <w:tc>
          <w:tcPr>
            <w:tcW w:w="1134" w:type="dxa"/>
            <w:shd w:val="clear" w:color="auto" w:fill="auto"/>
            <w:noWrap/>
            <w:vAlign w:val="bottom"/>
            <w:hideMark/>
          </w:tcPr>
          <w:p w14:paraId="743B00E5" w14:textId="3B4A6DAA"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86.705.208</w:t>
            </w:r>
          </w:p>
        </w:tc>
        <w:tc>
          <w:tcPr>
            <w:tcW w:w="1134" w:type="dxa"/>
            <w:shd w:val="clear" w:color="auto" w:fill="auto"/>
            <w:noWrap/>
            <w:vAlign w:val="bottom"/>
            <w:hideMark/>
          </w:tcPr>
          <w:p w14:paraId="169E4183" w14:textId="315DDF7C"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90.625.516</w:t>
            </w:r>
          </w:p>
        </w:tc>
        <w:tc>
          <w:tcPr>
            <w:tcW w:w="1134" w:type="dxa"/>
            <w:shd w:val="clear" w:color="auto" w:fill="auto"/>
            <w:noWrap/>
            <w:vAlign w:val="bottom"/>
            <w:hideMark/>
          </w:tcPr>
          <w:p w14:paraId="5043FCDB" w14:textId="795371E2"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95.298.760</w:t>
            </w:r>
          </w:p>
        </w:tc>
        <w:tc>
          <w:tcPr>
            <w:tcW w:w="1276" w:type="dxa"/>
            <w:shd w:val="clear" w:color="auto" w:fill="auto"/>
            <w:noWrap/>
            <w:vAlign w:val="bottom"/>
            <w:hideMark/>
          </w:tcPr>
          <w:p w14:paraId="5B483539" w14:textId="1144E324"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117.040.613</w:t>
            </w:r>
          </w:p>
        </w:tc>
        <w:tc>
          <w:tcPr>
            <w:tcW w:w="992" w:type="dxa"/>
          </w:tcPr>
          <w:p w14:paraId="2D5DA08C" w14:textId="75322CA3" w:rsidR="00DA2325" w:rsidRPr="00BF7E57" w:rsidRDefault="00E77D01"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DA2325" w:rsidRPr="00BF7E57" w14:paraId="3541C7B2" w14:textId="7478FEE8" w:rsidTr="00402774">
        <w:trPr>
          <w:trHeight w:val="291"/>
        </w:trPr>
        <w:tc>
          <w:tcPr>
            <w:tcW w:w="1696" w:type="dxa"/>
            <w:vMerge/>
            <w:shd w:val="clear" w:color="auto" w:fill="auto"/>
            <w:noWrap/>
            <w:vAlign w:val="bottom"/>
            <w:hideMark/>
          </w:tcPr>
          <w:p w14:paraId="278E5B22" w14:textId="67E68CC6" w:rsidR="00DA2325" w:rsidRPr="00BF7E57" w:rsidRDefault="00DA2325" w:rsidP="00DA2325">
            <w:pPr>
              <w:spacing w:before="60" w:after="0" w:line="312" w:lineRule="auto"/>
              <w:jc w:val="both"/>
              <w:rPr>
                <w:rFonts w:ascii="Arial" w:hAnsi="Arial" w:cs="Arial"/>
                <w:b/>
                <w:bCs/>
                <w:color w:val="000000"/>
                <w:sz w:val="18"/>
                <w:szCs w:val="18"/>
                <w:lang w:eastAsia="sl-SI"/>
              </w:rPr>
            </w:pPr>
          </w:p>
        </w:tc>
        <w:tc>
          <w:tcPr>
            <w:tcW w:w="1209" w:type="dxa"/>
            <w:shd w:val="clear" w:color="auto" w:fill="auto"/>
            <w:noWrap/>
            <w:vAlign w:val="bottom"/>
            <w:hideMark/>
          </w:tcPr>
          <w:p w14:paraId="1B4AEAB7" w14:textId="4D25405E" w:rsidR="00DA2325" w:rsidRPr="00BF7E57" w:rsidRDefault="00DA2325" w:rsidP="00DA2325">
            <w:pPr>
              <w:spacing w:before="60" w:after="0" w:line="312" w:lineRule="auto"/>
              <w:jc w:val="both"/>
              <w:rPr>
                <w:rFonts w:ascii="Arial" w:hAnsi="Arial" w:cs="Arial"/>
                <w:bCs/>
                <w:color w:val="000000"/>
                <w:sz w:val="18"/>
                <w:szCs w:val="18"/>
                <w:lang w:eastAsia="sl-SI"/>
              </w:rPr>
            </w:pPr>
            <w:r w:rsidRPr="00BF7E57">
              <w:rPr>
                <w:rFonts w:ascii="Arial" w:hAnsi="Arial" w:cs="Arial"/>
                <w:bCs/>
                <w:color w:val="000000"/>
                <w:sz w:val="18"/>
                <w:szCs w:val="18"/>
                <w:lang w:eastAsia="sl-SI"/>
              </w:rPr>
              <w:t>podeželje</w:t>
            </w:r>
          </w:p>
        </w:tc>
        <w:tc>
          <w:tcPr>
            <w:tcW w:w="1201" w:type="dxa"/>
            <w:shd w:val="clear" w:color="auto" w:fill="auto"/>
            <w:noWrap/>
            <w:vAlign w:val="bottom"/>
            <w:hideMark/>
          </w:tcPr>
          <w:p w14:paraId="241B2D46" w14:textId="0921B891"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31.409.116</w:t>
            </w:r>
          </w:p>
        </w:tc>
        <w:tc>
          <w:tcPr>
            <w:tcW w:w="1134" w:type="dxa"/>
            <w:shd w:val="clear" w:color="auto" w:fill="auto"/>
            <w:noWrap/>
            <w:vAlign w:val="bottom"/>
            <w:hideMark/>
          </w:tcPr>
          <w:p w14:paraId="41A49226" w14:textId="6B3A17D6"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28.023.511</w:t>
            </w:r>
          </w:p>
        </w:tc>
        <w:tc>
          <w:tcPr>
            <w:tcW w:w="1134" w:type="dxa"/>
            <w:shd w:val="clear" w:color="auto" w:fill="auto"/>
            <w:noWrap/>
            <w:vAlign w:val="bottom"/>
            <w:hideMark/>
          </w:tcPr>
          <w:p w14:paraId="61878CBA" w14:textId="2EB16CA5"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29.993.978</w:t>
            </w:r>
          </w:p>
        </w:tc>
        <w:tc>
          <w:tcPr>
            <w:tcW w:w="1134" w:type="dxa"/>
            <w:shd w:val="clear" w:color="auto" w:fill="auto"/>
            <w:noWrap/>
            <w:vAlign w:val="bottom"/>
            <w:hideMark/>
          </w:tcPr>
          <w:p w14:paraId="282E9C01" w14:textId="67A1D22D"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32.597.798</w:t>
            </w:r>
          </w:p>
        </w:tc>
        <w:tc>
          <w:tcPr>
            <w:tcW w:w="1276" w:type="dxa"/>
            <w:shd w:val="clear" w:color="auto" w:fill="auto"/>
            <w:noWrap/>
            <w:vAlign w:val="bottom"/>
            <w:hideMark/>
          </w:tcPr>
          <w:p w14:paraId="1F23A370" w14:textId="4608F931"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40.773.495</w:t>
            </w:r>
          </w:p>
        </w:tc>
        <w:tc>
          <w:tcPr>
            <w:tcW w:w="992" w:type="dxa"/>
          </w:tcPr>
          <w:p w14:paraId="1595965B" w14:textId="3ACEC24E" w:rsidR="00DA2325" w:rsidRPr="00BF7E57" w:rsidRDefault="00E77D01"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bl>
    <w:p w14:paraId="3796C07F" w14:textId="193E2C95" w:rsidR="009E0216" w:rsidRPr="00BF7E57" w:rsidRDefault="009E0216" w:rsidP="00EA2E4C">
      <w:pPr>
        <w:pStyle w:val="Default"/>
        <w:spacing w:line="360" w:lineRule="auto"/>
        <w:jc w:val="both"/>
        <w:rPr>
          <w:rFonts w:ascii="Arial" w:hAnsi="Arial" w:cs="Arial"/>
          <w:sz w:val="16"/>
          <w:szCs w:val="16"/>
          <w:lang w:val="sl-SI"/>
        </w:rPr>
      </w:pPr>
      <w:r w:rsidRPr="00BF7E57">
        <w:rPr>
          <w:rFonts w:ascii="Arial" w:hAnsi="Arial" w:cs="Arial"/>
          <w:sz w:val="16"/>
          <w:szCs w:val="16"/>
          <w:lang w:val="sl-SI"/>
        </w:rPr>
        <w:t>Vir: SURS</w:t>
      </w:r>
      <w:r w:rsidR="000C775F" w:rsidRPr="00BF7E57">
        <w:rPr>
          <w:rFonts w:ascii="Arial" w:hAnsi="Arial" w:cs="Arial"/>
          <w:sz w:val="16"/>
          <w:szCs w:val="16"/>
          <w:lang w:val="sl-SI"/>
        </w:rPr>
        <w:t>, 202</w:t>
      </w:r>
      <w:r w:rsidR="00DA2325" w:rsidRPr="00BF7E57">
        <w:rPr>
          <w:rFonts w:ascii="Arial" w:hAnsi="Arial" w:cs="Arial"/>
          <w:sz w:val="16"/>
          <w:szCs w:val="16"/>
          <w:lang w:val="sl-SI"/>
        </w:rPr>
        <w:t>1</w:t>
      </w:r>
    </w:p>
    <w:p w14:paraId="2464EAC9" w14:textId="6083839D"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sz w:val="20"/>
          <w:szCs w:val="20"/>
          <w:lang w:val="sl-SI"/>
        </w:rPr>
        <w:lastRenderedPageBreak/>
        <w:t>Na podeželju se je število podjet</w:t>
      </w:r>
      <w:r w:rsidR="006F47D6" w:rsidRPr="00BF7E57">
        <w:rPr>
          <w:rFonts w:ascii="Arial" w:hAnsi="Arial" w:cs="Arial"/>
          <w:sz w:val="20"/>
          <w:szCs w:val="20"/>
          <w:lang w:val="sl-SI"/>
        </w:rPr>
        <w:t>i</w:t>
      </w:r>
      <w:r w:rsidRPr="00BF7E57">
        <w:rPr>
          <w:rFonts w:ascii="Arial" w:hAnsi="Arial" w:cs="Arial"/>
          <w:sz w:val="20"/>
          <w:szCs w:val="20"/>
          <w:lang w:val="sl-SI"/>
        </w:rPr>
        <w:t xml:space="preserve">j od leta 2008 </w:t>
      </w:r>
      <w:r w:rsidR="006F47D6" w:rsidRPr="00BF7E57">
        <w:rPr>
          <w:rFonts w:ascii="Arial" w:hAnsi="Arial" w:cs="Arial"/>
          <w:sz w:val="20"/>
          <w:szCs w:val="20"/>
          <w:lang w:val="sl-SI"/>
        </w:rPr>
        <w:t>do leta 2019</w:t>
      </w:r>
      <w:r w:rsidR="00152F0B" w:rsidRPr="00BF7E57">
        <w:rPr>
          <w:rFonts w:ascii="Arial" w:hAnsi="Arial" w:cs="Arial"/>
          <w:sz w:val="20"/>
          <w:szCs w:val="20"/>
          <w:lang w:val="sl-SI"/>
        </w:rPr>
        <w:t xml:space="preserve"> </w:t>
      </w:r>
      <w:r w:rsidRPr="00BF7E57">
        <w:rPr>
          <w:rFonts w:ascii="Arial" w:hAnsi="Arial" w:cs="Arial"/>
          <w:sz w:val="20"/>
          <w:szCs w:val="20"/>
          <w:lang w:val="sl-SI"/>
        </w:rPr>
        <w:t>povečalo za 32 %</w:t>
      </w:r>
      <w:r w:rsidR="00DA2325" w:rsidRPr="00BF7E57">
        <w:rPr>
          <w:rFonts w:ascii="Arial" w:hAnsi="Arial" w:cs="Arial"/>
          <w:sz w:val="20"/>
          <w:szCs w:val="20"/>
          <w:lang w:val="sl-SI"/>
        </w:rPr>
        <w:t xml:space="preserve">. Leta 2019 jih je bilo v Sloveniji 205.139, na podeželju 104.733, povprečno na občino v Sloveniji 968 oziroma 534 </w:t>
      </w:r>
      <w:r w:rsidR="00BA51A8" w:rsidRPr="00BF7E57">
        <w:rPr>
          <w:rFonts w:ascii="Arial" w:hAnsi="Arial" w:cs="Arial"/>
          <w:sz w:val="20"/>
          <w:szCs w:val="20"/>
          <w:lang w:val="sl-SI"/>
        </w:rPr>
        <w:t>v</w:t>
      </w:r>
      <w:r w:rsidR="00DA2325" w:rsidRPr="00BF7E57">
        <w:rPr>
          <w:rFonts w:ascii="Arial" w:hAnsi="Arial" w:cs="Arial"/>
          <w:sz w:val="20"/>
          <w:szCs w:val="20"/>
          <w:lang w:val="sl-SI"/>
        </w:rPr>
        <w:t xml:space="preserve"> občinah na podeželju.</w:t>
      </w:r>
      <w:r w:rsidRPr="00BF7E57">
        <w:rPr>
          <w:rFonts w:ascii="Arial" w:hAnsi="Arial" w:cs="Arial"/>
          <w:sz w:val="20"/>
          <w:szCs w:val="20"/>
          <w:lang w:val="sl-SI"/>
        </w:rPr>
        <w:t xml:space="preserve"> V letu 2018 je bilo povprečno v Sloveniji 97 podjetij na 1.000 prebivalcev, na podeželju pa le 83 podjetij. Prihodki podjetij na podeželju predstavljajo 35 % prihodkov vseh slovenskih podjetij.</w:t>
      </w:r>
      <w:r w:rsidR="007E2079" w:rsidRPr="00BF7E57">
        <w:rPr>
          <w:rFonts w:ascii="Arial" w:hAnsi="Arial" w:cs="Arial"/>
          <w:color w:val="auto"/>
          <w:sz w:val="20"/>
          <w:szCs w:val="20"/>
          <w:lang w:val="sl-SI"/>
        </w:rPr>
        <w:t xml:space="preserve"> </w:t>
      </w:r>
      <w:r w:rsidRPr="00BF7E57">
        <w:rPr>
          <w:rFonts w:ascii="Arial" w:hAnsi="Arial" w:cs="Arial"/>
          <w:color w:val="auto"/>
          <w:sz w:val="20"/>
          <w:szCs w:val="20"/>
          <w:lang w:val="sl-SI"/>
        </w:rPr>
        <w:t xml:space="preserve">Povprečna mesečna bruto plača na zaposlenega leta 2019 je bila v Sloveniji 1.754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na podeželju pa za približno 12 odstotkov nižja (1.534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Po podatkih SURS</w:t>
      </w:r>
      <w:r w:rsidR="007E2079" w:rsidRPr="00BF7E57">
        <w:rPr>
          <w:rFonts w:ascii="Arial" w:hAnsi="Arial" w:cs="Arial"/>
          <w:color w:val="auto"/>
          <w:sz w:val="20"/>
          <w:szCs w:val="20"/>
          <w:lang w:val="sl-SI"/>
        </w:rPr>
        <w:t xml:space="preserve"> (2020)</w:t>
      </w:r>
      <w:r w:rsidRPr="00BF7E57">
        <w:rPr>
          <w:rFonts w:ascii="Arial" w:hAnsi="Arial" w:cs="Arial"/>
          <w:color w:val="auto"/>
          <w:sz w:val="20"/>
          <w:szCs w:val="20"/>
          <w:lang w:val="sl-SI"/>
        </w:rPr>
        <w:t xml:space="preserve"> se je </w:t>
      </w:r>
      <w:r w:rsidR="00CE0B15" w:rsidRPr="00BF7E57">
        <w:rPr>
          <w:rFonts w:ascii="Arial" w:hAnsi="Arial" w:cs="Arial"/>
          <w:color w:val="auto"/>
          <w:sz w:val="20"/>
          <w:szCs w:val="20"/>
          <w:lang w:val="sl-SI"/>
        </w:rPr>
        <w:t>v letu</w:t>
      </w:r>
      <w:r w:rsidRPr="00BF7E57">
        <w:rPr>
          <w:rFonts w:ascii="Arial" w:hAnsi="Arial" w:cs="Arial"/>
          <w:color w:val="auto"/>
          <w:sz w:val="20"/>
          <w:szCs w:val="20"/>
          <w:lang w:val="sl-SI"/>
        </w:rPr>
        <w:t xml:space="preserve"> 2018 največ podjetij uvrščalo med mikropodjetja (94,9 %). Kljub temu so največji del prihodka ustvarila sicer manj številna srednje velika in velika podjetja, tj. podjetja, ki zaposlujejo najmanj 50 oseb. Srednje velika podjetja so ustvarila 23,7 % prihodka, velika pa 35,5 % prihodka. Srednje velika in velika podjetja so zaposlovala več kot polovico vseh zaposlenih oseb (54,3</w:t>
      </w:r>
      <w:r w:rsidR="007E2079" w:rsidRPr="00BF7E57">
        <w:rPr>
          <w:rFonts w:ascii="Arial" w:hAnsi="Arial" w:cs="Arial"/>
          <w:color w:val="auto"/>
          <w:sz w:val="20"/>
          <w:szCs w:val="20"/>
          <w:lang w:val="sl-SI"/>
        </w:rPr>
        <w:t> </w:t>
      </w:r>
      <w:r w:rsidRPr="00BF7E57">
        <w:rPr>
          <w:rFonts w:ascii="Arial" w:hAnsi="Arial" w:cs="Arial"/>
          <w:color w:val="auto"/>
          <w:sz w:val="20"/>
          <w:szCs w:val="20"/>
          <w:lang w:val="sl-SI"/>
        </w:rPr>
        <w:t>%).</w:t>
      </w:r>
    </w:p>
    <w:p w14:paraId="3739079E" w14:textId="741FDB0F" w:rsidR="003E038D" w:rsidRPr="00BF7E57" w:rsidRDefault="003E038D" w:rsidP="00F77BD0">
      <w:pPr>
        <w:pStyle w:val="Napis"/>
      </w:pPr>
      <w:bookmarkStart w:id="141" w:name="_Toc8682641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28</w:t>
      </w:r>
      <w:r w:rsidR="00A30B83" w:rsidRPr="00BF7E57">
        <w:rPr>
          <w:noProof/>
        </w:rPr>
        <w:fldChar w:fldCharType="end"/>
      </w:r>
      <w:r w:rsidRPr="00BF7E57">
        <w:t>: Podatki za podjetja po velikostnih razredih, glede na število oseb in prihodek</w:t>
      </w:r>
      <w:bookmarkEnd w:id="141"/>
    </w:p>
    <w:p w14:paraId="2443C592" w14:textId="77777777" w:rsidR="009E0216" w:rsidRPr="00BF7E57" w:rsidRDefault="009E0216" w:rsidP="007400DC">
      <w:pPr>
        <w:pStyle w:val="Default"/>
        <w:jc w:val="both"/>
        <w:rPr>
          <w:rFonts w:ascii="Arial" w:hAnsi="Arial" w:cs="Arial"/>
          <w:sz w:val="20"/>
          <w:szCs w:val="20"/>
          <w:lang w:val="sl-SI"/>
        </w:rPr>
      </w:pPr>
      <w:r w:rsidRPr="00BF7E57">
        <w:rPr>
          <w:rFonts w:ascii="Arial" w:hAnsi="Arial" w:cs="Arial"/>
          <w:noProof/>
          <w:sz w:val="20"/>
          <w:szCs w:val="20"/>
          <w:lang w:val="sl-SI" w:eastAsia="sl-SI"/>
        </w:rPr>
        <w:drawing>
          <wp:inline distT="0" distB="0" distL="0" distR="0" wp14:anchorId="0ECF0252" wp14:editId="3698B83D">
            <wp:extent cx="5645150" cy="2889885"/>
            <wp:effectExtent l="19050" t="19050" r="12700" b="24765"/>
            <wp:docPr id="1631865547" name="Slika 16318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150" cy="2889885"/>
                    </a:xfrm>
                    <a:prstGeom prst="rect">
                      <a:avLst/>
                    </a:prstGeom>
                    <a:noFill/>
                    <a:ln w="6350">
                      <a:solidFill>
                        <a:schemeClr val="tx1">
                          <a:lumMod val="50000"/>
                          <a:lumOff val="50000"/>
                        </a:schemeClr>
                      </a:solidFill>
                    </a:ln>
                  </pic:spPr>
                </pic:pic>
              </a:graphicData>
            </a:graphic>
          </wp:inline>
        </w:drawing>
      </w:r>
    </w:p>
    <w:p w14:paraId="56FF2896" w14:textId="312FC867"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SURS</w:t>
      </w:r>
      <w:r w:rsidR="007E2079" w:rsidRPr="00BF7E57">
        <w:rPr>
          <w:rFonts w:ascii="Arial" w:hAnsi="Arial" w:cs="Arial"/>
          <w:sz w:val="16"/>
          <w:szCs w:val="16"/>
        </w:rPr>
        <w:t>, 2020</w:t>
      </w:r>
      <w:r w:rsidRPr="00BF7E57">
        <w:rPr>
          <w:rFonts w:ascii="Arial" w:hAnsi="Arial" w:cs="Arial"/>
          <w:sz w:val="16"/>
          <w:szCs w:val="16"/>
        </w:rPr>
        <w:t xml:space="preserve"> </w:t>
      </w:r>
    </w:p>
    <w:p w14:paraId="7E972566" w14:textId="28C2E286" w:rsidR="003E038D" w:rsidRPr="00BF7E57" w:rsidRDefault="003E038D" w:rsidP="00F77BD0">
      <w:pPr>
        <w:pStyle w:val="Napis"/>
      </w:pPr>
      <w:bookmarkStart w:id="142" w:name="_Ref84926750"/>
      <w:bookmarkStart w:id="143" w:name="_Toc86826419"/>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29</w:t>
      </w:r>
      <w:r w:rsidR="00A30B83" w:rsidRPr="00BF7E57">
        <w:rPr>
          <w:noProof/>
        </w:rPr>
        <w:fldChar w:fldCharType="end"/>
      </w:r>
      <w:bookmarkEnd w:id="142"/>
      <w:r w:rsidRPr="00BF7E57">
        <w:t>: Število podjetij po statističnih regijah leta 2018</w:t>
      </w:r>
      <w:bookmarkEnd w:id="143"/>
    </w:p>
    <w:p w14:paraId="6337575F" w14:textId="2CE2C694" w:rsidR="00A53A3F" w:rsidRPr="00BF7E57" w:rsidRDefault="009E0216" w:rsidP="007400DC">
      <w:pPr>
        <w:pStyle w:val="Default"/>
        <w:jc w:val="both"/>
        <w:rPr>
          <w:rFonts w:ascii="Arial" w:hAnsi="Arial" w:cs="Arial"/>
          <w:sz w:val="20"/>
          <w:szCs w:val="20"/>
        </w:rPr>
      </w:pPr>
      <w:r w:rsidRPr="00BF7E57">
        <w:rPr>
          <w:rFonts w:ascii="Arial" w:hAnsi="Arial" w:cs="Arial"/>
          <w:noProof/>
          <w:color w:val="auto"/>
          <w:sz w:val="20"/>
          <w:szCs w:val="20"/>
          <w:lang w:val="sl-SI" w:eastAsia="sl-SI"/>
        </w:rPr>
        <w:drawing>
          <wp:inline distT="0" distB="0" distL="0" distR="0" wp14:anchorId="1BE0DBB2" wp14:editId="2453B3D1">
            <wp:extent cx="5675037" cy="2648310"/>
            <wp:effectExtent l="19050" t="19050" r="20955" b="19050"/>
            <wp:docPr id="1631865548" name="Slika 163186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8544" cy="2677946"/>
                    </a:xfrm>
                    <a:prstGeom prst="rect">
                      <a:avLst/>
                    </a:prstGeom>
                    <a:noFill/>
                    <a:ln w="6350">
                      <a:solidFill>
                        <a:schemeClr val="tx1">
                          <a:lumMod val="50000"/>
                          <a:lumOff val="50000"/>
                        </a:schemeClr>
                      </a:solidFill>
                    </a:ln>
                  </pic:spPr>
                </pic:pic>
              </a:graphicData>
            </a:graphic>
          </wp:inline>
        </w:drawing>
      </w:r>
    </w:p>
    <w:p w14:paraId="5D1FC3F8" w14:textId="4381EC9B" w:rsidR="009E0216" w:rsidRPr="00BF7E57" w:rsidRDefault="009E0216" w:rsidP="00A53A3F">
      <w:pPr>
        <w:pStyle w:val="Default"/>
        <w:spacing w:line="360" w:lineRule="auto"/>
        <w:jc w:val="both"/>
        <w:rPr>
          <w:rFonts w:ascii="Arial" w:hAnsi="Arial" w:cs="Arial"/>
          <w:color w:val="auto"/>
          <w:sz w:val="16"/>
          <w:szCs w:val="16"/>
          <w:lang w:val="sl-SI"/>
        </w:rPr>
      </w:pPr>
      <w:r w:rsidRPr="00BF7E57">
        <w:rPr>
          <w:rFonts w:ascii="Arial" w:hAnsi="Arial" w:cs="Arial"/>
          <w:sz w:val="16"/>
          <w:szCs w:val="16"/>
        </w:rPr>
        <w:t>Vir: SURS</w:t>
      </w:r>
      <w:r w:rsidR="007E2079" w:rsidRPr="00BF7E57">
        <w:rPr>
          <w:rFonts w:ascii="Arial" w:hAnsi="Arial" w:cs="Arial"/>
          <w:sz w:val="16"/>
          <w:szCs w:val="16"/>
        </w:rPr>
        <w:t>, 2020</w:t>
      </w:r>
    </w:p>
    <w:p w14:paraId="7924986E" w14:textId="74B20586"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lastRenderedPageBreak/>
        <w:t>Največ podjetij je leta 2018 delovalo v osrednjeslovenski regiji (33,7 %)</w:t>
      </w:r>
      <w:r w:rsidR="00B3003E" w:rsidRPr="00BF7E57">
        <w:rPr>
          <w:rFonts w:ascii="Arial" w:hAnsi="Arial" w:cs="Arial"/>
          <w:color w:val="auto"/>
          <w:sz w:val="20"/>
          <w:szCs w:val="20"/>
          <w:lang w:val="sl-SI"/>
        </w:rPr>
        <w:t xml:space="preserve"> (</w:t>
      </w:r>
      <w:r w:rsidR="00624596" w:rsidRPr="00BF7E57">
        <w:rPr>
          <w:rFonts w:ascii="Arial" w:hAnsi="Arial" w:cs="Arial"/>
          <w:color w:val="auto"/>
          <w:sz w:val="20"/>
          <w:szCs w:val="20"/>
          <w:lang w:val="sl-SI"/>
        </w:rPr>
        <w:fldChar w:fldCharType="begin"/>
      </w:r>
      <w:r w:rsidR="00624596" w:rsidRPr="00BF7E57">
        <w:rPr>
          <w:rFonts w:ascii="Arial" w:hAnsi="Arial" w:cs="Arial"/>
          <w:color w:val="auto"/>
          <w:sz w:val="20"/>
          <w:szCs w:val="20"/>
          <w:lang w:val="sl-SI"/>
        </w:rPr>
        <w:instrText xml:space="preserve"> REF _Ref84926750 \h </w:instrText>
      </w:r>
      <w:r w:rsidR="00624596" w:rsidRPr="00BF7E57">
        <w:rPr>
          <w:rFonts w:ascii="Arial" w:hAnsi="Arial" w:cs="Arial"/>
          <w:color w:val="auto"/>
          <w:sz w:val="20"/>
          <w:szCs w:val="20"/>
          <w:lang w:val="sl-SI"/>
        </w:rPr>
      </w:r>
      <w:r w:rsidR="00BF7E57">
        <w:rPr>
          <w:rFonts w:ascii="Arial" w:hAnsi="Arial" w:cs="Arial"/>
          <w:color w:val="auto"/>
          <w:sz w:val="20"/>
          <w:szCs w:val="20"/>
          <w:lang w:val="sl-SI"/>
        </w:rPr>
        <w:instrText xml:space="preserve"> \* MERGEFORMAT </w:instrText>
      </w:r>
      <w:r w:rsidR="00624596" w:rsidRPr="00BF7E57">
        <w:rPr>
          <w:rFonts w:ascii="Arial" w:hAnsi="Arial" w:cs="Arial"/>
          <w:color w:val="auto"/>
          <w:sz w:val="20"/>
          <w:szCs w:val="20"/>
          <w:lang w:val="sl-SI"/>
        </w:rPr>
        <w:fldChar w:fldCharType="separate"/>
      </w:r>
      <w:r w:rsidR="00236865" w:rsidRPr="00BF7E57">
        <w:t xml:space="preserve">Slika </w:t>
      </w:r>
      <w:r w:rsidR="00236865">
        <w:rPr>
          <w:noProof/>
        </w:rPr>
        <w:t>29</w:t>
      </w:r>
      <w:r w:rsidR="00624596" w:rsidRPr="00BF7E57">
        <w:rPr>
          <w:rFonts w:ascii="Arial" w:hAnsi="Arial" w:cs="Arial"/>
          <w:color w:val="auto"/>
          <w:sz w:val="20"/>
          <w:szCs w:val="20"/>
          <w:lang w:val="sl-SI"/>
        </w:rPr>
        <w:fldChar w:fldCharType="end"/>
      </w:r>
      <w:r w:rsidR="00B3003E" w:rsidRPr="00BF7E57">
        <w:rPr>
          <w:rFonts w:ascii="Arial" w:hAnsi="Arial" w:cs="Arial"/>
          <w:color w:val="auto"/>
          <w:sz w:val="20"/>
          <w:szCs w:val="20"/>
          <w:lang w:val="sl-SI"/>
        </w:rPr>
        <w:t>)</w:t>
      </w:r>
      <w:r w:rsidRPr="00BF7E57">
        <w:rPr>
          <w:rFonts w:ascii="Arial" w:hAnsi="Arial" w:cs="Arial"/>
          <w:color w:val="auto"/>
          <w:sz w:val="20"/>
          <w:szCs w:val="20"/>
          <w:lang w:val="sl-SI"/>
        </w:rPr>
        <w:t>, najmanj pa v zasavski statistični regiji (1,9 %)</w:t>
      </w:r>
      <w:r w:rsidR="007E2079" w:rsidRPr="00BF7E57">
        <w:rPr>
          <w:rFonts w:ascii="Arial" w:hAnsi="Arial" w:cs="Arial"/>
          <w:color w:val="auto"/>
          <w:sz w:val="20"/>
          <w:szCs w:val="20"/>
          <w:lang w:val="sl-SI"/>
        </w:rPr>
        <w:t xml:space="preserve"> (SURS, 2020)</w:t>
      </w:r>
      <w:r w:rsidRPr="00BF7E57">
        <w:rPr>
          <w:rFonts w:ascii="Arial" w:hAnsi="Arial" w:cs="Arial"/>
          <w:color w:val="auto"/>
          <w:sz w:val="20"/>
          <w:szCs w:val="20"/>
          <w:lang w:val="sl-SI"/>
        </w:rPr>
        <w:t>. Povprečna velikost podjetja leta 2018 je bila v Sloveniji 4,6 zaposlenega na podjetje. Največja povprečna velikost podjetja je v jugovzhodni Sloveniji (5,3 zaposlenega na podjetje), najmanjša pa v obalno-kraški statistični regiji (2,8 zaposlenega na podjetje)</w:t>
      </w:r>
      <w:r w:rsidR="00966269" w:rsidRPr="00BF7E57">
        <w:rPr>
          <w:rFonts w:ascii="Arial" w:hAnsi="Arial" w:cs="Arial"/>
          <w:color w:val="auto"/>
          <w:sz w:val="20"/>
          <w:szCs w:val="20"/>
          <w:lang w:val="sl-SI"/>
        </w:rPr>
        <w:t xml:space="preserve"> (UM EPF, 2019)</w:t>
      </w:r>
      <w:r w:rsidRPr="00BF7E57">
        <w:rPr>
          <w:rFonts w:ascii="Arial" w:hAnsi="Arial" w:cs="Arial"/>
          <w:color w:val="auto"/>
          <w:sz w:val="20"/>
          <w:szCs w:val="20"/>
          <w:lang w:val="sl-SI"/>
        </w:rPr>
        <w:t xml:space="preserve">. </w:t>
      </w:r>
    </w:p>
    <w:p w14:paraId="5551B49D" w14:textId="319A6D48"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Podjetja so v letu 2018 v Slovenji skupaj ustvarila 117.041 milijonov EUR prihodka. Prihodek podjetij se je od padca v letu 2009 zviševal in šele v letu 2016 dosegel raven iz leta 2008. Tudi prihodek na podjetje se je leta 2009 zniža</w:t>
      </w:r>
      <w:r w:rsidR="00624596" w:rsidRPr="00BF7E57">
        <w:rPr>
          <w:rFonts w:ascii="Arial" w:hAnsi="Arial" w:cs="Arial"/>
          <w:color w:val="auto"/>
          <w:sz w:val="20"/>
          <w:szCs w:val="20"/>
          <w:lang w:val="sl-SI"/>
        </w:rPr>
        <w:t>l</w:t>
      </w:r>
      <w:r w:rsidRPr="00BF7E57">
        <w:rPr>
          <w:rFonts w:ascii="Arial" w:hAnsi="Arial" w:cs="Arial"/>
          <w:color w:val="auto"/>
          <w:sz w:val="20"/>
          <w:szCs w:val="20"/>
          <w:lang w:val="sl-SI"/>
        </w:rPr>
        <w:t xml:space="preserve"> in po tem letu rastel</w:t>
      </w:r>
      <w:r w:rsidR="00E64CF3" w:rsidRPr="00BF7E57">
        <w:rPr>
          <w:rFonts w:ascii="Arial" w:hAnsi="Arial" w:cs="Arial"/>
          <w:color w:val="auto"/>
          <w:sz w:val="20"/>
          <w:szCs w:val="20"/>
          <w:lang w:val="sl-SI"/>
        </w:rPr>
        <w:t xml:space="preserve"> (SURS, 2020)</w:t>
      </w:r>
      <w:r w:rsidRPr="00BF7E57">
        <w:rPr>
          <w:rFonts w:ascii="Arial" w:hAnsi="Arial" w:cs="Arial"/>
          <w:color w:val="auto"/>
          <w:sz w:val="20"/>
          <w:szCs w:val="20"/>
          <w:lang w:val="sl-SI"/>
        </w:rPr>
        <w:t xml:space="preserve">. </w:t>
      </w:r>
    </w:p>
    <w:p w14:paraId="10A5016B" w14:textId="65B3C042"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 podatkih SURS je bil</w:t>
      </w:r>
      <w:r w:rsidR="00624596" w:rsidRPr="00BF7E57">
        <w:rPr>
          <w:rFonts w:ascii="Arial" w:hAnsi="Arial" w:cs="Arial"/>
          <w:color w:val="auto"/>
          <w:sz w:val="20"/>
          <w:szCs w:val="20"/>
          <w:lang w:val="sl-SI"/>
        </w:rPr>
        <w:t>a</w:t>
      </w:r>
      <w:r w:rsidRPr="00BF7E57">
        <w:rPr>
          <w:rFonts w:ascii="Arial" w:hAnsi="Arial" w:cs="Arial"/>
          <w:color w:val="auto"/>
          <w:sz w:val="20"/>
          <w:szCs w:val="20"/>
          <w:lang w:val="sl-SI"/>
        </w:rPr>
        <w:t xml:space="preserve"> na ravni statističnih regij leta 2018 največja vrednost s 43 % vrednosti vseh investicij ustvarjenih v osrednjeslovenski regiji (v 2017: 41 %)</w:t>
      </w:r>
      <w:r w:rsidR="00E64CF3" w:rsidRPr="00BF7E57">
        <w:rPr>
          <w:rFonts w:ascii="Arial" w:hAnsi="Arial" w:cs="Arial"/>
          <w:color w:val="auto"/>
          <w:sz w:val="20"/>
          <w:szCs w:val="20"/>
          <w:lang w:val="sl-SI"/>
        </w:rPr>
        <w:t xml:space="preserve"> (UM EPF, 2019)</w:t>
      </w:r>
      <w:r w:rsidRPr="00BF7E57">
        <w:rPr>
          <w:rFonts w:ascii="Arial" w:hAnsi="Arial" w:cs="Arial"/>
          <w:color w:val="auto"/>
          <w:sz w:val="20"/>
          <w:szCs w:val="20"/>
          <w:lang w:val="sl-SI"/>
        </w:rPr>
        <w:t>, najmanj investicij pa v zasavski in primors</w:t>
      </w:r>
      <w:r w:rsidR="00083AB5" w:rsidRPr="00BF7E57">
        <w:rPr>
          <w:rFonts w:ascii="Arial" w:hAnsi="Arial" w:cs="Arial"/>
          <w:color w:val="auto"/>
          <w:sz w:val="20"/>
          <w:szCs w:val="20"/>
          <w:lang w:val="sl-SI"/>
        </w:rPr>
        <w:t>ko-notranjski regiji (</w:t>
      </w:r>
      <w:r w:rsidR="00B3003E" w:rsidRPr="00BF7E57">
        <w:rPr>
          <w:rFonts w:ascii="Arial" w:hAnsi="Arial" w:cs="Arial"/>
          <w:color w:val="auto"/>
          <w:sz w:val="20"/>
          <w:szCs w:val="20"/>
          <w:lang w:val="sl-SI"/>
        </w:rPr>
        <w:t>S</w:t>
      </w:r>
      <w:r w:rsidR="00083AB5" w:rsidRPr="00BF7E57">
        <w:rPr>
          <w:rFonts w:ascii="Arial" w:hAnsi="Arial" w:cs="Arial"/>
          <w:color w:val="auto"/>
          <w:sz w:val="20"/>
          <w:szCs w:val="20"/>
          <w:lang w:val="sl-SI"/>
        </w:rPr>
        <w:t>lika 2</w:t>
      </w:r>
      <w:r w:rsidR="00803D81" w:rsidRPr="00BF7E57">
        <w:rPr>
          <w:rFonts w:ascii="Arial" w:hAnsi="Arial" w:cs="Arial"/>
          <w:color w:val="auto"/>
          <w:sz w:val="20"/>
          <w:szCs w:val="20"/>
          <w:lang w:val="sl-SI"/>
        </w:rPr>
        <w:t>7</w:t>
      </w:r>
      <w:r w:rsidR="00083AB5" w:rsidRPr="00BF7E57">
        <w:rPr>
          <w:rFonts w:ascii="Arial" w:hAnsi="Arial" w:cs="Arial"/>
          <w:color w:val="auto"/>
          <w:sz w:val="20"/>
          <w:szCs w:val="20"/>
          <w:lang w:val="sl-SI"/>
        </w:rPr>
        <w:t>).</w:t>
      </w:r>
    </w:p>
    <w:p w14:paraId="7408AAD4" w14:textId="794C0297" w:rsidR="003E038D" w:rsidRPr="00BF7E57" w:rsidRDefault="003E038D" w:rsidP="00F77BD0">
      <w:pPr>
        <w:pStyle w:val="Napis"/>
      </w:pPr>
      <w:bookmarkStart w:id="144" w:name="_Toc86826420"/>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30</w:t>
      </w:r>
      <w:r w:rsidR="00A30B83" w:rsidRPr="00BF7E57">
        <w:rPr>
          <w:noProof/>
        </w:rPr>
        <w:fldChar w:fldCharType="end"/>
      </w:r>
      <w:r w:rsidRPr="00BF7E57">
        <w:t>: Investicije po statističnih regijah leta 2018</w:t>
      </w:r>
      <w:bookmarkEnd w:id="144"/>
    </w:p>
    <w:p w14:paraId="23D6E6DC" w14:textId="77777777" w:rsidR="009E0216" w:rsidRPr="00BF7E57" w:rsidRDefault="009E0216" w:rsidP="00EA2E4C">
      <w:pPr>
        <w:pStyle w:val="Default"/>
        <w:spacing w:line="360" w:lineRule="auto"/>
        <w:jc w:val="both"/>
        <w:rPr>
          <w:rFonts w:ascii="Arial" w:hAnsi="Arial" w:cs="Arial"/>
          <w:b/>
          <w:color w:val="auto"/>
          <w:sz w:val="20"/>
          <w:szCs w:val="20"/>
          <w:lang w:val="sl-SI"/>
        </w:rPr>
      </w:pPr>
      <w:r w:rsidRPr="00BF7E57">
        <w:rPr>
          <w:rFonts w:ascii="Arial" w:hAnsi="Arial" w:cs="Arial"/>
          <w:b/>
          <w:noProof/>
          <w:color w:val="auto"/>
          <w:sz w:val="20"/>
          <w:szCs w:val="20"/>
          <w:lang w:val="sl-SI" w:eastAsia="sl-SI"/>
        </w:rPr>
        <w:drawing>
          <wp:inline distT="0" distB="0" distL="0" distR="0" wp14:anchorId="10BCF4BF" wp14:editId="14CC9682">
            <wp:extent cx="5751830" cy="3621024"/>
            <wp:effectExtent l="19050" t="19050" r="20320" b="17780"/>
            <wp:docPr id="1631865550" name="Slika 16318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931" b="7217"/>
                    <a:stretch/>
                  </pic:blipFill>
                  <pic:spPr bwMode="auto">
                    <a:xfrm>
                      <a:off x="0" y="0"/>
                      <a:ext cx="5760210" cy="3626300"/>
                    </a:xfrm>
                    <a:prstGeom prst="rect">
                      <a:avLst/>
                    </a:prstGeom>
                    <a:noFill/>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35234" w14:textId="10219436"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SURS</w:t>
      </w:r>
      <w:r w:rsidR="00E64CF3" w:rsidRPr="00BF7E57">
        <w:rPr>
          <w:rFonts w:ascii="Arial" w:hAnsi="Arial" w:cs="Arial"/>
          <w:sz w:val="16"/>
          <w:szCs w:val="16"/>
        </w:rPr>
        <w:t>, 2020</w:t>
      </w:r>
    </w:p>
    <w:p w14:paraId="2B555BED" w14:textId="77777777" w:rsidR="009E0216" w:rsidRPr="00BF7E57" w:rsidRDefault="00AE0A93" w:rsidP="00BE756C">
      <w:pPr>
        <w:rPr>
          <w:rFonts w:ascii="Arial" w:hAnsi="Arial" w:cs="Arial"/>
          <w:sz w:val="20"/>
          <w:szCs w:val="20"/>
        </w:rPr>
      </w:pPr>
      <w:r w:rsidRPr="00BF7E57">
        <w:rPr>
          <w:rFonts w:ascii="Arial" w:hAnsi="Arial" w:cs="Arial"/>
          <w:sz w:val="20"/>
          <w:szCs w:val="20"/>
        </w:rPr>
        <w:br w:type="page"/>
      </w:r>
    </w:p>
    <w:p w14:paraId="04B44E12" w14:textId="43853328" w:rsidR="009E0216" w:rsidRPr="00BF7E57" w:rsidRDefault="00CE0B15" w:rsidP="00CE0B15">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45" w:name="_Toc86826379"/>
      <w:r w:rsidRPr="00BF7E57">
        <w:rPr>
          <w:rFonts w:ascii="Arial" w:hAnsi="Arial" w:cs="Arial"/>
          <w:color w:val="000000" w:themeColor="text1"/>
          <w:sz w:val="24"/>
          <w:szCs w:val="24"/>
        </w:rPr>
        <w:lastRenderedPageBreak/>
        <w:t xml:space="preserve">3.2 </w:t>
      </w:r>
      <w:r w:rsidR="009E0216" w:rsidRPr="00BF7E57">
        <w:rPr>
          <w:rFonts w:ascii="Arial" w:hAnsi="Arial" w:cs="Arial"/>
          <w:color w:val="000000" w:themeColor="text1"/>
          <w:sz w:val="24"/>
          <w:szCs w:val="24"/>
        </w:rPr>
        <w:t>ZAPOSLENOST</w:t>
      </w:r>
      <w:bookmarkEnd w:id="145"/>
    </w:p>
    <w:p w14:paraId="39A8DA5C" w14:textId="28BBFB73"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V Sloveniji se po padcu v obdobju krize v letih 2008-2013 stopnja zaposlenosti od leta 2014 ponovno povečuje. V Sloveniji je bila po podatkih Eurostata leta 2019 evidentirana najvišja stopnja zaposlenosti v zadnjih letih (71,8), med moškimi celo 74 % in je bila višja glede na povprečje članic EU-27, kjer je bila 68,4 %</w:t>
      </w:r>
      <w:r w:rsidR="00A27639" w:rsidRPr="00BF7E57">
        <w:rPr>
          <w:rFonts w:ascii="Arial" w:hAnsi="Arial" w:cs="Arial"/>
          <w:color w:val="auto"/>
          <w:sz w:val="20"/>
          <w:szCs w:val="20"/>
          <w:lang w:val="sl-SI"/>
        </w:rPr>
        <w:t xml:space="preserve"> (</w:t>
      </w:r>
      <w:r w:rsidR="00CF1C6F" w:rsidRPr="00BF7E57">
        <w:rPr>
          <w:rFonts w:ascii="Arial" w:hAnsi="Arial" w:cs="Arial"/>
          <w:color w:val="auto"/>
          <w:sz w:val="20"/>
          <w:szCs w:val="20"/>
          <w:lang w:val="sl-SI"/>
        </w:rPr>
        <w:fldChar w:fldCharType="begin"/>
      </w:r>
      <w:r w:rsidR="00CF1C6F" w:rsidRPr="00BF7E57">
        <w:rPr>
          <w:rFonts w:ascii="Arial" w:hAnsi="Arial" w:cs="Arial"/>
          <w:color w:val="auto"/>
          <w:sz w:val="20"/>
          <w:szCs w:val="20"/>
          <w:lang w:val="sl-SI"/>
        </w:rPr>
        <w:instrText xml:space="preserve"> REF _Ref84927307 \h </w:instrText>
      </w:r>
      <w:r w:rsidR="00CF1C6F" w:rsidRPr="00BF7E57">
        <w:rPr>
          <w:rFonts w:ascii="Arial" w:hAnsi="Arial" w:cs="Arial"/>
          <w:color w:val="auto"/>
          <w:sz w:val="20"/>
          <w:szCs w:val="20"/>
          <w:lang w:val="sl-SI"/>
        </w:rPr>
      </w:r>
      <w:r w:rsidR="00BF7E57">
        <w:rPr>
          <w:rFonts w:ascii="Arial" w:hAnsi="Arial" w:cs="Arial"/>
          <w:color w:val="auto"/>
          <w:sz w:val="20"/>
          <w:szCs w:val="20"/>
          <w:lang w:val="sl-SI"/>
        </w:rPr>
        <w:instrText xml:space="preserve"> \* MERGEFORMAT </w:instrText>
      </w:r>
      <w:r w:rsidR="00CF1C6F" w:rsidRPr="00BF7E57">
        <w:rPr>
          <w:rFonts w:ascii="Arial" w:hAnsi="Arial" w:cs="Arial"/>
          <w:color w:val="auto"/>
          <w:sz w:val="20"/>
          <w:szCs w:val="20"/>
          <w:lang w:val="sl-SI"/>
        </w:rPr>
        <w:fldChar w:fldCharType="separate"/>
      </w:r>
      <w:r w:rsidR="00236865" w:rsidRPr="00BF7E57">
        <w:t xml:space="preserve">Tabela </w:t>
      </w:r>
      <w:r w:rsidR="00236865">
        <w:rPr>
          <w:noProof/>
        </w:rPr>
        <w:t>25</w:t>
      </w:r>
      <w:r w:rsidR="00CF1C6F" w:rsidRPr="00BF7E57">
        <w:rPr>
          <w:rFonts w:ascii="Arial" w:hAnsi="Arial" w:cs="Arial"/>
          <w:color w:val="auto"/>
          <w:sz w:val="20"/>
          <w:szCs w:val="20"/>
          <w:lang w:val="sl-SI"/>
        </w:rPr>
        <w:fldChar w:fldCharType="end"/>
      </w:r>
      <w:r w:rsidR="00A27639" w:rsidRPr="00BF7E57">
        <w:rPr>
          <w:rFonts w:ascii="Arial" w:hAnsi="Arial" w:cs="Arial"/>
          <w:color w:val="auto"/>
          <w:sz w:val="20"/>
          <w:szCs w:val="20"/>
          <w:lang w:val="sl-SI"/>
        </w:rPr>
        <w:t>)</w:t>
      </w:r>
      <w:r w:rsidR="00E64CF3" w:rsidRPr="00BF7E57">
        <w:rPr>
          <w:rFonts w:ascii="Arial" w:hAnsi="Arial" w:cs="Arial"/>
          <w:color w:val="auto"/>
          <w:sz w:val="20"/>
          <w:szCs w:val="20"/>
          <w:lang w:val="sl-SI"/>
        </w:rPr>
        <w:t xml:space="preserve"> (EUROSTAT, 202</w:t>
      </w:r>
      <w:r w:rsidR="005467D1" w:rsidRPr="00BF7E57">
        <w:rPr>
          <w:rFonts w:ascii="Arial" w:hAnsi="Arial" w:cs="Arial"/>
          <w:color w:val="auto"/>
          <w:sz w:val="20"/>
          <w:szCs w:val="20"/>
          <w:lang w:val="sl-SI"/>
        </w:rPr>
        <w:t>1</w:t>
      </w:r>
      <w:r w:rsidR="00E64CF3" w:rsidRPr="00BF7E57">
        <w:rPr>
          <w:rFonts w:ascii="Arial" w:hAnsi="Arial" w:cs="Arial"/>
          <w:color w:val="auto"/>
          <w:sz w:val="20"/>
          <w:szCs w:val="20"/>
          <w:lang w:val="sl-SI"/>
        </w:rPr>
        <w:t>)</w:t>
      </w:r>
      <w:r w:rsidRPr="00BF7E57">
        <w:rPr>
          <w:rFonts w:ascii="Arial" w:hAnsi="Arial" w:cs="Arial"/>
          <w:color w:val="auto"/>
          <w:sz w:val="20"/>
          <w:szCs w:val="20"/>
          <w:lang w:val="sl-SI"/>
        </w:rPr>
        <w:t>. Po podatkih SURS</w:t>
      </w:r>
      <w:r w:rsidR="00E64CF3" w:rsidRPr="00BF7E57">
        <w:rPr>
          <w:rFonts w:ascii="Arial" w:hAnsi="Arial" w:cs="Arial"/>
          <w:color w:val="auto"/>
          <w:sz w:val="20"/>
          <w:szCs w:val="20"/>
          <w:lang w:val="sl-SI"/>
        </w:rPr>
        <w:t xml:space="preserve"> (2020)</w:t>
      </w:r>
      <w:r w:rsidRPr="00BF7E57">
        <w:rPr>
          <w:rFonts w:ascii="Arial" w:hAnsi="Arial" w:cs="Arial"/>
          <w:color w:val="auto"/>
          <w:sz w:val="20"/>
          <w:szCs w:val="20"/>
          <w:lang w:val="sl-SI"/>
        </w:rPr>
        <w:t xml:space="preserve"> se je število aktivnih oseb med prebivalci Slovenije po letu 2015 povečevalo in je v letu 2018 štelo 981.000 oseb</w:t>
      </w:r>
      <w:r w:rsidR="00A27639" w:rsidRPr="00BF7E57">
        <w:rPr>
          <w:rFonts w:ascii="Arial" w:hAnsi="Arial" w:cs="Arial"/>
          <w:color w:val="auto"/>
          <w:sz w:val="20"/>
          <w:szCs w:val="20"/>
          <w:lang w:val="sl-SI"/>
        </w:rPr>
        <w:t xml:space="preserve"> (</w:t>
      </w:r>
      <w:r w:rsidR="00CF1C6F" w:rsidRPr="00BF7E57">
        <w:rPr>
          <w:rFonts w:ascii="Arial" w:hAnsi="Arial" w:cs="Arial"/>
          <w:color w:val="auto"/>
          <w:sz w:val="20"/>
          <w:szCs w:val="20"/>
          <w:lang w:val="sl-SI"/>
        </w:rPr>
        <w:fldChar w:fldCharType="begin"/>
      </w:r>
      <w:r w:rsidR="00CF1C6F" w:rsidRPr="00BF7E57">
        <w:rPr>
          <w:rFonts w:ascii="Arial" w:hAnsi="Arial" w:cs="Arial"/>
          <w:color w:val="auto"/>
          <w:sz w:val="20"/>
          <w:szCs w:val="20"/>
          <w:lang w:val="sl-SI"/>
        </w:rPr>
        <w:instrText xml:space="preserve"> REF _Ref84927343 \h </w:instrText>
      </w:r>
      <w:r w:rsidR="00CF1C6F" w:rsidRPr="00BF7E57">
        <w:rPr>
          <w:rFonts w:ascii="Arial" w:hAnsi="Arial" w:cs="Arial"/>
          <w:color w:val="auto"/>
          <w:sz w:val="20"/>
          <w:szCs w:val="20"/>
          <w:lang w:val="sl-SI"/>
        </w:rPr>
      </w:r>
      <w:r w:rsidR="00BF7E57">
        <w:rPr>
          <w:rFonts w:ascii="Arial" w:hAnsi="Arial" w:cs="Arial"/>
          <w:color w:val="auto"/>
          <w:sz w:val="20"/>
          <w:szCs w:val="20"/>
          <w:lang w:val="sl-SI"/>
        </w:rPr>
        <w:instrText xml:space="preserve"> \* MERGEFORMAT </w:instrText>
      </w:r>
      <w:r w:rsidR="00CF1C6F" w:rsidRPr="00BF7E57">
        <w:rPr>
          <w:rFonts w:ascii="Arial" w:hAnsi="Arial" w:cs="Arial"/>
          <w:color w:val="auto"/>
          <w:sz w:val="20"/>
          <w:szCs w:val="20"/>
          <w:lang w:val="sl-SI"/>
        </w:rPr>
        <w:fldChar w:fldCharType="separate"/>
      </w:r>
      <w:r w:rsidR="00236865" w:rsidRPr="00BF7E57">
        <w:t xml:space="preserve">Slika </w:t>
      </w:r>
      <w:r w:rsidR="00236865">
        <w:rPr>
          <w:noProof/>
        </w:rPr>
        <w:t>31</w:t>
      </w:r>
      <w:r w:rsidR="00CF1C6F" w:rsidRPr="00BF7E57">
        <w:rPr>
          <w:rFonts w:ascii="Arial" w:hAnsi="Arial" w:cs="Arial"/>
          <w:color w:val="auto"/>
          <w:sz w:val="20"/>
          <w:szCs w:val="20"/>
          <w:lang w:val="sl-SI"/>
        </w:rPr>
        <w:fldChar w:fldCharType="end"/>
      </w:r>
      <w:r w:rsidR="00A27639" w:rsidRPr="00BF7E57">
        <w:rPr>
          <w:rFonts w:ascii="Arial" w:hAnsi="Arial" w:cs="Arial"/>
          <w:color w:val="auto"/>
          <w:sz w:val="20"/>
          <w:szCs w:val="20"/>
          <w:lang w:val="sl-SI"/>
        </w:rPr>
        <w:t>)</w:t>
      </w:r>
      <w:r w:rsidR="00B3003E" w:rsidRPr="00BF7E57">
        <w:rPr>
          <w:rFonts w:ascii="Arial" w:hAnsi="Arial" w:cs="Arial"/>
          <w:color w:val="auto"/>
          <w:sz w:val="20"/>
          <w:szCs w:val="20"/>
          <w:lang w:val="sl-SI"/>
        </w:rPr>
        <w:t>.</w:t>
      </w:r>
      <w:r w:rsidRPr="00BF7E57">
        <w:rPr>
          <w:rFonts w:ascii="Arial" w:hAnsi="Arial" w:cs="Arial"/>
          <w:color w:val="auto"/>
          <w:sz w:val="20"/>
          <w:szCs w:val="20"/>
          <w:lang w:val="sl-SI"/>
        </w:rPr>
        <w:t xml:space="preserve"> </w:t>
      </w:r>
      <w:r w:rsidR="00436712" w:rsidRPr="00BF7E57">
        <w:rPr>
          <w:rFonts w:ascii="Arial" w:hAnsi="Arial" w:cs="Arial"/>
          <w:sz w:val="20"/>
          <w:szCs w:val="20"/>
          <w:lang w:val="sl-SI"/>
        </w:rPr>
        <w:t xml:space="preserve">Zaradi ohlajanja gospodarstva v letu 2019 in koronakriza v letu 2020 pa je bilo po podatkih SURS število delovno aktivnih oseb spet nižje (889.800 delovno aktivnih konec leta 2020). Upad je bil najopaznejši med mladimi (stari 25-29 let). </w:t>
      </w:r>
      <w:r w:rsidR="005467D1" w:rsidRPr="00BF7E57">
        <w:rPr>
          <w:rFonts w:ascii="Arial" w:hAnsi="Arial" w:cs="Arial"/>
          <w:sz w:val="20"/>
          <w:szCs w:val="20"/>
          <w:lang w:val="sl-SI"/>
        </w:rPr>
        <w:t>Izmed vseh delovno aktivnih ljudi glede na prebivališče je 59 % vseh na podeželju (528.997 ljudi). Glede na delovno mesto, pa predstavlja delež delovno aktivnih prebivalcev na podeželju 43 % ljudi, kar pomeni, da je na podeželju veliko manj delovnim mest kot v mestih. Stopnja delovne aktivnosti v letu 2020 je bila na podeželju nekoliko nižja (64,9) kot v Sloveniji (65,6). Prav tako je bila leta 2020 na podeželju nižja povprečna bruto plača na zaposlenega kot v mestih (1620 EUR).</w:t>
      </w:r>
    </w:p>
    <w:p w14:paraId="4D0F664E" w14:textId="5DBFE97B" w:rsidR="003E038D" w:rsidRPr="00BF7E57" w:rsidRDefault="003E038D" w:rsidP="00F77BD0">
      <w:pPr>
        <w:pStyle w:val="Napis"/>
      </w:pPr>
      <w:bookmarkStart w:id="146" w:name="_Ref84927343"/>
      <w:bookmarkStart w:id="147" w:name="_Toc86826421"/>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31</w:t>
      </w:r>
      <w:r w:rsidR="00A30B83" w:rsidRPr="00BF7E57">
        <w:rPr>
          <w:noProof/>
        </w:rPr>
        <w:fldChar w:fldCharType="end"/>
      </w:r>
      <w:bookmarkEnd w:id="146"/>
      <w:r w:rsidRPr="00BF7E57">
        <w:t>: Aktivno in neaktivno prebivalstvo, Slovenija, 2018</w:t>
      </w:r>
      <w:bookmarkEnd w:id="147"/>
    </w:p>
    <w:p w14:paraId="44BC6027" w14:textId="77777777" w:rsidR="009E0216" w:rsidRPr="00BF7E57" w:rsidRDefault="009E0216" w:rsidP="004738DA">
      <w:pPr>
        <w:pStyle w:val="Default"/>
        <w:jc w:val="both"/>
        <w:rPr>
          <w:rFonts w:ascii="Arial" w:hAnsi="Arial" w:cs="Arial"/>
          <w:color w:val="auto"/>
          <w:sz w:val="20"/>
          <w:szCs w:val="20"/>
          <w:lang w:val="sl-SI"/>
        </w:rPr>
      </w:pPr>
      <w:r w:rsidRPr="00BF7E57">
        <w:rPr>
          <w:rFonts w:ascii="Arial" w:hAnsi="Arial" w:cs="Arial"/>
          <w:noProof/>
          <w:sz w:val="20"/>
          <w:szCs w:val="20"/>
          <w:lang w:val="sl-SI" w:eastAsia="sl-SI"/>
        </w:rPr>
        <w:drawing>
          <wp:inline distT="0" distB="0" distL="0" distR="0" wp14:anchorId="4AD0F9FC" wp14:editId="4E131190">
            <wp:extent cx="5446643" cy="2734749"/>
            <wp:effectExtent l="19050" t="19050" r="20955" b="27940"/>
            <wp:docPr id="1631865551" name="Slika 1631865551" descr="http://www.stat.si/StatWeb/File/NewsImage/2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si/StatWeb/File/NewsImage/20874"/>
                    <pic:cNvPicPr>
                      <a:picLocks noChangeAspect="1" noChangeArrowheads="1"/>
                    </pic:cNvPicPr>
                  </pic:nvPicPr>
                  <pic:blipFill rotWithShape="1">
                    <a:blip r:embed="rId47">
                      <a:extLst>
                        <a:ext uri="{28A0092B-C50C-407E-A947-70E740481C1C}">
                          <a14:useLocalDpi xmlns:a14="http://schemas.microsoft.com/office/drawing/2010/main" val="0"/>
                        </a:ext>
                      </a:extLst>
                    </a:blip>
                    <a:srcRect t="5541"/>
                    <a:stretch/>
                  </pic:blipFill>
                  <pic:spPr bwMode="auto">
                    <a:xfrm>
                      <a:off x="0" y="0"/>
                      <a:ext cx="5508679" cy="2765897"/>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9C19B3A" w14:textId="7D8FE371" w:rsidR="009E0216" w:rsidRPr="00BF7E57" w:rsidRDefault="009E0216" w:rsidP="004738DA">
      <w:pPr>
        <w:spacing w:line="360" w:lineRule="auto"/>
        <w:jc w:val="both"/>
        <w:rPr>
          <w:rFonts w:ascii="Arial" w:hAnsi="Arial" w:cs="Arial"/>
          <w:sz w:val="16"/>
          <w:szCs w:val="16"/>
        </w:rPr>
      </w:pPr>
      <w:r w:rsidRPr="00BF7E57">
        <w:rPr>
          <w:rFonts w:ascii="Arial" w:hAnsi="Arial" w:cs="Arial"/>
          <w:sz w:val="16"/>
          <w:szCs w:val="16"/>
        </w:rPr>
        <w:t>Vir: SURS</w:t>
      </w:r>
      <w:r w:rsidR="00E64CF3" w:rsidRPr="00BF7E57">
        <w:rPr>
          <w:rFonts w:ascii="Arial" w:hAnsi="Arial" w:cs="Arial"/>
          <w:sz w:val="16"/>
          <w:szCs w:val="16"/>
        </w:rPr>
        <w:t>, 2020</w:t>
      </w:r>
    </w:p>
    <w:p w14:paraId="5753F1C5" w14:textId="77777777" w:rsidR="005467D1" w:rsidRPr="00BF7E57" w:rsidRDefault="005467D1" w:rsidP="005467D1">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 xml:space="preserve">Stopnja brezposelnosti v letu 2019 je bila glede na podatke EUROSTAT 4,35, kar je manj od EU povprečja (EU-27: 5,68). Stopnja brezposelnih mladih (14-24 let) po letu 2017 v Sloveniji zniževala in je bila v letu 2019 nižja kot povprečju EU-27. Stopnja samozaposlenosti se vse od leta 2008 sicer povečuje in je v letu 2019 znašala 11,79, kar pa je manj kot v EU (EU-27 13,41)(Eurostat, 2021). </w:t>
      </w:r>
    </w:p>
    <w:p w14:paraId="43CF18CB" w14:textId="00638D44" w:rsidR="0008099E" w:rsidRPr="00BF7E57" w:rsidRDefault="0008099E" w:rsidP="00F77BD0">
      <w:pPr>
        <w:pStyle w:val="Napis"/>
      </w:pPr>
      <w:bookmarkStart w:id="148" w:name="_Ref84927307"/>
      <w:bookmarkStart w:id="149" w:name="_Toc55913723"/>
      <w:bookmarkStart w:id="150" w:name="_Toc86826463"/>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25</w:t>
      </w:r>
      <w:r w:rsidR="00A30B83" w:rsidRPr="00BF7E57">
        <w:rPr>
          <w:noProof/>
        </w:rPr>
        <w:fldChar w:fldCharType="end"/>
      </w:r>
      <w:bookmarkEnd w:id="148"/>
      <w:r w:rsidRPr="00BF7E57">
        <w:t>: Stopnja zaposlenosti</w:t>
      </w:r>
      <w:bookmarkEnd w:id="150"/>
    </w:p>
    <w:bookmarkEnd w:id="149"/>
    <w:p w14:paraId="5F8D1455" w14:textId="06A282DF" w:rsidR="00433651" w:rsidRPr="00BF7E57" w:rsidRDefault="00433651" w:rsidP="00F77BD0">
      <w:pPr>
        <w:pStyle w:val="Napis"/>
      </w:pPr>
    </w:p>
    <w:tbl>
      <w:tblPr>
        <w:tblW w:w="5000" w:type="pct"/>
        <w:tblCellMar>
          <w:left w:w="70" w:type="dxa"/>
          <w:right w:w="70" w:type="dxa"/>
        </w:tblCellMar>
        <w:tblLook w:val="04A0" w:firstRow="1" w:lastRow="0" w:firstColumn="1" w:lastColumn="0" w:noHBand="0" w:noVBand="1"/>
      </w:tblPr>
      <w:tblGrid>
        <w:gridCol w:w="563"/>
        <w:gridCol w:w="3181"/>
        <w:gridCol w:w="906"/>
        <w:gridCol w:w="906"/>
        <w:gridCol w:w="890"/>
        <w:gridCol w:w="890"/>
        <w:gridCol w:w="892"/>
        <w:gridCol w:w="834"/>
      </w:tblGrid>
      <w:tr w:rsidR="00433651" w:rsidRPr="00BF7E57" w14:paraId="7BBF10DC" w14:textId="77777777" w:rsidTr="00402774">
        <w:trPr>
          <w:trHeight w:val="315"/>
        </w:trPr>
        <w:tc>
          <w:tcPr>
            <w:tcW w:w="3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51EE6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C.06</w:t>
            </w:r>
          </w:p>
        </w:tc>
        <w:tc>
          <w:tcPr>
            <w:tcW w:w="1755" w:type="pct"/>
            <w:tcBorders>
              <w:top w:val="single" w:sz="4" w:space="0" w:color="auto"/>
              <w:left w:val="nil"/>
              <w:bottom w:val="single" w:sz="4" w:space="0" w:color="auto"/>
              <w:right w:val="single" w:sz="4" w:space="0" w:color="auto"/>
            </w:tcBorders>
            <w:shd w:val="clear" w:color="000000" w:fill="92D050"/>
            <w:vAlign w:val="bottom"/>
            <w:hideMark/>
          </w:tcPr>
          <w:p w14:paraId="5C349480"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w:t>
            </w:r>
          </w:p>
        </w:tc>
        <w:tc>
          <w:tcPr>
            <w:tcW w:w="500" w:type="pct"/>
            <w:tcBorders>
              <w:top w:val="single" w:sz="4" w:space="0" w:color="auto"/>
              <w:left w:val="nil"/>
              <w:bottom w:val="single" w:sz="4" w:space="0" w:color="auto"/>
              <w:right w:val="single" w:sz="4" w:space="0" w:color="auto"/>
            </w:tcBorders>
            <w:shd w:val="clear" w:color="000000" w:fill="92D050"/>
            <w:noWrap/>
            <w:vAlign w:val="center"/>
            <w:hideMark/>
          </w:tcPr>
          <w:p w14:paraId="6831E89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2010</w:t>
            </w:r>
          </w:p>
        </w:tc>
        <w:tc>
          <w:tcPr>
            <w:tcW w:w="500" w:type="pct"/>
            <w:tcBorders>
              <w:top w:val="single" w:sz="4" w:space="0" w:color="auto"/>
              <w:left w:val="nil"/>
              <w:bottom w:val="single" w:sz="4" w:space="0" w:color="auto"/>
              <w:right w:val="single" w:sz="4" w:space="0" w:color="auto"/>
            </w:tcBorders>
            <w:shd w:val="clear" w:color="000000" w:fill="92D050"/>
            <w:noWrap/>
            <w:vAlign w:val="center"/>
            <w:hideMark/>
          </w:tcPr>
          <w:p w14:paraId="5DB4A685"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2013</w:t>
            </w:r>
          </w:p>
        </w:tc>
        <w:tc>
          <w:tcPr>
            <w:tcW w:w="491" w:type="pct"/>
            <w:tcBorders>
              <w:top w:val="single" w:sz="4" w:space="0" w:color="auto"/>
              <w:left w:val="nil"/>
              <w:bottom w:val="single" w:sz="4" w:space="0" w:color="auto"/>
              <w:right w:val="single" w:sz="4" w:space="0" w:color="auto"/>
            </w:tcBorders>
            <w:shd w:val="clear" w:color="000000" w:fill="92D050"/>
            <w:noWrap/>
            <w:vAlign w:val="center"/>
            <w:hideMark/>
          </w:tcPr>
          <w:p w14:paraId="766528F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2016</w:t>
            </w:r>
          </w:p>
        </w:tc>
        <w:tc>
          <w:tcPr>
            <w:tcW w:w="491" w:type="pct"/>
            <w:tcBorders>
              <w:top w:val="single" w:sz="4" w:space="0" w:color="auto"/>
              <w:left w:val="nil"/>
              <w:bottom w:val="single" w:sz="4" w:space="0" w:color="auto"/>
              <w:right w:val="single" w:sz="4" w:space="0" w:color="auto"/>
            </w:tcBorders>
            <w:shd w:val="clear" w:color="000000" w:fill="92D050"/>
            <w:noWrap/>
            <w:vAlign w:val="center"/>
            <w:hideMark/>
          </w:tcPr>
          <w:p w14:paraId="21E14DB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2017</w:t>
            </w:r>
          </w:p>
        </w:tc>
        <w:tc>
          <w:tcPr>
            <w:tcW w:w="492" w:type="pct"/>
            <w:tcBorders>
              <w:top w:val="single" w:sz="4" w:space="0" w:color="auto"/>
              <w:left w:val="nil"/>
              <w:bottom w:val="single" w:sz="4" w:space="0" w:color="auto"/>
              <w:right w:val="single" w:sz="4" w:space="0" w:color="auto"/>
            </w:tcBorders>
            <w:shd w:val="clear" w:color="000000" w:fill="92D050"/>
            <w:noWrap/>
            <w:vAlign w:val="center"/>
            <w:hideMark/>
          </w:tcPr>
          <w:p w14:paraId="5B704CE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2018</w:t>
            </w:r>
          </w:p>
        </w:tc>
        <w:tc>
          <w:tcPr>
            <w:tcW w:w="460" w:type="pct"/>
            <w:tcBorders>
              <w:top w:val="single" w:sz="4" w:space="0" w:color="auto"/>
              <w:left w:val="nil"/>
              <w:bottom w:val="single" w:sz="4" w:space="0" w:color="auto"/>
              <w:right w:val="single" w:sz="4" w:space="0" w:color="auto"/>
            </w:tcBorders>
            <w:shd w:val="clear" w:color="000000" w:fill="92D050"/>
            <w:noWrap/>
            <w:vAlign w:val="center"/>
            <w:hideMark/>
          </w:tcPr>
          <w:p w14:paraId="7E436D25"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2019</w:t>
            </w:r>
          </w:p>
        </w:tc>
      </w:tr>
      <w:tr w:rsidR="00433651" w:rsidRPr="00BF7E57" w14:paraId="1048E985" w14:textId="77777777" w:rsidTr="00402774">
        <w:trPr>
          <w:trHeight w:val="374"/>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BF6C1D4"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7476D03B"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15-64 let - ženske</w:t>
            </w:r>
          </w:p>
        </w:tc>
        <w:tc>
          <w:tcPr>
            <w:tcW w:w="500" w:type="pct"/>
            <w:tcBorders>
              <w:top w:val="nil"/>
              <w:left w:val="nil"/>
              <w:bottom w:val="single" w:sz="4" w:space="0" w:color="auto"/>
              <w:right w:val="single" w:sz="4" w:space="0" w:color="auto"/>
            </w:tcBorders>
            <w:shd w:val="clear" w:color="000000" w:fill="FFFFFF"/>
            <w:noWrap/>
            <w:vAlign w:val="center"/>
            <w:hideMark/>
          </w:tcPr>
          <w:p w14:paraId="0D1F6F22"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62,6</w:t>
            </w:r>
          </w:p>
        </w:tc>
        <w:tc>
          <w:tcPr>
            <w:tcW w:w="500" w:type="pct"/>
            <w:tcBorders>
              <w:top w:val="nil"/>
              <w:left w:val="nil"/>
              <w:bottom w:val="single" w:sz="4" w:space="0" w:color="auto"/>
              <w:right w:val="single" w:sz="4" w:space="0" w:color="auto"/>
            </w:tcBorders>
            <w:shd w:val="clear" w:color="auto" w:fill="auto"/>
            <w:noWrap/>
            <w:vAlign w:val="center"/>
            <w:hideMark/>
          </w:tcPr>
          <w:p w14:paraId="09F71D08"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59,20</w:t>
            </w:r>
          </w:p>
        </w:tc>
        <w:tc>
          <w:tcPr>
            <w:tcW w:w="491" w:type="pct"/>
            <w:tcBorders>
              <w:top w:val="nil"/>
              <w:left w:val="nil"/>
              <w:bottom w:val="single" w:sz="4" w:space="0" w:color="auto"/>
              <w:right w:val="single" w:sz="4" w:space="0" w:color="auto"/>
            </w:tcBorders>
            <w:shd w:val="clear" w:color="auto" w:fill="auto"/>
            <w:noWrap/>
            <w:vAlign w:val="center"/>
            <w:hideMark/>
          </w:tcPr>
          <w:p w14:paraId="68217FCA"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62,60</w:t>
            </w:r>
          </w:p>
        </w:tc>
        <w:tc>
          <w:tcPr>
            <w:tcW w:w="491" w:type="pct"/>
            <w:tcBorders>
              <w:top w:val="nil"/>
              <w:left w:val="nil"/>
              <w:bottom w:val="single" w:sz="4" w:space="0" w:color="auto"/>
              <w:right w:val="single" w:sz="4" w:space="0" w:color="auto"/>
            </w:tcBorders>
            <w:shd w:val="clear" w:color="000000" w:fill="FFFFFF"/>
            <w:noWrap/>
            <w:vAlign w:val="center"/>
            <w:hideMark/>
          </w:tcPr>
          <w:p w14:paraId="683057F3"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65,8</w:t>
            </w:r>
          </w:p>
        </w:tc>
        <w:tc>
          <w:tcPr>
            <w:tcW w:w="492" w:type="pct"/>
            <w:tcBorders>
              <w:top w:val="nil"/>
              <w:left w:val="nil"/>
              <w:bottom w:val="single" w:sz="4" w:space="0" w:color="auto"/>
              <w:right w:val="single" w:sz="4" w:space="0" w:color="auto"/>
            </w:tcBorders>
            <w:shd w:val="clear" w:color="000000" w:fill="FFFFFF"/>
            <w:noWrap/>
            <w:vAlign w:val="center"/>
            <w:hideMark/>
          </w:tcPr>
          <w:p w14:paraId="21AAF0E0"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67,5</w:t>
            </w:r>
          </w:p>
        </w:tc>
        <w:tc>
          <w:tcPr>
            <w:tcW w:w="460" w:type="pct"/>
            <w:tcBorders>
              <w:top w:val="nil"/>
              <w:left w:val="nil"/>
              <w:bottom w:val="single" w:sz="4" w:space="0" w:color="auto"/>
              <w:right w:val="single" w:sz="4" w:space="0" w:color="auto"/>
            </w:tcBorders>
            <w:shd w:val="clear" w:color="000000" w:fill="FFFFFF"/>
            <w:vAlign w:val="center"/>
            <w:hideMark/>
          </w:tcPr>
          <w:p w14:paraId="35E794EC"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68,6</w:t>
            </w:r>
          </w:p>
        </w:tc>
      </w:tr>
      <w:tr w:rsidR="00433651" w:rsidRPr="00BF7E57" w14:paraId="6DC5F4E0" w14:textId="77777777" w:rsidTr="00402774">
        <w:trPr>
          <w:trHeight w:val="156"/>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833473E"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4240EAA4"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15-64 let - moški</w:t>
            </w:r>
          </w:p>
        </w:tc>
        <w:tc>
          <w:tcPr>
            <w:tcW w:w="500" w:type="pct"/>
            <w:tcBorders>
              <w:top w:val="nil"/>
              <w:left w:val="nil"/>
              <w:bottom w:val="single" w:sz="4" w:space="0" w:color="auto"/>
              <w:right w:val="single" w:sz="4" w:space="0" w:color="auto"/>
            </w:tcBorders>
            <w:shd w:val="clear" w:color="000000" w:fill="FFFFFF"/>
            <w:noWrap/>
            <w:vAlign w:val="center"/>
            <w:hideMark/>
          </w:tcPr>
          <w:p w14:paraId="4F767C9B"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69,6</w:t>
            </w:r>
          </w:p>
        </w:tc>
        <w:tc>
          <w:tcPr>
            <w:tcW w:w="500" w:type="pct"/>
            <w:tcBorders>
              <w:top w:val="nil"/>
              <w:left w:val="nil"/>
              <w:bottom w:val="single" w:sz="4" w:space="0" w:color="auto"/>
              <w:right w:val="single" w:sz="4" w:space="0" w:color="auto"/>
            </w:tcBorders>
            <w:shd w:val="clear" w:color="auto" w:fill="auto"/>
            <w:noWrap/>
            <w:vAlign w:val="center"/>
            <w:hideMark/>
          </w:tcPr>
          <w:p w14:paraId="0F9716C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67,1</w:t>
            </w:r>
          </w:p>
        </w:tc>
        <w:tc>
          <w:tcPr>
            <w:tcW w:w="491" w:type="pct"/>
            <w:tcBorders>
              <w:top w:val="nil"/>
              <w:left w:val="nil"/>
              <w:bottom w:val="single" w:sz="4" w:space="0" w:color="auto"/>
              <w:right w:val="single" w:sz="4" w:space="0" w:color="auto"/>
            </w:tcBorders>
            <w:shd w:val="clear" w:color="auto" w:fill="auto"/>
            <w:noWrap/>
            <w:vAlign w:val="center"/>
            <w:hideMark/>
          </w:tcPr>
          <w:p w14:paraId="3251D3A5"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68,9</w:t>
            </w:r>
          </w:p>
        </w:tc>
        <w:tc>
          <w:tcPr>
            <w:tcW w:w="491" w:type="pct"/>
            <w:tcBorders>
              <w:top w:val="nil"/>
              <w:left w:val="nil"/>
              <w:bottom w:val="single" w:sz="4" w:space="0" w:color="auto"/>
              <w:right w:val="single" w:sz="4" w:space="0" w:color="auto"/>
            </w:tcBorders>
            <w:shd w:val="clear" w:color="000000" w:fill="FFFFFF"/>
            <w:noWrap/>
            <w:vAlign w:val="center"/>
            <w:hideMark/>
          </w:tcPr>
          <w:p w14:paraId="08312461"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72,5</w:t>
            </w:r>
          </w:p>
        </w:tc>
        <w:tc>
          <w:tcPr>
            <w:tcW w:w="492" w:type="pct"/>
            <w:tcBorders>
              <w:top w:val="nil"/>
              <w:left w:val="nil"/>
              <w:bottom w:val="single" w:sz="4" w:space="0" w:color="auto"/>
              <w:right w:val="single" w:sz="4" w:space="0" w:color="auto"/>
            </w:tcBorders>
            <w:shd w:val="clear" w:color="000000" w:fill="FFFFFF"/>
            <w:noWrap/>
            <w:vAlign w:val="center"/>
            <w:hideMark/>
          </w:tcPr>
          <w:p w14:paraId="604D62F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74,5</w:t>
            </w:r>
          </w:p>
        </w:tc>
        <w:tc>
          <w:tcPr>
            <w:tcW w:w="460" w:type="pct"/>
            <w:tcBorders>
              <w:top w:val="nil"/>
              <w:left w:val="nil"/>
              <w:bottom w:val="single" w:sz="4" w:space="0" w:color="auto"/>
              <w:right w:val="single" w:sz="4" w:space="0" w:color="auto"/>
            </w:tcBorders>
            <w:shd w:val="clear" w:color="auto" w:fill="auto"/>
            <w:noWrap/>
            <w:vAlign w:val="center"/>
            <w:hideMark/>
          </w:tcPr>
          <w:p w14:paraId="13DBAE9A"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74,8</w:t>
            </w:r>
          </w:p>
        </w:tc>
      </w:tr>
      <w:tr w:rsidR="00433651" w:rsidRPr="00BF7E57" w14:paraId="5F062436"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E5038A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lastRenderedPageBreak/>
              <w:t> </w:t>
            </w:r>
          </w:p>
        </w:tc>
        <w:tc>
          <w:tcPr>
            <w:tcW w:w="1755" w:type="pct"/>
            <w:tcBorders>
              <w:top w:val="nil"/>
              <w:left w:val="nil"/>
              <w:bottom w:val="single" w:sz="4" w:space="0" w:color="auto"/>
              <w:right w:val="single" w:sz="4" w:space="0" w:color="auto"/>
            </w:tcBorders>
            <w:shd w:val="clear" w:color="000000" w:fill="FFFFFF"/>
            <w:vAlign w:val="bottom"/>
            <w:hideMark/>
          </w:tcPr>
          <w:p w14:paraId="469A1B23"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15-64 let - podeželske regije</w:t>
            </w:r>
          </w:p>
        </w:tc>
        <w:tc>
          <w:tcPr>
            <w:tcW w:w="500" w:type="pct"/>
            <w:tcBorders>
              <w:top w:val="nil"/>
              <w:left w:val="nil"/>
              <w:bottom w:val="single" w:sz="4" w:space="0" w:color="auto"/>
              <w:right w:val="single" w:sz="4" w:space="0" w:color="auto"/>
            </w:tcBorders>
            <w:shd w:val="clear" w:color="000000" w:fill="FFFFFF"/>
            <w:noWrap/>
            <w:vAlign w:val="center"/>
            <w:hideMark/>
          </w:tcPr>
          <w:p w14:paraId="210FD79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67,4</w:t>
            </w:r>
          </w:p>
        </w:tc>
        <w:tc>
          <w:tcPr>
            <w:tcW w:w="500" w:type="pct"/>
            <w:tcBorders>
              <w:top w:val="nil"/>
              <w:left w:val="nil"/>
              <w:bottom w:val="single" w:sz="4" w:space="0" w:color="auto"/>
              <w:right w:val="single" w:sz="4" w:space="0" w:color="auto"/>
            </w:tcBorders>
            <w:shd w:val="clear" w:color="auto" w:fill="auto"/>
            <w:noWrap/>
            <w:vAlign w:val="center"/>
            <w:hideMark/>
          </w:tcPr>
          <w:p w14:paraId="77CEBFC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64,0</w:t>
            </w:r>
          </w:p>
        </w:tc>
        <w:tc>
          <w:tcPr>
            <w:tcW w:w="491" w:type="pct"/>
            <w:tcBorders>
              <w:top w:val="nil"/>
              <w:left w:val="nil"/>
              <w:bottom w:val="single" w:sz="4" w:space="0" w:color="auto"/>
              <w:right w:val="single" w:sz="4" w:space="0" w:color="auto"/>
            </w:tcBorders>
            <w:shd w:val="clear" w:color="auto" w:fill="auto"/>
            <w:noWrap/>
            <w:vAlign w:val="center"/>
            <w:hideMark/>
          </w:tcPr>
          <w:p w14:paraId="51A116A7"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66,4</w:t>
            </w:r>
          </w:p>
        </w:tc>
        <w:tc>
          <w:tcPr>
            <w:tcW w:w="491" w:type="pct"/>
            <w:tcBorders>
              <w:top w:val="nil"/>
              <w:left w:val="nil"/>
              <w:bottom w:val="single" w:sz="4" w:space="0" w:color="auto"/>
              <w:right w:val="single" w:sz="4" w:space="0" w:color="auto"/>
            </w:tcBorders>
            <w:shd w:val="clear" w:color="000000" w:fill="FFFFFF"/>
            <w:noWrap/>
            <w:vAlign w:val="center"/>
            <w:hideMark/>
          </w:tcPr>
          <w:p w14:paraId="2BEEF630"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69,8</w:t>
            </w:r>
          </w:p>
        </w:tc>
        <w:tc>
          <w:tcPr>
            <w:tcW w:w="492" w:type="pct"/>
            <w:tcBorders>
              <w:top w:val="nil"/>
              <w:left w:val="nil"/>
              <w:bottom w:val="single" w:sz="4" w:space="0" w:color="auto"/>
              <w:right w:val="single" w:sz="4" w:space="0" w:color="auto"/>
            </w:tcBorders>
            <w:shd w:val="clear" w:color="000000" w:fill="FFFFFF"/>
            <w:noWrap/>
            <w:vAlign w:val="center"/>
            <w:hideMark/>
          </w:tcPr>
          <w:p w14:paraId="09674A0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w:t>
            </w:r>
          </w:p>
        </w:tc>
        <w:tc>
          <w:tcPr>
            <w:tcW w:w="460" w:type="pct"/>
            <w:tcBorders>
              <w:top w:val="nil"/>
              <w:left w:val="nil"/>
              <w:bottom w:val="single" w:sz="4" w:space="0" w:color="auto"/>
              <w:right w:val="single" w:sz="4" w:space="0" w:color="auto"/>
            </w:tcBorders>
            <w:shd w:val="clear" w:color="auto" w:fill="auto"/>
            <w:noWrap/>
            <w:vAlign w:val="center"/>
            <w:hideMark/>
          </w:tcPr>
          <w:p w14:paraId="5A8FF064"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71,7</w:t>
            </w:r>
          </w:p>
        </w:tc>
      </w:tr>
      <w:tr w:rsidR="00433651" w:rsidRPr="00BF7E57" w14:paraId="4A1D2A50"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09A81D70"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117E01CB"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Stopnja zaposlenosti za starostno skupino 15-64 let - skupaj</w:t>
            </w:r>
          </w:p>
        </w:tc>
        <w:tc>
          <w:tcPr>
            <w:tcW w:w="500" w:type="pct"/>
            <w:tcBorders>
              <w:top w:val="nil"/>
              <w:left w:val="nil"/>
              <w:bottom w:val="single" w:sz="4" w:space="0" w:color="auto"/>
              <w:right w:val="single" w:sz="4" w:space="0" w:color="auto"/>
            </w:tcBorders>
            <w:shd w:val="clear" w:color="000000" w:fill="FFFFFF"/>
            <w:noWrap/>
            <w:vAlign w:val="center"/>
            <w:hideMark/>
          </w:tcPr>
          <w:p w14:paraId="2A1793C0"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66,2</w:t>
            </w:r>
          </w:p>
        </w:tc>
        <w:tc>
          <w:tcPr>
            <w:tcW w:w="500" w:type="pct"/>
            <w:tcBorders>
              <w:top w:val="nil"/>
              <w:left w:val="nil"/>
              <w:bottom w:val="single" w:sz="4" w:space="0" w:color="auto"/>
              <w:right w:val="single" w:sz="4" w:space="0" w:color="auto"/>
            </w:tcBorders>
            <w:shd w:val="clear" w:color="auto" w:fill="auto"/>
            <w:noWrap/>
            <w:vAlign w:val="center"/>
            <w:hideMark/>
          </w:tcPr>
          <w:p w14:paraId="658BFFC5"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63,3</w:t>
            </w:r>
          </w:p>
        </w:tc>
        <w:tc>
          <w:tcPr>
            <w:tcW w:w="491" w:type="pct"/>
            <w:tcBorders>
              <w:top w:val="nil"/>
              <w:left w:val="nil"/>
              <w:bottom w:val="single" w:sz="4" w:space="0" w:color="auto"/>
              <w:right w:val="single" w:sz="4" w:space="0" w:color="auto"/>
            </w:tcBorders>
            <w:shd w:val="clear" w:color="auto" w:fill="auto"/>
            <w:noWrap/>
            <w:vAlign w:val="center"/>
            <w:hideMark/>
          </w:tcPr>
          <w:p w14:paraId="46E00C4C"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65,8</w:t>
            </w:r>
          </w:p>
        </w:tc>
        <w:tc>
          <w:tcPr>
            <w:tcW w:w="491" w:type="pct"/>
            <w:tcBorders>
              <w:top w:val="nil"/>
              <w:left w:val="nil"/>
              <w:bottom w:val="single" w:sz="4" w:space="0" w:color="auto"/>
              <w:right w:val="single" w:sz="4" w:space="0" w:color="auto"/>
            </w:tcBorders>
            <w:shd w:val="clear" w:color="000000" w:fill="FFFFFF"/>
            <w:noWrap/>
            <w:vAlign w:val="center"/>
            <w:hideMark/>
          </w:tcPr>
          <w:p w14:paraId="1C449062"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69,3</w:t>
            </w:r>
          </w:p>
        </w:tc>
        <w:tc>
          <w:tcPr>
            <w:tcW w:w="492" w:type="pct"/>
            <w:tcBorders>
              <w:top w:val="nil"/>
              <w:left w:val="nil"/>
              <w:bottom w:val="single" w:sz="4" w:space="0" w:color="auto"/>
              <w:right w:val="single" w:sz="4" w:space="0" w:color="auto"/>
            </w:tcBorders>
            <w:shd w:val="clear" w:color="000000" w:fill="FFFFFF"/>
            <w:noWrap/>
            <w:vAlign w:val="center"/>
            <w:hideMark/>
          </w:tcPr>
          <w:p w14:paraId="0D63D21A"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71,1</w:t>
            </w:r>
          </w:p>
        </w:tc>
        <w:tc>
          <w:tcPr>
            <w:tcW w:w="460" w:type="pct"/>
            <w:tcBorders>
              <w:top w:val="nil"/>
              <w:left w:val="nil"/>
              <w:bottom w:val="single" w:sz="4" w:space="0" w:color="auto"/>
              <w:right w:val="single" w:sz="4" w:space="0" w:color="auto"/>
            </w:tcBorders>
            <w:shd w:val="clear" w:color="auto" w:fill="auto"/>
            <w:noWrap/>
            <w:vAlign w:val="center"/>
            <w:hideMark/>
          </w:tcPr>
          <w:p w14:paraId="497FE265"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71,8</w:t>
            </w:r>
          </w:p>
        </w:tc>
      </w:tr>
      <w:tr w:rsidR="00433651" w:rsidRPr="00BF7E57" w14:paraId="2C4B3BDD" w14:textId="77777777" w:rsidTr="00402774">
        <w:trPr>
          <w:trHeight w:val="240"/>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BED0EE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3062D8CB"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20-64 let - ženske</w:t>
            </w:r>
          </w:p>
        </w:tc>
        <w:tc>
          <w:tcPr>
            <w:tcW w:w="500" w:type="pct"/>
            <w:tcBorders>
              <w:top w:val="nil"/>
              <w:left w:val="nil"/>
              <w:bottom w:val="single" w:sz="4" w:space="0" w:color="auto"/>
              <w:right w:val="single" w:sz="4" w:space="0" w:color="auto"/>
            </w:tcBorders>
            <w:shd w:val="clear" w:color="000000" w:fill="FFFFFF"/>
            <w:noWrap/>
            <w:vAlign w:val="center"/>
            <w:hideMark/>
          </w:tcPr>
          <w:p w14:paraId="5B23A1C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66,5</w:t>
            </w:r>
          </w:p>
        </w:tc>
        <w:tc>
          <w:tcPr>
            <w:tcW w:w="500" w:type="pct"/>
            <w:tcBorders>
              <w:top w:val="nil"/>
              <w:left w:val="nil"/>
              <w:bottom w:val="single" w:sz="4" w:space="0" w:color="auto"/>
              <w:right w:val="single" w:sz="4" w:space="0" w:color="auto"/>
            </w:tcBorders>
            <w:shd w:val="clear" w:color="auto" w:fill="auto"/>
            <w:noWrap/>
            <w:vAlign w:val="center"/>
            <w:hideMark/>
          </w:tcPr>
          <w:p w14:paraId="0102852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63,0</w:t>
            </w:r>
          </w:p>
        </w:tc>
        <w:tc>
          <w:tcPr>
            <w:tcW w:w="491" w:type="pct"/>
            <w:tcBorders>
              <w:top w:val="nil"/>
              <w:left w:val="nil"/>
              <w:bottom w:val="single" w:sz="4" w:space="0" w:color="auto"/>
              <w:right w:val="single" w:sz="4" w:space="0" w:color="auto"/>
            </w:tcBorders>
            <w:shd w:val="clear" w:color="auto" w:fill="auto"/>
            <w:noWrap/>
            <w:vAlign w:val="center"/>
            <w:hideMark/>
          </w:tcPr>
          <w:p w14:paraId="58BAB03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66,7</w:t>
            </w:r>
          </w:p>
        </w:tc>
        <w:tc>
          <w:tcPr>
            <w:tcW w:w="491" w:type="pct"/>
            <w:tcBorders>
              <w:top w:val="nil"/>
              <w:left w:val="nil"/>
              <w:bottom w:val="single" w:sz="4" w:space="0" w:color="auto"/>
              <w:right w:val="single" w:sz="4" w:space="0" w:color="auto"/>
            </w:tcBorders>
            <w:shd w:val="clear" w:color="000000" w:fill="FFFFFF"/>
            <w:noWrap/>
            <w:vAlign w:val="center"/>
            <w:hideMark/>
          </w:tcPr>
          <w:p w14:paraId="0D06E44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69,7</w:t>
            </w:r>
          </w:p>
        </w:tc>
        <w:tc>
          <w:tcPr>
            <w:tcW w:w="492" w:type="pct"/>
            <w:tcBorders>
              <w:top w:val="nil"/>
              <w:left w:val="nil"/>
              <w:bottom w:val="single" w:sz="4" w:space="0" w:color="auto"/>
              <w:right w:val="single" w:sz="4" w:space="0" w:color="auto"/>
            </w:tcBorders>
            <w:shd w:val="clear" w:color="000000" w:fill="FFFFFF"/>
            <w:noWrap/>
            <w:vAlign w:val="center"/>
            <w:hideMark/>
          </w:tcPr>
          <w:p w14:paraId="5C715DB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71,7</w:t>
            </w:r>
          </w:p>
        </w:tc>
        <w:tc>
          <w:tcPr>
            <w:tcW w:w="460" w:type="pct"/>
            <w:tcBorders>
              <w:top w:val="nil"/>
              <w:left w:val="nil"/>
              <w:bottom w:val="single" w:sz="4" w:space="0" w:color="auto"/>
              <w:right w:val="single" w:sz="4" w:space="0" w:color="auto"/>
            </w:tcBorders>
            <w:shd w:val="clear" w:color="auto" w:fill="auto"/>
            <w:noWrap/>
            <w:vAlign w:val="center"/>
            <w:hideMark/>
          </w:tcPr>
          <w:p w14:paraId="042576C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72,9</w:t>
            </w:r>
          </w:p>
        </w:tc>
      </w:tr>
      <w:tr w:rsidR="00433651" w:rsidRPr="00BF7E57" w14:paraId="4F3E3A40"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D445943"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2221403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20-64 let - moški</w:t>
            </w:r>
          </w:p>
        </w:tc>
        <w:tc>
          <w:tcPr>
            <w:tcW w:w="500" w:type="pct"/>
            <w:tcBorders>
              <w:top w:val="nil"/>
              <w:left w:val="nil"/>
              <w:bottom w:val="single" w:sz="4" w:space="0" w:color="auto"/>
              <w:right w:val="single" w:sz="4" w:space="0" w:color="auto"/>
            </w:tcBorders>
            <w:shd w:val="clear" w:color="000000" w:fill="FFFFFF"/>
            <w:noWrap/>
            <w:vAlign w:val="center"/>
            <w:hideMark/>
          </w:tcPr>
          <w:p w14:paraId="70A99F3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74,0</w:t>
            </w:r>
          </w:p>
        </w:tc>
        <w:tc>
          <w:tcPr>
            <w:tcW w:w="500" w:type="pct"/>
            <w:tcBorders>
              <w:top w:val="nil"/>
              <w:left w:val="nil"/>
              <w:bottom w:val="single" w:sz="4" w:space="0" w:color="auto"/>
              <w:right w:val="single" w:sz="4" w:space="0" w:color="auto"/>
            </w:tcBorders>
            <w:shd w:val="clear" w:color="auto" w:fill="auto"/>
            <w:noWrap/>
            <w:vAlign w:val="center"/>
            <w:hideMark/>
          </w:tcPr>
          <w:p w14:paraId="364E49B7"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71,2</w:t>
            </w:r>
          </w:p>
        </w:tc>
        <w:tc>
          <w:tcPr>
            <w:tcW w:w="491" w:type="pct"/>
            <w:tcBorders>
              <w:top w:val="nil"/>
              <w:left w:val="nil"/>
              <w:bottom w:val="single" w:sz="4" w:space="0" w:color="auto"/>
              <w:right w:val="single" w:sz="4" w:space="0" w:color="auto"/>
            </w:tcBorders>
            <w:shd w:val="clear" w:color="auto" w:fill="auto"/>
            <w:noWrap/>
            <w:vAlign w:val="center"/>
            <w:hideMark/>
          </w:tcPr>
          <w:p w14:paraId="746EBCA1"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73,3</w:t>
            </w:r>
          </w:p>
        </w:tc>
        <w:tc>
          <w:tcPr>
            <w:tcW w:w="491" w:type="pct"/>
            <w:tcBorders>
              <w:top w:val="nil"/>
              <w:left w:val="nil"/>
              <w:bottom w:val="single" w:sz="4" w:space="0" w:color="auto"/>
              <w:right w:val="single" w:sz="4" w:space="0" w:color="auto"/>
            </w:tcBorders>
            <w:shd w:val="clear" w:color="000000" w:fill="FFFFFF"/>
            <w:noWrap/>
            <w:vAlign w:val="center"/>
            <w:hideMark/>
          </w:tcPr>
          <w:p w14:paraId="574773C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76,9</w:t>
            </w:r>
          </w:p>
        </w:tc>
        <w:tc>
          <w:tcPr>
            <w:tcW w:w="492" w:type="pct"/>
            <w:tcBorders>
              <w:top w:val="nil"/>
              <w:left w:val="nil"/>
              <w:bottom w:val="single" w:sz="4" w:space="0" w:color="auto"/>
              <w:right w:val="single" w:sz="4" w:space="0" w:color="auto"/>
            </w:tcBorders>
            <w:shd w:val="clear" w:color="000000" w:fill="FFFFFF"/>
            <w:noWrap/>
            <w:vAlign w:val="center"/>
            <w:hideMark/>
          </w:tcPr>
          <w:p w14:paraId="6B32A7D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79</w:t>
            </w:r>
          </w:p>
        </w:tc>
        <w:tc>
          <w:tcPr>
            <w:tcW w:w="460" w:type="pct"/>
            <w:tcBorders>
              <w:top w:val="nil"/>
              <w:left w:val="nil"/>
              <w:bottom w:val="single" w:sz="4" w:space="0" w:color="auto"/>
              <w:right w:val="single" w:sz="4" w:space="0" w:color="auto"/>
            </w:tcBorders>
            <w:shd w:val="clear" w:color="auto" w:fill="auto"/>
            <w:noWrap/>
            <w:vAlign w:val="center"/>
            <w:hideMark/>
          </w:tcPr>
          <w:p w14:paraId="115D9C34"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79,7</w:t>
            </w:r>
          </w:p>
        </w:tc>
      </w:tr>
      <w:tr w:rsidR="00433651" w:rsidRPr="00BF7E57" w14:paraId="75B457C2"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214D8E68"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375CE780"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20-64 let - podeželske regije</w:t>
            </w:r>
          </w:p>
        </w:tc>
        <w:tc>
          <w:tcPr>
            <w:tcW w:w="500" w:type="pct"/>
            <w:tcBorders>
              <w:top w:val="nil"/>
              <w:left w:val="nil"/>
              <w:bottom w:val="single" w:sz="4" w:space="0" w:color="auto"/>
              <w:right w:val="single" w:sz="4" w:space="0" w:color="auto"/>
            </w:tcBorders>
            <w:shd w:val="clear" w:color="000000" w:fill="FFFFFF"/>
            <w:noWrap/>
            <w:vAlign w:val="center"/>
            <w:hideMark/>
          </w:tcPr>
          <w:p w14:paraId="0229EA6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71,7</w:t>
            </w:r>
          </w:p>
        </w:tc>
        <w:tc>
          <w:tcPr>
            <w:tcW w:w="500" w:type="pct"/>
            <w:tcBorders>
              <w:top w:val="nil"/>
              <w:left w:val="nil"/>
              <w:bottom w:val="single" w:sz="4" w:space="0" w:color="auto"/>
              <w:right w:val="single" w:sz="4" w:space="0" w:color="auto"/>
            </w:tcBorders>
            <w:shd w:val="clear" w:color="auto" w:fill="auto"/>
            <w:noWrap/>
            <w:vAlign w:val="center"/>
            <w:hideMark/>
          </w:tcPr>
          <w:p w14:paraId="1D1311AB"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68,2</w:t>
            </w:r>
          </w:p>
        </w:tc>
        <w:tc>
          <w:tcPr>
            <w:tcW w:w="491" w:type="pct"/>
            <w:tcBorders>
              <w:top w:val="nil"/>
              <w:left w:val="nil"/>
              <w:bottom w:val="single" w:sz="4" w:space="0" w:color="auto"/>
              <w:right w:val="single" w:sz="4" w:space="0" w:color="auto"/>
            </w:tcBorders>
            <w:shd w:val="clear" w:color="auto" w:fill="auto"/>
            <w:noWrap/>
            <w:vAlign w:val="center"/>
            <w:hideMark/>
          </w:tcPr>
          <w:p w14:paraId="7F999E31"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70,8</w:t>
            </w:r>
          </w:p>
        </w:tc>
        <w:tc>
          <w:tcPr>
            <w:tcW w:w="491" w:type="pct"/>
            <w:tcBorders>
              <w:top w:val="nil"/>
              <w:left w:val="nil"/>
              <w:bottom w:val="single" w:sz="4" w:space="0" w:color="auto"/>
              <w:right w:val="single" w:sz="4" w:space="0" w:color="auto"/>
            </w:tcBorders>
            <w:shd w:val="clear" w:color="000000" w:fill="FFFFFF"/>
            <w:noWrap/>
            <w:vAlign w:val="center"/>
            <w:hideMark/>
          </w:tcPr>
          <w:p w14:paraId="4356C32C"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w:t>
            </w:r>
          </w:p>
        </w:tc>
        <w:tc>
          <w:tcPr>
            <w:tcW w:w="492" w:type="pct"/>
            <w:tcBorders>
              <w:top w:val="nil"/>
              <w:left w:val="nil"/>
              <w:bottom w:val="single" w:sz="4" w:space="0" w:color="auto"/>
              <w:right w:val="single" w:sz="4" w:space="0" w:color="auto"/>
            </w:tcBorders>
            <w:shd w:val="clear" w:color="000000" w:fill="FFFFFF"/>
            <w:noWrap/>
            <w:vAlign w:val="center"/>
            <w:hideMark/>
          </w:tcPr>
          <w:p w14:paraId="728A551C"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75,3</w:t>
            </w:r>
          </w:p>
        </w:tc>
        <w:tc>
          <w:tcPr>
            <w:tcW w:w="460" w:type="pct"/>
            <w:tcBorders>
              <w:top w:val="nil"/>
              <w:left w:val="nil"/>
              <w:bottom w:val="single" w:sz="4" w:space="0" w:color="auto"/>
              <w:right w:val="single" w:sz="4" w:space="0" w:color="auto"/>
            </w:tcBorders>
            <w:shd w:val="clear" w:color="auto" w:fill="auto"/>
            <w:noWrap/>
            <w:vAlign w:val="center"/>
            <w:hideMark/>
          </w:tcPr>
          <w:p w14:paraId="3FF0031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76,2</w:t>
            </w:r>
          </w:p>
        </w:tc>
      </w:tr>
      <w:tr w:rsidR="00433651" w:rsidRPr="00BF7E57" w14:paraId="46BD0553" w14:textId="77777777" w:rsidTr="00402774">
        <w:trPr>
          <w:trHeight w:val="585"/>
        </w:trPr>
        <w:tc>
          <w:tcPr>
            <w:tcW w:w="31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97A0B8"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 </w:t>
            </w:r>
          </w:p>
        </w:tc>
        <w:tc>
          <w:tcPr>
            <w:tcW w:w="1755" w:type="pct"/>
            <w:tcBorders>
              <w:top w:val="single" w:sz="4" w:space="0" w:color="auto"/>
              <w:left w:val="nil"/>
              <w:bottom w:val="single" w:sz="4" w:space="0" w:color="auto"/>
              <w:right w:val="single" w:sz="4" w:space="0" w:color="auto"/>
            </w:tcBorders>
            <w:shd w:val="clear" w:color="000000" w:fill="FFFFFF"/>
            <w:vAlign w:val="bottom"/>
            <w:hideMark/>
          </w:tcPr>
          <w:p w14:paraId="2DFD7468"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Stopnja zaposlenosti za starostno skupino 20-64 let - skupaj</w:t>
            </w:r>
          </w:p>
        </w:tc>
        <w:tc>
          <w:tcPr>
            <w:tcW w:w="500" w:type="pct"/>
            <w:tcBorders>
              <w:top w:val="single" w:sz="4" w:space="0" w:color="auto"/>
              <w:left w:val="nil"/>
              <w:bottom w:val="single" w:sz="4" w:space="0" w:color="auto"/>
              <w:right w:val="single" w:sz="4" w:space="0" w:color="auto"/>
            </w:tcBorders>
            <w:shd w:val="clear" w:color="000000" w:fill="FFFFFF"/>
            <w:noWrap/>
            <w:vAlign w:val="center"/>
            <w:hideMark/>
          </w:tcPr>
          <w:p w14:paraId="6F679125"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70,30</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733830B3"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67,20</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4DB13165"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70,10</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14:paraId="21C0DEF6"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73,4</w:t>
            </w:r>
          </w:p>
        </w:tc>
        <w:tc>
          <w:tcPr>
            <w:tcW w:w="492" w:type="pct"/>
            <w:tcBorders>
              <w:top w:val="single" w:sz="4" w:space="0" w:color="auto"/>
              <w:left w:val="nil"/>
              <w:bottom w:val="single" w:sz="4" w:space="0" w:color="auto"/>
              <w:right w:val="single" w:sz="4" w:space="0" w:color="auto"/>
            </w:tcBorders>
            <w:shd w:val="clear" w:color="000000" w:fill="FFFFFF"/>
            <w:noWrap/>
            <w:vAlign w:val="center"/>
            <w:hideMark/>
          </w:tcPr>
          <w:p w14:paraId="7F365316"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75,4</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621E7D62"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76,4</w:t>
            </w:r>
          </w:p>
        </w:tc>
      </w:tr>
    </w:tbl>
    <w:p w14:paraId="5C820A22" w14:textId="77777777" w:rsidR="00433651" w:rsidRPr="00BF7E57" w:rsidRDefault="00433651" w:rsidP="00433651">
      <w:pPr>
        <w:spacing w:before="120" w:after="240" w:line="264" w:lineRule="auto"/>
        <w:rPr>
          <w:rFonts w:cs="Arial"/>
        </w:rPr>
      </w:pPr>
      <w:r w:rsidRPr="00BF7E57">
        <w:rPr>
          <w:rFonts w:eastAsia="Arial" w:cs="Arial"/>
          <w:bCs/>
          <w:sz w:val="16"/>
          <w:szCs w:val="16"/>
        </w:rPr>
        <w:t xml:space="preserve">Vir: C.09 - </w:t>
      </w:r>
      <w:r w:rsidRPr="00BF7E57">
        <w:rPr>
          <w:rFonts w:eastAsia="Calibri"/>
          <w:sz w:val="16"/>
          <w:szCs w:val="16"/>
        </w:rPr>
        <w:t>Dashboard Indicators</w:t>
      </w:r>
      <w:r w:rsidRPr="00BF7E57">
        <w:rPr>
          <w:rFonts w:cs="Arial"/>
          <w:sz w:val="16"/>
          <w:szCs w:val="16"/>
        </w:rPr>
        <w:t xml:space="preserve"> </w:t>
      </w:r>
      <w:r w:rsidRPr="00BF7E57">
        <w:rPr>
          <w:rFonts w:eastAsia="Arial" w:cs="Arial"/>
          <w:bCs/>
          <w:sz w:val="16"/>
          <w:szCs w:val="16"/>
        </w:rPr>
        <w:t>https://agridata.ec.europa.eu/extensions/DashboardIndicators/DataExplorer.html?select=EU27_FLAG,1)</w:t>
      </w:r>
      <w:r w:rsidRPr="00BF7E57" w:rsidDel="0048003A">
        <w:rPr>
          <w:rFonts w:cs="Arial"/>
          <w:bCs/>
          <w:i/>
          <w:szCs w:val="20"/>
        </w:rPr>
        <w:t xml:space="preserve"> </w:t>
      </w:r>
    </w:p>
    <w:p w14:paraId="00410F27" w14:textId="77777777" w:rsidR="009E0216" w:rsidRPr="00BF7E57" w:rsidRDefault="009E0216" w:rsidP="00EA2E4C">
      <w:pPr>
        <w:pStyle w:val="Default"/>
        <w:spacing w:line="360" w:lineRule="auto"/>
        <w:jc w:val="both"/>
        <w:rPr>
          <w:rFonts w:ascii="Arial" w:hAnsi="Arial" w:cs="Arial"/>
          <w:color w:val="auto"/>
          <w:sz w:val="20"/>
          <w:szCs w:val="20"/>
          <w:lang w:val="sl-SI"/>
        </w:rPr>
      </w:pPr>
    </w:p>
    <w:p w14:paraId="41CB9637" w14:textId="2E38ADE0" w:rsidR="003E038D" w:rsidRPr="00BF7E57" w:rsidRDefault="003E038D" w:rsidP="00F77BD0">
      <w:pPr>
        <w:pStyle w:val="Napis"/>
      </w:pPr>
      <w:bookmarkStart w:id="151" w:name="_Toc86826422"/>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32</w:t>
      </w:r>
      <w:r w:rsidR="00A30B83" w:rsidRPr="00BF7E57">
        <w:rPr>
          <w:noProof/>
        </w:rPr>
        <w:fldChar w:fldCharType="end"/>
      </w:r>
      <w:r w:rsidRPr="00BF7E57">
        <w:t>: Gibanje stopnje delavne aktivnosti</w:t>
      </w:r>
      <w:bookmarkEnd w:id="151"/>
    </w:p>
    <w:p w14:paraId="1E276C0E" w14:textId="3E488C4A" w:rsidR="009E0216" w:rsidRPr="00BF7E57" w:rsidRDefault="009E0216" w:rsidP="00EA2E4C">
      <w:pPr>
        <w:pStyle w:val="Default"/>
        <w:spacing w:line="360" w:lineRule="auto"/>
        <w:jc w:val="both"/>
        <w:rPr>
          <w:rFonts w:ascii="Arial" w:hAnsi="Arial" w:cs="Arial"/>
          <w:color w:val="auto"/>
          <w:sz w:val="20"/>
          <w:szCs w:val="20"/>
          <w:lang w:val="sl-SI"/>
        </w:rPr>
      </w:pPr>
      <w:r w:rsidRPr="00BF7E57">
        <w:rPr>
          <w:rFonts w:ascii="Arial" w:hAnsi="Arial" w:cs="Arial"/>
          <w:noProof/>
          <w:sz w:val="20"/>
          <w:szCs w:val="20"/>
          <w:lang w:val="sl-SI" w:eastAsia="sl-SI"/>
        </w:rPr>
        <w:drawing>
          <wp:inline distT="0" distB="0" distL="0" distR="0" wp14:anchorId="6A3B7D4D" wp14:editId="635D5DDE">
            <wp:extent cx="5692775" cy="3390900"/>
            <wp:effectExtent l="0" t="0" r="3175" b="0"/>
            <wp:docPr id="1631865553" name="Grafikon 1631865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69251B" w14:textId="77B6594B"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SURS</w:t>
      </w:r>
      <w:r w:rsidR="00DB07AB" w:rsidRPr="00BF7E57">
        <w:rPr>
          <w:rFonts w:ascii="Arial" w:hAnsi="Arial" w:cs="Arial"/>
          <w:sz w:val="16"/>
          <w:szCs w:val="16"/>
        </w:rPr>
        <w:t>, 2020</w:t>
      </w:r>
    </w:p>
    <w:p w14:paraId="2B2E43AC" w14:textId="1173933D" w:rsidR="00DB07AB" w:rsidRPr="00BF7E57" w:rsidRDefault="009E0216" w:rsidP="00422936">
      <w:pPr>
        <w:jc w:val="both"/>
        <w:rPr>
          <w:rFonts w:ascii="Arial" w:eastAsia="Times New Roman" w:hAnsi="Arial" w:cs="Arial"/>
          <w:sz w:val="20"/>
          <w:szCs w:val="20"/>
          <w:lang w:eastAsia="en-GB"/>
        </w:rPr>
      </w:pPr>
      <w:r w:rsidRPr="00BF7E57">
        <w:rPr>
          <w:rFonts w:ascii="Arial" w:hAnsi="Arial" w:cs="Arial"/>
          <w:sz w:val="20"/>
          <w:szCs w:val="20"/>
        </w:rPr>
        <w:t>Primerjava podatkov SURS</w:t>
      </w:r>
      <w:r w:rsidR="00DB07AB" w:rsidRPr="00BF7E57">
        <w:rPr>
          <w:rFonts w:ascii="Arial" w:hAnsi="Arial" w:cs="Arial"/>
          <w:sz w:val="20"/>
          <w:szCs w:val="20"/>
        </w:rPr>
        <w:t xml:space="preserve"> (2020)</w:t>
      </w:r>
      <w:r w:rsidRPr="00BF7E57">
        <w:rPr>
          <w:rFonts w:ascii="Arial" w:hAnsi="Arial" w:cs="Arial"/>
          <w:sz w:val="20"/>
          <w:szCs w:val="20"/>
        </w:rPr>
        <w:t xml:space="preserve"> za podeželje po letih kaže (</w:t>
      </w:r>
      <w:r w:rsidR="00CF1C6F" w:rsidRPr="00BF7E57">
        <w:rPr>
          <w:rFonts w:ascii="Arial" w:hAnsi="Arial" w:cs="Arial"/>
          <w:sz w:val="20"/>
          <w:szCs w:val="20"/>
        </w:rPr>
        <w:fldChar w:fldCharType="begin"/>
      </w:r>
      <w:r w:rsidR="00CF1C6F" w:rsidRPr="00BF7E57">
        <w:rPr>
          <w:rFonts w:ascii="Arial" w:hAnsi="Arial" w:cs="Arial"/>
          <w:sz w:val="20"/>
          <w:szCs w:val="20"/>
        </w:rPr>
        <w:instrText xml:space="preserve"> REF _Ref84927307 \h </w:instrText>
      </w:r>
      <w:r w:rsidR="00CF1C6F" w:rsidRPr="00BF7E57">
        <w:rPr>
          <w:rFonts w:ascii="Arial" w:hAnsi="Arial" w:cs="Arial"/>
          <w:sz w:val="20"/>
          <w:szCs w:val="20"/>
        </w:rPr>
      </w:r>
      <w:r w:rsidR="00BF7E57">
        <w:rPr>
          <w:rFonts w:ascii="Arial" w:hAnsi="Arial" w:cs="Arial"/>
          <w:sz w:val="20"/>
          <w:szCs w:val="20"/>
        </w:rPr>
        <w:instrText xml:space="preserve"> \* MERGEFORMAT </w:instrText>
      </w:r>
      <w:r w:rsidR="00CF1C6F" w:rsidRPr="00BF7E57">
        <w:rPr>
          <w:rFonts w:ascii="Arial" w:hAnsi="Arial" w:cs="Arial"/>
          <w:sz w:val="20"/>
          <w:szCs w:val="20"/>
        </w:rPr>
        <w:fldChar w:fldCharType="separate"/>
      </w:r>
      <w:r w:rsidR="00236865" w:rsidRPr="00BF7E57">
        <w:t xml:space="preserve">Tabela </w:t>
      </w:r>
      <w:r w:rsidR="00236865">
        <w:rPr>
          <w:noProof/>
        </w:rPr>
        <w:t>25</w:t>
      </w:r>
      <w:r w:rsidR="00CF1C6F" w:rsidRPr="00BF7E57">
        <w:rPr>
          <w:rFonts w:ascii="Arial" w:hAnsi="Arial" w:cs="Arial"/>
          <w:sz w:val="20"/>
          <w:szCs w:val="20"/>
        </w:rPr>
        <w:fldChar w:fldCharType="end"/>
      </w:r>
      <w:r w:rsidRPr="00BF7E57">
        <w:rPr>
          <w:rFonts w:ascii="Arial" w:hAnsi="Arial" w:cs="Arial"/>
          <w:sz w:val="20"/>
          <w:szCs w:val="20"/>
        </w:rPr>
        <w:t xml:space="preserve">), da </w:t>
      </w:r>
      <w:r w:rsidR="005F1367" w:rsidRPr="00BF7E57">
        <w:rPr>
          <w:rFonts w:ascii="Arial" w:hAnsi="Arial" w:cs="Arial"/>
          <w:sz w:val="20"/>
          <w:szCs w:val="20"/>
        </w:rPr>
        <w:t>predstavlja</w:t>
      </w:r>
      <w:r w:rsidRPr="00BF7E57">
        <w:rPr>
          <w:rFonts w:ascii="Arial" w:hAnsi="Arial" w:cs="Arial"/>
          <w:sz w:val="20"/>
          <w:szCs w:val="20"/>
        </w:rPr>
        <w:t>je število delovno aktivnih prebivalcev glede na prebivališče 64% vseh delovno aktivnih prebivalcev iz podeželja, glede na delovno mesto pa 50 % oseb</w:t>
      </w:r>
      <w:r w:rsidR="00A5125A" w:rsidRPr="00BF7E57">
        <w:rPr>
          <w:rFonts w:ascii="Arial" w:hAnsi="Arial" w:cs="Arial"/>
          <w:sz w:val="20"/>
          <w:szCs w:val="20"/>
        </w:rPr>
        <w:t>, kar kaže na to, da večji delež prihaja iz podeželja.</w:t>
      </w:r>
      <w:r w:rsidRPr="00BF7E57">
        <w:rPr>
          <w:rFonts w:ascii="Arial" w:hAnsi="Arial" w:cs="Arial"/>
          <w:sz w:val="20"/>
          <w:szCs w:val="20"/>
        </w:rPr>
        <w:t xml:space="preserve">. </w:t>
      </w:r>
    </w:p>
    <w:p w14:paraId="4B8B4949" w14:textId="6B7F244D" w:rsidR="0008099E" w:rsidRPr="00BF7E57" w:rsidRDefault="0008099E" w:rsidP="00A5125A">
      <w:pPr>
        <w:pStyle w:val="Napis"/>
      </w:pPr>
      <w:bookmarkStart w:id="152" w:name="_Toc8682646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26</w:t>
      </w:r>
      <w:r w:rsidR="00A30B83" w:rsidRPr="00BF7E57">
        <w:rPr>
          <w:noProof/>
        </w:rPr>
        <w:fldChar w:fldCharType="end"/>
      </w:r>
      <w:r w:rsidRPr="00BF7E57">
        <w:t>: Primerjava delovno aktivnih prebivalcev, zaposlenih in samozaposlenih oseb po letih</w:t>
      </w:r>
      <w:bookmarkEnd w:id="152"/>
    </w:p>
    <w:p w14:paraId="28E6DADA" w14:textId="29FC1DC0" w:rsidR="009E0216" w:rsidRPr="00BF7E57" w:rsidRDefault="009E0216" w:rsidP="00A5125A">
      <w:pPr>
        <w:pStyle w:val="Napis"/>
        <w:rPr>
          <w:sz w:val="20"/>
          <w:szCs w:val="20"/>
        </w:rPr>
      </w:pPr>
    </w:p>
    <w:tbl>
      <w:tblPr>
        <w:tblW w:w="9144" w:type="dxa"/>
        <w:tblInd w:w="65" w:type="dxa"/>
        <w:tblLayout w:type="fixed"/>
        <w:tblCellMar>
          <w:left w:w="70" w:type="dxa"/>
          <w:right w:w="70" w:type="dxa"/>
        </w:tblCellMar>
        <w:tblLook w:val="04A0" w:firstRow="1" w:lastRow="0" w:firstColumn="1" w:lastColumn="0" w:noHBand="0" w:noVBand="1"/>
      </w:tblPr>
      <w:tblGrid>
        <w:gridCol w:w="2273"/>
        <w:gridCol w:w="1418"/>
        <w:gridCol w:w="908"/>
        <w:gridCol w:w="909"/>
        <w:gridCol w:w="909"/>
        <w:gridCol w:w="909"/>
        <w:gridCol w:w="909"/>
        <w:gridCol w:w="909"/>
      </w:tblGrid>
      <w:tr w:rsidR="009D1026" w:rsidRPr="00BF7E57" w14:paraId="33390332" w14:textId="77777777" w:rsidTr="00E77D01">
        <w:trPr>
          <w:trHeight w:val="771"/>
        </w:trPr>
        <w:tc>
          <w:tcPr>
            <w:tcW w:w="3691" w:type="dxa"/>
            <w:gridSpan w:val="2"/>
            <w:tcBorders>
              <w:top w:val="single" w:sz="4" w:space="0" w:color="auto"/>
              <w:left w:val="single" w:sz="4" w:space="0" w:color="auto"/>
              <w:bottom w:val="single" w:sz="4" w:space="0" w:color="auto"/>
              <w:right w:val="single" w:sz="4" w:space="0" w:color="auto"/>
            </w:tcBorders>
            <w:shd w:val="clear" w:color="auto" w:fill="92D050"/>
            <w:vAlign w:val="bottom"/>
            <w:hideMark/>
          </w:tcPr>
          <w:p w14:paraId="6D2CD596" w14:textId="7ED5FE68"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Kazalniki - delovno aktivni prebivalci/samozaposleni/stopnja delovne aktivnosti</w:t>
            </w:r>
          </w:p>
        </w:tc>
        <w:tc>
          <w:tcPr>
            <w:tcW w:w="908" w:type="dxa"/>
            <w:tcBorders>
              <w:top w:val="single" w:sz="4" w:space="0" w:color="auto"/>
              <w:left w:val="nil"/>
              <w:bottom w:val="single" w:sz="4" w:space="0" w:color="auto"/>
              <w:right w:val="single" w:sz="4" w:space="0" w:color="auto"/>
            </w:tcBorders>
            <w:shd w:val="clear" w:color="auto" w:fill="92D050"/>
            <w:noWrap/>
            <w:vAlign w:val="center"/>
            <w:hideMark/>
          </w:tcPr>
          <w:p w14:paraId="6C0ADB2B"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2008</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7786EE3D"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2010</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0E6E907A"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2013</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42A9449A"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2015</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72B9AF32"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2018</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5882F68A"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2019</w:t>
            </w:r>
          </w:p>
        </w:tc>
      </w:tr>
      <w:tr w:rsidR="009D1026" w:rsidRPr="00BF7E57" w14:paraId="4BC62E57" w14:textId="77777777" w:rsidTr="00422936">
        <w:trPr>
          <w:trHeight w:val="285"/>
        </w:trPr>
        <w:tc>
          <w:tcPr>
            <w:tcW w:w="2273" w:type="dxa"/>
            <w:vMerge w:val="restart"/>
            <w:tcBorders>
              <w:top w:val="nil"/>
              <w:left w:val="single" w:sz="4" w:space="0" w:color="auto"/>
              <w:right w:val="single" w:sz="4" w:space="0" w:color="auto"/>
            </w:tcBorders>
            <w:shd w:val="clear" w:color="auto" w:fill="auto"/>
            <w:vAlign w:val="center"/>
            <w:hideMark/>
          </w:tcPr>
          <w:p w14:paraId="2D3C60B1" w14:textId="5B0A3C01"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delovno aktivnih prebivalcev (po prebivališču)</w:t>
            </w:r>
          </w:p>
        </w:tc>
        <w:tc>
          <w:tcPr>
            <w:tcW w:w="1418" w:type="dxa"/>
            <w:tcBorders>
              <w:top w:val="nil"/>
              <w:left w:val="nil"/>
              <w:bottom w:val="single" w:sz="4" w:space="0" w:color="auto"/>
              <w:right w:val="single" w:sz="4" w:space="0" w:color="auto"/>
            </w:tcBorders>
            <w:shd w:val="clear" w:color="auto" w:fill="auto"/>
            <w:noWrap/>
            <w:vAlign w:val="bottom"/>
            <w:hideMark/>
          </w:tcPr>
          <w:p w14:paraId="005643BE"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0871708C" w14:textId="143B0B81"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879.257</w:t>
            </w:r>
          </w:p>
        </w:tc>
        <w:tc>
          <w:tcPr>
            <w:tcW w:w="909" w:type="dxa"/>
            <w:tcBorders>
              <w:top w:val="nil"/>
              <w:left w:val="nil"/>
              <w:bottom w:val="single" w:sz="4" w:space="0" w:color="auto"/>
              <w:right w:val="single" w:sz="4" w:space="0" w:color="auto"/>
            </w:tcBorders>
            <w:shd w:val="clear" w:color="auto" w:fill="auto"/>
            <w:noWrap/>
            <w:vAlign w:val="bottom"/>
            <w:hideMark/>
          </w:tcPr>
          <w:p w14:paraId="02F757E6" w14:textId="49100198"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835.039</w:t>
            </w:r>
          </w:p>
        </w:tc>
        <w:tc>
          <w:tcPr>
            <w:tcW w:w="909" w:type="dxa"/>
            <w:tcBorders>
              <w:top w:val="nil"/>
              <w:left w:val="nil"/>
              <w:bottom w:val="single" w:sz="4" w:space="0" w:color="auto"/>
              <w:right w:val="single" w:sz="4" w:space="0" w:color="auto"/>
            </w:tcBorders>
            <w:shd w:val="clear" w:color="auto" w:fill="auto"/>
            <w:noWrap/>
            <w:vAlign w:val="bottom"/>
            <w:hideMark/>
          </w:tcPr>
          <w:p w14:paraId="65F3B469" w14:textId="4207781A"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793.597</w:t>
            </w:r>
          </w:p>
        </w:tc>
        <w:tc>
          <w:tcPr>
            <w:tcW w:w="909" w:type="dxa"/>
            <w:tcBorders>
              <w:top w:val="nil"/>
              <w:left w:val="nil"/>
              <w:bottom w:val="single" w:sz="4" w:space="0" w:color="auto"/>
              <w:right w:val="single" w:sz="4" w:space="0" w:color="auto"/>
            </w:tcBorders>
            <w:shd w:val="clear" w:color="auto" w:fill="auto"/>
            <w:noWrap/>
            <w:vAlign w:val="bottom"/>
            <w:hideMark/>
          </w:tcPr>
          <w:p w14:paraId="515D14FD" w14:textId="45BB6C31"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804.637</w:t>
            </w:r>
          </w:p>
        </w:tc>
        <w:tc>
          <w:tcPr>
            <w:tcW w:w="909" w:type="dxa"/>
            <w:tcBorders>
              <w:top w:val="nil"/>
              <w:left w:val="nil"/>
              <w:bottom w:val="single" w:sz="4" w:space="0" w:color="auto"/>
              <w:right w:val="single" w:sz="4" w:space="0" w:color="auto"/>
            </w:tcBorders>
            <w:shd w:val="clear" w:color="auto" w:fill="auto"/>
            <w:noWrap/>
            <w:vAlign w:val="bottom"/>
            <w:hideMark/>
          </w:tcPr>
          <w:p w14:paraId="7AFB069F" w14:textId="6B046E28"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872.772</w:t>
            </w:r>
          </w:p>
        </w:tc>
        <w:tc>
          <w:tcPr>
            <w:tcW w:w="909" w:type="dxa"/>
            <w:tcBorders>
              <w:top w:val="nil"/>
              <w:left w:val="nil"/>
              <w:bottom w:val="single" w:sz="4" w:space="0" w:color="auto"/>
              <w:right w:val="single" w:sz="4" w:space="0" w:color="auto"/>
            </w:tcBorders>
            <w:shd w:val="clear" w:color="auto" w:fill="auto"/>
            <w:noWrap/>
            <w:vAlign w:val="bottom"/>
            <w:hideMark/>
          </w:tcPr>
          <w:p w14:paraId="0B3A045E" w14:textId="400D35A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894.229</w:t>
            </w:r>
          </w:p>
        </w:tc>
      </w:tr>
      <w:tr w:rsidR="009D1026" w:rsidRPr="00BF7E57" w14:paraId="53D31B39"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0CEC8F2F" w14:textId="0B009655"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A3DADCD"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5B41865C" w14:textId="3C5FEA0E"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566.241</w:t>
            </w:r>
          </w:p>
        </w:tc>
        <w:tc>
          <w:tcPr>
            <w:tcW w:w="909" w:type="dxa"/>
            <w:tcBorders>
              <w:top w:val="nil"/>
              <w:left w:val="nil"/>
              <w:bottom w:val="single" w:sz="4" w:space="0" w:color="auto"/>
              <w:right w:val="single" w:sz="4" w:space="0" w:color="auto"/>
            </w:tcBorders>
            <w:shd w:val="clear" w:color="auto" w:fill="auto"/>
            <w:noWrap/>
            <w:vAlign w:val="bottom"/>
            <w:hideMark/>
          </w:tcPr>
          <w:p w14:paraId="7BCC5F0B" w14:textId="7197233A"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536.567</w:t>
            </w:r>
          </w:p>
        </w:tc>
        <w:tc>
          <w:tcPr>
            <w:tcW w:w="909" w:type="dxa"/>
            <w:tcBorders>
              <w:top w:val="nil"/>
              <w:left w:val="nil"/>
              <w:bottom w:val="single" w:sz="4" w:space="0" w:color="auto"/>
              <w:right w:val="single" w:sz="4" w:space="0" w:color="auto"/>
            </w:tcBorders>
            <w:shd w:val="clear" w:color="auto" w:fill="auto"/>
            <w:noWrap/>
            <w:vAlign w:val="bottom"/>
            <w:hideMark/>
          </w:tcPr>
          <w:p w14:paraId="6A673137" w14:textId="46C762D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514.408</w:t>
            </w:r>
          </w:p>
        </w:tc>
        <w:tc>
          <w:tcPr>
            <w:tcW w:w="909" w:type="dxa"/>
            <w:tcBorders>
              <w:top w:val="nil"/>
              <w:left w:val="nil"/>
              <w:bottom w:val="single" w:sz="4" w:space="0" w:color="auto"/>
              <w:right w:val="single" w:sz="4" w:space="0" w:color="auto"/>
            </w:tcBorders>
            <w:shd w:val="clear" w:color="auto" w:fill="auto"/>
            <w:noWrap/>
            <w:vAlign w:val="bottom"/>
            <w:hideMark/>
          </w:tcPr>
          <w:p w14:paraId="13D7ED84" w14:textId="6157538D"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520.221</w:t>
            </w:r>
          </w:p>
        </w:tc>
        <w:tc>
          <w:tcPr>
            <w:tcW w:w="909" w:type="dxa"/>
            <w:tcBorders>
              <w:top w:val="nil"/>
              <w:left w:val="nil"/>
              <w:bottom w:val="single" w:sz="4" w:space="0" w:color="auto"/>
              <w:right w:val="single" w:sz="4" w:space="0" w:color="auto"/>
            </w:tcBorders>
            <w:shd w:val="clear" w:color="auto" w:fill="auto"/>
            <w:noWrap/>
            <w:vAlign w:val="bottom"/>
            <w:hideMark/>
          </w:tcPr>
          <w:p w14:paraId="5DBF8EF5" w14:textId="057B6FF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559.817</w:t>
            </w:r>
          </w:p>
        </w:tc>
        <w:tc>
          <w:tcPr>
            <w:tcW w:w="909" w:type="dxa"/>
            <w:tcBorders>
              <w:top w:val="nil"/>
              <w:left w:val="nil"/>
              <w:bottom w:val="single" w:sz="4" w:space="0" w:color="auto"/>
              <w:right w:val="single" w:sz="4" w:space="0" w:color="auto"/>
            </w:tcBorders>
            <w:shd w:val="clear" w:color="auto" w:fill="auto"/>
            <w:noWrap/>
            <w:vAlign w:val="bottom"/>
            <w:hideMark/>
          </w:tcPr>
          <w:p w14:paraId="18DC3B14" w14:textId="5038B6BD"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571.825</w:t>
            </w:r>
          </w:p>
        </w:tc>
      </w:tr>
      <w:tr w:rsidR="009D1026" w:rsidRPr="00BF7E57" w14:paraId="20A223BD"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64C832F2" w14:textId="17B4EAAF"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F575490" w14:textId="51DF0CCE" w:rsidR="009D1026" w:rsidRPr="00BF7E57" w:rsidRDefault="003F7E91" w:rsidP="004A34AD">
            <w:pPr>
              <w:spacing w:before="60" w:after="0" w:line="312" w:lineRule="auto"/>
              <w:jc w:val="both"/>
              <w:rPr>
                <w:rFonts w:ascii="Arial" w:hAnsi="Arial" w:cs="Arial"/>
                <w:b/>
                <w:bCs/>
                <w:color w:val="000000"/>
                <w:sz w:val="18"/>
                <w:szCs w:val="18"/>
                <w:lang w:eastAsia="sl-SI"/>
              </w:rPr>
            </w:pPr>
            <w:r w:rsidRPr="00BF7E57">
              <w:rPr>
                <w:rFonts w:ascii="Arial" w:hAnsi="Arial" w:cs="Arial"/>
                <w:color w:val="000000"/>
                <w:sz w:val="18"/>
                <w:szCs w:val="18"/>
                <w:lang w:eastAsia="sl-SI"/>
              </w:rPr>
              <w:t>podeželje (%)</w:t>
            </w:r>
          </w:p>
        </w:tc>
        <w:tc>
          <w:tcPr>
            <w:tcW w:w="908" w:type="dxa"/>
            <w:tcBorders>
              <w:top w:val="nil"/>
              <w:left w:val="nil"/>
              <w:bottom w:val="single" w:sz="4" w:space="0" w:color="auto"/>
              <w:right w:val="single" w:sz="4" w:space="0" w:color="auto"/>
            </w:tcBorders>
            <w:shd w:val="clear" w:color="auto" w:fill="auto"/>
            <w:noWrap/>
            <w:vAlign w:val="bottom"/>
            <w:hideMark/>
          </w:tcPr>
          <w:p w14:paraId="045412AD"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285D1BCA"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16FFDCEB"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65</w:t>
            </w:r>
          </w:p>
        </w:tc>
        <w:tc>
          <w:tcPr>
            <w:tcW w:w="909" w:type="dxa"/>
            <w:tcBorders>
              <w:top w:val="nil"/>
              <w:left w:val="nil"/>
              <w:bottom w:val="single" w:sz="4" w:space="0" w:color="auto"/>
              <w:right w:val="single" w:sz="4" w:space="0" w:color="auto"/>
            </w:tcBorders>
            <w:shd w:val="clear" w:color="auto" w:fill="auto"/>
            <w:noWrap/>
            <w:vAlign w:val="bottom"/>
            <w:hideMark/>
          </w:tcPr>
          <w:p w14:paraId="70CAD040"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65</w:t>
            </w:r>
          </w:p>
        </w:tc>
        <w:tc>
          <w:tcPr>
            <w:tcW w:w="909" w:type="dxa"/>
            <w:tcBorders>
              <w:top w:val="nil"/>
              <w:left w:val="nil"/>
              <w:bottom w:val="single" w:sz="4" w:space="0" w:color="auto"/>
              <w:right w:val="single" w:sz="4" w:space="0" w:color="auto"/>
            </w:tcBorders>
            <w:shd w:val="clear" w:color="auto" w:fill="auto"/>
            <w:noWrap/>
            <w:vAlign w:val="bottom"/>
            <w:hideMark/>
          </w:tcPr>
          <w:p w14:paraId="2FA41FE3"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46680C06"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w:t>
            </w:r>
          </w:p>
        </w:tc>
      </w:tr>
      <w:tr w:rsidR="009D1026" w:rsidRPr="00BF7E57" w14:paraId="1331865F" w14:textId="77777777" w:rsidTr="00422936">
        <w:trPr>
          <w:trHeight w:val="354"/>
        </w:trPr>
        <w:tc>
          <w:tcPr>
            <w:tcW w:w="2273" w:type="dxa"/>
            <w:vMerge w:val="restart"/>
            <w:tcBorders>
              <w:top w:val="nil"/>
              <w:left w:val="single" w:sz="4" w:space="0" w:color="auto"/>
              <w:right w:val="single" w:sz="4" w:space="0" w:color="auto"/>
            </w:tcBorders>
            <w:shd w:val="clear" w:color="auto" w:fill="auto"/>
            <w:vAlign w:val="center"/>
            <w:hideMark/>
          </w:tcPr>
          <w:p w14:paraId="0741D02C" w14:textId="3A2C142A"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delovno aktivnih prebivalcev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02DBD88B"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470EF495" w14:textId="7E1B2FBE"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879.257</w:t>
            </w:r>
          </w:p>
        </w:tc>
        <w:tc>
          <w:tcPr>
            <w:tcW w:w="909" w:type="dxa"/>
            <w:tcBorders>
              <w:top w:val="nil"/>
              <w:left w:val="nil"/>
              <w:bottom w:val="single" w:sz="4" w:space="0" w:color="auto"/>
              <w:right w:val="single" w:sz="4" w:space="0" w:color="auto"/>
            </w:tcBorders>
            <w:shd w:val="clear" w:color="auto" w:fill="auto"/>
            <w:noWrap/>
            <w:vAlign w:val="bottom"/>
            <w:hideMark/>
          </w:tcPr>
          <w:p w14:paraId="23C9D8CA" w14:textId="20AE073A"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835.039</w:t>
            </w:r>
          </w:p>
        </w:tc>
        <w:tc>
          <w:tcPr>
            <w:tcW w:w="909" w:type="dxa"/>
            <w:tcBorders>
              <w:top w:val="nil"/>
              <w:left w:val="nil"/>
              <w:bottom w:val="single" w:sz="4" w:space="0" w:color="auto"/>
              <w:right w:val="single" w:sz="4" w:space="0" w:color="auto"/>
            </w:tcBorders>
            <w:shd w:val="clear" w:color="auto" w:fill="auto"/>
            <w:noWrap/>
            <w:vAlign w:val="bottom"/>
            <w:hideMark/>
          </w:tcPr>
          <w:p w14:paraId="118E9401" w14:textId="676FF708"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793.597</w:t>
            </w:r>
          </w:p>
        </w:tc>
        <w:tc>
          <w:tcPr>
            <w:tcW w:w="909" w:type="dxa"/>
            <w:tcBorders>
              <w:top w:val="nil"/>
              <w:left w:val="nil"/>
              <w:bottom w:val="single" w:sz="4" w:space="0" w:color="auto"/>
              <w:right w:val="single" w:sz="4" w:space="0" w:color="auto"/>
            </w:tcBorders>
            <w:shd w:val="clear" w:color="auto" w:fill="auto"/>
            <w:noWrap/>
            <w:vAlign w:val="bottom"/>
            <w:hideMark/>
          </w:tcPr>
          <w:p w14:paraId="25D09CF1" w14:textId="190FE9DB"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804.637</w:t>
            </w:r>
          </w:p>
        </w:tc>
        <w:tc>
          <w:tcPr>
            <w:tcW w:w="909" w:type="dxa"/>
            <w:tcBorders>
              <w:top w:val="nil"/>
              <w:left w:val="nil"/>
              <w:bottom w:val="single" w:sz="4" w:space="0" w:color="auto"/>
              <w:right w:val="single" w:sz="4" w:space="0" w:color="auto"/>
            </w:tcBorders>
            <w:shd w:val="clear" w:color="auto" w:fill="auto"/>
            <w:noWrap/>
            <w:vAlign w:val="bottom"/>
            <w:hideMark/>
          </w:tcPr>
          <w:p w14:paraId="4F219454" w14:textId="51BCCB6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872.772</w:t>
            </w:r>
          </w:p>
        </w:tc>
        <w:tc>
          <w:tcPr>
            <w:tcW w:w="909" w:type="dxa"/>
            <w:tcBorders>
              <w:top w:val="nil"/>
              <w:left w:val="nil"/>
              <w:bottom w:val="single" w:sz="4" w:space="0" w:color="auto"/>
              <w:right w:val="single" w:sz="4" w:space="0" w:color="auto"/>
            </w:tcBorders>
            <w:shd w:val="clear" w:color="auto" w:fill="auto"/>
            <w:noWrap/>
            <w:vAlign w:val="bottom"/>
            <w:hideMark/>
          </w:tcPr>
          <w:p w14:paraId="56443EFE" w14:textId="79EE0C53"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894.229</w:t>
            </w:r>
          </w:p>
        </w:tc>
      </w:tr>
      <w:tr w:rsidR="009D1026" w:rsidRPr="00BF7E57" w14:paraId="613DB314" w14:textId="77777777" w:rsidTr="00D670BF">
        <w:trPr>
          <w:trHeight w:val="214"/>
        </w:trPr>
        <w:tc>
          <w:tcPr>
            <w:tcW w:w="2273" w:type="dxa"/>
            <w:vMerge/>
            <w:tcBorders>
              <w:left w:val="single" w:sz="4" w:space="0" w:color="auto"/>
              <w:right w:val="single" w:sz="4" w:space="0" w:color="auto"/>
            </w:tcBorders>
            <w:shd w:val="clear" w:color="auto" w:fill="auto"/>
            <w:vAlign w:val="bottom"/>
            <w:hideMark/>
          </w:tcPr>
          <w:p w14:paraId="6DFC93CB" w14:textId="2F546A56"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0DBED62C"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6D2B2089" w14:textId="3174F2E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452.781</w:t>
            </w:r>
          </w:p>
        </w:tc>
        <w:tc>
          <w:tcPr>
            <w:tcW w:w="909" w:type="dxa"/>
            <w:tcBorders>
              <w:top w:val="nil"/>
              <w:left w:val="nil"/>
              <w:bottom w:val="single" w:sz="4" w:space="0" w:color="auto"/>
              <w:right w:val="single" w:sz="4" w:space="0" w:color="auto"/>
            </w:tcBorders>
            <w:shd w:val="clear" w:color="auto" w:fill="auto"/>
            <w:noWrap/>
            <w:vAlign w:val="bottom"/>
            <w:hideMark/>
          </w:tcPr>
          <w:p w14:paraId="2A8C1DB5" w14:textId="05FEACA3"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424.268</w:t>
            </w:r>
          </w:p>
        </w:tc>
        <w:tc>
          <w:tcPr>
            <w:tcW w:w="909" w:type="dxa"/>
            <w:tcBorders>
              <w:top w:val="nil"/>
              <w:left w:val="nil"/>
              <w:bottom w:val="single" w:sz="4" w:space="0" w:color="auto"/>
              <w:right w:val="single" w:sz="4" w:space="0" w:color="auto"/>
            </w:tcBorders>
            <w:shd w:val="clear" w:color="auto" w:fill="auto"/>
            <w:noWrap/>
            <w:vAlign w:val="bottom"/>
            <w:hideMark/>
          </w:tcPr>
          <w:p w14:paraId="5C5C7EFF" w14:textId="0DF49F20"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403.148</w:t>
            </w:r>
          </w:p>
        </w:tc>
        <w:tc>
          <w:tcPr>
            <w:tcW w:w="909" w:type="dxa"/>
            <w:tcBorders>
              <w:top w:val="nil"/>
              <w:left w:val="nil"/>
              <w:bottom w:val="single" w:sz="4" w:space="0" w:color="auto"/>
              <w:right w:val="single" w:sz="4" w:space="0" w:color="auto"/>
            </w:tcBorders>
            <w:shd w:val="clear" w:color="auto" w:fill="auto"/>
            <w:noWrap/>
            <w:vAlign w:val="bottom"/>
            <w:hideMark/>
          </w:tcPr>
          <w:p w14:paraId="6380D919" w14:textId="50BE855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407.760</w:t>
            </w:r>
          </w:p>
        </w:tc>
        <w:tc>
          <w:tcPr>
            <w:tcW w:w="909" w:type="dxa"/>
            <w:tcBorders>
              <w:top w:val="nil"/>
              <w:left w:val="nil"/>
              <w:bottom w:val="single" w:sz="4" w:space="0" w:color="auto"/>
              <w:right w:val="single" w:sz="4" w:space="0" w:color="auto"/>
            </w:tcBorders>
            <w:shd w:val="clear" w:color="auto" w:fill="auto"/>
            <w:noWrap/>
            <w:vAlign w:val="bottom"/>
            <w:hideMark/>
          </w:tcPr>
          <w:p w14:paraId="61157377" w14:textId="22CA43E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439.249</w:t>
            </w:r>
          </w:p>
        </w:tc>
        <w:tc>
          <w:tcPr>
            <w:tcW w:w="909" w:type="dxa"/>
            <w:tcBorders>
              <w:top w:val="nil"/>
              <w:left w:val="nil"/>
              <w:bottom w:val="single" w:sz="4" w:space="0" w:color="auto"/>
              <w:right w:val="single" w:sz="4" w:space="0" w:color="auto"/>
            </w:tcBorders>
            <w:shd w:val="clear" w:color="auto" w:fill="auto"/>
            <w:noWrap/>
            <w:vAlign w:val="bottom"/>
            <w:hideMark/>
          </w:tcPr>
          <w:p w14:paraId="0EFB7ED7" w14:textId="4F17CE4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450.285</w:t>
            </w:r>
          </w:p>
        </w:tc>
      </w:tr>
      <w:tr w:rsidR="009D1026" w:rsidRPr="00BF7E57" w14:paraId="16017BF1"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170BF038" w14:textId="180EA937"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400B41AD" w14:textId="5AA7BA97" w:rsidR="009D1026" w:rsidRPr="00BF7E57" w:rsidRDefault="003F7E91" w:rsidP="004A34AD">
            <w:pPr>
              <w:spacing w:before="60" w:after="0" w:line="312" w:lineRule="auto"/>
              <w:jc w:val="both"/>
              <w:rPr>
                <w:rFonts w:ascii="Arial" w:hAnsi="Arial" w:cs="Arial"/>
                <w:b/>
                <w:bCs/>
                <w:color w:val="000000"/>
                <w:sz w:val="18"/>
                <w:szCs w:val="18"/>
                <w:lang w:eastAsia="sl-SI"/>
              </w:rPr>
            </w:pPr>
            <w:r w:rsidRPr="00BF7E57">
              <w:rPr>
                <w:rFonts w:ascii="Arial" w:hAnsi="Arial" w:cs="Arial"/>
                <w:color w:val="000000"/>
                <w:sz w:val="18"/>
                <w:szCs w:val="18"/>
                <w:lang w:eastAsia="sl-SI"/>
              </w:rPr>
              <w:t>podeželje (%)</w:t>
            </w:r>
          </w:p>
        </w:tc>
        <w:tc>
          <w:tcPr>
            <w:tcW w:w="908" w:type="dxa"/>
            <w:tcBorders>
              <w:top w:val="nil"/>
              <w:left w:val="nil"/>
              <w:bottom w:val="single" w:sz="4" w:space="0" w:color="auto"/>
              <w:right w:val="single" w:sz="4" w:space="0" w:color="auto"/>
            </w:tcBorders>
            <w:shd w:val="clear" w:color="auto" w:fill="auto"/>
            <w:noWrap/>
            <w:vAlign w:val="bottom"/>
            <w:hideMark/>
          </w:tcPr>
          <w:p w14:paraId="0AE35F92"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4FD60FB9"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2260213"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72A72E2"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2863C17"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50</w:t>
            </w:r>
          </w:p>
        </w:tc>
        <w:tc>
          <w:tcPr>
            <w:tcW w:w="909" w:type="dxa"/>
            <w:tcBorders>
              <w:top w:val="nil"/>
              <w:left w:val="nil"/>
              <w:bottom w:val="single" w:sz="4" w:space="0" w:color="auto"/>
              <w:right w:val="single" w:sz="4" w:space="0" w:color="auto"/>
            </w:tcBorders>
            <w:shd w:val="clear" w:color="auto" w:fill="auto"/>
            <w:noWrap/>
            <w:vAlign w:val="bottom"/>
            <w:hideMark/>
          </w:tcPr>
          <w:p w14:paraId="52BC1F16"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50</w:t>
            </w:r>
          </w:p>
        </w:tc>
      </w:tr>
      <w:tr w:rsidR="009D1026" w:rsidRPr="00BF7E57" w14:paraId="08E4A9EA" w14:textId="77777777" w:rsidTr="00422936">
        <w:trPr>
          <w:trHeight w:val="368"/>
        </w:trPr>
        <w:tc>
          <w:tcPr>
            <w:tcW w:w="2273" w:type="dxa"/>
            <w:vMerge w:val="restart"/>
            <w:tcBorders>
              <w:top w:val="nil"/>
              <w:left w:val="single" w:sz="4" w:space="0" w:color="auto"/>
              <w:right w:val="single" w:sz="4" w:space="0" w:color="auto"/>
            </w:tcBorders>
            <w:shd w:val="clear" w:color="auto" w:fill="auto"/>
            <w:vAlign w:val="center"/>
            <w:hideMark/>
          </w:tcPr>
          <w:p w14:paraId="51FC8412" w14:textId="744255F1"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zaposlenih oseb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5F63973B"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0AAD9378" w14:textId="63ED469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789.863</w:t>
            </w:r>
          </w:p>
        </w:tc>
        <w:tc>
          <w:tcPr>
            <w:tcW w:w="909" w:type="dxa"/>
            <w:tcBorders>
              <w:top w:val="nil"/>
              <w:left w:val="nil"/>
              <w:bottom w:val="single" w:sz="4" w:space="0" w:color="auto"/>
              <w:right w:val="single" w:sz="4" w:space="0" w:color="auto"/>
            </w:tcBorders>
            <w:shd w:val="clear" w:color="auto" w:fill="auto"/>
            <w:noWrap/>
            <w:vAlign w:val="bottom"/>
            <w:hideMark/>
          </w:tcPr>
          <w:p w14:paraId="3FFF1EB0" w14:textId="3976168B"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747.194</w:t>
            </w:r>
          </w:p>
        </w:tc>
        <w:tc>
          <w:tcPr>
            <w:tcW w:w="909" w:type="dxa"/>
            <w:tcBorders>
              <w:top w:val="nil"/>
              <w:left w:val="nil"/>
              <w:bottom w:val="single" w:sz="4" w:space="0" w:color="auto"/>
              <w:right w:val="single" w:sz="4" w:space="0" w:color="auto"/>
            </w:tcBorders>
            <w:shd w:val="clear" w:color="auto" w:fill="auto"/>
            <w:noWrap/>
            <w:vAlign w:val="bottom"/>
            <w:hideMark/>
          </w:tcPr>
          <w:p w14:paraId="39491357" w14:textId="5D106A6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698.724</w:t>
            </w:r>
          </w:p>
        </w:tc>
        <w:tc>
          <w:tcPr>
            <w:tcW w:w="909" w:type="dxa"/>
            <w:tcBorders>
              <w:top w:val="nil"/>
              <w:left w:val="nil"/>
              <w:bottom w:val="single" w:sz="4" w:space="0" w:color="auto"/>
              <w:right w:val="single" w:sz="4" w:space="0" w:color="auto"/>
            </w:tcBorders>
            <w:shd w:val="clear" w:color="auto" w:fill="auto"/>
            <w:noWrap/>
            <w:vAlign w:val="bottom"/>
            <w:hideMark/>
          </w:tcPr>
          <w:p w14:paraId="4377BC6F" w14:textId="319C714B"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713.076</w:t>
            </w:r>
          </w:p>
        </w:tc>
        <w:tc>
          <w:tcPr>
            <w:tcW w:w="909" w:type="dxa"/>
            <w:tcBorders>
              <w:top w:val="nil"/>
              <w:left w:val="nil"/>
              <w:bottom w:val="single" w:sz="4" w:space="0" w:color="auto"/>
              <w:right w:val="single" w:sz="4" w:space="0" w:color="auto"/>
            </w:tcBorders>
            <w:shd w:val="clear" w:color="auto" w:fill="auto"/>
            <w:noWrap/>
            <w:vAlign w:val="bottom"/>
            <w:hideMark/>
          </w:tcPr>
          <w:p w14:paraId="6384C145" w14:textId="22C8D8A6"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780.203</w:t>
            </w:r>
          </w:p>
        </w:tc>
        <w:tc>
          <w:tcPr>
            <w:tcW w:w="909" w:type="dxa"/>
            <w:tcBorders>
              <w:top w:val="nil"/>
              <w:left w:val="nil"/>
              <w:bottom w:val="single" w:sz="4" w:space="0" w:color="auto"/>
              <w:right w:val="single" w:sz="4" w:space="0" w:color="auto"/>
            </w:tcBorders>
            <w:shd w:val="clear" w:color="auto" w:fill="auto"/>
            <w:noWrap/>
            <w:vAlign w:val="bottom"/>
            <w:hideMark/>
          </w:tcPr>
          <w:p w14:paraId="76F750D3" w14:textId="483B9553"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801.909</w:t>
            </w:r>
          </w:p>
        </w:tc>
      </w:tr>
      <w:tr w:rsidR="009D1026" w:rsidRPr="00BF7E57" w14:paraId="5A5B2EEF"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475721D7" w14:textId="745091A6" w:rsidR="009D1026" w:rsidRPr="00BF7E57" w:rsidRDefault="009D1026" w:rsidP="004A34AD">
            <w:pPr>
              <w:spacing w:before="60" w:after="0" w:line="312" w:lineRule="auto"/>
              <w:rPr>
                <w:rFonts w:ascii="Arial" w:hAnsi="Arial" w:cs="Arial"/>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74BA18E8"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225A7A63" w14:textId="654C2343"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388.855</w:t>
            </w:r>
          </w:p>
        </w:tc>
        <w:tc>
          <w:tcPr>
            <w:tcW w:w="909" w:type="dxa"/>
            <w:tcBorders>
              <w:top w:val="nil"/>
              <w:left w:val="nil"/>
              <w:bottom w:val="single" w:sz="4" w:space="0" w:color="auto"/>
              <w:right w:val="single" w:sz="4" w:space="0" w:color="auto"/>
            </w:tcBorders>
            <w:shd w:val="clear" w:color="auto" w:fill="auto"/>
            <w:noWrap/>
            <w:vAlign w:val="bottom"/>
            <w:hideMark/>
          </w:tcPr>
          <w:p w14:paraId="0415F66B" w14:textId="43831F31"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362.441</w:t>
            </w:r>
          </w:p>
        </w:tc>
        <w:tc>
          <w:tcPr>
            <w:tcW w:w="909" w:type="dxa"/>
            <w:tcBorders>
              <w:top w:val="nil"/>
              <w:left w:val="nil"/>
              <w:bottom w:val="single" w:sz="4" w:space="0" w:color="auto"/>
              <w:right w:val="single" w:sz="4" w:space="0" w:color="auto"/>
            </w:tcBorders>
            <w:shd w:val="clear" w:color="auto" w:fill="auto"/>
            <w:noWrap/>
            <w:vAlign w:val="bottom"/>
            <w:hideMark/>
          </w:tcPr>
          <w:p w14:paraId="599B212A" w14:textId="09A07DEA"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335.593</w:t>
            </w:r>
          </w:p>
        </w:tc>
        <w:tc>
          <w:tcPr>
            <w:tcW w:w="909" w:type="dxa"/>
            <w:tcBorders>
              <w:top w:val="nil"/>
              <w:left w:val="nil"/>
              <w:bottom w:val="single" w:sz="4" w:space="0" w:color="auto"/>
              <w:right w:val="single" w:sz="4" w:space="0" w:color="auto"/>
            </w:tcBorders>
            <w:shd w:val="clear" w:color="auto" w:fill="auto"/>
            <w:noWrap/>
            <w:vAlign w:val="bottom"/>
            <w:hideMark/>
          </w:tcPr>
          <w:p w14:paraId="2F542E3D" w14:textId="1BB4BCED"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345.081</w:t>
            </w:r>
          </w:p>
        </w:tc>
        <w:tc>
          <w:tcPr>
            <w:tcW w:w="909" w:type="dxa"/>
            <w:tcBorders>
              <w:top w:val="nil"/>
              <w:left w:val="nil"/>
              <w:bottom w:val="single" w:sz="4" w:space="0" w:color="auto"/>
              <w:right w:val="single" w:sz="4" w:space="0" w:color="auto"/>
            </w:tcBorders>
            <w:shd w:val="clear" w:color="auto" w:fill="auto"/>
            <w:noWrap/>
            <w:vAlign w:val="bottom"/>
            <w:hideMark/>
          </w:tcPr>
          <w:p w14:paraId="4B7E95CD" w14:textId="697C7B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377.424</w:t>
            </w:r>
          </w:p>
        </w:tc>
        <w:tc>
          <w:tcPr>
            <w:tcW w:w="909" w:type="dxa"/>
            <w:tcBorders>
              <w:top w:val="nil"/>
              <w:left w:val="nil"/>
              <w:bottom w:val="single" w:sz="4" w:space="0" w:color="auto"/>
              <w:right w:val="single" w:sz="4" w:space="0" w:color="auto"/>
            </w:tcBorders>
            <w:shd w:val="clear" w:color="auto" w:fill="auto"/>
            <w:noWrap/>
            <w:vAlign w:val="bottom"/>
            <w:hideMark/>
          </w:tcPr>
          <w:p w14:paraId="5245C9CA" w14:textId="6D613D0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38.9167</w:t>
            </w:r>
          </w:p>
        </w:tc>
      </w:tr>
      <w:tr w:rsidR="009D1026" w:rsidRPr="00BF7E57" w14:paraId="5C1B147D"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77247DE2" w14:textId="32E977E9"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4DFE38FE" w14:textId="21566383" w:rsidR="009D1026" w:rsidRPr="00BF7E57" w:rsidRDefault="003F7E91" w:rsidP="004A34AD">
            <w:pPr>
              <w:spacing w:before="60" w:after="0" w:line="312" w:lineRule="auto"/>
              <w:jc w:val="both"/>
              <w:rPr>
                <w:rFonts w:ascii="Arial" w:hAnsi="Arial" w:cs="Arial"/>
                <w:color w:val="000000"/>
                <w:sz w:val="18"/>
                <w:szCs w:val="18"/>
                <w:lang w:eastAsia="sl-SI"/>
              </w:rPr>
            </w:pPr>
            <w:r w:rsidRPr="00BF7E57">
              <w:rPr>
                <w:rFonts w:ascii="Arial" w:hAnsi="Arial" w:cs="Arial"/>
                <w:color w:val="000000"/>
                <w:sz w:val="18"/>
                <w:szCs w:val="18"/>
                <w:lang w:eastAsia="sl-SI"/>
              </w:rPr>
              <w:t>p</w:t>
            </w:r>
            <w:r w:rsidR="009D1026" w:rsidRPr="00BF7E57">
              <w:rPr>
                <w:rFonts w:ascii="Arial" w:hAnsi="Arial" w:cs="Arial"/>
                <w:color w:val="000000"/>
                <w:sz w:val="18"/>
                <w:szCs w:val="18"/>
                <w:lang w:eastAsia="sl-SI"/>
              </w:rPr>
              <w:t>odeželje</w:t>
            </w:r>
            <w:r w:rsidRPr="00BF7E57">
              <w:rPr>
                <w:rFonts w:ascii="Arial" w:hAnsi="Arial" w:cs="Arial"/>
                <w:color w:val="000000"/>
                <w:sz w:val="18"/>
                <w:szCs w:val="18"/>
                <w:lang w:eastAsia="sl-SI"/>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2CDD45B6"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49</w:t>
            </w:r>
          </w:p>
        </w:tc>
        <w:tc>
          <w:tcPr>
            <w:tcW w:w="909" w:type="dxa"/>
            <w:tcBorders>
              <w:top w:val="nil"/>
              <w:left w:val="nil"/>
              <w:bottom w:val="single" w:sz="4" w:space="0" w:color="auto"/>
              <w:right w:val="single" w:sz="4" w:space="0" w:color="auto"/>
            </w:tcBorders>
            <w:shd w:val="clear" w:color="auto" w:fill="auto"/>
            <w:noWrap/>
            <w:vAlign w:val="bottom"/>
            <w:hideMark/>
          </w:tcPr>
          <w:p w14:paraId="3FC81E00"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48,50</w:t>
            </w:r>
          </w:p>
        </w:tc>
        <w:tc>
          <w:tcPr>
            <w:tcW w:w="909" w:type="dxa"/>
            <w:tcBorders>
              <w:top w:val="nil"/>
              <w:left w:val="nil"/>
              <w:bottom w:val="single" w:sz="4" w:space="0" w:color="auto"/>
              <w:right w:val="single" w:sz="4" w:space="0" w:color="auto"/>
            </w:tcBorders>
            <w:shd w:val="clear" w:color="auto" w:fill="auto"/>
            <w:noWrap/>
            <w:vAlign w:val="bottom"/>
            <w:hideMark/>
          </w:tcPr>
          <w:p w14:paraId="7B33B964"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0A5C37E7"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0ED95517"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42A2015D"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48,50</w:t>
            </w:r>
          </w:p>
        </w:tc>
      </w:tr>
      <w:tr w:rsidR="009D1026" w:rsidRPr="00BF7E57" w14:paraId="24DD3DEC" w14:textId="77777777" w:rsidTr="00422936">
        <w:trPr>
          <w:trHeight w:val="354"/>
        </w:trPr>
        <w:tc>
          <w:tcPr>
            <w:tcW w:w="2273" w:type="dxa"/>
            <w:vMerge w:val="restart"/>
            <w:tcBorders>
              <w:top w:val="nil"/>
              <w:left w:val="single" w:sz="4" w:space="0" w:color="auto"/>
              <w:right w:val="single" w:sz="4" w:space="0" w:color="auto"/>
            </w:tcBorders>
            <w:shd w:val="clear" w:color="auto" w:fill="auto"/>
            <w:vAlign w:val="center"/>
            <w:hideMark/>
          </w:tcPr>
          <w:p w14:paraId="15EDF919" w14:textId="661B6814"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samozaposlenih oseb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6579E6F5"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109E2BA9" w14:textId="098B5F6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89.394</w:t>
            </w:r>
          </w:p>
        </w:tc>
        <w:tc>
          <w:tcPr>
            <w:tcW w:w="909" w:type="dxa"/>
            <w:tcBorders>
              <w:top w:val="nil"/>
              <w:left w:val="nil"/>
              <w:bottom w:val="single" w:sz="4" w:space="0" w:color="auto"/>
              <w:right w:val="single" w:sz="4" w:space="0" w:color="auto"/>
            </w:tcBorders>
            <w:shd w:val="clear" w:color="auto" w:fill="auto"/>
            <w:noWrap/>
            <w:vAlign w:val="bottom"/>
            <w:hideMark/>
          </w:tcPr>
          <w:p w14:paraId="1EFDA007" w14:textId="1733663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87.845</w:t>
            </w:r>
          </w:p>
        </w:tc>
        <w:tc>
          <w:tcPr>
            <w:tcW w:w="909" w:type="dxa"/>
            <w:tcBorders>
              <w:top w:val="nil"/>
              <w:left w:val="nil"/>
              <w:bottom w:val="single" w:sz="4" w:space="0" w:color="auto"/>
              <w:right w:val="single" w:sz="4" w:space="0" w:color="auto"/>
            </w:tcBorders>
            <w:shd w:val="clear" w:color="auto" w:fill="auto"/>
            <w:noWrap/>
            <w:vAlign w:val="bottom"/>
            <w:hideMark/>
          </w:tcPr>
          <w:p w14:paraId="02F0F7C6" w14:textId="7F5AB78C"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94.873</w:t>
            </w:r>
          </w:p>
        </w:tc>
        <w:tc>
          <w:tcPr>
            <w:tcW w:w="909" w:type="dxa"/>
            <w:tcBorders>
              <w:top w:val="nil"/>
              <w:left w:val="nil"/>
              <w:bottom w:val="single" w:sz="4" w:space="0" w:color="auto"/>
              <w:right w:val="single" w:sz="4" w:space="0" w:color="auto"/>
            </w:tcBorders>
            <w:shd w:val="clear" w:color="auto" w:fill="auto"/>
            <w:noWrap/>
            <w:vAlign w:val="bottom"/>
            <w:hideMark/>
          </w:tcPr>
          <w:p w14:paraId="715E287D" w14:textId="674FF732"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91.561</w:t>
            </w:r>
          </w:p>
        </w:tc>
        <w:tc>
          <w:tcPr>
            <w:tcW w:w="909" w:type="dxa"/>
            <w:tcBorders>
              <w:top w:val="nil"/>
              <w:left w:val="nil"/>
              <w:bottom w:val="single" w:sz="4" w:space="0" w:color="auto"/>
              <w:right w:val="single" w:sz="4" w:space="0" w:color="auto"/>
            </w:tcBorders>
            <w:shd w:val="clear" w:color="auto" w:fill="auto"/>
            <w:noWrap/>
            <w:vAlign w:val="bottom"/>
            <w:hideMark/>
          </w:tcPr>
          <w:p w14:paraId="44444124" w14:textId="4E87B608"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92.569</w:t>
            </w:r>
          </w:p>
        </w:tc>
        <w:tc>
          <w:tcPr>
            <w:tcW w:w="909" w:type="dxa"/>
            <w:tcBorders>
              <w:top w:val="nil"/>
              <w:left w:val="nil"/>
              <w:bottom w:val="single" w:sz="4" w:space="0" w:color="auto"/>
              <w:right w:val="single" w:sz="4" w:space="0" w:color="auto"/>
            </w:tcBorders>
            <w:shd w:val="clear" w:color="auto" w:fill="auto"/>
            <w:noWrap/>
            <w:vAlign w:val="bottom"/>
            <w:hideMark/>
          </w:tcPr>
          <w:p w14:paraId="0983EB0E" w14:textId="0495F0D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92.320</w:t>
            </w:r>
          </w:p>
        </w:tc>
      </w:tr>
      <w:tr w:rsidR="009D1026" w:rsidRPr="00BF7E57" w14:paraId="6C84CA76"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569D454C" w14:textId="75670236"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A786826"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28405718" w14:textId="0A87A810"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63.928</w:t>
            </w:r>
          </w:p>
        </w:tc>
        <w:tc>
          <w:tcPr>
            <w:tcW w:w="909" w:type="dxa"/>
            <w:tcBorders>
              <w:top w:val="nil"/>
              <w:left w:val="nil"/>
              <w:bottom w:val="single" w:sz="4" w:space="0" w:color="auto"/>
              <w:right w:val="single" w:sz="4" w:space="0" w:color="auto"/>
            </w:tcBorders>
            <w:shd w:val="clear" w:color="auto" w:fill="auto"/>
            <w:noWrap/>
            <w:vAlign w:val="bottom"/>
            <w:hideMark/>
          </w:tcPr>
          <w:p w14:paraId="4759ECAA" w14:textId="56A0FFB5"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61.830</w:t>
            </w:r>
          </w:p>
        </w:tc>
        <w:tc>
          <w:tcPr>
            <w:tcW w:w="909" w:type="dxa"/>
            <w:tcBorders>
              <w:top w:val="nil"/>
              <w:left w:val="nil"/>
              <w:bottom w:val="single" w:sz="4" w:space="0" w:color="auto"/>
              <w:right w:val="single" w:sz="4" w:space="0" w:color="auto"/>
            </w:tcBorders>
            <w:shd w:val="clear" w:color="auto" w:fill="auto"/>
            <w:noWrap/>
            <w:vAlign w:val="bottom"/>
            <w:hideMark/>
          </w:tcPr>
          <w:p w14:paraId="5FD91165" w14:textId="3DB97E9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67.544</w:t>
            </w:r>
          </w:p>
        </w:tc>
        <w:tc>
          <w:tcPr>
            <w:tcW w:w="909" w:type="dxa"/>
            <w:tcBorders>
              <w:top w:val="nil"/>
              <w:left w:val="nil"/>
              <w:bottom w:val="single" w:sz="4" w:space="0" w:color="auto"/>
              <w:right w:val="single" w:sz="4" w:space="0" w:color="auto"/>
            </w:tcBorders>
            <w:shd w:val="clear" w:color="auto" w:fill="auto"/>
            <w:noWrap/>
            <w:vAlign w:val="bottom"/>
            <w:hideMark/>
          </w:tcPr>
          <w:p w14:paraId="257D2F27" w14:textId="7369AC86"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62.690</w:t>
            </w:r>
          </w:p>
        </w:tc>
        <w:tc>
          <w:tcPr>
            <w:tcW w:w="909" w:type="dxa"/>
            <w:tcBorders>
              <w:top w:val="nil"/>
              <w:left w:val="nil"/>
              <w:bottom w:val="single" w:sz="4" w:space="0" w:color="auto"/>
              <w:right w:val="single" w:sz="4" w:space="0" w:color="auto"/>
            </w:tcBorders>
            <w:shd w:val="clear" w:color="auto" w:fill="auto"/>
            <w:noWrap/>
            <w:vAlign w:val="bottom"/>
            <w:hideMark/>
          </w:tcPr>
          <w:p w14:paraId="4E86AE61" w14:textId="63018920"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61.827</w:t>
            </w:r>
          </w:p>
        </w:tc>
        <w:tc>
          <w:tcPr>
            <w:tcW w:w="909" w:type="dxa"/>
            <w:tcBorders>
              <w:top w:val="nil"/>
              <w:left w:val="nil"/>
              <w:bottom w:val="single" w:sz="4" w:space="0" w:color="auto"/>
              <w:right w:val="single" w:sz="4" w:space="0" w:color="auto"/>
            </w:tcBorders>
            <w:shd w:val="clear" w:color="auto" w:fill="auto"/>
            <w:noWrap/>
            <w:vAlign w:val="bottom"/>
            <w:hideMark/>
          </w:tcPr>
          <w:p w14:paraId="1FDC9675" w14:textId="332FF25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61.131</w:t>
            </w:r>
          </w:p>
        </w:tc>
      </w:tr>
      <w:tr w:rsidR="009D1026" w:rsidRPr="00BF7E57" w14:paraId="54D124B4"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3D580767" w14:textId="279C150D" w:rsidR="009D1026" w:rsidRPr="00BF7E57" w:rsidRDefault="009D1026" w:rsidP="004A34AD">
            <w:pPr>
              <w:spacing w:before="60" w:after="0" w:line="312" w:lineRule="auto"/>
              <w:rPr>
                <w:rFonts w:ascii="Arial" w:hAnsi="Arial" w:cs="Arial"/>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7520E20A" w14:textId="7BE03426" w:rsidR="009D1026" w:rsidRPr="00BF7E57" w:rsidRDefault="003F7E91" w:rsidP="004A34AD">
            <w:pPr>
              <w:spacing w:before="60" w:after="0" w:line="312" w:lineRule="auto"/>
              <w:jc w:val="both"/>
              <w:rPr>
                <w:rFonts w:ascii="Arial" w:hAnsi="Arial" w:cs="Arial"/>
                <w:color w:val="000000"/>
                <w:sz w:val="18"/>
                <w:szCs w:val="18"/>
                <w:lang w:eastAsia="sl-SI"/>
              </w:rPr>
            </w:pPr>
            <w:r w:rsidRPr="00BF7E57">
              <w:rPr>
                <w:rFonts w:ascii="Arial" w:hAnsi="Arial" w:cs="Arial"/>
                <w:color w:val="000000"/>
                <w:sz w:val="18"/>
                <w:szCs w:val="18"/>
                <w:lang w:eastAsia="sl-SI"/>
              </w:rPr>
              <w:t>p</w:t>
            </w:r>
            <w:r w:rsidR="009D1026" w:rsidRPr="00BF7E57">
              <w:rPr>
                <w:rFonts w:ascii="Arial" w:hAnsi="Arial" w:cs="Arial"/>
                <w:color w:val="000000"/>
                <w:sz w:val="18"/>
                <w:szCs w:val="18"/>
                <w:lang w:eastAsia="sl-SI"/>
              </w:rPr>
              <w:t>odeželje</w:t>
            </w:r>
            <w:r w:rsidRPr="00BF7E57">
              <w:rPr>
                <w:rFonts w:ascii="Arial" w:hAnsi="Arial" w:cs="Arial"/>
                <w:color w:val="000000"/>
                <w:sz w:val="18"/>
                <w:szCs w:val="18"/>
                <w:lang w:eastAsia="sl-SI"/>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098CA1DB"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71,51</w:t>
            </w:r>
          </w:p>
        </w:tc>
        <w:tc>
          <w:tcPr>
            <w:tcW w:w="909" w:type="dxa"/>
            <w:tcBorders>
              <w:top w:val="nil"/>
              <w:left w:val="nil"/>
              <w:bottom w:val="single" w:sz="4" w:space="0" w:color="auto"/>
              <w:right w:val="single" w:sz="4" w:space="0" w:color="auto"/>
            </w:tcBorders>
            <w:shd w:val="clear" w:color="auto" w:fill="auto"/>
            <w:noWrap/>
            <w:vAlign w:val="bottom"/>
            <w:hideMark/>
          </w:tcPr>
          <w:p w14:paraId="732A0AB9"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70,39</w:t>
            </w:r>
          </w:p>
        </w:tc>
        <w:tc>
          <w:tcPr>
            <w:tcW w:w="909" w:type="dxa"/>
            <w:tcBorders>
              <w:top w:val="nil"/>
              <w:left w:val="nil"/>
              <w:bottom w:val="single" w:sz="4" w:space="0" w:color="auto"/>
              <w:right w:val="single" w:sz="4" w:space="0" w:color="auto"/>
            </w:tcBorders>
            <w:shd w:val="clear" w:color="auto" w:fill="auto"/>
            <w:noWrap/>
            <w:vAlign w:val="bottom"/>
            <w:hideMark/>
          </w:tcPr>
          <w:p w14:paraId="2EEA55F1"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71,19</w:t>
            </w:r>
          </w:p>
        </w:tc>
        <w:tc>
          <w:tcPr>
            <w:tcW w:w="909" w:type="dxa"/>
            <w:tcBorders>
              <w:top w:val="nil"/>
              <w:left w:val="nil"/>
              <w:bottom w:val="single" w:sz="4" w:space="0" w:color="auto"/>
              <w:right w:val="single" w:sz="4" w:space="0" w:color="auto"/>
            </w:tcBorders>
            <w:shd w:val="clear" w:color="auto" w:fill="auto"/>
            <w:noWrap/>
            <w:vAlign w:val="bottom"/>
            <w:hideMark/>
          </w:tcPr>
          <w:p w14:paraId="6EEFC668"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68,47</w:t>
            </w:r>
          </w:p>
        </w:tc>
        <w:tc>
          <w:tcPr>
            <w:tcW w:w="909" w:type="dxa"/>
            <w:tcBorders>
              <w:top w:val="nil"/>
              <w:left w:val="nil"/>
              <w:bottom w:val="single" w:sz="4" w:space="0" w:color="auto"/>
              <w:right w:val="single" w:sz="4" w:space="0" w:color="auto"/>
            </w:tcBorders>
            <w:shd w:val="clear" w:color="auto" w:fill="auto"/>
            <w:noWrap/>
            <w:vAlign w:val="bottom"/>
            <w:hideMark/>
          </w:tcPr>
          <w:p w14:paraId="7F9B6509"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66,79</w:t>
            </w:r>
          </w:p>
        </w:tc>
        <w:tc>
          <w:tcPr>
            <w:tcW w:w="909" w:type="dxa"/>
            <w:tcBorders>
              <w:top w:val="nil"/>
              <w:left w:val="nil"/>
              <w:bottom w:val="single" w:sz="4" w:space="0" w:color="auto"/>
              <w:right w:val="single" w:sz="4" w:space="0" w:color="auto"/>
            </w:tcBorders>
            <w:shd w:val="clear" w:color="auto" w:fill="auto"/>
            <w:noWrap/>
            <w:vAlign w:val="bottom"/>
            <w:hideMark/>
          </w:tcPr>
          <w:p w14:paraId="078001C9"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66,22</w:t>
            </w:r>
          </w:p>
        </w:tc>
      </w:tr>
    </w:tbl>
    <w:p w14:paraId="0D76A5B8" w14:textId="77777777" w:rsidR="00422936" w:rsidRPr="00BF7E57" w:rsidRDefault="009E0216" w:rsidP="00422936">
      <w:pPr>
        <w:spacing w:line="240" w:lineRule="auto"/>
        <w:jc w:val="both"/>
        <w:rPr>
          <w:rFonts w:ascii="Arial" w:hAnsi="Arial" w:cs="Arial"/>
          <w:sz w:val="16"/>
          <w:szCs w:val="16"/>
        </w:rPr>
      </w:pPr>
      <w:r w:rsidRPr="00BF7E57">
        <w:rPr>
          <w:rFonts w:ascii="Arial" w:hAnsi="Arial" w:cs="Arial"/>
          <w:sz w:val="16"/>
          <w:szCs w:val="16"/>
        </w:rPr>
        <w:t>Vir: SURS, lastni preračuni, 2020</w:t>
      </w:r>
      <w:r w:rsidR="00D478AC" w:rsidRPr="00BF7E57">
        <w:rPr>
          <w:rFonts w:ascii="Arial" w:hAnsi="Arial" w:cs="Arial"/>
          <w:sz w:val="16"/>
          <w:szCs w:val="16"/>
        </w:rPr>
        <w:t xml:space="preserve"> </w:t>
      </w:r>
    </w:p>
    <w:p w14:paraId="673B7E96" w14:textId="1E5CA9D6" w:rsidR="008949A2" w:rsidRPr="00BF7E57" w:rsidRDefault="00433651" w:rsidP="008949A2">
      <w:pPr>
        <w:autoSpaceDE w:val="0"/>
        <w:autoSpaceDN w:val="0"/>
        <w:spacing w:after="240" w:line="360" w:lineRule="auto"/>
        <w:jc w:val="both"/>
        <w:rPr>
          <w:rFonts w:ascii="Arial" w:hAnsi="Arial" w:cs="Arial"/>
          <w:sz w:val="20"/>
          <w:szCs w:val="20"/>
        </w:rPr>
      </w:pPr>
      <w:r w:rsidRPr="00BF7E57">
        <w:rPr>
          <w:rFonts w:ascii="Arial" w:hAnsi="Arial" w:cs="Arial"/>
          <w:sz w:val="20"/>
          <w:szCs w:val="20"/>
        </w:rPr>
        <w:t>Glede na sektor je na</w:t>
      </w:r>
      <w:r w:rsidR="00C12D0C" w:rsidRPr="00BF7E57">
        <w:rPr>
          <w:rFonts w:ascii="Arial" w:hAnsi="Arial" w:cs="Arial"/>
          <w:sz w:val="20"/>
          <w:szCs w:val="20"/>
        </w:rPr>
        <w:t>j</w:t>
      </w:r>
      <w:r w:rsidRPr="00BF7E57">
        <w:rPr>
          <w:rFonts w:ascii="Arial" w:hAnsi="Arial" w:cs="Arial"/>
          <w:sz w:val="20"/>
          <w:szCs w:val="20"/>
        </w:rPr>
        <w:t xml:space="preserve">večji delež zaposlenih v terciarnem sektorju (63,11 %), v primarnem le 6,89 % zaposlenih (v podeželskih regijah 10,41 %). Kmetijstvo je leta 2019 zaposlovalo 3,91 % zaposlenih v Sloveniji. </w:t>
      </w:r>
      <w:r w:rsidR="008949A2" w:rsidRPr="00BF7E57">
        <w:rPr>
          <w:rFonts w:ascii="Arial" w:hAnsi="Arial" w:cs="Arial"/>
          <w:sz w:val="20"/>
          <w:szCs w:val="20"/>
        </w:rPr>
        <w:t>Najpomembnejše področje po številu zaposlenih in po vrednosti sredstev v letu 2019 je bilo področje predelovalnih dejavnosti (36,7 % vseh zaposlenih, 30,7 % vseh prihodkov).</w:t>
      </w:r>
      <w:r w:rsidRPr="00BF7E57">
        <w:rPr>
          <w:rFonts w:ascii="Arial" w:hAnsi="Arial" w:cs="Arial"/>
          <w:sz w:val="20"/>
          <w:szCs w:val="20"/>
        </w:rPr>
        <w:t xml:space="preserve"> </w:t>
      </w:r>
      <w:r w:rsidR="008949A2" w:rsidRPr="00BF7E57">
        <w:rPr>
          <w:rFonts w:ascii="Arial" w:hAnsi="Arial" w:cs="Arial"/>
          <w:sz w:val="20"/>
          <w:szCs w:val="20"/>
        </w:rPr>
        <w:t>Od teh jih je največ sodilo v področje trgovine, vzdrževanja in popravil motornih vozil. Po številu družb je drugo najpomembnejše področje strokovne, znanstvene in tehnične dejavnosti (6,3 % vseh zaposlenih), tretje najpomembnejše področje je gradbeništvo (8,8 % vseh zaposlenih), na četrtem mestu pa področje prometa in skladiščenja (8 % vseh zaposlenih).</w:t>
      </w:r>
    </w:p>
    <w:p w14:paraId="1A311344" w14:textId="15EBD6E5" w:rsidR="0008099E" w:rsidRPr="00BF7E57" w:rsidRDefault="0008099E" w:rsidP="00A5125A">
      <w:pPr>
        <w:pStyle w:val="Napis"/>
      </w:pPr>
      <w:bookmarkStart w:id="153" w:name="_Toc55913724"/>
      <w:bookmarkStart w:id="154" w:name="_Toc8682646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27</w:t>
      </w:r>
      <w:r w:rsidR="00A30B83" w:rsidRPr="00BF7E57">
        <w:rPr>
          <w:noProof/>
        </w:rPr>
        <w:fldChar w:fldCharType="end"/>
      </w:r>
      <w:r w:rsidRPr="00BF7E57">
        <w:t>: Zaposlovanje po sektorjih</w:t>
      </w:r>
      <w:bookmarkEnd w:id="154"/>
    </w:p>
    <w:bookmarkEnd w:id="153"/>
    <w:p w14:paraId="76D06290" w14:textId="4D3FF362" w:rsidR="008949A2" w:rsidRPr="00BF7E57" w:rsidRDefault="008949A2" w:rsidP="00A5125A">
      <w:pPr>
        <w:pStyle w:val="Napis"/>
      </w:pPr>
    </w:p>
    <w:tbl>
      <w:tblPr>
        <w:tblW w:w="9333" w:type="dxa"/>
        <w:tblCellMar>
          <w:left w:w="70" w:type="dxa"/>
          <w:right w:w="70" w:type="dxa"/>
        </w:tblCellMar>
        <w:tblLook w:val="04A0" w:firstRow="1" w:lastRow="0" w:firstColumn="1" w:lastColumn="0" w:noHBand="0" w:noVBand="1"/>
      </w:tblPr>
      <w:tblGrid>
        <w:gridCol w:w="1110"/>
        <w:gridCol w:w="1012"/>
        <w:gridCol w:w="1306"/>
        <w:gridCol w:w="793"/>
        <w:gridCol w:w="763"/>
        <w:gridCol w:w="713"/>
        <w:gridCol w:w="713"/>
        <w:gridCol w:w="634"/>
        <w:gridCol w:w="763"/>
        <w:gridCol w:w="763"/>
        <w:gridCol w:w="763"/>
      </w:tblGrid>
      <w:tr w:rsidR="00E77D01" w:rsidRPr="00BF7E57" w14:paraId="34BD1E03" w14:textId="77777777" w:rsidTr="00E77D01">
        <w:trPr>
          <w:trHeight w:val="178"/>
        </w:trPr>
        <w:tc>
          <w:tcPr>
            <w:tcW w:w="3428" w:type="dxa"/>
            <w:gridSpan w:val="3"/>
            <w:tcBorders>
              <w:top w:val="single" w:sz="4" w:space="0" w:color="auto"/>
              <w:left w:val="single" w:sz="4" w:space="0" w:color="auto"/>
              <w:bottom w:val="single" w:sz="4" w:space="0" w:color="auto"/>
              <w:right w:val="single" w:sz="4" w:space="0" w:color="auto"/>
            </w:tcBorders>
            <w:shd w:val="clear" w:color="auto" w:fill="92D050"/>
            <w:vAlign w:val="bottom"/>
            <w:hideMark/>
          </w:tcPr>
          <w:p w14:paraId="5FDF27DC" w14:textId="7A8EAB8D" w:rsidR="00E77D01" w:rsidRPr="00BF7E57" w:rsidRDefault="00E77D01" w:rsidP="00E77D01">
            <w:pPr>
              <w:spacing w:before="60" w:after="0" w:line="312" w:lineRule="auto"/>
              <w:rPr>
                <w:rFonts w:ascii="Arial" w:hAnsi="Arial" w:cs="Arial"/>
                <w:color w:val="000000"/>
                <w:sz w:val="16"/>
                <w:szCs w:val="16"/>
                <w:lang w:eastAsia="sl-SI"/>
              </w:rPr>
            </w:pPr>
            <w:r w:rsidRPr="00BF7E57">
              <w:rPr>
                <w:rFonts w:ascii="Arial" w:hAnsi="Arial" w:cs="Arial"/>
                <w:color w:val="000000"/>
                <w:sz w:val="16"/>
                <w:szCs w:val="16"/>
                <w:lang w:eastAsia="sl-SI"/>
              </w:rPr>
              <w:t>Kazalnik</w:t>
            </w:r>
          </w:p>
          <w:p w14:paraId="1DFC2685" w14:textId="72CA8F0F" w:rsidR="00E77D01" w:rsidRPr="00BF7E57" w:rsidRDefault="00E77D01" w:rsidP="00E77D01">
            <w:pPr>
              <w:spacing w:before="60" w:after="0" w:line="312" w:lineRule="auto"/>
              <w:rPr>
                <w:rFonts w:ascii="Arial" w:hAnsi="Arial" w:cs="Arial"/>
                <w:color w:val="000000"/>
                <w:sz w:val="16"/>
                <w:szCs w:val="16"/>
                <w:lang w:eastAsia="sl-SI"/>
              </w:rPr>
            </w:pPr>
            <w:r w:rsidRPr="00BF7E57">
              <w:rPr>
                <w:rFonts w:ascii="Arial" w:hAnsi="Arial" w:cs="Arial"/>
                <w:color w:val="000000"/>
                <w:sz w:val="16"/>
                <w:szCs w:val="16"/>
                <w:lang w:eastAsia="sl-SI"/>
              </w:rPr>
              <w:t> </w:t>
            </w:r>
          </w:p>
        </w:tc>
        <w:tc>
          <w:tcPr>
            <w:tcW w:w="793" w:type="dxa"/>
            <w:tcBorders>
              <w:top w:val="single" w:sz="4" w:space="0" w:color="auto"/>
              <w:left w:val="nil"/>
              <w:bottom w:val="single" w:sz="4" w:space="0" w:color="auto"/>
              <w:right w:val="single" w:sz="4" w:space="0" w:color="auto"/>
            </w:tcBorders>
            <w:shd w:val="clear" w:color="auto" w:fill="92D050"/>
            <w:noWrap/>
            <w:vAlign w:val="bottom"/>
            <w:hideMark/>
          </w:tcPr>
          <w:p w14:paraId="6D5E85BE" w14:textId="77777777" w:rsidR="00E77D01" w:rsidRPr="00BF7E57" w:rsidRDefault="00E77D01"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 </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E3DCA86"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2008</w:t>
            </w:r>
          </w:p>
        </w:tc>
        <w:tc>
          <w:tcPr>
            <w:tcW w:w="713" w:type="dxa"/>
            <w:tcBorders>
              <w:top w:val="single" w:sz="4" w:space="0" w:color="auto"/>
              <w:left w:val="nil"/>
              <w:bottom w:val="single" w:sz="4" w:space="0" w:color="auto"/>
              <w:right w:val="single" w:sz="4" w:space="0" w:color="auto"/>
            </w:tcBorders>
            <w:shd w:val="clear" w:color="auto" w:fill="92D050"/>
            <w:noWrap/>
            <w:vAlign w:val="bottom"/>
            <w:hideMark/>
          </w:tcPr>
          <w:p w14:paraId="038F644E"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2010</w:t>
            </w:r>
          </w:p>
        </w:tc>
        <w:tc>
          <w:tcPr>
            <w:tcW w:w="713" w:type="dxa"/>
            <w:tcBorders>
              <w:top w:val="single" w:sz="4" w:space="0" w:color="auto"/>
              <w:left w:val="nil"/>
              <w:bottom w:val="single" w:sz="4" w:space="0" w:color="auto"/>
              <w:right w:val="single" w:sz="4" w:space="0" w:color="auto"/>
            </w:tcBorders>
            <w:shd w:val="clear" w:color="auto" w:fill="92D050"/>
            <w:noWrap/>
            <w:vAlign w:val="bottom"/>
            <w:hideMark/>
          </w:tcPr>
          <w:p w14:paraId="2F07ADD9"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2013</w:t>
            </w:r>
          </w:p>
        </w:tc>
        <w:tc>
          <w:tcPr>
            <w:tcW w:w="634" w:type="dxa"/>
            <w:tcBorders>
              <w:top w:val="single" w:sz="4" w:space="0" w:color="auto"/>
              <w:left w:val="nil"/>
              <w:bottom w:val="single" w:sz="4" w:space="0" w:color="auto"/>
              <w:right w:val="single" w:sz="4" w:space="0" w:color="auto"/>
            </w:tcBorders>
            <w:shd w:val="clear" w:color="auto" w:fill="92D050"/>
            <w:noWrap/>
            <w:vAlign w:val="bottom"/>
            <w:hideMark/>
          </w:tcPr>
          <w:p w14:paraId="54A5296F"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2015</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F336BBA"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2018</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2B8A7B2"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2019</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11062B70"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2020</w:t>
            </w:r>
          </w:p>
        </w:tc>
      </w:tr>
      <w:tr w:rsidR="007C3D4B" w:rsidRPr="00BF7E57" w14:paraId="6FB26539" w14:textId="77777777" w:rsidTr="00E77D01">
        <w:trPr>
          <w:trHeight w:val="241"/>
        </w:trPr>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14:paraId="56352704" w14:textId="2F591F05" w:rsidR="007C3D4B"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C.11 Struktura</w:t>
            </w:r>
            <w:r w:rsidR="007C3D4B" w:rsidRPr="00BF7E57">
              <w:rPr>
                <w:rFonts w:ascii="Arial" w:hAnsi="Arial" w:cs="Arial"/>
                <w:b/>
                <w:color w:val="000000"/>
                <w:sz w:val="16"/>
                <w:szCs w:val="16"/>
                <w:lang w:eastAsia="sl-SI"/>
              </w:rPr>
              <w:t xml:space="preserve"> zaposlenosti</w:t>
            </w: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0269AB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Sektor</w:t>
            </w:r>
          </w:p>
        </w:tc>
        <w:tc>
          <w:tcPr>
            <w:tcW w:w="1306" w:type="dxa"/>
            <w:tcBorders>
              <w:top w:val="nil"/>
              <w:left w:val="nil"/>
              <w:bottom w:val="single" w:sz="4" w:space="0" w:color="auto"/>
              <w:right w:val="single" w:sz="4" w:space="0" w:color="auto"/>
            </w:tcBorders>
            <w:shd w:val="clear" w:color="auto" w:fill="auto"/>
            <w:noWrap/>
            <w:vAlign w:val="bottom"/>
            <w:hideMark/>
          </w:tcPr>
          <w:p w14:paraId="74097B1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2AC55A0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01AE16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8,31</w:t>
            </w:r>
          </w:p>
        </w:tc>
        <w:tc>
          <w:tcPr>
            <w:tcW w:w="713" w:type="dxa"/>
            <w:tcBorders>
              <w:top w:val="nil"/>
              <w:left w:val="nil"/>
              <w:bottom w:val="single" w:sz="4" w:space="0" w:color="auto"/>
              <w:right w:val="single" w:sz="4" w:space="0" w:color="auto"/>
            </w:tcBorders>
            <w:shd w:val="clear" w:color="auto" w:fill="auto"/>
            <w:noWrap/>
            <w:vAlign w:val="bottom"/>
            <w:hideMark/>
          </w:tcPr>
          <w:p w14:paraId="5246351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8,31</w:t>
            </w:r>
          </w:p>
        </w:tc>
        <w:tc>
          <w:tcPr>
            <w:tcW w:w="713" w:type="dxa"/>
            <w:tcBorders>
              <w:top w:val="nil"/>
              <w:left w:val="nil"/>
              <w:bottom w:val="single" w:sz="4" w:space="0" w:color="auto"/>
              <w:right w:val="single" w:sz="4" w:space="0" w:color="auto"/>
            </w:tcBorders>
            <w:shd w:val="clear" w:color="auto" w:fill="auto"/>
            <w:noWrap/>
            <w:vAlign w:val="bottom"/>
            <w:hideMark/>
          </w:tcPr>
          <w:p w14:paraId="6A6F72D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8,33</w:t>
            </w:r>
          </w:p>
        </w:tc>
        <w:tc>
          <w:tcPr>
            <w:tcW w:w="634" w:type="dxa"/>
            <w:tcBorders>
              <w:top w:val="nil"/>
              <w:left w:val="nil"/>
              <w:bottom w:val="single" w:sz="4" w:space="0" w:color="auto"/>
              <w:right w:val="single" w:sz="4" w:space="0" w:color="auto"/>
            </w:tcBorders>
            <w:shd w:val="clear" w:color="auto" w:fill="auto"/>
            <w:noWrap/>
            <w:vAlign w:val="bottom"/>
            <w:hideMark/>
          </w:tcPr>
          <w:p w14:paraId="5094B65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7,97</w:t>
            </w:r>
          </w:p>
        </w:tc>
        <w:tc>
          <w:tcPr>
            <w:tcW w:w="763" w:type="dxa"/>
            <w:tcBorders>
              <w:top w:val="nil"/>
              <w:left w:val="nil"/>
              <w:bottom w:val="single" w:sz="4" w:space="0" w:color="auto"/>
              <w:right w:val="single" w:sz="4" w:space="0" w:color="auto"/>
            </w:tcBorders>
            <w:shd w:val="clear" w:color="auto" w:fill="auto"/>
            <w:noWrap/>
            <w:vAlign w:val="bottom"/>
            <w:hideMark/>
          </w:tcPr>
          <w:p w14:paraId="7424B99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7,16</w:t>
            </w:r>
          </w:p>
        </w:tc>
        <w:tc>
          <w:tcPr>
            <w:tcW w:w="763" w:type="dxa"/>
            <w:tcBorders>
              <w:top w:val="nil"/>
              <w:left w:val="nil"/>
              <w:bottom w:val="single" w:sz="4" w:space="0" w:color="auto"/>
              <w:right w:val="single" w:sz="4" w:space="0" w:color="auto"/>
            </w:tcBorders>
            <w:shd w:val="clear" w:color="auto" w:fill="auto"/>
            <w:noWrap/>
            <w:vAlign w:val="bottom"/>
            <w:hideMark/>
          </w:tcPr>
          <w:p w14:paraId="3FF1C63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6,95</w:t>
            </w:r>
          </w:p>
        </w:tc>
        <w:tc>
          <w:tcPr>
            <w:tcW w:w="763" w:type="dxa"/>
            <w:tcBorders>
              <w:top w:val="nil"/>
              <w:left w:val="nil"/>
              <w:bottom w:val="single" w:sz="4" w:space="0" w:color="auto"/>
              <w:right w:val="single" w:sz="4" w:space="0" w:color="auto"/>
            </w:tcBorders>
            <w:shd w:val="clear" w:color="auto" w:fill="auto"/>
            <w:noWrap/>
            <w:vAlign w:val="bottom"/>
            <w:hideMark/>
          </w:tcPr>
          <w:p w14:paraId="394D90A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6,89</w:t>
            </w:r>
          </w:p>
        </w:tc>
      </w:tr>
      <w:tr w:rsidR="007C3D4B" w:rsidRPr="00BF7E57" w14:paraId="1F5B6D67"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29E23BC3"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671B6BA6"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1FDA7E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1B1F38A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7CC986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34,30</w:t>
            </w:r>
          </w:p>
        </w:tc>
        <w:tc>
          <w:tcPr>
            <w:tcW w:w="713" w:type="dxa"/>
            <w:tcBorders>
              <w:top w:val="nil"/>
              <w:left w:val="nil"/>
              <w:bottom w:val="single" w:sz="4" w:space="0" w:color="auto"/>
              <w:right w:val="single" w:sz="4" w:space="0" w:color="auto"/>
            </w:tcBorders>
            <w:shd w:val="clear" w:color="auto" w:fill="auto"/>
            <w:noWrap/>
            <w:vAlign w:val="bottom"/>
            <w:hideMark/>
          </w:tcPr>
          <w:p w14:paraId="1EFED94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31,15</w:t>
            </w:r>
          </w:p>
        </w:tc>
        <w:tc>
          <w:tcPr>
            <w:tcW w:w="713" w:type="dxa"/>
            <w:tcBorders>
              <w:top w:val="nil"/>
              <w:left w:val="nil"/>
              <w:bottom w:val="single" w:sz="4" w:space="0" w:color="auto"/>
              <w:right w:val="single" w:sz="4" w:space="0" w:color="auto"/>
            </w:tcBorders>
            <w:shd w:val="clear" w:color="auto" w:fill="auto"/>
            <w:noWrap/>
            <w:vAlign w:val="bottom"/>
            <w:hideMark/>
          </w:tcPr>
          <w:p w14:paraId="31E1F49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29,40</w:t>
            </w:r>
          </w:p>
        </w:tc>
        <w:tc>
          <w:tcPr>
            <w:tcW w:w="634" w:type="dxa"/>
            <w:tcBorders>
              <w:top w:val="nil"/>
              <w:left w:val="nil"/>
              <w:bottom w:val="single" w:sz="4" w:space="0" w:color="auto"/>
              <w:right w:val="single" w:sz="4" w:space="0" w:color="auto"/>
            </w:tcBorders>
            <w:shd w:val="clear" w:color="auto" w:fill="auto"/>
            <w:noWrap/>
            <w:vAlign w:val="bottom"/>
            <w:hideMark/>
          </w:tcPr>
          <w:p w14:paraId="447164D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29,31</w:t>
            </w:r>
          </w:p>
        </w:tc>
        <w:tc>
          <w:tcPr>
            <w:tcW w:w="763" w:type="dxa"/>
            <w:tcBorders>
              <w:top w:val="nil"/>
              <w:left w:val="nil"/>
              <w:bottom w:val="single" w:sz="4" w:space="0" w:color="auto"/>
              <w:right w:val="single" w:sz="4" w:space="0" w:color="auto"/>
            </w:tcBorders>
            <w:shd w:val="clear" w:color="auto" w:fill="auto"/>
            <w:noWrap/>
            <w:vAlign w:val="bottom"/>
            <w:hideMark/>
          </w:tcPr>
          <w:p w14:paraId="4D35EB4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29,71</w:t>
            </w:r>
          </w:p>
        </w:tc>
        <w:tc>
          <w:tcPr>
            <w:tcW w:w="763" w:type="dxa"/>
            <w:tcBorders>
              <w:top w:val="nil"/>
              <w:left w:val="nil"/>
              <w:bottom w:val="single" w:sz="4" w:space="0" w:color="auto"/>
              <w:right w:val="single" w:sz="4" w:space="0" w:color="auto"/>
            </w:tcBorders>
            <w:shd w:val="clear" w:color="auto" w:fill="auto"/>
            <w:noWrap/>
            <w:vAlign w:val="bottom"/>
            <w:hideMark/>
          </w:tcPr>
          <w:p w14:paraId="28903A4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30,13</w:t>
            </w:r>
          </w:p>
        </w:tc>
        <w:tc>
          <w:tcPr>
            <w:tcW w:w="763" w:type="dxa"/>
            <w:tcBorders>
              <w:top w:val="nil"/>
              <w:left w:val="nil"/>
              <w:bottom w:val="single" w:sz="4" w:space="0" w:color="auto"/>
              <w:right w:val="single" w:sz="4" w:space="0" w:color="auto"/>
            </w:tcBorders>
            <w:shd w:val="clear" w:color="auto" w:fill="auto"/>
            <w:noWrap/>
            <w:vAlign w:val="bottom"/>
            <w:hideMark/>
          </w:tcPr>
          <w:p w14:paraId="401922D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30,00</w:t>
            </w:r>
          </w:p>
        </w:tc>
      </w:tr>
      <w:tr w:rsidR="007C3D4B" w:rsidRPr="00BF7E57" w14:paraId="261DB9C6"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180B83A"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12283834"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C00E00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389F752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585D9E9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57,39</w:t>
            </w:r>
          </w:p>
        </w:tc>
        <w:tc>
          <w:tcPr>
            <w:tcW w:w="713" w:type="dxa"/>
            <w:tcBorders>
              <w:top w:val="nil"/>
              <w:left w:val="nil"/>
              <w:bottom w:val="single" w:sz="4" w:space="0" w:color="auto"/>
              <w:right w:val="single" w:sz="4" w:space="0" w:color="auto"/>
            </w:tcBorders>
            <w:shd w:val="clear" w:color="auto" w:fill="auto"/>
            <w:noWrap/>
            <w:vAlign w:val="bottom"/>
            <w:hideMark/>
          </w:tcPr>
          <w:p w14:paraId="1A99459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60,55</w:t>
            </w:r>
          </w:p>
        </w:tc>
        <w:tc>
          <w:tcPr>
            <w:tcW w:w="713" w:type="dxa"/>
            <w:tcBorders>
              <w:top w:val="nil"/>
              <w:left w:val="nil"/>
              <w:bottom w:val="single" w:sz="4" w:space="0" w:color="auto"/>
              <w:right w:val="single" w:sz="4" w:space="0" w:color="auto"/>
            </w:tcBorders>
            <w:shd w:val="clear" w:color="auto" w:fill="auto"/>
            <w:noWrap/>
            <w:vAlign w:val="bottom"/>
            <w:hideMark/>
          </w:tcPr>
          <w:p w14:paraId="050FAA0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62,27</w:t>
            </w:r>
          </w:p>
        </w:tc>
        <w:tc>
          <w:tcPr>
            <w:tcW w:w="634" w:type="dxa"/>
            <w:tcBorders>
              <w:top w:val="nil"/>
              <w:left w:val="nil"/>
              <w:bottom w:val="single" w:sz="4" w:space="0" w:color="auto"/>
              <w:right w:val="single" w:sz="4" w:space="0" w:color="auto"/>
            </w:tcBorders>
            <w:shd w:val="clear" w:color="auto" w:fill="auto"/>
            <w:noWrap/>
            <w:vAlign w:val="bottom"/>
            <w:hideMark/>
          </w:tcPr>
          <w:p w14:paraId="44FB28F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62,72</w:t>
            </w:r>
          </w:p>
        </w:tc>
        <w:tc>
          <w:tcPr>
            <w:tcW w:w="763" w:type="dxa"/>
            <w:tcBorders>
              <w:top w:val="nil"/>
              <w:left w:val="nil"/>
              <w:bottom w:val="single" w:sz="4" w:space="0" w:color="auto"/>
              <w:right w:val="single" w:sz="4" w:space="0" w:color="auto"/>
            </w:tcBorders>
            <w:shd w:val="clear" w:color="auto" w:fill="auto"/>
            <w:noWrap/>
            <w:vAlign w:val="bottom"/>
            <w:hideMark/>
          </w:tcPr>
          <w:p w14:paraId="725F2B5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63,13</w:t>
            </w:r>
          </w:p>
        </w:tc>
        <w:tc>
          <w:tcPr>
            <w:tcW w:w="763" w:type="dxa"/>
            <w:tcBorders>
              <w:top w:val="nil"/>
              <w:left w:val="nil"/>
              <w:bottom w:val="single" w:sz="4" w:space="0" w:color="auto"/>
              <w:right w:val="single" w:sz="4" w:space="0" w:color="auto"/>
            </w:tcBorders>
            <w:shd w:val="clear" w:color="auto" w:fill="auto"/>
            <w:noWrap/>
            <w:vAlign w:val="bottom"/>
            <w:hideMark/>
          </w:tcPr>
          <w:p w14:paraId="480EE83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62,92</w:t>
            </w:r>
          </w:p>
        </w:tc>
        <w:tc>
          <w:tcPr>
            <w:tcW w:w="763" w:type="dxa"/>
            <w:tcBorders>
              <w:top w:val="nil"/>
              <w:left w:val="nil"/>
              <w:bottom w:val="single" w:sz="4" w:space="0" w:color="auto"/>
              <w:right w:val="single" w:sz="4" w:space="0" w:color="auto"/>
            </w:tcBorders>
            <w:shd w:val="clear" w:color="auto" w:fill="auto"/>
            <w:noWrap/>
            <w:vAlign w:val="bottom"/>
            <w:hideMark/>
          </w:tcPr>
          <w:p w14:paraId="7EEEB18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63,11</w:t>
            </w:r>
          </w:p>
        </w:tc>
      </w:tr>
      <w:tr w:rsidR="007C3D4B" w:rsidRPr="00BF7E57" w14:paraId="0F9ABC7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D6CB513"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2E6B731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Glede na tip regije</w:t>
            </w:r>
          </w:p>
        </w:tc>
        <w:tc>
          <w:tcPr>
            <w:tcW w:w="1306" w:type="dxa"/>
            <w:tcBorders>
              <w:top w:val="nil"/>
              <w:left w:val="nil"/>
              <w:bottom w:val="single" w:sz="4" w:space="0" w:color="auto"/>
              <w:right w:val="single" w:sz="4" w:space="0" w:color="auto"/>
            </w:tcBorders>
            <w:shd w:val="clear" w:color="auto" w:fill="auto"/>
            <w:noWrap/>
            <w:vAlign w:val="bottom"/>
            <w:hideMark/>
          </w:tcPr>
          <w:p w14:paraId="6B2A32D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vmesne regije</w:t>
            </w:r>
          </w:p>
        </w:tc>
        <w:tc>
          <w:tcPr>
            <w:tcW w:w="793" w:type="dxa"/>
            <w:tcBorders>
              <w:top w:val="nil"/>
              <w:left w:val="nil"/>
              <w:bottom w:val="single" w:sz="4" w:space="0" w:color="auto"/>
              <w:right w:val="single" w:sz="4" w:space="0" w:color="auto"/>
            </w:tcBorders>
            <w:shd w:val="clear" w:color="auto" w:fill="auto"/>
            <w:noWrap/>
            <w:vAlign w:val="bottom"/>
            <w:hideMark/>
          </w:tcPr>
          <w:p w14:paraId="4CEDFA0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609E1C7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45,07</w:t>
            </w:r>
          </w:p>
        </w:tc>
        <w:tc>
          <w:tcPr>
            <w:tcW w:w="713" w:type="dxa"/>
            <w:tcBorders>
              <w:top w:val="nil"/>
              <w:left w:val="nil"/>
              <w:bottom w:val="single" w:sz="4" w:space="0" w:color="auto"/>
              <w:right w:val="single" w:sz="4" w:space="0" w:color="auto"/>
            </w:tcBorders>
            <w:shd w:val="clear" w:color="auto" w:fill="auto"/>
            <w:noWrap/>
            <w:vAlign w:val="bottom"/>
            <w:hideMark/>
          </w:tcPr>
          <w:p w14:paraId="2CB7AC7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45,95</w:t>
            </w:r>
          </w:p>
        </w:tc>
        <w:tc>
          <w:tcPr>
            <w:tcW w:w="713" w:type="dxa"/>
            <w:tcBorders>
              <w:top w:val="nil"/>
              <w:left w:val="nil"/>
              <w:bottom w:val="single" w:sz="4" w:space="0" w:color="auto"/>
              <w:right w:val="single" w:sz="4" w:space="0" w:color="auto"/>
            </w:tcBorders>
            <w:shd w:val="clear" w:color="auto" w:fill="auto"/>
            <w:noWrap/>
            <w:vAlign w:val="bottom"/>
            <w:hideMark/>
          </w:tcPr>
          <w:p w14:paraId="1D6149B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46,66</w:t>
            </w:r>
          </w:p>
        </w:tc>
        <w:tc>
          <w:tcPr>
            <w:tcW w:w="634" w:type="dxa"/>
            <w:tcBorders>
              <w:top w:val="nil"/>
              <w:left w:val="nil"/>
              <w:bottom w:val="single" w:sz="4" w:space="0" w:color="auto"/>
              <w:right w:val="single" w:sz="4" w:space="0" w:color="auto"/>
            </w:tcBorders>
            <w:shd w:val="clear" w:color="auto" w:fill="auto"/>
            <w:noWrap/>
            <w:vAlign w:val="bottom"/>
            <w:hideMark/>
          </w:tcPr>
          <w:p w14:paraId="3856F46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46,97</w:t>
            </w:r>
          </w:p>
        </w:tc>
        <w:tc>
          <w:tcPr>
            <w:tcW w:w="763" w:type="dxa"/>
            <w:tcBorders>
              <w:top w:val="nil"/>
              <w:left w:val="nil"/>
              <w:bottom w:val="single" w:sz="4" w:space="0" w:color="auto"/>
              <w:right w:val="single" w:sz="4" w:space="0" w:color="auto"/>
            </w:tcBorders>
            <w:shd w:val="clear" w:color="auto" w:fill="auto"/>
            <w:noWrap/>
            <w:vAlign w:val="bottom"/>
            <w:hideMark/>
          </w:tcPr>
          <w:p w14:paraId="7AEB39A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47,39</w:t>
            </w:r>
          </w:p>
        </w:tc>
        <w:tc>
          <w:tcPr>
            <w:tcW w:w="763" w:type="dxa"/>
            <w:tcBorders>
              <w:top w:val="nil"/>
              <w:left w:val="nil"/>
              <w:bottom w:val="single" w:sz="4" w:space="0" w:color="auto"/>
              <w:right w:val="single" w:sz="4" w:space="0" w:color="auto"/>
            </w:tcBorders>
            <w:shd w:val="clear" w:color="auto" w:fill="auto"/>
            <w:noWrap/>
            <w:vAlign w:val="bottom"/>
            <w:hideMark/>
          </w:tcPr>
          <w:p w14:paraId="2D10CAB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47,92</w:t>
            </w:r>
          </w:p>
        </w:tc>
        <w:tc>
          <w:tcPr>
            <w:tcW w:w="763" w:type="dxa"/>
            <w:tcBorders>
              <w:top w:val="nil"/>
              <w:left w:val="nil"/>
              <w:bottom w:val="single" w:sz="4" w:space="0" w:color="auto"/>
              <w:right w:val="single" w:sz="4" w:space="0" w:color="auto"/>
            </w:tcBorders>
            <w:shd w:val="clear" w:color="auto" w:fill="auto"/>
            <w:noWrap/>
            <w:vAlign w:val="bottom"/>
            <w:hideMark/>
          </w:tcPr>
          <w:p w14:paraId="783E785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14DF1D5E"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E3C7FE3"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320307D3"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394FF3C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podeželske regije</w:t>
            </w:r>
          </w:p>
        </w:tc>
        <w:tc>
          <w:tcPr>
            <w:tcW w:w="793" w:type="dxa"/>
            <w:tcBorders>
              <w:top w:val="nil"/>
              <w:left w:val="nil"/>
              <w:bottom w:val="single" w:sz="4" w:space="0" w:color="auto"/>
              <w:right w:val="single" w:sz="4" w:space="0" w:color="auto"/>
            </w:tcBorders>
            <w:shd w:val="clear" w:color="auto" w:fill="auto"/>
            <w:noWrap/>
            <w:vAlign w:val="bottom"/>
            <w:hideMark/>
          </w:tcPr>
          <w:p w14:paraId="4B47259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037A73C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54,93</w:t>
            </w:r>
          </w:p>
        </w:tc>
        <w:tc>
          <w:tcPr>
            <w:tcW w:w="713" w:type="dxa"/>
            <w:tcBorders>
              <w:top w:val="nil"/>
              <w:left w:val="nil"/>
              <w:bottom w:val="single" w:sz="4" w:space="0" w:color="auto"/>
              <w:right w:val="single" w:sz="4" w:space="0" w:color="auto"/>
            </w:tcBorders>
            <w:shd w:val="clear" w:color="auto" w:fill="auto"/>
            <w:noWrap/>
            <w:vAlign w:val="bottom"/>
            <w:hideMark/>
          </w:tcPr>
          <w:p w14:paraId="0BB7F27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54,05</w:t>
            </w:r>
          </w:p>
        </w:tc>
        <w:tc>
          <w:tcPr>
            <w:tcW w:w="713" w:type="dxa"/>
            <w:tcBorders>
              <w:top w:val="nil"/>
              <w:left w:val="nil"/>
              <w:bottom w:val="single" w:sz="4" w:space="0" w:color="auto"/>
              <w:right w:val="single" w:sz="4" w:space="0" w:color="auto"/>
            </w:tcBorders>
            <w:shd w:val="clear" w:color="auto" w:fill="auto"/>
            <w:noWrap/>
            <w:vAlign w:val="bottom"/>
            <w:hideMark/>
          </w:tcPr>
          <w:p w14:paraId="2ADE2F1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53,34</w:t>
            </w:r>
          </w:p>
        </w:tc>
        <w:tc>
          <w:tcPr>
            <w:tcW w:w="634" w:type="dxa"/>
            <w:tcBorders>
              <w:top w:val="nil"/>
              <w:left w:val="nil"/>
              <w:bottom w:val="single" w:sz="4" w:space="0" w:color="auto"/>
              <w:right w:val="single" w:sz="4" w:space="0" w:color="auto"/>
            </w:tcBorders>
            <w:shd w:val="clear" w:color="auto" w:fill="auto"/>
            <w:noWrap/>
            <w:vAlign w:val="bottom"/>
            <w:hideMark/>
          </w:tcPr>
          <w:p w14:paraId="28C0D64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53,03</w:t>
            </w:r>
          </w:p>
        </w:tc>
        <w:tc>
          <w:tcPr>
            <w:tcW w:w="763" w:type="dxa"/>
            <w:tcBorders>
              <w:top w:val="nil"/>
              <w:left w:val="nil"/>
              <w:bottom w:val="single" w:sz="4" w:space="0" w:color="auto"/>
              <w:right w:val="single" w:sz="4" w:space="0" w:color="auto"/>
            </w:tcBorders>
            <w:shd w:val="clear" w:color="auto" w:fill="auto"/>
            <w:noWrap/>
            <w:vAlign w:val="bottom"/>
            <w:hideMark/>
          </w:tcPr>
          <w:p w14:paraId="08EA1F1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52,61</w:t>
            </w:r>
          </w:p>
        </w:tc>
        <w:tc>
          <w:tcPr>
            <w:tcW w:w="763" w:type="dxa"/>
            <w:tcBorders>
              <w:top w:val="nil"/>
              <w:left w:val="nil"/>
              <w:bottom w:val="single" w:sz="4" w:space="0" w:color="auto"/>
              <w:right w:val="single" w:sz="4" w:space="0" w:color="auto"/>
            </w:tcBorders>
            <w:shd w:val="clear" w:color="auto" w:fill="auto"/>
            <w:noWrap/>
            <w:vAlign w:val="bottom"/>
            <w:hideMark/>
          </w:tcPr>
          <w:p w14:paraId="18B87EE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52,08</w:t>
            </w:r>
          </w:p>
        </w:tc>
        <w:tc>
          <w:tcPr>
            <w:tcW w:w="763" w:type="dxa"/>
            <w:tcBorders>
              <w:top w:val="nil"/>
              <w:left w:val="nil"/>
              <w:bottom w:val="single" w:sz="4" w:space="0" w:color="auto"/>
              <w:right w:val="single" w:sz="4" w:space="0" w:color="auto"/>
            </w:tcBorders>
            <w:shd w:val="clear" w:color="auto" w:fill="auto"/>
            <w:noWrap/>
            <w:vAlign w:val="bottom"/>
            <w:hideMark/>
          </w:tcPr>
          <w:p w14:paraId="78E8C51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0AA036F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4E76503A"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2BF099F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Vmesne regije/sektor</w:t>
            </w:r>
          </w:p>
        </w:tc>
        <w:tc>
          <w:tcPr>
            <w:tcW w:w="1306" w:type="dxa"/>
            <w:tcBorders>
              <w:top w:val="nil"/>
              <w:left w:val="nil"/>
              <w:bottom w:val="single" w:sz="4" w:space="0" w:color="auto"/>
              <w:right w:val="single" w:sz="4" w:space="0" w:color="auto"/>
            </w:tcBorders>
            <w:shd w:val="clear" w:color="auto" w:fill="auto"/>
            <w:noWrap/>
            <w:vAlign w:val="bottom"/>
            <w:hideMark/>
          </w:tcPr>
          <w:p w14:paraId="484E4FF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7F5FD23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A11378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4,01</w:t>
            </w:r>
          </w:p>
        </w:tc>
        <w:tc>
          <w:tcPr>
            <w:tcW w:w="713" w:type="dxa"/>
            <w:tcBorders>
              <w:top w:val="nil"/>
              <w:left w:val="nil"/>
              <w:bottom w:val="single" w:sz="4" w:space="0" w:color="auto"/>
              <w:right w:val="single" w:sz="4" w:space="0" w:color="auto"/>
            </w:tcBorders>
            <w:shd w:val="clear" w:color="auto" w:fill="auto"/>
            <w:noWrap/>
            <w:vAlign w:val="bottom"/>
            <w:hideMark/>
          </w:tcPr>
          <w:p w14:paraId="218B963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3,96</w:t>
            </w:r>
          </w:p>
        </w:tc>
        <w:tc>
          <w:tcPr>
            <w:tcW w:w="713" w:type="dxa"/>
            <w:tcBorders>
              <w:top w:val="nil"/>
              <w:left w:val="nil"/>
              <w:bottom w:val="single" w:sz="4" w:space="0" w:color="auto"/>
              <w:right w:val="single" w:sz="4" w:space="0" w:color="auto"/>
            </w:tcBorders>
            <w:shd w:val="clear" w:color="auto" w:fill="auto"/>
            <w:noWrap/>
            <w:vAlign w:val="bottom"/>
            <w:hideMark/>
          </w:tcPr>
          <w:p w14:paraId="030DF4C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3,84</w:t>
            </w:r>
          </w:p>
        </w:tc>
        <w:tc>
          <w:tcPr>
            <w:tcW w:w="634" w:type="dxa"/>
            <w:tcBorders>
              <w:top w:val="nil"/>
              <w:left w:val="nil"/>
              <w:bottom w:val="single" w:sz="4" w:space="0" w:color="auto"/>
              <w:right w:val="single" w:sz="4" w:space="0" w:color="auto"/>
            </w:tcBorders>
            <w:shd w:val="clear" w:color="auto" w:fill="auto"/>
            <w:noWrap/>
            <w:vAlign w:val="bottom"/>
            <w:hideMark/>
          </w:tcPr>
          <w:p w14:paraId="497520E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3,72</w:t>
            </w:r>
          </w:p>
        </w:tc>
        <w:tc>
          <w:tcPr>
            <w:tcW w:w="763" w:type="dxa"/>
            <w:tcBorders>
              <w:top w:val="nil"/>
              <w:left w:val="nil"/>
              <w:bottom w:val="single" w:sz="4" w:space="0" w:color="auto"/>
              <w:right w:val="single" w:sz="4" w:space="0" w:color="auto"/>
            </w:tcBorders>
            <w:shd w:val="clear" w:color="auto" w:fill="auto"/>
            <w:noWrap/>
            <w:vAlign w:val="bottom"/>
            <w:hideMark/>
          </w:tcPr>
          <w:p w14:paraId="2D7B51B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3,31</w:t>
            </w:r>
          </w:p>
        </w:tc>
        <w:tc>
          <w:tcPr>
            <w:tcW w:w="763" w:type="dxa"/>
            <w:tcBorders>
              <w:top w:val="nil"/>
              <w:left w:val="nil"/>
              <w:bottom w:val="single" w:sz="4" w:space="0" w:color="auto"/>
              <w:right w:val="single" w:sz="4" w:space="0" w:color="auto"/>
            </w:tcBorders>
            <w:shd w:val="clear" w:color="auto" w:fill="auto"/>
            <w:noWrap/>
            <w:vAlign w:val="bottom"/>
            <w:hideMark/>
          </w:tcPr>
          <w:p w14:paraId="6EFB0BF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3,19</w:t>
            </w:r>
          </w:p>
        </w:tc>
        <w:tc>
          <w:tcPr>
            <w:tcW w:w="763" w:type="dxa"/>
            <w:tcBorders>
              <w:top w:val="nil"/>
              <w:left w:val="nil"/>
              <w:bottom w:val="single" w:sz="4" w:space="0" w:color="auto"/>
              <w:right w:val="single" w:sz="4" w:space="0" w:color="auto"/>
            </w:tcBorders>
            <w:shd w:val="clear" w:color="auto" w:fill="auto"/>
            <w:noWrap/>
            <w:vAlign w:val="bottom"/>
            <w:hideMark/>
          </w:tcPr>
          <w:p w14:paraId="3006A97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1ECD28B8"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F6A4BF2"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6BF05A0E"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7EBBAE7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011FF98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42B34BE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27,22</w:t>
            </w:r>
          </w:p>
        </w:tc>
        <w:tc>
          <w:tcPr>
            <w:tcW w:w="713" w:type="dxa"/>
            <w:tcBorders>
              <w:top w:val="nil"/>
              <w:left w:val="nil"/>
              <w:bottom w:val="single" w:sz="4" w:space="0" w:color="auto"/>
              <w:right w:val="single" w:sz="4" w:space="0" w:color="auto"/>
            </w:tcBorders>
            <w:shd w:val="clear" w:color="auto" w:fill="auto"/>
            <w:noWrap/>
            <w:vAlign w:val="bottom"/>
            <w:hideMark/>
          </w:tcPr>
          <w:p w14:paraId="737319A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24,39</w:t>
            </w:r>
          </w:p>
        </w:tc>
        <w:tc>
          <w:tcPr>
            <w:tcW w:w="713" w:type="dxa"/>
            <w:tcBorders>
              <w:top w:val="nil"/>
              <w:left w:val="nil"/>
              <w:bottom w:val="single" w:sz="4" w:space="0" w:color="auto"/>
              <w:right w:val="single" w:sz="4" w:space="0" w:color="auto"/>
            </w:tcBorders>
            <w:shd w:val="clear" w:color="auto" w:fill="auto"/>
            <w:noWrap/>
            <w:vAlign w:val="bottom"/>
            <w:hideMark/>
          </w:tcPr>
          <w:p w14:paraId="21AB3CD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22,60</w:t>
            </w:r>
          </w:p>
        </w:tc>
        <w:tc>
          <w:tcPr>
            <w:tcW w:w="634" w:type="dxa"/>
            <w:tcBorders>
              <w:top w:val="nil"/>
              <w:left w:val="nil"/>
              <w:bottom w:val="single" w:sz="4" w:space="0" w:color="auto"/>
              <w:right w:val="single" w:sz="4" w:space="0" w:color="auto"/>
            </w:tcBorders>
            <w:shd w:val="clear" w:color="auto" w:fill="auto"/>
            <w:noWrap/>
            <w:vAlign w:val="bottom"/>
            <w:hideMark/>
          </w:tcPr>
          <w:p w14:paraId="4148ACD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22,52</w:t>
            </w:r>
          </w:p>
        </w:tc>
        <w:tc>
          <w:tcPr>
            <w:tcW w:w="763" w:type="dxa"/>
            <w:tcBorders>
              <w:top w:val="nil"/>
              <w:left w:val="nil"/>
              <w:bottom w:val="single" w:sz="4" w:space="0" w:color="auto"/>
              <w:right w:val="single" w:sz="4" w:space="0" w:color="auto"/>
            </w:tcBorders>
            <w:shd w:val="clear" w:color="auto" w:fill="auto"/>
            <w:noWrap/>
            <w:vAlign w:val="bottom"/>
            <w:hideMark/>
          </w:tcPr>
          <w:p w14:paraId="1C1B6D3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22,76</w:t>
            </w:r>
          </w:p>
        </w:tc>
        <w:tc>
          <w:tcPr>
            <w:tcW w:w="763" w:type="dxa"/>
            <w:tcBorders>
              <w:top w:val="nil"/>
              <w:left w:val="nil"/>
              <w:bottom w:val="single" w:sz="4" w:space="0" w:color="auto"/>
              <w:right w:val="single" w:sz="4" w:space="0" w:color="auto"/>
            </w:tcBorders>
            <w:shd w:val="clear" w:color="auto" w:fill="auto"/>
            <w:noWrap/>
            <w:vAlign w:val="bottom"/>
            <w:hideMark/>
          </w:tcPr>
          <w:p w14:paraId="6339271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23,34</w:t>
            </w:r>
          </w:p>
        </w:tc>
        <w:tc>
          <w:tcPr>
            <w:tcW w:w="763" w:type="dxa"/>
            <w:tcBorders>
              <w:top w:val="nil"/>
              <w:left w:val="nil"/>
              <w:bottom w:val="single" w:sz="4" w:space="0" w:color="auto"/>
              <w:right w:val="single" w:sz="4" w:space="0" w:color="auto"/>
            </w:tcBorders>
            <w:shd w:val="clear" w:color="auto" w:fill="auto"/>
            <w:noWrap/>
            <w:vAlign w:val="bottom"/>
            <w:hideMark/>
          </w:tcPr>
          <w:p w14:paraId="229DE7A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70861DF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F9FEB04"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507DFED"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4A26816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423E50D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6BB0F3F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68,78</w:t>
            </w:r>
          </w:p>
        </w:tc>
        <w:tc>
          <w:tcPr>
            <w:tcW w:w="713" w:type="dxa"/>
            <w:tcBorders>
              <w:top w:val="nil"/>
              <w:left w:val="nil"/>
              <w:bottom w:val="single" w:sz="4" w:space="0" w:color="auto"/>
              <w:right w:val="single" w:sz="4" w:space="0" w:color="auto"/>
            </w:tcBorders>
            <w:shd w:val="clear" w:color="auto" w:fill="auto"/>
            <w:noWrap/>
            <w:vAlign w:val="bottom"/>
            <w:hideMark/>
          </w:tcPr>
          <w:p w14:paraId="7E8C481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71,66</w:t>
            </w:r>
          </w:p>
        </w:tc>
        <w:tc>
          <w:tcPr>
            <w:tcW w:w="713" w:type="dxa"/>
            <w:tcBorders>
              <w:top w:val="nil"/>
              <w:left w:val="nil"/>
              <w:bottom w:val="single" w:sz="4" w:space="0" w:color="auto"/>
              <w:right w:val="single" w:sz="4" w:space="0" w:color="auto"/>
            </w:tcBorders>
            <w:shd w:val="clear" w:color="auto" w:fill="auto"/>
            <w:noWrap/>
            <w:vAlign w:val="bottom"/>
            <w:hideMark/>
          </w:tcPr>
          <w:p w14:paraId="66B6497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73,57</w:t>
            </w:r>
          </w:p>
        </w:tc>
        <w:tc>
          <w:tcPr>
            <w:tcW w:w="634" w:type="dxa"/>
            <w:tcBorders>
              <w:top w:val="nil"/>
              <w:left w:val="nil"/>
              <w:bottom w:val="single" w:sz="4" w:space="0" w:color="auto"/>
              <w:right w:val="single" w:sz="4" w:space="0" w:color="auto"/>
            </w:tcBorders>
            <w:shd w:val="clear" w:color="auto" w:fill="auto"/>
            <w:noWrap/>
            <w:vAlign w:val="bottom"/>
            <w:hideMark/>
          </w:tcPr>
          <w:p w14:paraId="7A2DFDA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73,76</w:t>
            </w:r>
          </w:p>
        </w:tc>
        <w:tc>
          <w:tcPr>
            <w:tcW w:w="763" w:type="dxa"/>
            <w:tcBorders>
              <w:top w:val="nil"/>
              <w:left w:val="nil"/>
              <w:bottom w:val="single" w:sz="4" w:space="0" w:color="auto"/>
              <w:right w:val="single" w:sz="4" w:space="0" w:color="auto"/>
            </w:tcBorders>
            <w:shd w:val="clear" w:color="auto" w:fill="auto"/>
            <w:noWrap/>
            <w:vAlign w:val="bottom"/>
            <w:hideMark/>
          </w:tcPr>
          <w:p w14:paraId="5167CC5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73,93</w:t>
            </w:r>
          </w:p>
        </w:tc>
        <w:tc>
          <w:tcPr>
            <w:tcW w:w="763" w:type="dxa"/>
            <w:tcBorders>
              <w:top w:val="nil"/>
              <w:left w:val="nil"/>
              <w:bottom w:val="single" w:sz="4" w:space="0" w:color="auto"/>
              <w:right w:val="single" w:sz="4" w:space="0" w:color="auto"/>
            </w:tcBorders>
            <w:shd w:val="clear" w:color="auto" w:fill="auto"/>
            <w:noWrap/>
            <w:vAlign w:val="bottom"/>
            <w:hideMark/>
          </w:tcPr>
          <w:p w14:paraId="161666E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73,47</w:t>
            </w:r>
          </w:p>
        </w:tc>
        <w:tc>
          <w:tcPr>
            <w:tcW w:w="763" w:type="dxa"/>
            <w:tcBorders>
              <w:top w:val="nil"/>
              <w:left w:val="nil"/>
              <w:bottom w:val="single" w:sz="4" w:space="0" w:color="auto"/>
              <w:right w:val="single" w:sz="4" w:space="0" w:color="auto"/>
            </w:tcBorders>
            <w:shd w:val="clear" w:color="auto" w:fill="auto"/>
            <w:noWrap/>
            <w:vAlign w:val="bottom"/>
            <w:hideMark/>
          </w:tcPr>
          <w:p w14:paraId="7476116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2AB09E82"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64396C11"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09F3BD7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Podeželske regije/sektor</w:t>
            </w:r>
          </w:p>
        </w:tc>
        <w:tc>
          <w:tcPr>
            <w:tcW w:w="1306" w:type="dxa"/>
            <w:tcBorders>
              <w:top w:val="nil"/>
              <w:left w:val="nil"/>
              <w:bottom w:val="single" w:sz="4" w:space="0" w:color="auto"/>
              <w:right w:val="single" w:sz="4" w:space="0" w:color="auto"/>
            </w:tcBorders>
            <w:shd w:val="clear" w:color="auto" w:fill="auto"/>
            <w:noWrap/>
            <w:vAlign w:val="bottom"/>
            <w:hideMark/>
          </w:tcPr>
          <w:p w14:paraId="66B755C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22631A0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4EE92FE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11,85</w:t>
            </w:r>
          </w:p>
        </w:tc>
        <w:tc>
          <w:tcPr>
            <w:tcW w:w="713" w:type="dxa"/>
            <w:tcBorders>
              <w:top w:val="nil"/>
              <w:left w:val="nil"/>
              <w:bottom w:val="single" w:sz="4" w:space="0" w:color="auto"/>
              <w:right w:val="single" w:sz="4" w:space="0" w:color="auto"/>
            </w:tcBorders>
            <w:shd w:val="clear" w:color="auto" w:fill="auto"/>
            <w:noWrap/>
            <w:vAlign w:val="bottom"/>
            <w:hideMark/>
          </w:tcPr>
          <w:p w14:paraId="62DF190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12,00</w:t>
            </w:r>
          </w:p>
        </w:tc>
        <w:tc>
          <w:tcPr>
            <w:tcW w:w="713" w:type="dxa"/>
            <w:tcBorders>
              <w:top w:val="nil"/>
              <w:left w:val="nil"/>
              <w:bottom w:val="single" w:sz="4" w:space="0" w:color="auto"/>
              <w:right w:val="single" w:sz="4" w:space="0" w:color="auto"/>
            </w:tcBorders>
            <w:shd w:val="clear" w:color="auto" w:fill="auto"/>
            <w:noWrap/>
            <w:vAlign w:val="bottom"/>
            <w:hideMark/>
          </w:tcPr>
          <w:p w14:paraId="23CF8A7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12,26</w:t>
            </w:r>
          </w:p>
        </w:tc>
        <w:tc>
          <w:tcPr>
            <w:tcW w:w="634" w:type="dxa"/>
            <w:tcBorders>
              <w:top w:val="nil"/>
              <w:left w:val="nil"/>
              <w:bottom w:val="single" w:sz="4" w:space="0" w:color="auto"/>
              <w:right w:val="single" w:sz="4" w:space="0" w:color="auto"/>
            </w:tcBorders>
            <w:shd w:val="clear" w:color="auto" w:fill="auto"/>
            <w:noWrap/>
            <w:vAlign w:val="bottom"/>
            <w:hideMark/>
          </w:tcPr>
          <w:p w14:paraId="6BFFD32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11,75</w:t>
            </w:r>
          </w:p>
        </w:tc>
        <w:tc>
          <w:tcPr>
            <w:tcW w:w="763" w:type="dxa"/>
            <w:tcBorders>
              <w:top w:val="nil"/>
              <w:left w:val="nil"/>
              <w:bottom w:val="single" w:sz="4" w:space="0" w:color="auto"/>
              <w:right w:val="single" w:sz="4" w:space="0" w:color="auto"/>
            </w:tcBorders>
            <w:shd w:val="clear" w:color="auto" w:fill="auto"/>
            <w:noWrap/>
            <w:vAlign w:val="bottom"/>
            <w:hideMark/>
          </w:tcPr>
          <w:p w14:paraId="5054ED9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10,64</w:t>
            </w:r>
          </w:p>
        </w:tc>
        <w:tc>
          <w:tcPr>
            <w:tcW w:w="763" w:type="dxa"/>
            <w:tcBorders>
              <w:top w:val="nil"/>
              <w:left w:val="nil"/>
              <w:bottom w:val="single" w:sz="4" w:space="0" w:color="auto"/>
              <w:right w:val="single" w:sz="4" w:space="0" w:color="auto"/>
            </w:tcBorders>
            <w:shd w:val="clear" w:color="auto" w:fill="auto"/>
            <w:noWrap/>
            <w:vAlign w:val="bottom"/>
            <w:hideMark/>
          </w:tcPr>
          <w:p w14:paraId="652B931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10,41</w:t>
            </w:r>
          </w:p>
        </w:tc>
        <w:tc>
          <w:tcPr>
            <w:tcW w:w="763" w:type="dxa"/>
            <w:tcBorders>
              <w:top w:val="nil"/>
              <w:left w:val="nil"/>
              <w:bottom w:val="single" w:sz="4" w:space="0" w:color="auto"/>
              <w:right w:val="single" w:sz="4" w:space="0" w:color="auto"/>
            </w:tcBorders>
            <w:shd w:val="clear" w:color="auto" w:fill="auto"/>
            <w:noWrap/>
            <w:vAlign w:val="bottom"/>
            <w:hideMark/>
          </w:tcPr>
          <w:p w14:paraId="53B6E65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7CF2E17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4BDAC74"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0B8DC612"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58F4518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2FE9136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B99D1A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40,12</w:t>
            </w:r>
          </w:p>
        </w:tc>
        <w:tc>
          <w:tcPr>
            <w:tcW w:w="713" w:type="dxa"/>
            <w:tcBorders>
              <w:top w:val="nil"/>
              <w:left w:val="nil"/>
              <w:bottom w:val="single" w:sz="4" w:space="0" w:color="auto"/>
              <w:right w:val="single" w:sz="4" w:space="0" w:color="auto"/>
            </w:tcBorders>
            <w:shd w:val="clear" w:color="auto" w:fill="auto"/>
            <w:noWrap/>
            <w:vAlign w:val="bottom"/>
            <w:hideMark/>
          </w:tcPr>
          <w:p w14:paraId="770BA8F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36,89</w:t>
            </w:r>
          </w:p>
        </w:tc>
        <w:tc>
          <w:tcPr>
            <w:tcW w:w="713" w:type="dxa"/>
            <w:tcBorders>
              <w:top w:val="nil"/>
              <w:left w:val="nil"/>
              <w:bottom w:val="single" w:sz="4" w:space="0" w:color="auto"/>
              <w:right w:val="single" w:sz="4" w:space="0" w:color="auto"/>
            </w:tcBorders>
            <w:shd w:val="clear" w:color="auto" w:fill="auto"/>
            <w:noWrap/>
            <w:vAlign w:val="bottom"/>
            <w:hideMark/>
          </w:tcPr>
          <w:p w14:paraId="155EBEC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35,35</w:t>
            </w:r>
          </w:p>
        </w:tc>
        <w:tc>
          <w:tcPr>
            <w:tcW w:w="634" w:type="dxa"/>
            <w:tcBorders>
              <w:top w:val="nil"/>
              <w:left w:val="nil"/>
              <w:bottom w:val="single" w:sz="4" w:space="0" w:color="auto"/>
              <w:right w:val="single" w:sz="4" w:space="0" w:color="auto"/>
            </w:tcBorders>
            <w:shd w:val="clear" w:color="auto" w:fill="auto"/>
            <w:noWrap/>
            <w:vAlign w:val="bottom"/>
            <w:hideMark/>
          </w:tcPr>
          <w:p w14:paraId="6ECA0CF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35,31</w:t>
            </w:r>
          </w:p>
        </w:tc>
        <w:tc>
          <w:tcPr>
            <w:tcW w:w="763" w:type="dxa"/>
            <w:tcBorders>
              <w:top w:val="nil"/>
              <w:left w:val="nil"/>
              <w:bottom w:val="single" w:sz="4" w:space="0" w:color="auto"/>
              <w:right w:val="single" w:sz="4" w:space="0" w:color="auto"/>
            </w:tcBorders>
            <w:shd w:val="clear" w:color="auto" w:fill="auto"/>
            <w:noWrap/>
            <w:vAlign w:val="bottom"/>
            <w:hideMark/>
          </w:tcPr>
          <w:p w14:paraId="585F774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35,97</w:t>
            </w:r>
          </w:p>
        </w:tc>
        <w:tc>
          <w:tcPr>
            <w:tcW w:w="763" w:type="dxa"/>
            <w:tcBorders>
              <w:top w:val="nil"/>
              <w:left w:val="nil"/>
              <w:bottom w:val="single" w:sz="4" w:space="0" w:color="auto"/>
              <w:right w:val="single" w:sz="4" w:space="0" w:color="auto"/>
            </w:tcBorders>
            <w:shd w:val="clear" w:color="auto" w:fill="auto"/>
            <w:noWrap/>
            <w:vAlign w:val="bottom"/>
            <w:hideMark/>
          </w:tcPr>
          <w:p w14:paraId="616FD73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36,38</w:t>
            </w:r>
          </w:p>
        </w:tc>
        <w:tc>
          <w:tcPr>
            <w:tcW w:w="763" w:type="dxa"/>
            <w:tcBorders>
              <w:top w:val="nil"/>
              <w:left w:val="nil"/>
              <w:bottom w:val="single" w:sz="4" w:space="0" w:color="auto"/>
              <w:right w:val="single" w:sz="4" w:space="0" w:color="auto"/>
            </w:tcBorders>
            <w:shd w:val="clear" w:color="auto" w:fill="auto"/>
            <w:noWrap/>
            <w:vAlign w:val="bottom"/>
            <w:hideMark/>
          </w:tcPr>
          <w:p w14:paraId="1A9FBBC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0CDC7EC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CC0397F"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456A7781"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0777CD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22FBEF1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360FE95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48,04</w:t>
            </w:r>
          </w:p>
        </w:tc>
        <w:tc>
          <w:tcPr>
            <w:tcW w:w="713" w:type="dxa"/>
            <w:tcBorders>
              <w:top w:val="nil"/>
              <w:left w:val="nil"/>
              <w:bottom w:val="single" w:sz="4" w:space="0" w:color="auto"/>
              <w:right w:val="single" w:sz="4" w:space="0" w:color="auto"/>
            </w:tcBorders>
            <w:shd w:val="clear" w:color="auto" w:fill="auto"/>
            <w:noWrap/>
            <w:vAlign w:val="bottom"/>
            <w:hideMark/>
          </w:tcPr>
          <w:p w14:paraId="1B76CFD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51,11</w:t>
            </w:r>
          </w:p>
        </w:tc>
        <w:tc>
          <w:tcPr>
            <w:tcW w:w="713" w:type="dxa"/>
            <w:tcBorders>
              <w:top w:val="nil"/>
              <w:left w:val="nil"/>
              <w:bottom w:val="single" w:sz="4" w:space="0" w:color="auto"/>
              <w:right w:val="single" w:sz="4" w:space="0" w:color="auto"/>
            </w:tcBorders>
            <w:shd w:val="clear" w:color="auto" w:fill="auto"/>
            <w:noWrap/>
            <w:vAlign w:val="bottom"/>
            <w:hideMark/>
          </w:tcPr>
          <w:p w14:paraId="380F8DB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52,40</w:t>
            </w:r>
          </w:p>
        </w:tc>
        <w:tc>
          <w:tcPr>
            <w:tcW w:w="634" w:type="dxa"/>
            <w:tcBorders>
              <w:top w:val="nil"/>
              <w:left w:val="nil"/>
              <w:bottom w:val="single" w:sz="4" w:space="0" w:color="auto"/>
              <w:right w:val="single" w:sz="4" w:space="0" w:color="auto"/>
            </w:tcBorders>
            <w:shd w:val="clear" w:color="auto" w:fill="auto"/>
            <w:noWrap/>
            <w:vAlign w:val="bottom"/>
            <w:hideMark/>
          </w:tcPr>
          <w:p w14:paraId="47BDA5C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52,95</w:t>
            </w:r>
          </w:p>
        </w:tc>
        <w:tc>
          <w:tcPr>
            <w:tcW w:w="763" w:type="dxa"/>
            <w:tcBorders>
              <w:top w:val="nil"/>
              <w:left w:val="nil"/>
              <w:bottom w:val="single" w:sz="4" w:space="0" w:color="auto"/>
              <w:right w:val="single" w:sz="4" w:space="0" w:color="auto"/>
            </w:tcBorders>
            <w:shd w:val="clear" w:color="auto" w:fill="auto"/>
            <w:noWrap/>
            <w:vAlign w:val="bottom"/>
            <w:hideMark/>
          </w:tcPr>
          <w:p w14:paraId="518E023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53,40</w:t>
            </w:r>
          </w:p>
        </w:tc>
        <w:tc>
          <w:tcPr>
            <w:tcW w:w="763" w:type="dxa"/>
            <w:tcBorders>
              <w:top w:val="nil"/>
              <w:left w:val="nil"/>
              <w:bottom w:val="single" w:sz="4" w:space="0" w:color="auto"/>
              <w:right w:val="single" w:sz="4" w:space="0" w:color="auto"/>
            </w:tcBorders>
            <w:shd w:val="clear" w:color="auto" w:fill="auto"/>
            <w:noWrap/>
            <w:vAlign w:val="bottom"/>
            <w:hideMark/>
          </w:tcPr>
          <w:p w14:paraId="4FF7A49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53,21</w:t>
            </w:r>
          </w:p>
        </w:tc>
        <w:tc>
          <w:tcPr>
            <w:tcW w:w="763" w:type="dxa"/>
            <w:tcBorders>
              <w:top w:val="nil"/>
              <w:left w:val="nil"/>
              <w:bottom w:val="single" w:sz="4" w:space="0" w:color="auto"/>
              <w:right w:val="single" w:sz="4" w:space="0" w:color="auto"/>
            </w:tcBorders>
            <w:shd w:val="clear" w:color="auto" w:fill="auto"/>
            <w:noWrap/>
            <w:vAlign w:val="bottom"/>
            <w:hideMark/>
          </w:tcPr>
          <w:p w14:paraId="6A71051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14825AE1"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1F92A3C"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tcBorders>
              <w:top w:val="nil"/>
              <w:left w:val="nil"/>
              <w:bottom w:val="single" w:sz="4" w:space="0" w:color="auto"/>
              <w:right w:val="single" w:sz="4" w:space="0" w:color="auto"/>
            </w:tcBorders>
            <w:shd w:val="clear" w:color="auto" w:fill="auto"/>
            <w:vAlign w:val="bottom"/>
            <w:hideMark/>
          </w:tcPr>
          <w:p w14:paraId="4ED5F64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1306" w:type="dxa"/>
            <w:tcBorders>
              <w:top w:val="nil"/>
              <w:left w:val="nil"/>
              <w:bottom w:val="single" w:sz="4" w:space="0" w:color="auto"/>
              <w:right w:val="single" w:sz="4" w:space="0" w:color="auto"/>
            </w:tcBorders>
            <w:shd w:val="clear" w:color="auto" w:fill="auto"/>
            <w:noWrap/>
            <w:vAlign w:val="bottom"/>
            <w:hideMark/>
          </w:tcPr>
          <w:p w14:paraId="015590E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4AA5DF7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587AAC6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1.000,53</w:t>
            </w:r>
          </w:p>
        </w:tc>
        <w:tc>
          <w:tcPr>
            <w:tcW w:w="713" w:type="dxa"/>
            <w:tcBorders>
              <w:top w:val="nil"/>
              <w:left w:val="nil"/>
              <w:bottom w:val="single" w:sz="4" w:space="0" w:color="auto"/>
              <w:right w:val="single" w:sz="4" w:space="0" w:color="auto"/>
            </w:tcBorders>
            <w:shd w:val="clear" w:color="auto" w:fill="auto"/>
            <w:noWrap/>
            <w:vAlign w:val="bottom"/>
            <w:hideMark/>
          </w:tcPr>
          <w:p w14:paraId="7533C38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963,42</w:t>
            </w:r>
          </w:p>
        </w:tc>
        <w:tc>
          <w:tcPr>
            <w:tcW w:w="713" w:type="dxa"/>
            <w:tcBorders>
              <w:top w:val="nil"/>
              <w:left w:val="nil"/>
              <w:bottom w:val="single" w:sz="4" w:space="0" w:color="auto"/>
              <w:right w:val="single" w:sz="4" w:space="0" w:color="auto"/>
            </w:tcBorders>
            <w:shd w:val="clear" w:color="auto" w:fill="auto"/>
            <w:noWrap/>
            <w:vAlign w:val="bottom"/>
            <w:hideMark/>
          </w:tcPr>
          <w:p w14:paraId="5DE0038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927,71</w:t>
            </w:r>
          </w:p>
        </w:tc>
        <w:tc>
          <w:tcPr>
            <w:tcW w:w="634" w:type="dxa"/>
            <w:tcBorders>
              <w:top w:val="nil"/>
              <w:left w:val="nil"/>
              <w:bottom w:val="single" w:sz="4" w:space="0" w:color="auto"/>
              <w:right w:val="single" w:sz="4" w:space="0" w:color="auto"/>
            </w:tcBorders>
            <w:shd w:val="clear" w:color="auto" w:fill="auto"/>
            <w:noWrap/>
            <w:vAlign w:val="bottom"/>
            <w:hideMark/>
          </w:tcPr>
          <w:p w14:paraId="75F43FF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943,86</w:t>
            </w:r>
          </w:p>
        </w:tc>
        <w:tc>
          <w:tcPr>
            <w:tcW w:w="763" w:type="dxa"/>
            <w:tcBorders>
              <w:top w:val="nil"/>
              <w:left w:val="nil"/>
              <w:bottom w:val="single" w:sz="4" w:space="0" w:color="auto"/>
              <w:right w:val="single" w:sz="4" w:space="0" w:color="auto"/>
            </w:tcBorders>
            <w:shd w:val="clear" w:color="auto" w:fill="auto"/>
            <w:noWrap/>
            <w:vAlign w:val="bottom"/>
            <w:hideMark/>
          </w:tcPr>
          <w:p w14:paraId="3646AC1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1.021,32</w:t>
            </w:r>
          </w:p>
        </w:tc>
        <w:tc>
          <w:tcPr>
            <w:tcW w:w="763" w:type="dxa"/>
            <w:tcBorders>
              <w:top w:val="nil"/>
              <w:left w:val="nil"/>
              <w:bottom w:val="single" w:sz="4" w:space="0" w:color="auto"/>
              <w:right w:val="single" w:sz="4" w:space="0" w:color="auto"/>
            </w:tcBorders>
            <w:shd w:val="clear" w:color="auto" w:fill="auto"/>
            <w:noWrap/>
            <w:vAlign w:val="bottom"/>
            <w:hideMark/>
          </w:tcPr>
          <w:p w14:paraId="5045B62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1.046,69</w:t>
            </w:r>
          </w:p>
        </w:tc>
        <w:tc>
          <w:tcPr>
            <w:tcW w:w="763" w:type="dxa"/>
            <w:tcBorders>
              <w:top w:val="nil"/>
              <w:left w:val="nil"/>
              <w:bottom w:val="single" w:sz="4" w:space="0" w:color="auto"/>
              <w:right w:val="single" w:sz="4" w:space="0" w:color="auto"/>
            </w:tcBorders>
            <w:shd w:val="clear" w:color="auto" w:fill="auto"/>
            <w:noWrap/>
            <w:vAlign w:val="bottom"/>
            <w:hideMark/>
          </w:tcPr>
          <w:p w14:paraId="1D6A5D1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1.036,64</w:t>
            </w:r>
          </w:p>
        </w:tc>
      </w:tr>
      <w:tr w:rsidR="007C3D4B" w:rsidRPr="00BF7E57" w14:paraId="2414C57E" w14:textId="77777777" w:rsidTr="00E77D01">
        <w:trPr>
          <w:trHeight w:val="241"/>
        </w:trPr>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14:paraId="67E53890" w14:textId="77777777" w:rsidR="007C3D4B" w:rsidRPr="00BF7E57" w:rsidRDefault="007C3D4B"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C.13 Zaposlenost glede na sektor</w:t>
            </w: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FB7C97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Kmetijstvo</w:t>
            </w:r>
          </w:p>
        </w:tc>
        <w:tc>
          <w:tcPr>
            <w:tcW w:w="1306" w:type="dxa"/>
            <w:tcBorders>
              <w:top w:val="nil"/>
              <w:left w:val="nil"/>
              <w:bottom w:val="single" w:sz="4" w:space="0" w:color="auto"/>
              <w:right w:val="single" w:sz="4" w:space="0" w:color="auto"/>
            </w:tcBorders>
            <w:shd w:val="clear" w:color="auto" w:fill="auto"/>
            <w:noWrap/>
            <w:vAlign w:val="bottom"/>
            <w:hideMark/>
          </w:tcPr>
          <w:p w14:paraId="28B8122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89D1FA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ED55B4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8,04</w:t>
            </w:r>
          </w:p>
        </w:tc>
        <w:tc>
          <w:tcPr>
            <w:tcW w:w="713" w:type="dxa"/>
            <w:tcBorders>
              <w:top w:val="nil"/>
              <w:left w:val="nil"/>
              <w:bottom w:val="single" w:sz="4" w:space="0" w:color="auto"/>
              <w:right w:val="single" w:sz="4" w:space="0" w:color="auto"/>
            </w:tcBorders>
            <w:shd w:val="clear" w:color="auto" w:fill="auto"/>
            <w:noWrap/>
            <w:vAlign w:val="bottom"/>
            <w:hideMark/>
          </w:tcPr>
          <w:p w14:paraId="5A1BC9C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8,46</w:t>
            </w:r>
          </w:p>
        </w:tc>
        <w:tc>
          <w:tcPr>
            <w:tcW w:w="713" w:type="dxa"/>
            <w:tcBorders>
              <w:top w:val="nil"/>
              <w:left w:val="nil"/>
              <w:bottom w:val="single" w:sz="4" w:space="0" w:color="auto"/>
              <w:right w:val="single" w:sz="4" w:space="0" w:color="auto"/>
            </w:tcBorders>
            <w:shd w:val="clear" w:color="auto" w:fill="auto"/>
            <w:noWrap/>
            <w:vAlign w:val="bottom"/>
            <w:hideMark/>
          </w:tcPr>
          <w:p w14:paraId="77188B1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8,00</w:t>
            </w:r>
          </w:p>
        </w:tc>
        <w:tc>
          <w:tcPr>
            <w:tcW w:w="634" w:type="dxa"/>
            <w:tcBorders>
              <w:top w:val="nil"/>
              <w:left w:val="nil"/>
              <w:bottom w:val="single" w:sz="4" w:space="0" w:color="auto"/>
              <w:right w:val="single" w:sz="4" w:space="0" w:color="auto"/>
            </w:tcBorders>
            <w:shd w:val="clear" w:color="auto" w:fill="auto"/>
            <w:noWrap/>
            <w:vAlign w:val="bottom"/>
            <w:hideMark/>
          </w:tcPr>
          <w:p w14:paraId="039BF8B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6,55</w:t>
            </w:r>
          </w:p>
        </w:tc>
        <w:tc>
          <w:tcPr>
            <w:tcW w:w="763" w:type="dxa"/>
            <w:tcBorders>
              <w:top w:val="nil"/>
              <w:left w:val="nil"/>
              <w:bottom w:val="single" w:sz="4" w:space="0" w:color="auto"/>
              <w:right w:val="single" w:sz="4" w:space="0" w:color="auto"/>
            </w:tcBorders>
            <w:shd w:val="clear" w:color="auto" w:fill="auto"/>
            <w:noWrap/>
            <w:vAlign w:val="bottom"/>
            <w:hideMark/>
          </w:tcPr>
          <w:p w14:paraId="11A19A4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5,13</w:t>
            </w:r>
          </w:p>
        </w:tc>
        <w:tc>
          <w:tcPr>
            <w:tcW w:w="763" w:type="dxa"/>
            <w:tcBorders>
              <w:top w:val="nil"/>
              <w:left w:val="nil"/>
              <w:bottom w:val="single" w:sz="4" w:space="0" w:color="auto"/>
              <w:right w:val="single" w:sz="4" w:space="0" w:color="auto"/>
            </w:tcBorders>
            <w:shd w:val="clear" w:color="auto" w:fill="auto"/>
            <w:noWrap/>
            <w:vAlign w:val="bottom"/>
            <w:hideMark/>
          </w:tcPr>
          <w:p w14:paraId="7FA7D9F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3,91</w:t>
            </w:r>
          </w:p>
        </w:tc>
        <w:tc>
          <w:tcPr>
            <w:tcW w:w="763" w:type="dxa"/>
            <w:tcBorders>
              <w:top w:val="nil"/>
              <w:left w:val="nil"/>
              <w:bottom w:val="single" w:sz="4" w:space="0" w:color="auto"/>
              <w:right w:val="single" w:sz="4" w:space="0" w:color="auto"/>
            </w:tcBorders>
            <w:shd w:val="clear" w:color="auto" w:fill="auto"/>
            <w:noWrap/>
            <w:vAlign w:val="bottom"/>
            <w:hideMark/>
          </w:tcPr>
          <w:p w14:paraId="65630DC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71DBE9B1"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4BE934B6"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4C97FDF6"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7DF6AA05" w14:textId="4DF38E8D" w:rsidR="007C3D4B" w:rsidRPr="00BF7E57" w:rsidRDefault="00433651"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7AE571F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F52A73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80,10</w:t>
            </w:r>
          </w:p>
        </w:tc>
        <w:tc>
          <w:tcPr>
            <w:tcW w:w="713" w:type="dxa"/>
            <w:tcBorders>
              <w:top w:val="nil"/>
              <w:left w:val="nil"/>
              <w:bottom w:val="single" w:sz="4" w:space="0" w:color="auto"/>
              <w:right w:val="single" w:sz="4" w:space="0" w:color="auto"/>
            </w:tcBorders>
            <w:shd w:val="clear" w:color="auto" w:fill="auto"/>
            <w:noWrap/>
            <w:vAlign w:val="bottom"/>
            <w:hideMark/>
          </w:tcPr>
          <w:p w14:paraId="30E6AF2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81,70</w:t>
            </w:r>
          </w:p>
        </w:tc>
        <w:tc>
          <w:tcPr>
            <w:tcW w:w="713" w:type="dxa"/>
            <w:tcBorders>
              <w:top w:val="nil"/>
              <w:left w:val="nil"/>
              <w:bottom w:val="single" w:sz="4" w:space="0" w:color="auto"/>
              <w:right w:val="single" w:sz="4" w:space="0" w:color="auto"/>
            </w:tcBorders>
            <w:shd w:val="clear" w:color="auto" w:fill="auto"/>
            <w:noWrap/>
            <w:vAlign w:val="bottom"/>
            <w:hideMark/>
          </w:tcPr>
          <w:p w14:paraId="1CD9EC1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72,50</w:t>
            </w:r>
          </w:p>
        </w:tc>
        <w:tc>
          <w:tcPr>
            <w:tcW w:w="634" w:type="dxa"/>
            <w:tcBorders>
              <w:top w:val="nil"/>
              <w:left w:val="nil"/>
              <w:bottom w:val="single" w:sz="4" w:space="0" w:color="auto"/>
              <w:right w:val="single" w:sz="4" w:space="0" w:color="auto"/>
            </w:tcBorders>
            <w:shd w:val="clear" w:color="auto" w:fill="auto"/>
            <w:noWrap/>
            <w:vAlign w:val="bottom"/>
            <w:hideMark/>
          </w:tcPr>
          <w:p w14:paraId="6F4228E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60,10</w:t>
            </w:r>
          </w:p>
        </w:tc>
        <w:tc>
          <w:tcPr>
            <w:tcW w:w="763" w:type="dxa"/>
            <w:tcBorders>
              <w:top w:val="nil"/>
              <w:left w:val="nil"/>
              <w:bottom w:val="single" w:sz="4" w:space="0" w:color="auto"/>
              <w:right w:val="single" w:sz="4" w:space="0" w:color="auto"/>
            </w:tcBorders>
            <w:shd w:val="clear" w:color="auto" w:fill="auto"/>
            <w:noWrap/>
            <w:vAlign w:val="bottom"/>
            <w:hideMark/>
          </w:tcPr>
          <w:p w14:paraId="5828393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50,30</w:t>
            </w:r>
          </w:p>
        </w:tc>
        <w:tc>
          <w:tcPr>
            <w:tcW w:w="763" w:type="dxa"/>
            <w:tcBorders>
              <w:top w:val="nil"/>
              <w:left w:val="nil"/>
              <w:bottom w:val="single" w:sz="4" w:space="0" w:color="auto"/>
              <w:right w:val="single" w:sz="4" w:space="0" w:color="auto"/>
            </w:tcBorders>
            <w:shd w:val="clear" w:color="auto" w:fill="auto"/>
            <w:noWrap/>
            <w:vAlign w:val="bottom"/>
            <w:hideMark/>
          </w:tcPr>
          <w:p w14:paraId="1A28441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38,40</w:t>
            </w:r>
          </w:p>
        </w:tc>
        <w:tc>
          <w:tcPr>
            <w:tcW w:w="763" w:type="dxa"/>
            <w:tcBorders>
              <w:top w:val="nil"/>
              <w:left w:val="nil"/>
              <w:bottom w:val="single" w:sz="4" w:space="0" w:color="auto"/>
              <w:right w:val="single" w:sz="4" w:space="0" w:color="auto"/>
            </w:tcBorders>
            <w:shd w:val="clear" w:color="auto" w:fill="auto"/>
            <w:noWrap/>
            <w:vAlign w:val="bottom"/>
            <w:hideMark/>
          </w:tcPr>
          <w:p w14:paraId="15C9981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4907F236"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CA10E82"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69B6579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Gozdarstvo</w:t>
            </w:r>
          </w:p>
        </w:tc>
        <w:tc>
          <w:tcPr>
            <w:tcW w:w="1306" w:type="dxa"/>
            <w:tcBorders>
              <w:top w:val="nil"/>
              <w:left w:val="nil"/>
              <w:bottom w:val="single" w:sz="4" w:space="0" w:color="auto"/>
              <w:right w:val="single" w:sz="4" w:space="0" w:color="auto"/>
            </w:tcBorders>
            <w:shd w:val="clear" w:color="auto" w:fill="auto"/>
            <w:noWrap/>
            <w:vAlign w:val="bottom"/>
            <w:hideMark/>
          </w:tcPr>
          <w:p w14:paraId="134ADE7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A459EA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BE4263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0,46</w:t>
            </w:r>
          </w:p>
        </w:tc>
        <w:tc>
          <w:tcPr>
            <w:tcW w:w="713" w:type="dxa"/>
            <w:tcBorders>
              <w:top w:val="nil"/>
              <w:left w:val="nil"/>
              <w:bottom w:val="single" w:sz="4" w:space="0" w:color="auto"/>
              <w:right w:val="single" w:sz="4" w:space="0" w:color="auto"/>
            </w:tcBorders>
            <w:shd w:val="clear" w:color="auto" w:fill="auto"/>
            <w:noWrap/>
            <w:vAlign w:val="bottom"/>
            <w:hideMark/>
          </w:tcPr>
          <w:p w14:paraId="1A9AD2A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0,31</w:t>
            </w:r>
          </w:p>
        </w:tc>
        <w:tc>
          <w:tcPr>
            <w:tcW w:w="713" w:type="dxa"/>
            <w:tcBorders>
              <w:top w:val="nil"/>
              <w:left w:val="nil"/>
              <w:bottom w:val="single" w:sz="4" w:space="0" w:color="auto"/>
              <w:right w:val="single" w:sz="4" w:space="0" w:color="auto"/>
            </w:tcBorders>
            <w:shd w:val="clear" w:color="auto" w:fill="auto"/>
            <w:noWrap/>
            <w:vAlign w:val="bottom"/>
            <w:hideMark/>
          </w:tcPr>
          <w:p w14:paraId="408F9C1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0,40</w:t>
            </w:r>
          </w:p>
        </w:tc>
        <w:tc>
          <w:tcPr>
            <w:tcW w:w="634" w:type="dxa"/>
            <w:tcBorders>
              <w:top w:val="nil"/>
              <w:left w:val="nil"/>
              <w:bottom w:val="single" w:sz="4" w:space="0" w:color="auto"/>
              <w:right w:val="single" w:sz="4" w:space="0" w:color="auto"/>
            </w:tcBorders>
            <w:shd w:val="clear" w:color="auto" w:fill="auto"/>
            <w:noWrap/>
            <w:vAlign w:val="bottom"/>
            <w:hideMark/>
          </w:tcPr>
          <w:p w14:paraId="606324B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0,44</w:t>
            </w:r>
          </w:p>
        </w:tc>
        <w:tc>
          <w:tcPr>
            <w:tcW w:w="763" w:type="dxa"/>
            <w:tcBorders>
              <w:top w:val="nil"/>
              <w:left w:val="nil"/>
              <w:bottom w:val="single" w:sz="4" w:space="0" w:color="auto"/>
              <w:right w:val="single" w:sz="4" w:space="0" w:color="auto"/>
            </w:tcBorders>
            <w:shd w:val="clear" w:color="auto" w:fill="auto"/>
            <w:noWrap/>
            <w:vAlign w:val="bottom"/>
            <w:hideMark/>
          </w:tcPr>
          <w:p w14:paraId="568594C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0,31</w:t>
            </w:r>
          </w:p>
        </w:tc>
        <w:tc>
          <w:tcPr>
            <w:tcW w:w="763" w:type="dxa"/>
            <w:tcBorders>
              <w:top w:val="nil"/>
              <w:left w:val="nil"/>
              <w:bottom w:val="single" w:sz="4" w:space="0" w:color="auto"/>
              <w:right w:val="single" w:sz="4" w:space="0" w:color="auto"/>
            </w:tcBorders>
            <w:shd w:val="clear" w:color="auto" w:fill="auto"/>
            <w:noWrap/>
            <w:vAlign w:val="bottom"/>
            <w:hideMark/>
          </w:tcPr>
          <w:p w14:paraId="5DAA0EA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0,35</w:t>
            </w:r>
          </w:p>
        </w:tc>
        <w:tc>
          <w:tcPr>
            <w:tcW w:w="763" w:type="dxa"/>
            <w:tcBorders>
              <w:top w:val="nil"/>
              <w:left w:val="nil"/>
              <w:bottom w:val="single" w:sz="4" w:space="0" w:color="auto"/>
              <w:right w:val="single" w:sz="4" w:space="0" w:color="auto"/>
            </w:tcBorders>
            <w:shd w:val="clear" w:color="auto" w:fill="auto"/>
            <w:noWrap/>
            <w:vAlign w:val="bottom"/>
            <w:hideMark/>
          </w:tcPr>
          <w:p w14:paraId="6002085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30E66654"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0E3E951"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527AB140"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47EEC28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2DA8E26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3022F7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4,60</w:t>
            </w:r>
          </w:p>
        </w:tc>
        <w:tc>
          <w:tcPr>
            <w:tcW w:w="713" w:type="dxa"/>
            <w:tcBorders>
              <w:top w:val="nil"/>
              <w:left w:val="nil"/>
              <w:bottom w:val="single" w:sz="4" w:space="0" w:color="auto"/>
              <w:right w:val="single" w:sz="4" w:space="0" w:color="auto"/>
            </w:tcBorders>
            <w:shd w:val="clear" w:color="auto" w:fill="auto"/>
            <w:noWrap/>
            <w:vAlign w:val="bottom"/>
            <w:hideMark/>
          </w:tcPr>
          <w:p w14:paraId="45E4660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3,00</w:t>
            </w:r>
          </w:p>
        </w:tc>
        <w:tc>
          <w:tcPr>
            <w:tcW w:w="713" w:type="dxa"/>
            <w:tcBorders>
              <w:top w:val="nil"/>
              <w:left w:val="nil"/>
              <w:bottom w:val="single" w:sz="4" w:space="0" w:color="auto"/>
              <w:right w:val="single" w:sz="4" w:space="0" w:color="auto"/>
            </w:tcBorders>
            <w:shd w:val="clear" w:color="auto" w:fill="auto"/>
            <w:noWrap/>
            <w:vAlign w:val="bottom"/>
            <w:hideMark/>
          </w:tcPr>
          <w:p w14:paraId="662A633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3,60</w:t>
            </w:r>
          </w:p>
        </w:tc>
        <w:tc>
          <w:tcPr>
            <w:tcW w:w="634" w:type="dxa"/>
            <w:tcBorders>
              <w:top w:val="nil"/>
              <w:left w:val="nil"/>
              <w:bottom w:val="single" w:sz="4" w:space="0" w:color="auto"/>
              <w:right w:val="single" w:sz="4" w:space="0" w:color="auto"/>
            </w:tcBorders>
            <w:shd w:val="clear" w:color="auto" w:fill="auto"/>
            <w:noWrap/>
            <w:vAlign w:val="bottom"/>
            <w:hideMark/>
          </w:tcPr>
          <w:p w14:paraId="032E3FC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4,00</w:t>
            </w:r>
          </w:p>
        </w:tc>
        <w:tc>
          <w:tcPr>
            <w:tcW w:w="763" w:type="dxa"/>
            <w:tcBorders>
              <w:top w:val="nil"/>
              <w:left w:val="nil"/>
              <w:bottom w:val="single" w:sz="4" w:space="0" w:color="auto"/>
              <w:right w:val="single" w:sz="4" w:space="0" w:color="auto"/>
            </w:tcBorders>
            <w:shd w:val="clear" w:color="auto" w:fill="auto"/>
            <w:noWrap/>
            <w:vAlign w:val="bottom"/>
            <w:hideMark/>
          </w:tcPr>
          <w:p w14:paraId="2051919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3,00</w:t>
            </w:r>
          </w:p>
        </w:tc>
        <w:tc>
          <w:tcPr>
            <w:tcW w:w="763" w:type="dxa"/>
            <w:tcBorders>
              <w:top w:val="nil"/>
              <w:left w:val="nil"/>
              <w:bottom w:val="single" w:sz="4" w:space="0" w:color="auto"/>
              <w:right w:val="single" w:sz="4" w:space="0" w:color="auto"/>
            </w:tcBorders>
            <w:shd w:val="clear" w:color="auto" w:fill="auto"/>
            <w:noWrap/>
            <w:vAlign w:val="bottom"/>
            <w:hideMark/>
          </w:tcPr>
          <w:p w14:paraId="744BB8C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3,40</w:t>
            </w:r>
          </w:p>
        </w:tc>
        <w:tc>
          <w:tcPr>
            <w:tcW w:w="763" w:type="dxa"/>
            <w:tcBorders>
              <w:top w:val="nil"/>
              <w:left w:val="nil"/>
              <w:bottom w:val="single" w:sz="4" w:space="0" w:color="auto"/>
              <w:right w:val="single" w:sz="4" w:space="0" w:color="auto"/>
            </w:tcBorders>
            <w:shd w:val="clear" w:color="auto" w:fill="auto"/>
            <w:noWrap/>
            <w:vAlign w:val="bottom"/>
            <w:hideMark/>
          </w:tcPr>
          <w:p w14:paraId="17FBC5F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64B537FF"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1F076F1"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10FA78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ŽPI</w:t>
            </w:r>
          </w:p>
        </w:tc>
        <w:tc>
          <w:tcPr>
            <w:tcW w:w="1306" w:type="dxa"/>
            <w:tcBorders>
              <w:top w:val="nil"/>
              <w:left w:val="nil"/>
              <w:bottom w:val="single" w:sz="4" w:space="0" w:color="auto"/>
              <w:right w:val="single" w:sz="4" w:space="0" w:color="auto"/>
            </w:tcBorders>
            <w:shd w:val="clear" w:color="auto" w:fill="auto"/>
            <w:noWrap/>
            <w:vAlign w:val="bottom"/>
            <w:hideMark/>
          </w:tcPr>
          <w:p w14:paraId="609AFE2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514C74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92ECA7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2,29</w:t>
            </w:r>
          </w:p>
        </w:tc>
        <w:tc>
          <w:tcPr>
            <w:tcW w:w="713" w:type="dxa"/>
            <w:tcBorders>
              <w:top w:val="nil"/>
              <w:left w:val="nil"/>
              <w:bottom w:val="single" w:sz="4" w:space="0" w:color="auto"/>
              <w:right w:val="single" w:sz="4" w:space="0" w:color="auto"/>
            </w:tcBorders>
            <w:shd w:val="clear" w:color="auto" w:fill="auto"/>
            <w:noWrap/>
            <w:vAlign w:val="bottom"/>
            <w:hideMark/>
          </w:tcPr>
          <w:p w14:paraId="1319E38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1,85</w:t>
            </w:r>
          </w:p>
        </w:tc>
        <w:tc>
          <w:tcPr>
            <w:tcW w:w="713" w:type="dxa"/>
            <w:tcBorders>
              <w:top w:val="nil"/>
              <w:left w:val="nil"/>
              <w:bottom w:val="single" w:sz="4" w:space="0" w:color="auto"/>
              <w:right w:val="single" w:sz="4" w:space="0" w:color="auto"/>
            </w:tcBorders>
            <w:shd w:val="clear" w:color="auto" w:fill="auto"/>
            <w:noWrap/>
            <w:vAlign w:val="bottom"/>
            <w:hideMark/>
          </w:tcPr>
          <w:p w14:paraId="6339FFE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1,93</w:t>
            </w:r>
          </w:p>
        </w:tc>
        <w:tc>
          <w:tcPr>
            <w:tcW w:w="634" w:type="dxa"/>
            <w:tcBorders>
              <w:top w:val="nil"/>
              <w:left w:val="nil"/>
              <w:bottom w:val="single" w:sz="4" w:space="0" w:color="auto"/>
              <w:right w:val="single" w:sz="4" w:space="0" w:color="auto"/>
            </w:tcBorders>
            <w:shd w:val="clear" w:color="auto" w:fill="auto"/>
            <w:noWrap/>
            <w:vAlign w:val="bottom"/>
            <w:hideMark/>
          </w:tcPr>
          <w:p w14:paraId="431BA05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1,97</w:t>
            </w:r>
          </w:p>
        </w:tc>
        <w:tc>
          <w:tcPr>
            <w:tcW w:w="763" w:type="dxa"/>
            <w:tcBorders>
              <w:top w:val="nil"/>
              <w:left w:val="nil"/>
              <w:bottom w:val="single" w:sz="4" w:space="0" w:color="auto"/>
              <w:right w:val="single" w:sz="4" w:space="0" w:color="auto"/>
            </w:tcBorders>
            <w:shd w:val="clear" w:color="auto" w:fill="auto"/>
            <w:noWrap/>
            <w:vAlign w:val="bottom"/>
            <w:hideMark/>
          </w:tcPr>
          <w:p w14:paraId="15E38F9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1,99</w:t>
            </w:r>
          </w:p>
        </w:tc>
        <w:tc>
          <w:tcPr>
            <w:tcW w:w="763" w:type="dxa"/>
            <w:tcBorders>
              <w:top w:val="nil"/>
              <w:left w:val="nil"/>
              <w:bottom w:val="single" w:sz="4" w:space="0" w:color="auto"/>
              <w:right w:val="single" w:sz="4" w:space="0" w:color="auto"/>
            </w:tcBorders>
            <w:shd w:val="clear" w:color="auto" w:fill="auto"/>
            <w:noWrap/>
            <w:vAlign w:val="bottom"/>
            <w:hideMark/>
          </w:tcPr>
          <w:p w14:paraId="56074C3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2,27</w:t>
            </w:r>
          </w:p>
        </w:tc>
        <w:tc>
          <w:tcPr>
            <w:tcW w:w="763" w:type="dxa"/>
            <w:tcBorders>
              <w:top w:val="nil"/>
              <w:left w:val="nil"/>
              <w:bottom w:val="single" w:sz="4" w:space="0" w:color="auto"/>
              <w:right w:val="single" w:sz="4" w:space="0" w:color="auto"/>
            </w:tcBorders>
            <w:shd w:val="clear" w:color="auto" w:fill="auto"/>
            <w:noWrap/>
            <w:vAlign w:val="bottom"/>
            <w:hideMark/>
          </w:tcPr>
          <w:p w14:paraId="7104EAE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526BDEC4"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73230F1"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B8C5853"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522572F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01B96A7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13547A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22,80</w:t>
            </w:r>
          </w:p>
        </w:tc>
        <w:tc>
          <w:tcPr>
            <w:tcW w:w="713" w:type="dxa"/>
            <w:tcBorders>
              <w:top w:val="nil"/>
              <w:left w:val="nil"/>
              <w:bottom w:val="single" w:sz="4" w:space="0" w:color="auto"/>
              <w:right w:val="single" w:sz="4" w:space="0" w:color="auto"/>
            </w:tcBorders>
            <w:shd w:val="clear" w:color="auto" w:fill="auto"/>
            <w:noWrap/>
            <w:vAlign w:val="bottom"/>
            <w:hideMark/>
          </w:tcPr>
          <w:p w14:paraId="340B441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17,90</w:t>
            </w:r>
          </w:p>
        </w:tc>
        <w:tc>
          <w:tcPr>
            <w:tcW w:w="713" w:type="dxa"/>
            <w:tcBorders>
              <w:top w:val="nil"/>
              <w:left w:val="nil"/>
              <w:bottom w:val="single" w:sz="4" w:space="0" w:color="auto"/>
              <w:right w:val="single" w:sz="4" w:space="0" w:color="auto"/>
            </w:tcBorders>
            <w:shd w:val="clear" w:color="auto" w:fill="auto"/>
            <w:noWrap/>
            <w:vAlign w:val="bottom"/>
            <w:hideMark/>
          </w:tcPr>
          <w:p w14:paraId="2F3EFB9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17,50</w:t>
            </w:r>
          </w:p>
        </w:tc>
        <w:tc>
          <w:tcPr>
            <w:tcW w:w="634" w:type="dxa"/>
            <w:tcBorders>
              <w:top w:val="nil"/>
              <w:left w:val="nil"/>
              <w:bottom w:val="single" w:sz="4" w:space="0" w:color="auto"/>
              <w:right w:val="single" w:sz="4" w:space="0" w:color="auto"/>
            </w:tcBorders>
            <w:shd w:val="clear" w:color="auto" w:fill="auto"/>
            <w:noWrap/>
            <w:vAlign w:val="bottom"/>
            <w:hideMark/>
          </w:tcPr>
          <w:p w14:paraId="1E46D1A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18,10</w:t>
            </w:r>
          </w:p>
        </w:tc>
        <w:tc>
          <w:tcPr>
            <w:tcW w:w="763" w:type="dxa"/>
            <w:tcBorders>
              <w:top w:val="nil"/>
              <w:left w:val="nil"/>
              <w:bottom w:val="single" w:sz="4" w:space="0" w:color="auto"/>
              <w:right w:val="single" w:sz="4" w:space="0" w:color="auto"/>
            </w:tcBorders>
            <w:shd w:val="clear" w:color="auto" w:fill="auto"/>
            <w:noWrap/>
            <w:vAlign w:val="bottom"/>
            <w:hideMark/>
          </w:tcPr>
          <w:p w14:paraId="1DE4FE6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19,50</w:t>
            </w:r>
          </w:p>
        </w:tc>
        <w:tc>
          <w:tcPr>
            <w:tcW w:w="763" w:type="dxa"/>
            <w:tcBorders>
              <w:top w:val="nil"/>
              <w:left w:val="nil"/>
              <w:bottom w:val="single" w:sz="4" w:space="0" w:color="auto"/>
              <w:right w:val="single" w:sz="4" w:space="0" w:color="auto"/>
            </w:tcBorders>
            <w:shd w:val="clear" w:color="auto" w:fill="auto"/>
            <w:noWrap/>
            <w:vAlign w:val="bottom"/>
            <w:hideMark/>
          </w:tcPr>
          <w:p w14:paraId="7500AB5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22,30</w:t>
            </w:r>
          </w:p>
        </w:tc>
        <w:tc>
          <w:tcPr>
            <w:tcW w:w="763" w:type="dxa"/>
            <w:tcBorders>
              <w:top w:val="nil"/>
              <w:left w:val="nil"/>
              <w:bottom w:val="single" w:sz="4" w:space="0" w:color="auto"/>
              <w:right w:val="single" w:sz="4" w:space="0" w:color="auto"/>
            </w:tcBorders>
            <w:shd w:val="clear" w:color="auto" w:fill="auto"/>
            <w:noWrap/>
            <w:vAlign w:val="bottom"/>
            <w:hideMark/>
          </w:tcPr>
          <w:p w14:paraId="35BA982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2001FC6F"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F4DF3CD"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3C8EB6D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Turizem</w:t>
            </w:r>
          </w:p>
        </w:tc>
        <w:tc>
          <w:tcPr>
            <w:tcW w:w="1306" w:type="dxa"/>
            <w:tcBorders>
              <w:top w:val="nil"/>
              <w:left w:val="nil"/>
              <w:bottom w:val="single" w:sz="4" w:space="0" w:color="auto"/>
              <w:right w:val="single" w:sz="4" w:space="0" w:color="auto"/>
            </w:tcBorders>
            <w:shd w:val="clear" w:color="auto" w:fill="auto"/>
            <w:noWrap/>
            <w:vAlign w:val="bottom"/>
            <w:hideMark/>
          </w:tcPr>
          <w:p w14:paraId="4A095F3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6496F6F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0E8DDCE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4,36</w:t>
            </w:r>
          </w:p>
        </w:tc>
        <w:tc>
          <w:tcPr>
            <w:tcW w:w="713" w:type="dxa"/>
            <w:tcBorders>
              <w:top w:val="nil"/>
              <w:left w:val="nil"/>
              <w:bottom w:val="single" w:sz="4" w:space="0" w:color="auto"/>
              <w:right w:val="single" w:sz="4" w:space="0" w:color="auto"/>
            </w:tcBorders>
            <w:shd w:val="clear" w:color="auto" w:fill="auto"/>
            <w:noWrap/>
            <w:vAlign w:val="bottom"/>
            <w:hideMark/>
          </w:tcPr>
          <w:p w14:paraId="735FEB4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4,80</w:t>
            </w:r>
          </w:p>
        </w:tc>
        <w:tc>
          <w:tcPr>
            <w:tcW w:w="713" w:type="dxa"/>
            <w:tcBorders>
              <w:top w:val="nil"/>
              <w:left w:val="nil"/>
              <w:bottom w:val="single" w:sz="4" w:space="0" w:color="auto"/>
              <w:right w:val="single" w:sz="4" w:space="0" w:color="auto"/>
            </w:tcBorders>
            <w:shd w:val="clear" w:color="auto" w:fill="auto"/>
            <w:noWrap/>
            <w:vAlign w:val="bottom"/>
            <w:hideMark/>
          </w:tcPr>
          <w:p w14:paraId="41D1AB1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4,18</w:t>
            </w:r>
          </w:p>
        </w:tc>
        <w:tc>
          <w:tcPr>
            <w:tcW w:w="634" w:type="dxa"/>
            <w:tcBorders>
              <w:top w:val="nil"/>
              <w:left w:val="nil"/>
              <w:bottom w:val="single" w:sz="4" w:space="0" w:color="auto"/>
              <w:right w:val="single" w:sz="4" w:space="0" w:color="auto"/>
            </w:tcBorders>
            <w:shd w:val="clear" w:color="auto" w:fill="auto"/>
            <w:noWrap/>
            <w:vAlign w:val="bottom"/>
            <w:hideMark/>
          </w:tcPr>
          <w:p w14:paraId="239DFA2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5,08</w:t>
            </w:r>
          </w:p>
        </w:tc>
        <w:tc>
          <w:tcPr>
            <w:tcW w:w="763" w:type="dxa"/>
            <w:tcBorders>
              <w:top w:val="nil"/>
              <w:left w:val="nil"/>
              <w:bottom w:val="single" w:sz="4" w:space="0" w:color="auto"/>
              <w:right w:val="single" w:sz="4" w:space="0" w:color="auto"/>
            </w:tcBorders>
            <w:shd w:val="clear" w:color="auto" w:fill="auto"/>
            <w:noWrap/>
            <w:vAlign w:val="bottom"/>
            <w:hideMark/>
          </w:tcPr>
          <w:p w14:paraId="7E92B81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4,45</w:t>
            </w:r>
          </w:p>
        </w:tc>
        <w:tc>
          <w:tcPr>
            <w:tcW w:w="763" w:type="dxa"/>
            <w:tcBorders>
              <w:top w:val="nil"/>
              <w:left w:val="nil"/>
              <w:bottom w:val="single" w:sz="4" w:space="0" w:color="auto"/>
              <w:right w:val="single" w:sz="4" w:space="0" w:color="auto"/>
            </w:tcBorders>
            <w:shd w:val="clear" w:color="auto" w:fill="auto"/>
            <w:noWrap/>
            <w:vAlign w:val="bottom"/>
            <w:hideMark/>
          </w:tcPr>
          <w:p w14:paraId="5DACD88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4,12</w:t>
            </w:r>
          </w:p>
        </w:tc>
        <w:tc>
          <w:tcPr>
            <w:tcW w:w="763" w:type="dxa"/>
            <w:tcBorders>
              <w:top w:val="nil"/>
              <w:left w:val="nil"/>
              <w:bottom w:val="single" w:sz="4" w:space="0" w:color="auto"/>
              <w:right w:val="single" w:sz="4" w:space="0" w:color="auto"/>
            </w:tcBorders>
            <w:shd w:val="clear" w:color="auto" w:fill="auto"/>
            <w:noWrap/>
            <w:vAlign w:val="bottom"/>
            <w:hideMark/>
          </w:tcPr>
          <w:p w14:paraId="4AFB268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48FF99B9"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73DFDAD"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0399708"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6C640F2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55A6581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698EF74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43,40</w:t>
            </w:r>
          </w:p>
        </w:tc>
        <w:tc>
          <w:tcPr>
            <w:tcW w:w="713" w:type="dxa"/>
            <w:tcBorders>
              <w:top w:val="nil"/>
              <w:left w:val="nil"/>
              <w:bottom w:val="single" w:sz="4" w:space="0" w:color="auto"/>
              <w:right w:val="single" w:sz="4" w:space="0" w:color="auto"/>
            </w:tcBorders>
            <w:shd w:val="clear" w:color="auto" w:fill="auto"/>
            <w:noWrap/>
            <w:vAlign w:val="bottom"/>
            <w:hideMark/>
          </w:tcPr>
          <w:p w14:paraId="2CB10EC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46,40</w:t>
            </w:r>
          </w:p>
        </w:tc>
        <w:tc>
          <w:tcPr>
            <w:tcW w:w="713" w:type="dxa"/>
            <w:tcBorders>
              <w:top w:val="nil"/>
              <w:left w:val="nil"/>
              <w:bottom w:val="single" w:sz="4" w:space="0" w:color="auto"/>
              <w:right w:val="single" w:sz="4" w:space="0" w:color="auto"/>
            </w:tcBorders>
            <w:shd w:val="clear" w:color="auto" w:fill="auto"/>
            <w:noWrap/>
            <w:vAlign w:val="bottom"/>
            <w:hideMark/>
          </w:tcPr>
          <w:p w14:paraId="1F8F98D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37,90</w:t>
            </w:r>
          </w:p>
        </w:tc>
        <w:tc>
          <w:tcPr>
            <w:tcW w:w="634" w:type="dxa"/>
            <w:tcBorders>
              <w:top w:val="nil"/>
              <w:left w:val="nil"/>
              <w:bottom w:val="single" w:sz="4" w:space="0" w:color="auto"/>
              <w:right w:val="single" w:sz="4" w:space="0" w:color="auto"/>
            </w:tcBorders>
            <w:shd w:val="clear" w:color="auto" w:fill="auto"/>
            <w:noWrap/>
            <w:vAlign w:val="bottom"/>
            <w:hideMark/>
          </w:tcPr>
          <w:p w14:paraId="62E6653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46,60</w:t>
            </w:r>
          </w:p>
        </w:tc>
        <w:tc>
          <w:tcPr>
            <w:tcW w:w="763" w:type="dxa"/>
            <w:tcBorders>
              <w:top w:val="nil"/>
              <w:left w:val="nil"/>
              <w:bottom w:val="single" w:sz="4" w:space="0" w:color="auto"/>
              <w:right w:val="single" w:sz="4" w:space="0" w:color="auto"/>
            </w:tcBorders>
            <w:shd w:val="clear" w:color="auto" w:fill="auto"/>
            <w:noWrap/>
            <w:vAlign w:val="bottom"/>
            <w:hideMark/>
          </w:tcPr>
          <w:p w14:paraId="3BC4C56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43,60</w:t>
            </w:r>
          </w:p>
        </w:tc>
        <w:tc>
          <w:tcPr>
            <w:tcW w:w="763" w:type="dxa"/>
            <w:tcBorders>
              <w:top w:val="nil"/>
              <w:left w:val="nil"/>
              <w:bottom w:val="single" w:sz="4" w:space="0" w:color="auto"/>
              <w:right w:val="single" w:sz="4" w:space="0" w:color="auto"/>
            </w:tcBorders>
            <w:shd w:val="clear" w:color="auto" w:fill="auto"/>
            <w:noWrap/>
            <w:vAlign w:val="bottom"/>
            <w:hideMark/>
          </w:tcPr>
          <w:p w14:paraId="06D671B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40,50</w:t>
            </w:r>
          </w:p>
        </w:tc>
        <w:tc>
          <w:tcPr>
            <w:tcW w:w="763" w:type="dxa"/>
            <w:tcBorders>
              <w:top w:val="nil"/>
              <w:left w:val="nil"/>
              <w:bottom w:val="single" w:sz="4" w:space="0" w:color="auto"/>
              <w:right w:val="single" w:sz="4" w:space="0" w:color="auto"/>
            </w:tcBorders>
            <w:shd w:val="clear" w:color="auto" w:fill="auto"/>
            <w:noWrap/>
            <w:vAlign w:val="bottom"/>
            <w:hideMark/>
          </w:tcPr>
          <w:p w14:paraId="6BD4424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7E8DBF8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0B938D5"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tcBorders>
              <w:top w:val="nil"/>
              <w:left w:val="nil"/>
              <w:bottom w:val="single" w:sz="4" w:space="0" w:color="auto"/>
              <w:right w:val="single" w:sz="4" w:space="0" w:color="auto"/>
            </w:tcBorders>
            <w:shd w:val="clear" w:color="auto" w:fill="auto"/>
            <w:vAlign w:val="bottom"/>
            <w:hideMark/>
          </w:tcPr>
          <w:p w14:paraId="2CC6091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1306" w:type="dxa"/>
            <w:tcBorders>
              <w:top w:val="nil"/>
              <w:left w:val="nil"/>
              <w:bottom w:val="single" w:sz="4" w:space="0" w:color="auto"/>
              <w:right w:val="single" w:sz="4" w:space="0" w:color="auto"/>
            </w:tcBorders>
            <w:shd w:val="clear" w:color="auto" w:fill="auto"/>
            <w:noWrap/>
            <w:vAlign w:val="bottom"/>
            <w:hideMark/>
          </w:tcPr>
          <w:p w14:paraId="445681C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45BE914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3AD7472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996,10</w:t>
            </w:r>
          </w:p>
        </w:tc>
        <w:tc>
          <w:tcPr>
            <w:tcW w:w="713" w:type="dxa"/>
            <w:tcBorders>
              <w:top w:val="nil"/>
              <w:left w:val="nil"/>
              <w:bottom w:val="single" w:sz="4" w:space="0" w:color="auto"/>
              <w:right w:val="single" w:sz="4" w:space="0" w:color="auto"/>
            </w:tcBorders>
            <w:shd w:val="clear" w:color="auto" w:fill="auto"/>
            <w:noWrap/>
            <w:vAlign w:val="bottom"/>
            <w:hideMark/>
          </w:tcPr>
          <w:p w14:paraId="6FD1632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966,00</w:t>
            </w:r>
          </w:p>
        </w:tc>
        <w:tc>
          <w:tcPr>
            <w:tcW w:w="713" w:type="dxa"/>
            <w:tcBorders>
              <w:top w:val="nil"/>
              <w:left w:val="nil"/>
              <w:bottom w:val="single" w:sz="4" w:space="0" w:color="auto"/>
              <w:right w:val="single" w:sz="4" w:space="0" w:color="auto"/>
            </w:tcBorders>
            <w:shd w:val="clear" w:color="auto" w:fill="auto"/>
            <w:noWrap/>
            <w:vAlign w:val="bottom"/>
            <w:hideMark/>
          </w:tcPr>
          <w:p w14:paraId="4ED5D40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905,90</w:t>
            </w:r>
          </w:p>
        </w:tc>
        <w:tc>
          <w:tcPr>
            <w:tcW w:w="634" w:type="dxa"/>
            <w:tcBorders>
              <w:top w:val="nil"/>
              <w:left w:val="nil"/>
              <w:bottom w:val="single" w:sz="4" w:space="0" w:color="auto"/>
              <w:right w:val="single" w:sz="4" w:space="0" w:color="auto"/>
            </w:tcBorders>
            <w:shd w:val="clear" w:color="auto" w:fill="auto"/>
            <w:noWrap/>
            <w:vAlign w:val="bottom"/>
            <w:hideMark/>
          </w:tcPr>
          <w:p w14:paraId="7C33793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917,40</w:t>
            </w:r>
          </w:p>
        </w:tc>
        <w:tc>
          <w:tcPr>
            <w:tcW w:w="763" w:type="dxa"/>
            <w:tcBorders>
              <w:top w:val="nil"/>
              <w:left w:val="nil"/>
              <w:bottom w:val="single" w:sz="4" w:space="0" w:color="auto"/>
              <w:right w:val="single" w:sz="4" w:space="0" w:color="auto"/>
            </w:tcBorders>
            <w:shd w:val="clear" w:color="auto" w:fill="auto"/>
            <w:noWrap/>
            <w:vAlign w:val="bottom"/>
            <w:hideMark/>
          </w:tcPr>
          <w:p w14:paraId="5DBF068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980,60</w:t>
            </w:r>
          </w:p>
        </w:tc>
        <w:tc>
          <w:tcPr>
            <w:tcW w:w="763" w:type="dxa"/>
            <w:tcBorders>
              <w:top w:val="nil"/>
              <w:left w:val="nil"/>
              <w:bottom w:val="single" w:sz="4" w:space="0" w:color="auto"/>
              <w:right w:val="single" w:sz="4" w:space="0" w:color="auto"/>
            </w:tcBorders>
            <w:shd w:val="clear" w:color="auto" w:fill="auto"/>
            <w:noWrap/>
            <w:vAlign w:val="bottom"/>
            <w:hideMark/>
          </w:tcPr>
          <w:p w14:paraId="046B56E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982,60</w:t>
            </w:r>
          </w:p>
        </w:tc>
        <w:tc>
          <w:tcPr>
            <w:tcW w:w="763" w:type="dxa"/>
            <w:tcBorders>
              <w:top w:val="nil"/>
              <w:left w:val="nil"/>
              <w:bottom w:val="single" w:sz="4" w:space="0" w:color="auto"/>
              <w:right w:val="single" w:sz="4" w:space="0" w:color="auto"/>
            </w:tcBorders>
            <w:shd w:val="clear" w:color="auto" w:fill="auto"/>
            <w:noWrap/>
            <w:vAlign w:val="bottom"/>
            <w:hideMark/>
          </w:tcPr>
          <w:p w14:paraId="24F24D5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bl>
    <w:p w14:paraId="3EF5E926" w14:textId="7E2764A2" w:rsidR="007C3D4B" w:rsidRPr="00BF7E57" w:rsidRDefault="007C3D4B" w:rsidP="00FB257A">
      <w:pPr>
        <w:spacing w:before="200" w:line="360" w:lineRule="auto"/>
        <w:jc w:val="both"/>
        <w:rPr>
          <w:rFonts w:ascii="Arial" w:hAnsi="Arial" w:cs="Arial"/>
          <w:sz w:val="18"/>
          <w:szCs w:val="18"/>
        </w:rPr>
      </w:pPr>
      <w:r w:rsidRPr="00BF7E57">
        <w:rPr>
          <w:rFonts w:ascii="Arial" w:hAnsi="Arial" w:cs="Arial"/>
          <w:sz w:val="18"/>
          <w:szCs w:val="18"/>
        </w:rPr>
        <w:t>Vir: Eurostat, 2021</w:t>
      </w:r>
    </w:p>
    <w:p w14:paraId="543D6B2A" w14:textId="05D2F8C1" w:rsidR="00416B5D" w:rsidRPr="00BF7E57" w:rsidRDefault="00416B5D" w:rsidP="00416B5D">
      <w:pPr>
        <w:spacing w:before="200" w:line="360" w:lineRule="auto"/>
        <w:jc w:val="both"/>
        <w:rPr>
          <w:rFonts w:ascii="Arial" w:hAnsi="Arial" w:cs="Arial"/>
          <w:sz w:val="20"/>
          <w:szCs w:val="20"/>
        </w:rPr>
      </w:pPr>
      <w:r w:rsidRPr="00BF7E57">
        <w:rPr>
          <w:rFonts w:ascii="Arial" w:hAnsi="Arial" w:cs="Arial"/>
          <w:sz w:val="20"/>
          <w:szCs w:val="20"/>
        </w:rPr>
        <w:t xml:space="preserve">Po podatkih SURS se je stopnja anketne brezposelnosti po letu 2013 pet let zniževala in v letu 2019 dosegla 5,1 % (po podatkih Eurostat celo 4,45 %) oziroma 53.000 oseb. Sicer je bila najvišja med mladimi med 15–29 let, 9 %, vendar se v zadnjih letih tudi v tej starostni skupini zniževala. Stopnja anketne brezposelnosti je bila v 2. četrtletju 2021 4,3-odstotna. </w:t>
      </w:r>
    </w:p>
    <w:p w14:paraId="7D9CD8F3" w14:textId="5270F578" w:rsidR="008949A2" w:rsidRPr="00BF7E57" w:rsidRDefault="00416B5D" w:rsidP="00FB257A">
      <w:pPr>
        <w:spacing w:before="200" w:line="360" w:lineRule="auto"/>
        <w:jc w:val="both"/>
        <w:rPr>
          <w:rFonts w:ascii="Arial" w:hAnsi="Arial" w:cs="Arial"/>
          <w:sz w:val="20"/>
          <w:szCs w:val="20"/>
        </w:rPr>
      </w:pPr>
      <w:r w:rsidRPr="00BF7E57">
        <w:rPr>
          <w:rFonts w:ascii="Arial" w:hAnsi="Arial" w:cs="Arial"/>
          <w:sz w:val="20"/>
          <w:szCs w:val="20"/>
        </w:rPr>
        <w:t xml:space="preserve">Po podatkih Zavoda RS za zaposlovanje se </w:t>
      </w:r>
      <w:r w:rsidR="00A0710E" w:rsidRPr="00BF7E57">
        <w:rPr>
          <w:rFonts w:ascii="Arial" w:hAnsi="Arial" w:cs="Arial"/>
          <w:sz w:val="20"/>
          <w:szCs w:val="20"/>
        </w:rPr>
        <w:t xml:space="preserve">je </w:t>
      </w:r>
      <w:r w:rsidRPr="00BF7E57">
        <w:rPr>
          <w:rFonts w:ascii="Arial" w:hAnsi="Arial" w:cs="Arial"/>
          <w:sz w:val="20"/>
          <w:szCs w:val="20"/>
        </w:rPr>
        <w:t>po obdobju povečane brezposelnosti le ta konec avgusta</w:t>
      </w:r>
      <w:r w:rsidR="00A5125A" w:rsidRPr="00BF7E57">
        <w:rPr>
          <w:rFonts w:ascii="Arial" w:hAnsi="Arial" w:cs="Arial"/>
          <w:sz w:val="20"/>
          <w:szCs w:val="20"/>
        </w:rPr>
        <w:t xml:space="preserve"> 2021</w:t>
      </w:r>
      <w:r w:rsidRPr="00BF7E57">
        <w:rPr>
          <w:rFonts w:ascii="Arial" w:hAnsi="Arial" w:cs="Arial"/>
          <w:sz w:val="20"/>
          <w:szCs w:val="20"/>
        </w:rPr>
        <w:t xml:space="preserve"> zmanjšala na 69.292 brezposelnih oseb, kar je 21 % manj kot isto obdobje leta 2020. Število brezposelnih se je znižalo v vseh kategorijah, le število dolgotrajno brezposelnih se je povečalo. Glede na spol je več žensk, glede na starost največ starih več kot 50 let, glede na izobrazbo pa manj izobraženi</w:t>
      </w:r>
      <w:r w:rsidR="00413918" w:rsidRPr="00BF7E57">
        <w:rPr>
          <w:rFonts w:ascii="Arial" w:hAnsi="Arial" w:cs="Arial"/>
          <w:sz w:val="20"/>
          <w:szCs w:val="20"/>
        </w:rPr>
        <w:t>h</w:t>
      </w:r>
      <w:r w:rsidRPr="00BF7E57">
        <w:rPr>
          <w:rFonts w:ascii="Arial" w:hAnsi="Arial" w:cs="Arial"/>
          <w:sz w:val="20"/>
          <w:szCs w:val="20"/>
        </w:rPr>
        <w:t>. Spodbudno je, da se je znižala stopnja brezposelnosti mladih, ki so bili poleg žensk v času koronakrize med najbolj prizadetimi. Je pa med novimi brezposelnimi največ iskalcev prve zaposlitve in zaposlenih za določen čas, med katerimi je veliko mladih, ter brezposelnih zaradi stečajev podjetij.</w:t>
      </w:r>
    </w:p>
    <w:p w14:paraId="0CE3C122" w14:textId="5EA09660" w:rsidR="00416B5D" w:rsidRPr="00BF7E57" w:rsidRDefault="00BD503E" w:rsidP="00416B5D">
      <w:pPr>
        <w:widowControl w:val="0"/>
        <w:spacing w:after="240" w:line="360" w:lineRule="auto"/>
        <w:jc w:val="both"/>
        <w:rPr>
          <w:rFonts w:ascii="Arial" w:hAnsi="Arial" w:cs="Arial"/>
          <w:sz w:val="20"/>
          <w:szCs w:val="20"/>
        </w:rPr>
      </w:pPr>
      <w:r w:rsidRPr="00BF7E57">
        <w:rPr>
          <w:rFonts w:ascii="Arial" w:hAnsi="Arial" w:cs="Arial"/>
          <w:sz w:val="20"/>
          <w:szCs w:val="20"/>
        </w:rPr>
        <w:t>Glede na regije, je bila po podatkih EUROSTAT v letu 2019 v Sloveniji nižja brezposelnost v podeželskih regijah.</w:t>
      </w:r>
    </w:p>
    <w:p w14:paraId="254B0D40" w14:textId="5294C1D0" w:rsidR="0008099E" w:rsidRPr="00BF7E57" w:rsidRDefault="0008099E" w:rsidP="00A5125A">
      <w:pPr>
        <w:pStyle w:val="Napis"/>
      </w:pPr>
      <w:bookmarkStart w:id="155" w:name="_Toc55913726"/>
      <w:bookmarkStart w:id="156" w:name="_Toc8682646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28</w:t>
      </w:r>
      <w:r w:rsidR="00A30B83" w:rsidRPr="00BF7E57">
        <w:rPr>
          <w:noProof/>
        </w:rPr>
        <w:fldChar w:fldCharType="end"/>
      </w:r>
      <w:r w:rsidRPr="00BF7E57">
        <w:t>: Stopnja brezposelnosti</w:t>
      </w:r>
      <w:bookmarkEnd w:id="156"/>
    </w:p>
    <w:bookmarkEnd w:id="155"/>
    <w:p w14:paraId="1874E708" w14:textId="29972C0D" w:rsidR="00416B5D" w:rsidRPr="00BF7E57" w:rsidRDefault="00416B5D" w:rsidP="00A5125A">
      <w:pPr>
        <w:pStyle w:val="Napis"/>
      </w:pPr>
    </w:p>
    <w:tbl>
      <w:tblPr>
        <w:tblW w:w="5029" w:type="pct"/>
        <w:tblCellMar>
          <w:left w:w="70" w:type="dxa"/>
          <w:right w:w="70" w:type="dxa"/>
        </w:tblCellMar>
        <w:tblLook w:val="04A0" w:firstRow="1" w:lastRow="0" w:firstColumn="1" w:lastColumn="0" w:noHBand="0" w:noVBand="1"/>
      </w:tblPr>
      <w:tblGrid>
        <w:gridCol w:w="567"/>
        <w:gridCol w:w="3462"/>
        <w:gridCol w:w="859"/>
        <w:gridCol w:w="859"/>
        <w:gridCol w:w="842"/>
        <w:gridCol w:w="842"/>
        <w:gridCol w:w="842"/>
        <w:gridCol w:w="842"/>
      </w:tblGrid>
      <w:tr w:rsidR="00416B5D" w:rsidRPr="00BF7E57" w14:paraId="00F2B8C9" w14:textId="77777777" w:rsidTr="00402774">
        <w:trPr>
          <w:trHeight w:val="239"/>
        </w:trPr>
        <w:tc>
          <w:tcPr>
            <w:tcW w:w="3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7CFE1CA" w14:textId="77777777" w:rsidR="00416B5D" w:rsidRPr="00BF7E57" w:rsidRDefault="00416B5D" w:rsidP="00402774">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C.07</w:t>
            </w:r>
          </w:p>
        </w:tc>
        <w:tc>
          <w:tcPr>
            <w:tcW w:w="1899" w:type="pct"/>
            <w:tcBorders>
              <w:top w:val="single" w:sz="4" w:space="0" w:color="auto"/>
              <w:left w:val="nil"/>
              <w:bottom w:val="single" w:sz="4" w:space="0" w:color="auto"/>
              <w:right w:val="single" w:sz="4" w:space="0" w:color="auto"/>
            </w:tcBorders>
            <w:shd w:val="clear" w:color="000000" w:fill="92D050"/>
            <w:noWrap/>
            <w:vAlign w:val="bottom"/>
            <w:hideMark/>
          </w:tcPr>
          <w:p w14:paraId="5D15F1F3" w14:textId="77777777" w:rsidR="00416B5D" w:rsidRPr="00BF7E57" w:rsidRDefault="00416B5D" w:rsidP="00402774">
            <w:pPr>
              <w:spacing w:before="60" w:after="0" w:line="312" w:lineRule="auto"/>
              <w:rPr>
                <w:rFonts w:ascii="Arial" w:hAnsi="Arial" w:cs="Arial"/>
                <w:b/>
                <w:color w:val="000000"/>
                <w:sz w:val="18"/>
                <w:szCs w:val="18"/>
                <w:lang w:eastAsia="sl-SI"/>
              </w:rPr>
            </w:pPr>
            <w:r w:rsidRPr="00BF7E57">
              <w:rPr>
                <w:rFonts w:ascii="Arial" w:hAnsi="Arial" w:cs="Arial"/>
                <w:b/>
                <w:color w:val="000000"/>
                <w:sz w:val="18"/>
                <w:szCs w:val="18"/>
                <w:lang w:eastAsia="sl-SI"/>
              </w:rPr>
              <w:t>Stopnja brezposelnosti</w:t>
            </w:r>
          </w:p>
        </w:tc>
        <w:tc>
          <w:tcPr>
            <w:tcW w:w="471" w:type="pct"/>
            <w:tcBorders>
              <w:top w:val="single" w:sz="4" w:space="0" w:color="auto"/>
              <w:left w:val="nil"/>
              <w:bottom w:val="single" w:sz="4" w:space="0" w:color="auto"/>
              <w:right w:val="single" w:sz="4" w:space="0" w:color="auto"/>
            </w:tcBorders>
            <w:shd w:val="clear" w:color="000000" w:fill="92D050"/>
            <w:noWrap/>
            <w:vAlign w:val="center"/>
            <w:hideMark/>
          </w:tcPr>
          <w:p w14:paraId="2DEFE2E0"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2010</w:t>
            </w:r>
          </w:p>
        </w:tc>
        <w:tc>
          <w:tcPr>
            <w:tcW w:w="471" w:type="pct"/>
            <w:tcBorders>
              <w:top w:val="single" w:sz="4" w:space="0" w:color="auto"/>
              <w:left w:val="nil"/>
              <w:bottom w:val="single" w:sz="4" w:space="0" w:color="auto"/>
              <w:right w:val="single" w:sz="4" w:space="0" w:color="auto"/>
            </w:tcBorders>
            <w:shd w:val="clear" w:color="000000" w:fill="92D050"/>
            <w:noWrap/>
            <w:vAlign w:val="center"/>
            <w:hideMark/>
          </w:tcPr>
          <w:p w14:paraId="66DF7EEB"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2013</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2714EB8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2016</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689C013D"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2017</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43E87CA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2018</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4902869B"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2019</w:t>
            </w:r>
          </w:p>
        </w:tc>
      </w:tr>
      <w:tr w:rsidR="00416B5D" w:rsidRPr="00BF7E57" w14:paraId="3A387197" w14:textId="77777777" w:rsidTr="00402774">
        <w:trPr>
          <w:trHeight w:val="455"/>
        </w:trPr>
        <w:tc>
          <w:tcPr>
            <w:tcW w:w="311" w:type="pct"/>
            <w:vMerge w:val="restart"/>
            <w:tcBorders>
              <w:top w:val="nil"/>
              <w:left w:val="single" w:sz="4" w:space="0" w:color="auto"/>
              <w:bottom w:val="single" w:sz="4" w:space="0" w:color="auto"/>
              <w:right w:val="single" w:sz="4" w:space="0" w:color="auto"/>
            </w:tcBorders>
            <w:shd w:val="clear" w:color="000000" w:fill="FFFFFF"/>
            <w:noWrap/>
            <w:vAlign w:val="bottom"/>
            <w:hideMark/>
          </w:tcPr>
          <w:p w14:paraId="7AA7ADA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899" w:type="pct"/>
            <w:tcBorders>
              <w:top w:val="nil"/>
              <w:left w:val="nil"/>
              <w:bottom w:val="single" w:sz="4" w:space="0" w:color="auto"/>
              <w:right w:val="single" w:sz="4" w:space="0" w:color="auto"/>
            </w:tcBorders>
            <w:shd w:val="clear" w:color="000000" w:fill="FFFFFF"/>
            <w:vAlign w:val="bottom"/>
            <w:hideMark/>
          </w:tcPr>
          <w:p w14:paraId="0DBD5662" w14:textId="77777777" w:rsidR="00416B5D" w:rsidRPr="00BF7E57" w:rsidRDefault="00416B5D" w:rsidP="00402774">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Stopnja brezposelnosti za starostno skupino 15-74 let - podeželske regije</w:t>
            </w:r>
          </w:p>
        </w:tc>
        <w:tc>
          <w:tcPr>
            <w:tcW w:w="471" w:type="pct"/>
            <w:tcBorders>
              <w:top w:val="nil"/>
              <w:left w:val="nil"/>
              <w:bottom w:val="single" w:sz="4" w:space="0" w:color="auto"/>
              <w:right w:val="single" w:sz="4" w:space="0" w:color="auto"/>
            </w:tcBorders>
            <w:shd w:val="clear" w:color="000000" w:fill="FFFFFF"/>
            <w:noWrap/>
            <w:vAlign w:val="center"/>
            <w:hideMark/>
          </w:tcPr>
          <w:p w14:paraId="33A79889"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6,61</w:t>
            </w:r>
          </w:p>
        </w:tc>
        <w:tc>
          <w:tcPr>
            <w:tcW w:w="471" w:type="pct"/>
            <w:tcBorders>
              <w:top w:val="nil"/>
              <w:left w:val="nil"/>
              <w:bottom w:val="single" w:sz="4" w:space="0" w:color="auto"/>
              <w:right w:val="single" w:sz="4" w:space="0" w:color="auto"/>
            </w:tcBorders>
            <w:shd w:val="clear" w:color="auto" w:fill="auto"/>
            <w:noWrap/>
            <w:vAlign w:val="center"/>
            <w:hideMark/>
          </w:tcPr>
          <w:p w14:paraId="3F939CAE"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9,77</w:t>
            </w:r>
          </w:p>
        </w:tc>
        <w:tc>
          <w:tcPr>
            <w:tcW w:w="462" w:type="pct"/>
            <w:tcBorders>
              <w:top w:val="nil"/>
              <w:left w:val="nil"/>
              <w:bottom w:val="single" w:sz="4" w:space="0" w:color="auto"/>
              <w:right w:val="single" w:sz="4" w:space="0" w:color="auto"/>
            </w:tcBorders>
            <w:shd w:val="clear" w:color="auto" w:fill="auto"/>
            <w:noWrap/>
            <w:vAlign w:val="center"/>
            <w:hideMark/>
          </w:tcPr>
          <w:p w14:paraId="1CEEA20B"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7,21</w:t>
            </w:r>
          </w:p>
        </w:tc>
        <w:tc>
          <w:tcPr>
            <w:tcW w:w="462" w:type="pct"/>
            <w:tcBorders>
              <w:top w:val="nil"/>
              <w:left w:val="nil"/>
              <w:bottom w:val="single" w:sz="4" w:space="0" w:color="auto"/>
              <w:right w:val="single" w:sz="4" w:space="0" w:color="auto"/>
            </w:tcBorders>
            <w:shd w:val="clear" w:color="000000" w:fill="FFFFFF"/>
            <w:noWrap/>
            <w:vAlign w:val="center"/>
            <w:hideMark/>
          </w:tcPr>
          <w:p w14:paraId="09CB49E1"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5,92</w:t>
            </w:r>
          </w:p>
        </w:tc>
        <w:tc>
          <w:tcPr>
            <w:tcW w:w="462" w:type="pct"/>
            <w:tcBorders>
              <w:top w:val="nil"/>
              <w:left w:val="nil"/>
              <w:bottom w:val="single" w:sz="4" w:space="0" w:color="auto"/>
              <w:right w:val="single" w:sz="4" w:space="0" w:color="auto"/>
            </w:tcBorders>
            <w:shd w:val="clear" w:color="000000" w:fill="FFFFFF"/>
            <w:noWrap/>
            <w:vAlign w:val="center"/>
            <w:hideMark/>
          </w:tcPr>
          <w:p w14:paraId="56DDF3F6"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4,60</w:t>
            </w:r>
          </w:p>
        </w:tc>
        <w:tc>
          <w:tcPr>
            <w:tcW w:w="462" w:type="pct"/>
            <w:tcBorders>
              <w:top w:val="nil"/>
              <w:left w:val="nil"/>
              <w:bottom w:val="single" w:sz="4" w:space="0" w:color="auto"/>
              <w:right w:val="single" w:sz="4" w:space="0" w:color="auto"/>
            </w:tcBorders>
            <w:shd w:val="clear" w:color="000000" w:fill="FFFFFF"/>
            <w:noWrap/>
            <w:vAlign w:val="center"/>
            <w:hideMark/>
          </w:tcPr>
          <w:p w14:paraId="1BE4F930"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4,35</w:t>
            </w:r>
          </w:p>
        </w:tc>
      </w:tr>
      <w:tr w:rsidR="00416B5D" w:rsidRPr="00BF7E57" w14:paraId="3AE3922A"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226A8ED1" w14:textId="77777777" w:rsidR="00416B5D" w:rsidRPr="00BF7E57"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6CF59D0C" w14:textId="77777777" w:rsidR="00416B5D" w:rsidRPr="00BF7E57" w:rsidRDefault="00416B5D" w:rsidP="00402774">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Stopnja brezposelnosti za starostno skupino 15-74 let - skupaj</w:t>
            </w:r>
          </w:p>
        </w:tc>
        <w:tc>
          <w:tcPr>
            <w:tcW w:w="471" w:type="pct"/>
            <w:tcBorders>
              <w:top w:val="nil"/>
              <w:left w:val="nil"/>
              <w:bottom w:val="single" w:sz="4" w:space="0" w:color="auto"/>
              <w:right w:val="single" w:sz="4" w:space="0" w:color="auto"/>
            </w:tcBorders>
            <w:shd w:val="clear" w:color="000000" w:fill="FFFFFF"/>
            <w:noWrap/>
            <w:vAlign w:val="center"/>
            <w:hideMark/>
          </w:tcPr>
          <w:p w14:paraId="2596CD3F"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7,28</w:t>
            </w:r>
          </w:p>
        </w:tc>
        <w:tc>
          <w:tcPr>
            <w:tcW w:w="471" w:type="pct"/>
            <w:tcBorders>
              <w:top w:val="nil"/>
              <w:left w:val="nil"/>
              <w:bottom w:val="single" w:sz="4" w:space="0" w:color="auto"/>
              <w:right w:val="single" w:sz="4" w:space="0" w:color="auto"/>
            </w:tcBorders>
            <w:shd w:val="clear" w:color="auto" w:fill="auto"/>
            <w:noWrap/>
            <w:vAlign w:val="center"/>
            <w:hideMark/>
          </w:tcPr>
          <w:p w14:paraId="254CB557"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10,14</w:t>
            </w:r>
          </w:p>
        </w:tc>
        <w:tc>
          <w:tcPr>
            <w:tcW w:w="462" w:type="pct"/>
            <w:tcBorders>
              <w:top w:val="nil"/>
              <w:left w:val="nil"/>
              <w:bottom w:val="single" w:sz="4" w:space="0" w:color="auto"/>
              <w:right w:val="single" w:sz="4" w:space="0" w:color="auto"/>
            </w:tcBorders>
            <w:shd w:val="clear" w:color="auto" w:fill="auto"/>
            <w:noWrap/>
            <w:vAlign w:val="center"/>
            <w:hideMark/>
          </w:tcPr>
          <w:p w14:paraId="0AD5A11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8,02</w:t>
            </w:r>
          </w:p>
        </w:tc>
        <w:tc>
          <w:tcPr>
            <w:tcW w:w="462" w:type="pct"/>
            <w:tcBorders>
              <w:top w:val="nil"/>
              <w:left w:val="nil"/>
              <w:bottom w:val="single" w:sz="4" w:space="0" w:color="auto"/>
              <w:right w:val="single" w:sz="4" w:space="0" w:color="auto"/>
            </w:tcBorders>
            <w:shd w:val="clear" w:color="000000" w:fill="FFFFFF"/>
            <w:noWrap/>
            <w:vAlign w:val="center"/>
            <w:hideMark/>
          </w:tcPr>
          <w:p w14:paraId="409120E8"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6,59</w:t>
            </w:r>
          </w:p>
        </w:tc>
        <w:tc>
          <w:tcPr>
            <w:tcW w:w="462" w:type="pct"/>
            <w:tcBorders>
              <w:top w:val="nil"/>
              <w:left w:val="nil"/>
              <w:bottom w:val="single" w:sz="4" w:space="0" w:color="auto"/>
              <w:right w:val="single" w:sz="4" w:space="0" w:color="auto"/>
            </w:tcBorders>
            <w:shd w:val="clear" w:color="000000" w:fill="FFFFFF"/>
            <w:noWrap/>
            <w:vAlign w:val="center"/>
            <w:hideMark/>
          </w:tcPr>
          <w:p w14:paraId="1AA8374E"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5,13</w:t>
            </w:r>
          </w:p>
        </w:tc>
        <w:tc>
          <w:tcPr>
            <w:tcW w:w="462" w:type="pct"/>
            <w:tcBorders>
              <w:top w:val="nil"/>
              <w:left w:val="nil"/>
              <w:bottom w:val="single" w:sz="4" w:space="0" w:color="auto"/>
              <w:right w:val="single" w:sz="4" w:space="0" w:color="auto"/>
            </w:tcBorders>
            <w:shd w:val="clear" w:color="000000" w:fill="FFFFFF"/>
            <w:noWrap/>
            <w:vAlign w:val="center"/>
            <w:hideMark/>
          </w:tcPr>
          <w:p w14:paraId="425E68B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4,45</w:t>
            </w:r>
          </w:p>
        </w:tc>
      </w:tr>
      <w:tr w:rsidR="00416B5D" w:rsidRPr="00BF7E57" w14:paraId="2A589D3D"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476B27C1" w14:textId="77777777" w:rsidR="00416B5D" w:rsidRPr="00BF7E57"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74E0F06D" w14:textId="77777777" w:rsidR="00416B5D" w:rsidRPr="00BF7E57" w:rsidRDefault="00416B5D" w:rsidP="00402774">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Stopnja brezposelnosti mladih (za starostno skupino 15-24) - podeželske regije</w:t>
            </w:r>
          </w:p>
        </w:tc>
        <w:tc>
          <w:tcPr>
            <w:tcW w:w="471" w:type="pct"/>
            <w:tcBorders>
              <w:top w:val="nil"/>
              <w:left w:val="nil"/>
              <w:bottom w:val="single" w:sz="4" w:space="0" w:color="auto"/>
              <w:right w:val="single" w:sz="4" w:space="0" w:color="auto"/>
            </w:tcBorders>
            <w:shd w:val="clear" w:color="000000" w:fill="FFFFFF"/>
            <w:noWrap/>
            <w:vAlign w:val="center"/>
            <w:hideMark/>
          </w:tcPr>
          <w:p w14:paraId="74747337"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12,53</w:t>
            </w:r>
          </w:p>
        </w:tc>
        <w:tc>
          <w:tcPr>
            <w:tcW w:w="471" w:type="pct"/>
            <w:tcBorders>
              <w:top w:val="nil"/>
              <w:left w:val="nil"/>
              <w:bottom w:val="single" w:sz="4" w:space="0" w:color="auto"/>
              <w:right w:val="single" w:sz="4" w:space="0" w:color="auto"/>
            </w:tcBorders>
            <w:shd w:val="clear" w:color="auto" w:fill="auto"/>
            <w:noWrap/>
            <w:vAlign w:val="center"/>
            <w:hideMark/>
          </w:tcPr>
          <w:p w14:paraId="3274FB4B"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21,07</w:t>
            </w:r>
          </w:p>
        </w:tc>
        <w:tc>
          <w:tcPr>
            <w:tcW w:w="462" w:type="pct"/>
            <w:tcBorders>
              <w:top w:val="nil"/>
              <w:left w:val="nil"/>
              <w:bottom w:val="single" w:sz="4" w:space="0" w:color="auto"/>
              <w:right w:val="single" w:sz="4" w:space="0" w:color="auto"/>
            </w:tcBorders>
            <w:shd w:val="clear" w:color="auto" w:fill="auto"/>
            <w:noWrap/>
            <w:vAlign w:val="center"/>
            <w:hideMark/>
          </w:tcPr>
          <w:p w14:paraId="4CD93EE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12,02</w:t>
            </w:r>
          </w:p>
        </w:tc>
        <w:tc>
          <w:tcPr>
            <w:tcW w:w="462" w:type="pct"/>
            <w:tcBorders>
              <w:top w:val="nil"/>
              <w:left w:val="nil"/>
              <w:bottom w:val="single" w:sz="4" w:space="0" w:color="auto"/>
              <w:right w:val="single" w:sz="4" w:space="0" w:color="auto"/>
            </w:tcBorders>
            <w:shd w:val="clear" w:color="000000" w:fill="FFFFFF"/>
            <w:noWrap/>
            <w:vAlign w:val="center"/>
            <w:hideMark/>
          </w:tcPr>
          <w:p w14:paraId="454E981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9,80</w:t>
            </w:r>
          </w:p>
        </w:tc>
        <w:tc>
          <w:tcPr>
            <w:tcW w:w="462" w:type="pct"/>
            <w:tcBorders>
              <w:top w:val="nil"/>
              <w:left w:val="nil"/>
              <w:bottom w:val="single" w:sz="4" w:space="0" w:color="auto"/>
              <w:right w:val="single" w:sz="4" w:space="0" w:color="auto"/>
            </w:tcBorders>
            <w:shd w:val="clear" w:color="000000" w:fill="FFFFFF"/>
            <w:noWrap/>
            <w:vAlign w:val="center"/>
            <w:hideMark/>
          </w:tcPr>
          <w:p w14:paraId="732D1CA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7,74</w:t>
            </w:r>
          </w:p>
        </w:tc>
        <w:tc>
          <w:tcPr>
            <w:tcW w:w="462" w:type="pct"/>
            <w:tcBorders>
              <w:top w:val="nil"/>
              <w:left w:val="nil"/>
              <w:bottom w:val="single" w:sz="4" w:space="0" w:color="auto"/>
              <w:right w:val="single" w:sz="4" w:space="0" w:color="auto"/>
            </w:tcBorders>
            <w:shd w:val="clear" w:color="000000" w:fill="FFFFFF"/>
            <w:noWrap/>
            <w:vAlign w:val="center"/>
            <w:hideMark/>
          </w:tcPr>
          <w:p w14:paraId="24B0B691"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7,18</w:t>
            </w:r>
          </w:p>
        </w:tc>
      </w:tr>
      <w:tr w:rsidR="00416B5D" w:rsidRPr="00BF7E57" w14:paraId="36D9A885"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2494E85B" w14:textId="77777777" w:rsidR="00416B5D" w:rsidRPr="00BF7E57"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7FA2B190" w14:textId="77777777" w:rsidR="00416B5D" w:rsidRPr="00BF7E57" w:rsidRDefault="00416B5D" w:rsidP="00402774">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Stopnja brezposelnosti mladih (za starostno skupino 15-24) - skupaj</w:t>
            </w:r>
          </w:p>
        </w:tc>
        <w:tc>
          <w:tcPr>
            <w:tcW w:w="471" w:type="pct"/>
            <w:tcBorders>
              <w:top w:val="nil"/>
              <w:left w:val="nil"/>
              <w:bottom w:val="single" w:sz="4" w:space="0" w:color="auto"/>
              <w:right w:val="single" w:sz="4" w:space="0" w:color="auto"/>
            </w:tcBorders>
            <w:shd w:val="clear" w:color="000000" w:fill="FFFFFF"/>
            <w:noWrap/>
            <w:vAlign w:val="center"/>
            <w:hideMark/>
          </w:tcPr>
          <w:p w14:paraId="1F82DE98"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14,63</w:t>
            </w:r>
          </w:p>
        </w:tc>
        <w:tc>
          <w:tcPr>
            <w:tcW w:w="471" w:type="pct"/>
            <w:tcBorders>
              <w:top w:val="nil"/>
              <w:left w:val="nil"/>
              <w:bottom w:val="single" w:sz="4" w:space="0" w:color="auto"/>
              <w:right w:val="single" w:sz="4" w:space="0" w:color="auto"/>
            </w:tcBorders>
            <w:shd w:val="clear" w:color="auto" w:fill="auto"/>
            <w:noWrap/>
            <w:vAlign w:val="center"/>
            <w:hideMark/>
          </w:tcPr>
          <w:p w14:paraId="7AA23BAA"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21,60</w:t>
            </w:r>
          </w:p>
        </w:tc>
        <w:tc>
          <w:tcPr>
            <w:tcW w:w="462" w:type="pct"/>
            <w:tcBorders>
              <w:top w:val="nil"/>
              <w:left w:val="nil"/>
              <w:bottom w:val="single" w:sz="4" w:space="0" w:color="auto"/>
              <w:right w:val="single" w:sz="4" w:space="0" w:color="auto"/>
            </w:tcBorders>
            <w:shd w:val="clear" w:color="auto" w:fill="auto"/>
            <w:noWrap/>
            <w:vAlign w:val="center"/>
            <w:hideMark/>
          </w:tcPr>
          <w:p w14:paraId="3CD7EFC7"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15,17</w:t>
            </w:r>
          </w:p>
        </w:tc>
        <w:tc>
          <w:tcPr>
            <w:tcW w:w="462" w:type="pct"/>
            <w:tcBorders>
              <w:top w:val="nil"/>
              <w:left w:val="nil"/>
              <w:bottom w:val="single" w:sz="4" w:space="0" w:color="auto"/>
              <w:right w:val="single" w:sz="4" w:space="0" w:color="auto"/>
            </w:tcBorders>
            <w:shd w:val="clear" w:color="000000" w:fill="FFFFFF"/>
            <w:noWrap/>
            <w:vAlign w:val="center"/>
            <w:hideMark/>
          </w:tcPr>
          <w:p w14:paraId="43168B6C"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11,27</w:t>
            </w:r>
          </w:p>
        </w:tc>
        <w:tc>
          <w:tcPr>
            <w:tcW w:w="462" w:type="pct"/>
            <w:tcBorders>
              <w:top w:val="nil"/>
              <w:left w:val="nil"/>
              <w:bottom w:val="single" w:sz="4" w:space="0" w:color="auto"/>
              <w:right w:val="single" w:sz="4" w:space="0" w:color="auto"/>
            </w:tcBorders>
            <w:shd w:val="clear" w:color="000000" w:fill="FFFFFF"/>
            <w:noWrap/>
            <w:vAlign w:val="center"/>
            <w:hideMark/>
          </w:tcPr>
          <w:p w14:paraId="52EF77D0"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8,81</w:t>
            </w:r>
          </w:p>
        </w:tc>
        <w:tc>
          <w:tcPr>
            <w:tcW w:w="462" w:type="pct"/>
            <w:tcBorders>
              <w:top w:val="nil"/>
              <w:left w:val="nil"/>
              <w:bottom w:val="single" w:sz="4" w:space="0" w:color="auto"/>
              <w:right w:val="single" w:sz="4" w:space="0" w:color="auto"/>
            </w:tcBorders>
            <w:shd w:val="clear" w:color="000000" w:fill="FFFFFF"/>
            <w:noWrap/>
            <w:vAlign w:val="center"/>
            <w:hideMark/>
          </w:tcPr>
          <w:p w14:paraId="47D44EA3"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8,19</w:t>
            </w:r>
          </w:p>
        </w:tc>
      </w:tr>
    </w:tbl>
    <w:p w14:paraId="5722BFF8" w14:textId="77777777" w:rsidR="00416B5D" w:rsidRPr="00BF7E57" w:rsidRDefault="00416B5D" w:rsidP="00416B5D">
      <w:pPr>
        <w:spacing w:before="120" w:after="240" w:line="264" w:lineRule="auto"/>
        <w:rPr>
          <w:rFonts w:cs="Arial"/>
          <w:bCs/>
          <w:i/>
          <w:szCs w:val="20"/>
        </w:rPr>
      </w:pPr>
      <w:r w:rsidRPr="00BF7E57">
        <w:rPr>
          <w:rFonts w:eastAsia="Arial" w:cs="Arial"/>
          <w:bCs/>
          <w:sz w:val="16"/>
          <w:szCs w:val="16"/>
        </w:rPr>
        <w:t xml:space="preserve">Vir: </w:t>
      </w:r>
      <w:r w:rsidRPr="00BF7E57">
        <w:rPr>
          <w:rFonts w:eastAsia="Calibri"/>
          <w:sz w:val="16"/>
          <w:szCs w:val="16"/>
        </w:rPr>
        <w:t>Dashboard Indicators</w:t>
      </w:r>
      <w:r w:rsidRPr="00BF7E57">
        <w:rPr>
          <w:rFonts w:cs="Arial"/>
          <w:sz w:val="16"/>
          <w:szCs w:val="16"/>
        </w:rPr>
        <w:t xml:space="preserve"> </w:t>
      </w:r>
      <w:r w:rsidRPr="00BF7E57">
        <w:rPr>
          <w:rFonts w:eastAsia="Arial" w:cs="Arial"/>
          <w:bCs/>
          <w:sz w:val="16"/>
          <w:szCs w:val="16"/>
        </w:rPr>
        <w:t>https://gridata.ec.europa.eu/extensions/DashboardIndicators/DataExplorer.html?select=EU27_FLAG,1)</w:t>
      </w:r>
      <w:r w:rsidRPr="00BF7E57" w:rsidDel="0048003A">
        <w:rPr>
          <w:rFonts w:cs="Arial"/>
          <w:bCs/>
          <w:i/>
          <w:szCs w:val="20"/>
        </w:rPr>
        <w:t xml:space="preserve"> </w:t>
      </w:r>
    </w:p>
    <w:p w14:paraId="2B065601" w14:textId="78F9BEE6" w:rsidR="00416B5D" w:rsidRPr="00BF7E57" w:rsidRDefault="00416B5D" w:rsidP="00FB257A">
      <w:pPr>
        <w:spacing w:before="200" w:line="360" w:lineRule="auto"/>
        <w:jc w:val="both"/>
        <w:rPr>
          <w:rFonts w:ascii="Arial" w:hAnsi="Arial" w:cs="Arial"/>
          <w:sz w:val="20"/>
          <w:szCs w:val="20"/>
        </w:rPr>
      </w:pPr>
    </w:p>
    <w:p w14:paraId="201D84BA" w14:textId="77777777" w:rsidR="00A5125A" w:rsidRPr="00BF7E57" w:rsidRDefault="00A5125A" w:rsidP="00FB257A">
      <w:pPr>
        <w:spacing w:before="200" w:line="360" w:lineRule="auto"/>
        <w:jc w:val="both"/>
        <w:rPr>
          <w:rFonts w:ascii="Arial" w:hAnsi="Arial" w:cs="Arial"/>
          <w:sz w:val="20"/>
          <w:szCs w:val="20"/>
        </w:rPr>
      </w:pPr>
    </w:p>
    <w:p w14:paraId="50D8B1A2" w14:textId="50FF5E7E" w:rsidR="003E038D" w:rsidRPr="00BF7E57" w:rsidRDefault="003E038D" w:rsidP="00A5125A">
      <w:pPr>
        <w:pStyle w:val="Napis"/>
      </w:pPr>
      <w:bookmarkStart w:id="157" w:name="_Toc86826423"/>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33</w:t>
      </w:r>
      <w:r w:rsidR="00A30B83" w:rsidRPr="00BF7E57">
        <w:rPr>
          <w:noProof/>
        </w:rPr>
        <w:fldChar w:fldCharType="end"/>
      </w:r>
      <w:r w:rsidRPr="00BF7E57">
        <w:t>: Kategorije brezposelnih oseb, deleži (avgust 2021)</w:t>
      </w:r>
      <w:bookmarkEnd w:id="157"/>
    </w:p>
    <w:p w14:paraId="093C0F0E" w14:textId="77777777" w:rsidR="00A5125A" w:rsidRPr="00BF7E57" w:rsidRDefault="00A5125A" w:rsidP="00A5125A">
      <w:pPr>
        <w:rPr>
          <w:lang w:eastAsia="en-GB"/>
        </w:rPr>
      </w:pPr>
    </w:p>
    <w:p w14:paraId="2CB18F26" w14:textId="42662C1C" w:rsidR="005467D1" w:rsidRPr="00BF7E57" w:rsidRDefault="005467D1" w:rsidP="00DC6E28">
      <w:pPr>
        <w:pStyle w:val="Default"/>
        <w:keepNext/>
        <w:spacing w:line="360" w:lineRule="auto"/>
        <w:jc w:val="both"/>
      </w:pPr>
      <w:r w:rsidRPr="00BF7E57">
        <w:rPr>
          <w:noProof/>
          <w:lang w:val="sl-SI" w:eastAsia="sl-SI"/>
        </w:rPr>
        <w:drawing>
          <wp:inline distT="0" distB="0" distL="0" distR="0" wp14:anchorId="78FC0613" wp14:editId="77820F32">
            <wp:extent cx="5760720" cy="2261235"/>
            <wp:effectExtent l="0" t="0" r="0" b="571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261235"/>
                    </a:xfrm>
                    <a:prstGeom prst="rect">
                      <a:avLst/>
                    </a:prstGeom>
                  </pic:spPr>
                </pic:pic>
              </a:graphicData>
            </a:graphic>
          </wp:inline>
        </w:drawing>
      </w:r>
    </w:p>
    <w:p w14:paraId="0C9CA963" w14:textId="5CDE7A35" w:rsidR="009E0216" w:rsidRPr="00BF7E57" w:rsidRDefault="009E0216" w:rsidP="00092278">
      <w:pPr>
        <w:pStyle w:val="Default"/>
        <w:spacing w:after="200" w:line="360" w:lineRule="auto"/>
        <w:jc w:val="both"/>
        <w:rPr>
          <w:rFonts w:ascii="Arial" w:hAnsi="Arial" w:cs="Arial"/>
          <w:color w:val="auto"/>
          <w:sz w:val="16"/>
          <w:szCs w:val="16"/>
          <w:lang w:val="sl-SI"/>
        </w:rPr>
      </w:pPr>
      <w:r w:rsidRPr="00BF7E57">
        <w:rPr>
          <w:rFonts w:ascii="Arial" w:hAnsi="Arial" w:cs="Arial"/>
          <w:color w:val="auto"/>
          <w:sz w:val="16"/>
          <w:szCs w:val="16"/>
          <w:lang w:val="sl-SI"/>
        </w:rPr>
        <w:t>Vir: Zavod RS za zaposlovanje</w:t>
      </w:r>
      <w:r w:rsidR="00CC1AEA" w:rsidRPr="00BF7E57">
        <w:rPr>
          <w:rFonts w:ascii="Arial" w:hAnsi="Arial" w:cs="Arial"/>
          <w:color w:val="auto"/>
          <w:sz w:val="16"/>
          <w:szCs w:val="16"/>
          <w:lang w:val="sl-SI"/>
        </w:rPr>
        <w:t>,</w:t>
      </w:r>
      <w:r w:rsidRPr="00BF7E57">
        <w:rPr>
          <w:rFonts w:ascii="Arial" w:hAnsi="Arial" w:cs="Arial"/>
          <w:color w:val="auto"/>
          <w:sz w:val="16"/>
          <w:szCs w:val="16"/>
          <w:lang w:val="sl-SI"/>
        </w:rPr>
        <w:t xml:space="preserve"> </w:t>
      </w:r>
      <w:r w:rsidR="00CC1AEA" w:rsidRPr="00BF7E57">
        <w:rPr>
          <w:rFonts w:ascii="Arial" w:hAnsi="Arial" w:cs="Arial"/>
          <w:color w:val="auto"/>
          <w:sz w:val="16"/>
          <w:szCs w:val="16"/>
          <w:lang w:val="sl-SI"/>
        </w:rPr>
        <w:t>2020</w:t>
      </w:r>
    </w:p>
    <w:p w14:paraId="1752E351" w14:textId="77777777" w:rsidR="00092278" w:rsidRPr="00BF7E57" w:rsidRDefault="00092278" w:rsidP="00092278">
      <w:pPr>
        <w:pStyle w:val="Default"/>
        <w:spacing w:before="200" w:after="200" w:line="360" w:lineRule="auto"/>
        <w:jc w:val="both"/>
        <w:rPr>
          <w:rFonts w:ascii="Arial" w:hAnsi="Arial" w:cs="Arial"/>
          <w:color w:val="auto"/>
          <w:sz w:val="20"/>
          <w:szCs w:val="20"/>
          <w:lang w:val="sl-SI"/>
        </w:rPr>
      </w:pPr>
    </w:p>
    <w:p w14:paraId="253F15E8" w14:textId="45227F6D" w:rsidR="009E0216" w:rsidRPr="00BF7E57" w:rsidRDefault="00CE0B15" w:rsidP="00CE0B15">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58" w:name="_Toc45016620"/>
      <w:bookmarkStart w:id="159" w:name="_Toc86826380"/>
      <w:r w:rsidRPr="00BF7E57">
        <w:rPr>
          <w:rFonts w:ascii="Arial" w:hAnsi="Arial" w:cs="Arial"/>
          <w:color w:val="000000" w:themeColor="text1"/>
          <w:sz w:val="24"/>
          <w:szCs w:val="24"/>
        </w:rPr>
        <w:t xml:space="preserve">3.3 </w:t>
      </w:r>
      <w:r w:rsidR="009E0216" w:rsidRPr="00BF7E57">
        <w:rPr>
          <w:rFonts w:ascii="Arial" w:hAnsi="Arial" w:cs="Arial"/>
          <w:color w:val="000000" w:themeColor="text1"/>
          <w:sz w:val="24"/>
          <w:szCs w:val="24"/>
        </w:rPr>
        <w:t>DOPOLNILNE DEJAVNOSTI NA KMETIJI</w:t>
      </w:r>
      <w:bookmarkEnd w:id="158"/>
      <w:bookmarkEnd w:id="159"/>
    </w:p>
    <w:p w14:paraId="088CBD6E" w14:textId="15EB5430"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Dopolnilne dejavnosti </w:t>
      </w:r>
      <w:r w:rsidR="009346C9" w:rsidRPr="00BF7E57">
        <w:rPr>
          <w:rFonts w:ascii="Arial" w:hAnsi="Arial" w:cs="Arial"/>
          <w:sz w:val="20"/>
          <w:szCs w:val="20"/>
        </w:rPr>
        <w:t xml:space="preserve">v povezavi s predelavo primarnih kmetijskih pridelkov </w:t>
      </w:r>
      <w:r w:rsidRPr="00BF7E57">
        <w:rPr>
          <w:rFonts w:ascii="Arial" w:hAnsi="Arial" w:cs="Arial"/>
          <w:sz w:val="20"/>
          <w:szCs w:val="20"/>
        </w:rPr>
        <w:t>se obravnava v cilju 2 preko konkurenčnosti, saj le te kmetijam omogočajo boljšo rabo proizvodnih zmogljivosti, izkoriščenosti delovnih moči</w:t>
      </w:r>
      <w:r w:rsidR="009346C9" w:rsidRPr="00BF7E57">
        <w:rPr>
          <w:rFonts w:ascii="Arial" w:hAnsi="Arial" w:cs="Arial"/>
          <w:sz w:val="20"/>
          <w:szCs w:val="20"/>
        </w:rPr>
        <w:t xml:space="preserve"> in </w:t>
      </w:r>
      <w:r w:rsidR="00203E28" w:rsidRPr="00BF7E57">
        <w:rPr>
          <w:rFonts w:ascii="Arial" w:hAnsi="Arial" w:cs="Arial"/>
          <w:sz w:val="20"/>
          <w:szCs w:val="20"/>
        </w:rPr>
        <w:t xml:space="preserve">izboljšanje dohodkovnega položaja kmetij preko </w:t>
      </w:r>
      <w:r w:rsidR="009346C9" w:rsidRPr="00BF7E57">
        <w:rPr>
          <w:rFonts w:ascii="Arial" w:hAnsi="Arial" w:cs="Arial"/>
          <w:sz w:val="20"/>
          <w:szCs w:val="20"/>
        </w:rPr>
        <w:t>večje dodane vrednosti pridelanih kmetijskih pridelkov.</w:t>
      </w:r>
      <w:r w:rsidR="00203E28" w:rsidRPr="00BF7E57">
        <w:rPr>
          <w:rFonts w:ascii="Arial" w:hAnsi="Arial" w:cs="Arial"/>
          <w:sz w:val="20"/>
          <w:szCs w:val="20"/>
        </w:rPr>
        <w:t xml:space="preserve"> V tem speci</w:t>
      </w:r>
      <w:r w:rsidR="00B867BE" w:rsidRPr="00BF7E57">
        <w:rPr>
          <w:rFonts w:ascii="Arial" w:hAnsi="Arial" w:cs="Arial"/>
          <w:sz w:val="20"/>
          <w:szCs w:val="20"/>
        </w:rPr>
        <w:t xml:space="preserve">fičnem cilju se naslavlja </w:t>
      </w:r>
      <w:r w:rsidR="00203E28" w:rsidRPr="00BF7E57">
        <w:rPr>
          <w:rFonts w:ascii="Arial" w:hAnsi="Arial" w:cs="Arial"/>
          <w:sz w:val="20"/>
          <w:szCs w:val="20"/>
        </w:rPr>
        <w:t>nekmetijske dopolnilne dejavnosti, ki lahko pomenijo dodatno priložnost za razvoj kmetij in ustvarjanje dodatnega dohodka ter</w:t>
      </w:r>
      <w:r w:rsidRPr="00BF7E57">
        <w:rPr>
          <w:rFonts w:ascii="Arial" w:hAnsi="Arial" w:cs="Arial"/>
          <w:sz w:val="20"/>
          <w:szCs w:val="20"/>
        </w:rPr>
        <w:t xml:space="preserve"> </w:t>
      </w:r>
      <w:r w:rsidR="00203E28" w:rsidRPr="00BF7E57">
        <w:rPr>
          <w:rFonts w:ascii="Arial" w:hAnsi="Arial" w:cs="Arial"/>
          <w:sz w:val="20"/>
          <w:szCs w:val="20"/>
        </w:rPr>
        <w:t xml:space="preserve">ustvarjanje </w:t>
      </w:r>
      <w:r w:rsidRPr="00BF7E57">
        <w:rPr>
          <w:rFonts w:ascii="Arial" w:hAnsi="Arial" w:cs="Arial"/>
          <w:sz w:val="20"/>
          <w:szCs w:val="20"/>
        </w:rPr>
        <w:t xml:space="preserve">novih delovnih mest </w:t>
      </w:r>
      <w:r w:rsidR="00B867BE" w:rsidRPr="00BF7E57">
        <w:rPr>
          <w:rFonts w:ascii="Arial" w:hAnsi="Arial" w:cs="Arial"/>
          <w:sz w:val="20"/>
          <w:szCs w:val="20"/>
        </w:rPr>
        <w:t xml:space="preserve">tako na kmetiji kakor tudi </w:t>
      </w:r>
      <w:r w:rsidRPr="00BF7E57">
        <w:rPr>
          <w:rFonts w:ascii="Arial" w:hAnsi="Arial" w:cs="Arial"/>
          <w:sz w:val="20"/>
          <w:szCs w:val="20"/>
        </w:rPr>
        <w:t xml:space="preserve">na podeželju. </w:t>
      </w:r>
    </w:p>
    <w:p w14:paraId="6869CEB4" w14:textId="0481BAD5" w:rsidR="00B867BE" w:rsidRPr="00BF7E57" w:rsidRDefault="00B867BE" w:rsidP="00BE756C">
      <w:pPr>
        <w:spacing w:before="200" w:line="360" w:lineRule="auto"/>
        <w:jc w:val="both"/>
        <w:rPr>
          <w:rFonts w:ascii="Arial" w:hAnsi="Arial" w:cs="Arial"/>
          <w:sz w:val="20"/>
          <w:szCs w:val="20"/>
        </w:rPr>
      </w:pPr>
      <w:r w:rsidRPr="00BF7E57">
        <w:rPr>
          <w:rFonts w:ascii="Arial" w:hAnsi="Arial" w:cs="Arial"/>
          <w:sz w:val="20"/>
          <w:szCs w:val="20"/>
        </w:rPr>
        <w:t>Po podatkih MKGP je imelo na dan 16. 10. 2020 v Sloveniji dovoljenje za opravljanje dopolnilne</w:t>
      </w:r>
      <w:r w:rsidR="00D863A9" w:rsidRPr="00BF7E57">
        <w:rPr>
          <w:rFonts w:ascii="Arial" w:hAnsi="Arial" w:cs="Arial"/>
          <w:sz w:val="20"/>
          <w:szCs w:val="20"/>
        </w:rPr>
        <w:t xml:space="preserve"> dejavnosti </w:t>
      </w:r>
      <w:r w:rsidRPr="00BF7E57">
        <w:rPr>
          <w:rFonts w:ascii="Arial" w:hAnsi="Arial" w:cs="Arial"/>
          <w:sz w:val="20"/>
          <w:szCs w:val="20"/>
        </w:rPr>
        <w:t xml:space="preserve">4.923 kmetij. V primerjavi z letom 2016 se je število kmetij z registrirano eno ali več dopolnilnimi dejavnostmi povečalo za 815 kmetij oziroma za 19,8 %. </w:t>
      </w:r>
      <w:r w:rsidR="00D863A9" w:rsidRPr="00BF7E57">
        <w:rPr>
          <w:rFonts w:ascii="Arial" w:hAnsi="Arial" w:cs="Arial"/>
          <w:sz w:val="20"/>
          <w:szCs w:val="20"/>
        </w:rPr>
        <w:t xml:space="preserve">Število kmetij, ki se odločajo za eno ali več dopolnilnih dejavnosti je bilo v letih 2018 in 2019 relativno stabilno in sicer se je povečalo za 133 oziroma 136 kmetij, </w:t>
      </w:r>
      <w:r w:rsidR="001B45A3" w:rsidRPr="00BF7E57">
        <w:rPr>
          <w:rFonts w:ascii="Arial" w:hAnsi="Arial" w:cs="Arial"/>
          <w:sz w:val="20"/>
          <w:szCs w:val="20"/>
        </w:rPr>
        <w:t>medtem ko</w:t>
      </w:r>
      <w:r w:rsidR="00D863A9" w:rsidRPr="00BF7E57">
        <w:rPr>
          <w:rFonts w:ascii="Arial" w:hAnsi="Arial" w:cs="Arial"/>
          <w:sz w:val="20"/>
          <w:szCs w:val="20"/>
        </w:rPr>
        <w:t xml:space="preserve"> se je v letu 2020 (do 16. 10. 2020) število kmetij z eno ali več dopolnilnimi dejavnostmi povečalo za 180 kmetij.</w:t>
      </w:r>
      <w:r w:rsidR="001471CE" w:rsidRPr="00BF7E57">
        <w:rPr>
          <w:rFonts w:ascii="Arial" w:hAnsi="Arial" w:cs="Arial"/>
          <w:sz w:val="20"/>
          <w:szCs w:val="20"/>
        </w:rPr>
        <w:t xml:space="preserve"> </w:t>
      </w:r>
    </w:p>
    <w:p w14:paraId="7D903D31" w14:textId="4DA3BD92" w:rsidR="0008099E" w:rsidRPr="00BF7E57" w:rsidRDefault="0008099E" w:rsidP="00A5125A">
      <w:pPr>
        <w:pStyle w:val="Napis"/>
      </w:pPr>
      <w:bookmarkStart w:id="160" w:name="_Toc86826467"/>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29</w:t>
      </w:r>
      <w:r w:rsidR="00A30B83" w:rsidRPr="00BF7E57">
        <w:rPr>
          <w:noProof/>
        </w:rPr>
        <w:fldChar w:fldCharType="end"/>
      </w:r>
      <w:r w:rsidRPr="00BF7E57">
        <w:t>: Število nekmetijskih dopolnilnih dejavnosti na kmetijah</w:t>
      </w:r>
      <w:bookmarkEnd w:id="160"/>
    </w:p>
    <w:p w14:paraId="09989298" w14:textId="0DF28EDE" w:rsidR="00C85A02" w:rsidRPr="00BF7E57" w:rsidRDefault="00C85A0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3964"/>
        <w:gridCol w:w="977"/>
        <w:gridCol w:w="977"/>
        <w:gridCol w:w="978"/>
        <w:gridCol w:w="977"/>
        <w:gridCol w:w="978"/>
      </w:tblGrid>
      <w:tr w:rsidR="00C85A02" w:rsidRPr="00BF7E57" w14:paraId="515963F6" w14:textId="77777777" w:rsidTr="00E77D01">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D3C87C4" w14:textId="77777777" w:rsidR="00C85A02" w:rsidRPr="00BF7E57" w:rsidRDefault="00C85A02" w:rsidP="00092278">
            <w:pPr>
              <w:keepNext/>
              <w:keepLines/>
              <w:spacing w:before="60" w:after="60" w:line="240" w:lineRule="auto"/>
              <w:rPr>
                <w:rFonts w:ascii="Arial" w:eastAsia="Times New Roman" w:hAnsi="Arial" w:cs="Arial"/>
                <w:color w:val="000000"/>
                <w:sz w:val="20"/>
                <w:szCs w:val="20"/>
                <w:lang w:eastAsia="sl-SI"/>
              </w:rPr>
            </w:pP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56314D08"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2016</w:t>
            </w: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3C651C26"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2017</w:t>
            </w:r>
          </w:p>
        </w:tc>
        <w:tc>
          <w:tcPr>
            <w:tcW w:w="978" w:type="dxa"/>
            <w:tcBorders>
              <w:top w:val="single" w:sz="4" w:space="0" w:color="auto"/>
              <w:left w:val="nil"/>
              <w:bottom w:val="single" w:sz="4" w:space="0" w:color="auto"/>
              <w:right w:val="single" w:sz="4" w:space="0" w:color="auto"/>
            </w:tcBorders>
            <w:shd w:val="clear" w:color="auto" w:fill="92D050"/>
            <w:noWrap/>
            <w:vAlign w:val="bottom"/>
            <w:hideMark/>
          </w:tcPr>
          <w:p w14:paraId="0DF5BB65"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2018</w:t>
            </w: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2722C026"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2019</w:t>
            </w:r>
          </w:p>
        </w:tc>
        <w:tc>
          <w:tcPr>
            <w:tcW w:w="978" w:type="dxa"/>
            <w:tcBorders>
              <w:top w:val="single" w:sz="4" w:space="0" w:color="auto"/>
              <w:left w:val="nil"/>
              <w:bottom w:val="single" w:sz="4" w:space="0" w:color="auto"/>
              <w:right w:val="single" w:sz="4" w:space="0" w:color="auto"/>
            </w:tcBorders>
            <w:shd w:val="clear" w:color="auto" w:fill="92D050"/>
            <w:noWrap/>
            <w:vAlign w:val="bottom"/>
            <w:hideMark/>
          </w:tcPr>
          <w:p w14:paraId="7B323CF4"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2020</w:t>
            </w:r>
          </w:p>
        </w:tc>
      </w:tr>
      <w:tr w:rsidR="00C85A02" w:rsidRPr="00BF7E57" w14:paraId="58B4A1A5"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D5CB001" w14:textId="77777777" w:rsidR="00C85A02" w:rsidRPr="00BF7E57" w:rsidRDefault="00C85A02" w:rsidP="00092278">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Število kmetij z vsaj eno nekmetijsko dopolnilno dejavnostjo</w:t>
            </w:r>
          </w:p>
        </w:tc>
        <w:tc>
          <w:tcPr>
            <w:tcW w:w="977" w:type="dxa"/>
            <w:tcBorders>
              <w:top w:val="nil"/>
              <w:left w:val="nil"/>
              <w:bottom w:val="single" w:sz="4" w:space="0" w:color="auto"/>
              <w:right w:val="single" w:sz="4" w:space="0" w:color="auto"/>
            </w:tcBorders>
            <w:shd w:val="clear" w:color="auto" w:fill="auto"/>
            <w:noWrap/>
            <w:vAlign w:val="bottom"/>
            <w:hideMark/>
          </w:tcPr>
          <w:p w14:paraId="17D8F5D3"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2.209</w:t>
            </w:r>
          </w:p>
        </w:tc>
        <w:tc>
          <w:tcPr>
            <w:tcW w:w="977" w:type="dxa"/>
            <w:tcBorders>
              <w:top w:val="nil"/>
              <w:left w:val="nil"/>
              <w:bottom w:val="single" w:sz="4" w:space="0" w:color="auto"/>
              <w:right w:val="single" w:sz="4" w:space="0" w:color="auto"/>
            </w:tcBorders>
            <w:shd w:val="clear" w:color="auto" w:fill="auto"/>
            <w:noWrap/>
            <w:vAlign w:val="bottom"/>
            <w:hideMark/>
          </w:tcPr>
          <w:p w14:paraId="795B6302"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2.428</w:t>
            </w:r>
          </w:p>
        </w:tc>
        <w:tc>
          <w:tcPr>
            <w:tcW w:w="978" w:type="dxa"/>
            <w:tcBorders>
              <w:top w:val="nil"/>
              <w:left w:val="nil"/>
              <w:bottom w:val="single" w:sz="4" w:space="0" w:color="auto"/>
              <w:right w:val="single" w:sz="4" w:space="0" w:color="auto"/>
            </w:tcBorders>
            <w:shd w:val="clear" w:color="auto" w:fill="auto"/>
            <w:noWrap/>
            <w:vAlign w:val="bottom"/>
            <w:hideMark/>
          </w:tcPr>
          <w:p w14:paraId="41F24F3E"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2.510</w:t>
            </w:r>
          </w:p>
        </w:tc>
        <w:tc>
          <w:tcPr>
            <w:tcW w:w="977" w:type="dxa"/>
            <w:tcBorders>
              <w:top w:val="nil"/>
              <w:left w:val="nil"/>
              <w:bottom w:val="single" w:sz="4" w:space="0" w:color="auto"/>
              <w:right w:val="single" w:sz="4" w:space="0" w:color="auto"/>
            </w:tcBorders>
            <w:shd w:val="clear" w:color="auto" w:fill="auto"/>
            <w:noWrap/>
            <w:vAlign w:val="bottom"/>
            <w:hideMark/>
          </w:tcPr>
          <w:p w14:paraId="07D6DFC2"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2.617</w:t>
            </w:r>
          </w:p>
        </w:tc>
        <w:tc>
          <w:tcPr>
            <w:tcW w:w="978" w:type="dxa"/>
            <w:tcBorders>
              <w:top w:val="nil"/>
              <w:left w:val="nil"/>
              <w:bottom w:val="single" w:sz="4" w:space="0" w:color="auto"/>
              <w:right w:val="single" w:sz="4" w:space="0" w:color="auto"/>
            </w:tcBorders>
            <w:shd w:val="clear" w:color="auto" w:fill="auto"/>
            <w:noWrap/>
            <w:vAlign w:val="bottom"/>
            <w:hideMark/>
          </w:tcPr>
          <w:p w14:paraId="5952CDF9"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2.739</w:t>
            </w:r>
          </w:p>
        </w:tc>
      </w:tr>
      <w:tr w:rsidR="00C85A02" w:rsidRPr="00BF7E57" w14:paraId="3DCD2A55"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4AA2F21" w14:textId="77777777" w:rsidR="00C85A02" w:rsidRPr="00BF7E57" w:rsidRDefault="00C85A02" w:rsidP="00092278">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Skupno število nekmetijskih dopolnilnih dejavnosti</w:t>
            </w:r>
          </w:p>
        </w:tc>
        <w:tc>
          <w:tcPr>
            <w:tcW w:w="977" w:type="dxa"/>
            <w:tcBorders>
              <w:top w:val="nil"/>
              <w:left w:val="nil"/>
              <w:bottom w:val="single" w:sz="4" w:space="0" w:color="auto"/>
              <w:right w:val="single" w:sz="4" w:space="0" w:color="auto"/>
            </w:tcBorders>
            <w:shd w:val="clear" w:color="auto" w:fill="auto"/>
            <w:noWrap/>
            <w:vAlign w:val="bottom"/>
            <w:hideMark/>
          </w:tcPr>
          <w:p w14:paraId="2FDEC5F4"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4.926</w:t>
            </w:r>
          </w:p>
        </w:tc>
        <w:tc>
          <w:tcPr>
            <w:tcW w:w="977" w:type="dxa"/>
            <w:tcBorders>
              <w:top w:val="nil"/>
              <w:left w:val="nil"/>
              <w:bottom w:val="single" w:sz="4" w:space="0" w:color="auto"/>
              <w:right w:val="single" w:sz="4" w:space="0" w:color="auto"/>
            </w:tcBorders>
            <w:shd w:val="clear" w:color="auto" w:fill="auto"/>
            <w:noWrap/>
            <w:vAlign w:val="bottom"/>
            <w:hideMark/>
          </w:tcPr>
          <w:p w14:paraId="105CE7A0"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5.609</w:t>
            </w:r>
          </w:p>
        </w:tc>
        <w:tc>
          <w:tcPr>
            <w:tcW w:w="978" w:type="dxa"/>
            <w:tcBorders>
              <w:top w:val="nil"/>
              <w:left w:val="nil"/>
              <w:bottom w:val="single" w:sz="4" w:space="0" w:color="auto"/>
              <w:right w:val="single" w:sz="4" w:space="0" w:color="auto"/>
            </w:tcBorders>
            <w:shd w:val="clear" w:color="auto" w:fill="auto"/>
            <w:noWrap/>
            <w:vAlign w:val="bottom"/>
            <w:hideMark/>
          </w:tcPr>
          <w:p w14:paraId="572EB1A0"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5.898</w:t>
            </w:r>
          </w:p>
        </w:tc>
        <w:tc>
          <w:tcPr>
            <w:tcW w:w="977" w:type="dxa"/>
            <w:tcBorders>
              <w:top w:val="nil"/>
              <w:left w:val="nil"/>
              <w:bottom w:val="single" w:sz="4" w:space="0" w:color="auto"/>
              <w:right w:val="single" w:sz="4" w:space="0" w:color="auto"/>
            </w:tcBorders>
            <w:shd w:val="clear" w:color="auto" w:fill="auto"/>
            <w:noWrap/>
            <w:vAlign w:val="bottom"/>
            <w:hideMark/>
          </w:tcPr>
          <w:p w14:paraId="3561326C"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6.198</w:t>
            </w:r>
          </w:p>
        </w:tc>
        <w:tc>
          <w:tcPr>
            <w:tcW w:w="978" w:type="dxa"/>
            <w:tcBorders>
              <w:top w:val="nil"/>
              <w:left w:val="nil"/>
              <w:bottom w:val="single" w:sz="4" w:space="0" w:color="auto"/>
              <w:right w:val="single" w:sz="4" w:space="0" w:color="auto"/>
            </w:tcBorders>
            <w:shd w:val="clear" w:color="auto" w:fill="auto"/>
            <w:noWrap/>
            <w:vAlign w:val="bottom"/>
            <w:hideMark/>
          </w:tcPr>
          <w:p w14:paraId="6CD83744"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6.578</w:t>
            </w:r>
          </w:p>
        </w:tc>
      </w:tr>
      <w:tr w:rsidR="00C85A02" w:rsidRPr="00BF7E57" w14:paraId="08FC4881"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2DDD7D3" w14:textId="0B9EB72E" w:rsidR="00C85A02" w:rsidRPr="00BF7E57" w:rsidRDefault="001B45A3" w:rsidP="00092278">
            <w:pPr>
              <w:keepNext/>
              <w:keepLines/>
              <w:spacing w:before="60" w:after="60" w:line="240" w:lineRule="auto"/>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Povprečno š</w:t>
            </w:r>
            <w:r w:rsidR="00C85A02" w:rsidRPr="00BF7E57">
              <w:rPr>
                <w:rFonts w:ascii="Arial" w:eastAsia="Times New Roman" w:hAnsi="Arial" w:cs="Arial"/>
                <w:b/>
                <w:color w:val="000000"/>
                <w:sz w:val="20"/>
                <w:szCs w:val="20"/>
                <w:lang w:eastAsia="sl-SI"/>
              </w:rPr>
              <w:t>tevilo nekmetijskih dopolnilnih dejavnosti na kmetijo</w:t>
            </w:r>
          </w:p>
        </w:tc>
        <w:tc>
          <w:tcPr>
            <w:tcW w:w="977" w:type="dxa"/>
            <w:tcBorders>
              <w:top w:val="nil"/>
              <w:left w:val="nil"/>
              <w:bottom w:val="single" w:sz="4" w:space="0" w:color="auto"/>
              <w:right w:val="single" w:sz="4" w:space="0" w:color="auto"/>
            </w:tcBorders>
            <w:shd w:val="clear" w:color="auto" w:fill="auto"/>
            <w:noWrap/>
            <w:vAlign w:val="bottom"/>
            <w:hideMark/>
          </w:tcPr>
          <w:p w14:paraId="13AD5E12"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2,23</w:t>
            </w:r>
          </w:p>
        </w:tc>
        <w:tc>
          <w:tcPr>
            <w:tcW w:w="977" w:type="dxa"/>
            <w:tcBorders>
              <w:top w:val="nil"/>
              <w:left w:val="nil"/>
              <w:bottom w:val="single" w:sz="4" w:space="0" w:color="auto"/>
              <w:right w:val="single" w:sz="4" w:space="0" w:color="auto"/>
            </w:tcBorders>
            <w:shd w:val="clear" w:color="auto" w:fill="auto"/>
            <w:noWrap/>
            <w:vAlign w:val="bottom"/>
            <w:hideMark/>
          </w:tcPr>
          <w:p w14:paraId="7CFE96A7"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2,31</w:t>
            </w:r>
          </w:p>
        </w:tc>
        <w:tc>
          <w:tcPr>
            <w:tcW w:w="978" w:type="dxa"/>
            <w:tcBorders>
              <w:top w:val="nil"/>
              <w:left w:val="nil"/>
              <w:bottom w:val="single" w:sz="4" w:space="0" w:color="auto"/>
              <w:right w:val="single" w:sz="4" w:space="0" w:color="auto"/>
            </w:tcBorders>
            <w:shd w:val="clear" w:color="auto" w:fill="auto"/>
            <w:noWrap/>
            <w:vAlign w:val="bottom"/>
            <w:hideMark/>
          </w:tcPr>
          <w:p w14:paraId="4DE68BC3"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2,35</w:t>
            </w:r>
          </w:p>
        </w:tc>
        <w:tc>
          <w:tcPr>
            <w:tcW w:w="977" w:type="dxa"/>
            <w:tcBorders>
              <w:top w:val="nil"/>
              <w:left w:val="nil"/>
              <w:bottom w:val="single" w:sz="4" w:space="0" w:color="auto"/>
              <w:right w:val="single" w:sz="4" w:space="0" w:color="auto"/>
            </w:tcBorders>
            <w:shd w:val="clear" w:color="auto" w:fill="auto"/>
            <w:noWrap/>
            <w:vAlign w:val="bottom"/>
            <w:hideMark/>
          </w:tcPr>
          <w:p w14:paraId="208CA4DD"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2,37</w:t>
            </w:r>
          </w:p>
        </w:tc>
        <w:tc>
          <w:tcPr>
            <w:tcW w:w="978" w:type="dxa"/>
            <w:tcBorders>
              <w:top w:val="nil"/>
              <w:left w:val="nil"/>
              <w:bottom w:val="single" w:sz="4" w:space="0" w:color="auto"/>
              <w:right w:val="single" w:sz="4" w:space="0" w:color="auto"/>
            </w:tcBorders>
            <w:shd w:val="clear" w:color="auto" w:fill="auto"/>
            <w:noWrap/>
            <w:vAlign w:val="bottom"/>
            <w:hideMark/>
          </w:tcPr>
          <w:p w14:paraId="4E9D70C6"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2,40</w:t>
            </w:r>
          </w:p>
        </w:tc>
      </w:tr>
    </w:tbl>
    <w:p w14:paraId="517637E8" w14:textId="77777777" w:rsidR="00C85A02" w:rsidRPr="00BF7E57" w:rsidRDefault="00C85A02" w:rsidP="00C85A02">
      <w:pPr>
        <w:spacing w:line="240" w:lineRule="auto"/>
        <w:jc w:val="both"/>
        <w:rPr>
          <w:rFonts w:ascii="Arial" w:hAnsi="Arial" w:cs="Arial"/>
          <w:sz w:val="16"/>
          <w:szCs w:val="16"/>
        </w:rPr>
      </w:pPr>
      <w:r w:rsidRPr="00BF7E57">
        <w:rPr>
          <w:rFonts w:ascii="Arial" w:hAnsi="Arial" w:cs="Arial"/>
          <w:sz w:val="16"/>
          <w:szCs w:val="16"/>
        </w:rPr>
        <w:t>Vir: MKGP 2020 (RKG)</w:t>
      </w:r>
    </w:p>
    <w:p w14:paraId="3F4B9E37" w14:textId="1D9119BC" w:rsidR="00C85A02" w:rsidRPr="00BF7E57" w:rsidRDefault="00C85A02" w:rsidP="00C85A02">
      <w:pPr>
        <w:spacing w:before="200" w:line="360" w:lineRule="auto"/>
        <w:jc w:val="both"/>
        <w:rPr>
          <w:rFonts w:ascii="Arial" w:hAnsi="Arial" w:cs="Arial"/>
          <w:sz w:val="20"/>
          <w:szCs w:val="20"/>
        </w:rPr>
      </w:pPr>
      <w:r w:rsidRPr="00BF7E57">
        <w:rPr>
          <w:rFonts w:ascii="Arial" w:hAnsi="Arial" w:cs="Arial"/>
          <w:sz w:val="20"/>
          <w:szCs w:val="20"/>
        </w:rPr>
        <w:lastRenderedPageBreak/>
        <w:t xml:space="preserve">V letu 2020 je imelo 2.739 kmetij registrirano vsaj eno nekmetijsko dopolnilno dejavnost. V primerjavi z letom 2016 se je število kmetij povečalo za 530 oziroma skoraj 24 %. </w:t>
      </w:r>
      <w:r w:rsidR="009E7C94" w:rsidRPr="00BF7E57">
        <w:rPr>
          <w:rFonts w:ascii="Arial" w:hAnsi="Arial" w:cs="Arial"/>
          <w:sz w:val="20"/>
          <w:szCs w:val="20"/>
        </w:rPr>
        <w:t xml:space="preserve">Povečalo se je tudi skupno število registriranih nekmetijskih dopolnilnih dejavnosti in sicer za 1652 oziroma 33,5 % glede na leto 2016. </w:t>
      </w:r>
      <w:r w:rsidRPr="00BF7E57">
        <w:rPr>
          <w:rFonts w:ascii="Arial" w:hAnsi="Arial" w:cs="Arial"/>
          <w:sz w:val="20"/>
          <w:szCs w:val="20"/>
        </w:rPr>
        <w:t xml:space="preserve">Pozitiven trend je </w:t>
      </w:r>
      <w:r w:rsidR="009E7C94" w:rsidRPr="00BF7E57">
        <w:rPr>
          <w:rFonts w:ascii="Arial" w:hAnsi="Arial" w:cs="Arial"/>
          <w:sz w:val="20"/>
          <w:szCs w:val="20"/>
        </w:rPr>
        <w:t xml:space="preserve">tako </w:t>
      </w:r>
      <w:r w:rsidRPr="00BF7E57">
        <w:rPr>
          <w:rFonts w:ascii="Arial" w:hAnsi="Arial" w:cs="Arial"/>
          <w:sz w:val="20"/>
          <w:szCs w:val="20"/>
        </w:rPr>
        <w:t>opaziti tudi pri povprečnem številu registriranih nekmetijskih dopolnilnih dejavnosti na kmetijo in sicer se je od leta 2016, ko je znašal 2,23 povečal na 2,40 registrirane nekmetijske dopolnilne dejavnosti na kmetijo.</w:t>
      </w:r>
    </w:p>
    <w:p w14:paraId="01587AF8" w14:textId="17E4CF75" w:rsidR="0008099E" w:rsidRPr="00BF7E57" w:rsidRDefault="0008099E" w:rsidP="00A5125A">
      <w:pPr>
        <w:pStyle w:val="Napis"/>
      </w:pPr>
      <w:bookmarkStart w:id="161" w:name="_Toc86826468"/>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30</w:t>
      </w:r>
      <w:r w:rsidR="00A30B83" w:rsidRPr="00BF7E57">
        <w:rPr>
          <w:noProof/>
        </w:rPr>
        <w:fldChar w:fldCharType="end"/>
      </w:r>
      <w:r w:rsidRPr="00BF7E57">
        <w:t>: Nekmetijske dopolnilne dejavnosti</w:t>
      </w:r>
      <w:bookmarkEnd w:id="161"/>
    </w:p>
    <w:p w14:paraId="6C25EB78" w14:textId="1BFD62D3" w:rsidR="00832D92" w:rsidRPr="00BF7E57" w:rsidRDefault="00832D9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4390"/>
        <w:gridCol w:w="892"/>
        <w:gridCol w:w="892"/>
        <w:gridCol w:w="892"/>
        <w:gridCol w:w="892"/>
        <w:gridCol w:w="893"/>
      </w:tblGrid>
      <w:tr w:rsidR="00832D92" w:rsidRPr="00BF7E57" w14:paraId="0F03F9A0" w14:textId="77777777" w:rsidTr="00E77D01">
        <w:trPr>
          <w:trHeight w:val="345"/>
        </w:trPr>
        <w:tc>
          <w:tcPr>
            <w:tcW w:w="439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0C2F9E0" w14:textId="7BE63055" w:rsidR="00832D92" w:rsidRPr="00BF7E57" w:rsidRDefault="008B1982" w:rsidP="00C85A02">
            <w:pPr>
              <w:keepNext/>
              <w:keepLines/>
              <w:spacing w:before="60" w:after="6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Skupina dopolnilnih dejavnosti</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02F8E84F"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2016</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21F4E1C3"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2017</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4A85BF1F"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2018</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0801EB78"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2019</w:t>
            </w:r>
          </w:p>
        </w:tc>
        <w:tc>
          <w:tcPr>
            <w:tcW w:w="893" w:type="dxa"/>
            <w:tcBorders>
              <w:top w:val="single" w:sz="4" w:space="0" w:color="auto"/>
              <w:left w:val="nil"/>
              <w:bottom w:val="single" w:sz="4" w:space="0" w:color="auto"/>
              <w:right w:val="single" w:sz="4" w:space="0" w:color="auto"/>
            </w:tcBorders>
            <w:shd w:val="clear" w:color="auto" w:fill="92D050"/>
            <w:noWrap/>
            <w:vAlign w:val="bottom"/>
            <w:hideMark/>
          </w:tcPr>
          <w:p w14:paraId="4CB320F3"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2020</w:t>
            </w:r>
          </w:p>
        </w:tc>
      </w:tr>
      <w:tr w:rsidR="00130C85" w:rsidRPr="00BF7E57" w14:paraId="4C3A02CC" w14:textId="77777777" w:rsidTr="00092278">
        <w:trPr>
          <w:trHeight w:val="214"/>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68C1F75" w14:textId="757FC666"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Predelava gozdnih lesnih sortimentov</w:t>
            </w:r>
          </w:p>
        </w:tc>
        <w:tc>
          <w:tcPr>
            <w:tcW w:w="892" w:type="dxa"/>
            <w:tcBorders>
              <w:top w:val="nil"/>
              <w:left w:val="nil"/>
              <w:bottom w:val="single" w:sz="4" w:space="0" w:color="auto"/>
              <w:right w:val="single" w:sz="4" w:space="0" w:color="auto"/>
            </w:tcBorders>
            <w:shd w:val="clear" w:color="auto" w:fill="auto"/>
            <w:noWrap/>
            <w:vAlign w:val="bottom"/>
            <w:hideMark/>
          </w:tcPr>
          <w:p w14:paraId="689F850C"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1.127</w:t>
            </w:r>
          </w:p>
        </w:tc>
        <w:tc>
          <w:tcPr>
            <w:tcW w:w="892" w:type="dxa"/>
            <w:tcBorders>
              <w:top w:val="nil"/>
              <w:left w:val="nil"/>
              <w:bottom w:val="single" w:sz="4" w:space="0" w:color="auto"/>
              <w:right w:val="single" w:sz="4" w:space="0" w:color="auto"/>
            </w:tcBorders>
            <w:shd w:val="clear" w:color="auto" w:fill="auto"/>
            <w:noWrap/>
            <w:vAlign w:val="bottom"/>
            <w:hideMark/>
          </w:tcPr>
          <w:p w14:paraId="4AC00A61"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1.280</w:t>
            </w:r>
          </w:p>
        </w:tc>
        <w:tc>
          <w:tcPr>
            <w:tcW w:w="892" w:type="dxa"/>
            <w:tcBorders>
              <w:top w:val="nil"/>
              <w:left w:val="nil"/>
              <w:bottom w:val="single" w:sz="4" w:space="0" w:color="auto"/>
              <w:right w:val="single" w:sz="4" w:space="0" w:color="auto"/>
            </w:tcBorders>
            <w:shd w:val="clear" w:color="auto" w:fill="auto"/>
            <w:noWrap/>
            <w:vAlign w:val="bottom"/>
            <w:hideMark/>
          </w:tcPr>
          <w:p w14:paraId="445B1018"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1.348</w:t>
            </w:r>
          </w:p>
        </w:tc>
        <w:tc>
          <w:tcPr>
            <w:tcW w:w="892" w:type="dxa"/>
            <w:tcBorders>
              <w:top w:val="nil"/>
              <w:left w:val="nil"/>
              <w:bottom w:val="single" w:sz="4" w:space="0" w:color="auto"/>
              <w:right w:val="single" w:sz="4" w:space="0" w:color="auto"/>
            </w:tcBorders>
            <w:shd w:val="clear" w:color="auto" w:fill="auto"/>
            <w:noWrap/>
            <w:vAlign w:val="bottom"/>
            <w:hideMark/>
          </w:tcPr>
          <w:p w14:paraId="74852EEC"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1.413</w:t>
            </w:r>
          </w:p>
        </w:tc>
        <w:tc>
          <w:tcPr>
            <w:tcW w:w="893" w:type="dxa"/>
            <w:tcBorders>
              <w:top w:val="nil"/>
              <w:left w:val="nil"/>
              <w:bottom w:val="single" w:sz="4" w:space="0" w:color="auto"/>
              <w:right w:val="single" w:sz="4" w:space="0" w:color="auto"/>
            </w:tcBorders>
            <w:shd w:val="clear" w:color="auto" w:fill="auto"/>
            <w:noWrap/>
            <w:vAlign w:val="bottom"/>
            <w:hideMark/>
          </w:tcPr>
          <w:p w14:paraId="34661B81"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1.467</w:t>
            </w:r>
          </w:p>
        </w:tc>
      </w:tr>
      <w:tr w:rsidR="00130C85" w:rsidRPr="00BF7E57" w14:paraId="0191B298" w14:textId="77777777" w:rsidTr="00092278">
        <w:trPr>
          <w:trHeight w:val="503"/>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AE080F0" w14:textId="77777777"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Svetovanje in usposabljanje v zvezi s kmetijsko, gozdarsko in dopolnilno dejavnostjo</w:t>
            </w:r>
          </w:p>
        </w:tc>
        <w:tc>
          <w:tcPr>
            <w:tcW w:w="892" w:type="dxa"/>
            <w:tcBorders>
              <w:top w:val="nil"/>
              <w:left w:val="nil"/>
              <w:bottom w:val="single" w:sz="4" w:space="0" w:color="auto"/>
              <w:right w:val="single" w:sz="4" w:space="0" w:color="auto"/>
            </w:tcBorders>
            <w:shd w:val="clear" w:color="auto" w:fill="auto"/>
            <w:noWrap/>
            <w:vAlign w:val="bottom"/>
            <w:hideMark/>
          </w:tcPr>
          <w:p w14:paraId="11BF6197"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907</w:t>
            </w:r>
          </w:p>
        </w:tc>
        <w:tc>
          <w:tcPr>
            <w:tcW w:w="892" w:type="dxa"/>
            <w:tcBorders>
              <w:top w:val="nil"/>
              <w:left w:val="nil"/>
              <w:bottom w:val="single" w:sz="4" w:space="0" w:color="auto"/>
              <w:right w:val="single" w:sz="4" w:space="0" w:color="auto"/>
            </w:tcBorders>
            <w:shd w:val="clear" w:color="auto" w:fill="auto"/>
            <w:noWrap/>
            <w:vAlign w:val="bottom"/>
            <w:hideMark/>
          </w:tcPr>
          <w:p w14:paraId="760F8EA1"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1.083</w:t>
            </w:r>
          </w:p>
        </w:tc>
        <w:tc>
          <w:tcPr>
            <w:tcW w:w="892" w:type="dxa"/>
            <w:tcBorders>
              <w:top w:val="nil"/>
              <w:left w:val="nil"/>
              <w:bottom w:val="single" w:sz="4" w:space="0" w:color="auto"/>
              <w:right w:val="single" w:sz="4" w:space="0" w:color="auto"/>
            </w:tcBorders>
            <w:shd w:val="clear" w:color="auto" w:fill="auto"/>
            <w:noWrap/>
            <w:vAlign w:val="bottom"/>
            <w:hideMark/>
          </w:tcPr>
          <w:p w14:paraId="4DDFC035"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1.207</w:t>
            </w:r>
          </w:p>
        </w:tc>
        <w:tc>
          <w:tcPr>
            <w:tcW w:w="892" w:type="dxa"/>
            <w:tcBorders>
              <w:top w:val="nil"/>
              <w:left w:val="nil"/>
              <w:bottom w:val="single" w:sz="4" w:space="0" w:color="auto"/>
              <w:right w:val="single" w:sz="4" w:space="0" w:color="auto"/>
            </w:tcBorders>
            <w:shd w:val="clear" w:color="auto" w:fill="auto"/>
            <w:noWrap/>
            <w:vAlign w:val="bottom"/>
            <w:hideMark/>
          </w:tcPr>
          <w:p w14:paraId="1BDD85B3"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1.286</w:t>
            </w:r>
          </w:p>
        </w:tc>
        <w:tc>
          <w:tcPr>
            <w:tcW w:w="893" w:type="dxa"/>
            <w:tcBorders>
              <w:top w:val="nil"/>
              <w:left w:val="nil"/>
              <w:bottom w:val="single" w:sz="4" w:space="0" w:color="auto"/>
              <w:right w:val="single" w:sz="4" w:space="0" w:color="auto"/>
            </w:tcBorders>
            <w:shd w:val="clear" w:color="auto" w:fill="auto"/>
            <w:noWrap/>
            <w:vAlign w:val="bottom"/>
            <w:hideMark/>
          </w:tcPr>
          <w:p w14:paraId="1C5EF2B4"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1.385</w:t>
            </w:r>
          </w:p>
        </w:tc>
      </w:tr>
      <w:tr w:rsidR="00130C85" w:rsidRPr="00BF7E57" w14:paraId="33307B9C" w14:textId="77777777" w:rsidTr="00092278">
        <w:trPr>
          <w:trHeight w:val="412"/>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FBFA19D" w14:textId="1A047DAA"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Povezane s tradicionalnimi znanji na kmetiji, storitvami oziroma izdelki</w:t>
            </w:r>
            <w:r w:rsidRPr="00BF7E57">
              <w:rPr>
                <w:rStyle w:val="Sprotnaopomba-sklic"/>
                <w:rFonts w:ascii="Arial" w:hAnsi="Arial" w:cs="Arial"/>
                <w:bCs/>
                <w:color w:val="000000"/>
                <w:lang w:eastAsia="sl-SI"/>
              </w:rPr>
              <w:footnoteReference w:id="4"/>
            </w:r>
          </w:p>
        </w:tc>
        <w:tc>
          <w:tcPr>
            <w:tcW w:w="892" w:type="dxa"/>
            <w:tcBorders>
              <w:top w:val="nil"/>
              <w:left w:val="nil"/>
              <w:bottom w:val="single" w:sz="4" w:space="0" w:color="auto"/>
              <w:right w:val="single" w:sz="4" w:space="0" w:color="auto"/>
            </w:tcBorders>
            <w:shd w:val="clear" w:color="auto" w:fill="auto"/>
            <w:noWrap/>
            <w:vAlign w:val="bottom"/>
            <w:hideMark/>
          </w:tcPr>
          <w:p w14:paraId="45A7BDA8" w14:textId="69611F40"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rPr>
              <w:t>944</w:t>
            </w:r>
          </w:p>
        </w:tc>
        <w:tc>
          <w:tcPr>
            <w:tcW w:w="892" w:type="dxa"/>
            <w:tcBorders>
              <w:top w:val="nil"/>
              <w:left w:val="nil"/>
              <w:bottom w:val="single" w:sz="4" w:space="0" w:color="auto"/>
              <w:right w:val="single" w:sz="4" w:space="0" w:color="auto"/>
            </w:tcBorders>
            <w:shd w:val="clear" w:color="auto" w:fill="auto"/>
            <w:noWrap/>
            <w:vAlign w:val="bottom"/>
            <w:hideMark/>
          </w:tcPr>
          <w:p w14:paraId="4F23A3A8" w14:textId="64360ABD"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w:t>
            </w:r>
            <w:r w:rsidRPr="00BF7E57">
              <w:rPr>
                <w:rFonts w:ascii="Arial" w:hAnsi="Arial" w:cs="Arial"/>
                <w:color w:val="000000"/>
                <w:sz w:val="20"/>
                <w:szCs w:val="20"/>
              </w:rPr>
              <w:t>107</w:t>
            </w:r>
          </w:p>
        </w:tc>
        <w:tc>
          <w:tcPr>
            <w:tcW w:w="892" w:type="dxa"/>
            <w:tcBorders>
              <w:top w:val="nil"/>
              <w:left w:val="nil"/>
              <w:bottom w:val="single" w:sz="4" w:space="0" w:color="auto"/>
              <w:right w:val="single" w:sz="4" w:space="0" w:color="auto"/>
            </w:tcBorders>
            <w:shd w:val="clear" w:color="auto" w:fill="auto"/>
            <w:noWrap/>
            <w:vAlign w:val="bottom"/>
            <w:hideMark/>
          </w:tcPr>
          <w:p w14:paraId="254A44C4" w14:textId="06B8EB12"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w:t>
            </w:r>
            <w:r w:rsidRPr="00BF7E57">
              <w:rPr>
                <w:rFonts w:ascii="Arial" w:hAnsi="Arial" w:cs="Arial"/>
                <w:color w:val="000000"/>
                <w:sz w:val="20"/>
                <w:szCs w:val="20"/>
              </w:rPr>
              <w:t>136</w:t>
            </w:r>
          </w:p>
        </w:tc>
        <w:tc>
          <w:tcPr>
            <w:tcW w:w="892" w:type="dxa"/>
            <w:tcBorders>
              <w:top w:val="nil"/>
              <w:left w:val="nil"/>
              <w:bottom w:val="single" w:sz="4" w:space="0" w:color="auto"/>
              <w:right w:val="single" w:sz="4" w:space="0" w:color="auto"/>
            </w:tcBorders>
            <w:shd w:val="clear" w:color="auto" w:fill="auto"/>
            <w:noWrap/>
            <w:vAlign w:val="bottom"/>
            <w:hideMark/>
          </w:tcPr>
          <w:p w14:paraId="2D3CD9C9" w14:textId="47856924"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w:t>
            </w:r>
            <w:r w:rsidRPr="00BF7E57">
              <w:rPr>
                <w:rFonts w:ascii="Arial" w:hAnsi="Arial" w:cs="Arial"/>
                <w:color w:val="000000"/>
                <w:sz w:val="20"/>
                <w:szCs w:val="20"/>
              </w:rPr>
              <w:t>204</w:t>
            </w:r>
          </w:p>
        </w:tc>
        <w:tc>
          <w:tcPr>
            <w:tcW w:w="893" w:type="dxa"/>
            <w:tcBorders>
              <w:top w:val="nil"/>
              <w:left w:val="nil"/>
              <w:bottom w:val="single" w:sz="4" w:space="0" w:color="auto"/>
              <w:right w:val="single" w:sz="4" w:space="0" w:color="auto"/>
            </w:tcBorders>
            <w:shd w:val="clear" w:color="auto" w:fill="auto"/>
            <w:noWrap/>
            <w:vAlign w:val="bottom"/>
            <w:hideMark/>
          </w:tcPr>
          <w:p w14:paraId="127BD1E8" w14:textId="3F9358F6"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w:t>
            </w:r>
            <w:r w:rsidRPr="00BF7E57">
              <w:rPr>
                <w:rFonts w:ascii="Arial" w:hAnsi="Arial" w:cs="Arial"/>
                <w:color w:val="000000"/>
                <w:sz w:val="20"/>
                <w:szCs w:val="20"/>
              </w:rPr>
              <w:t>264</w:t>
            </w:r>
          </w:p>
        </w:tc>
      </w:tr>
      <w:tr w:rsidR="00DD12D7" w:rsidRPr="00BF7E57" w14:paraId="085C1207" w14:textId="77777777" w:rsidTr="00092278">
        <w:trPr>
          <w:trHeight w:val="412"/>
        </w:trPr>
        <w:tc>
          <w:tcPr>
            <w:tcW w:w="4390" w:type="dxa"/>
            <w:tcBorders>
              <w:top w:val="nil"/>
              <w:left w:val="single" w:sz="4" w:space="0" w:color="auto"/>
              <w:bottom w:val="single" w:sz="4" w:space="0" w:color="auto"/>
              <w:right w:val="single" w:sz="4" w:space="0" w:color="auto"/>
            </w:tcBorders>
            <w:shd w:val="clear" w:color="auto" w:fill="auto"/>
            <w:vAlign w:val="bottom"/>
          </w:tcPr>
          <w:p w14:paraId="0D02DE3C" w14:textId="30489607" w:rsidR="00DD12D7" w:rsidRPr="00BF7E57" w:rsidRDefault="00DD12D7"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Turizem na kmetiji, ki:</w:t>
            </w:r>
          </w:p>
        </w:tc>
        <w:tc>
          <w:tcPr>
            <w:tcW w:w="892" w:type="dxa"/>
            <w:tcBorders>
              <w:top w:val="nil"/>
              <w:left w:val="nil"/>
              <w:bottom w:val="single" w:sz="4" w:space="0" w:color="auto"/>
              <w:right w:val="single" w:sz="4" w:space="0" w:color="auto"/>
            </w:tcBorders>
            <w:shd w:val="clear" w:color="auto" w:fill="auto"/>
            <w:noWrap/>
            <w:vAlign w:val="bottom"/>
          </w:tcPr>
          <w:p w14:paraId="4214497C"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1F5401E6"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74D9A4F3"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5C99FAA8"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c>
          <w:tcPr>
            <w:tcW w:w="893" w:type="dxa"/>
            <w:tcBorders>
              <w:top w:val="nil"/>
              <w:left w:val="nil"/>
              <w:bottom w:val="single" w:sz="4" w:space="0" w:color="auto"/>
              <w:right w:val="single" w:sz="4" w:space="0" w:color="auto"/>
            </w:tcBorders>
            <w:shd w:val="clear" w:color="auto" w:fill="auto"/>
            <w:noWrap/>
            <w:vAlign w:val="bottom"/>
          </w:tcPr>
          <w:p w14:paraId="1A31ECF4"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r>
      <w:tr w:rsidR="00130C85" w:rsidRPr="00BF7E57" w14:paraId="1E2677F2" w14:textId="77777777" w:rsidTr="00092278">
        <w:trPr>
          <w:trHeight w:val="22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88A2B44" w14:textId="7F470FFC" w:rsidR="00130C85" w:rsidRPr="00BF7E57" w:rsidRDefault="00DD12D7" w:rsidP="00C85A02">
            <w:pPr>
              <w:keepNext/>
              <w:keepLines/>
              <w:spacing w:before="60" w:after="60" w:line="240" w:lineRule="auto"/>
              <w:ind w:left="708"/>
              <w:rPr>
                <w:rFonts w:ascii="Arial" w:hAnsi="Arial" w:cs="Arial"/>
                <w:bCs/>
                <w:color w:val="000000"/>
                <w:sz w:val="20"/>
                <w:szCs w:val="20"/>
                <w:lang w:eastAsia="sl-SI"/>
              </w:rPr>
            </w:pPr>
            <w:r w:rsidRPr="00BF7E57">
              <w:rPr>
                <w:rFonts w:ascii="Arial" w:hAnsi="Arial" w:cs="Arial"/>
                <w:bCs/>
                <w:color w:val="000000"/>
                <w:sz w:val="20"/>
                <w:szCs w:val="20"/>
                <w:lang w:eastAsia="sl-SI"/>
              </w:rPr>
              <w:t>-</w:t>
            </w:r>
            <w:r w:rsidR="00130C85" w:rsidRPr="00BF7E57">
              <w:rPr>
                <w:rFonts w:ascii="Arial" w:hAnsi="Arial" w:cs="Arial"/>
                <w:bCs/>
                <w:color w:val="000000"/>
                <w:sz w:val="20"/>
                <w:szCs w:val="20"/>
                <w:lang w:eastAsia="sl-SI"/>
              </w:rPr>
              <w:t xml:space="preserve"> je gostinska dejavnost</w:t>
            </w:r>
          </w:p>
        </w:tc>
        <w:tc>
          <w:tcPr>
            <w:tcW w:w="892" w:type="dxa"/>
            <w:tcBorders>
              <w:top w:val="nil"/>
              <w:left w:val="nil"/>
              <w:bottom w:val="single" w:sz="4" w:space="0" w:color="auto"/>
              <w:right w:val="single" w:sz="4" w:space="0" w:color="auto"/>
            </w:tcBorders>
            <w:shd w:val="clear" w:color="auto" w:fill="auto"/>
            <w:noWrap/>
            <w:vAlign w:val="bottom"/>
            <w:hideMark/>
          </w:tcPr>
          <w:p w14:paraId="17AAC3C5"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920</w:t>
            </w:r>
          </w:p>
        </w:tc>
        <w:tc>
          <w:tcPr>
            <w:tcW w:w="892" w:type="dxa"/>
            <w:tcBorders>
              <w:top w:val="nil"/>
              <w:left w:val="nil"/>
              <w:bottom w:val="single" w:sz="4" w:space="0" w:color="auto"/>
              <w:right w:val="single" w:sz="4" w:space="0" w:color="auto"/>
            </w:tcBorders>
            <w:shd w:val="clear" w:color="auto" w:fill="auto"/>
            <w:noWrap/>
            <w:vAlign w:val="bottom"/>
            <w:hideMark/>
          </w:tcPr>
          <w:p w14:paraId="0D251DE8"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1.018</w:t>
            </w:r>
          </w:p>
        </w:tc>
        <w:tc>
          <w:tcPr>
            <w:tcW w:w="892" w:type="dxa"/>
            <w:tcBorders>
              <w:top w:val="nil"/>
              <w:left w:val="nil"/>
              <w:bottom w:val="single" w:sz="4" w:space="0" w:color="auto"/>
              <w:right w:val="single" w:sz="4" w:space="0" w:color="auto"/>
            </w:tcBorders>
            <w:shd w:val="clear" w:color="auto" w:fill="auto"/>
            <w:noWrap/>
            <w:vAlign w:val="bottom"/>
            <w:hideMark/>
          </w:tcPr>
          <w:p w14:paraId="63F90FBE"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1.067</w:t>
            </w:r>
          </w:p>
        </w:tc>
        <w:tc>
          <w:tcPr>
            <w:tcW w:w="892" w:type="dxa"/>
            <w:tcBorders>
              <w:top w:val="nil"/>
              <w:left w:val="nil"/>
              <w:bottom w:val="single" w:sz="4" w:space="0" w:color="auto"/>
              <w:right w:val="single" w:sz="4" w:space="0" w:color="auto"/>
            </w:tcBorders>
            <w:shd w:val="clear" w:color="auto" w:fill="auto"/>
            <w:noWrap/>
            <w:vAlign w:val="bottom"/>
            <w:hideMark/>
          </w:tcPr>
          <w:p w14:paraId="64DDCA48"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1.112</w:t>
            </w:r>
          </w:p>
        </w:tc>
        <w:tc>
          <w:tcPr>
            <w:tcW w:w="893" w:type="dxa"/>
            <w:tcBorders>
              <w:top w:val="nil"/>
              <w:left w:val="nil"/>
              <w:bottom w:val="single" w:sz="4" w:space="0" w:color="auto"/>
              <w:right w:val="single" w:sz="4" w:space="0" w:color="auto"/>
            </w:tcBorders>
            <w:shd w:val="clear" w:color="auto" w:fill="auto"/>
            <w:noWrap/>
            <w:vAlign w:val="bottom"/>
            <w:hideMark/>
          </w:tcPr>
          <w:p w14:paraId="2BA61954"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1.202</w:t>
            </w:r>
          </w:p>
        </w:tc>
      </w:tr>
      <w:tr w:rsidR="00130C85" w:rsidRPr="00BF7E57" w14:paraId="7ACD2981" w14:textId="77777777" w:rsidTr="00092278">
        <w:trPr>
          <w:trHeight w:val="266"/>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4D43CE1" w14:textId="05152FA6" w:rsidR="00130C85" w:rsidRPr="00BF7E57" w:rsidRDefault="00DD12D7" w:rsidP="00C85A02">
            <w:pPr>
              <w:keepNext/>
              <w:keepLines/>
              <w:spacing w:before="60" w:after="60" w:line="240" w:lineRule="auto"/>
              <w:ind w:left="708"/>
              <w:rPr>
                <w:rFonts w:ascii="Arial" w:hAnsi="Arial" w:cs="Arial"/>
                <w:bCs/>
                <w:color w:val="000000"/>
                <w:sz w:val="20"/>
                <w:szCs w:val="20"/>
                <w:lang w:eastAsia="sl-SI"/>
              </w:rPr>
            </w:pPr>
            <w:r w:rsidRPr="00BF7E57">
              <w:rPr>
                <w:rFonts w:ascii="Arial" w:hAnsi="Arial" w:cs="Arial"/>
                <w:bCs/>
                <w:color w:val="000000"/>
                <w:sz w:val="20"/>
                <w:szCs w:val="20"/>
                <w:lang w:eastAsia="sl-SI"/>
              </w:rPr>
              <w:t>-</w:t>
            </w:r>
            <w:r w:rsidR="00130C85" w:rsidRPr="00BF7E57">
              <w:rPr>
                <w:rFonts w:ascii="Arial" w:hAnsi="Arial" w:cs="Arial"/>
                <w:bCs/>
                <w:color w:val="000000"/>
                <w:sz w:val="20"/>
                <w:szCs w:val="20"/>
                <w:lang w:eastAsia="sl-SI"/>
              </w:rPr>
              <w:t xml:space="preserve"> ni gostinska dejavnost</w:t>
            </w:r>
          </w:p>
        </w:tc>
        <w:tc>
          <w:tcPr>
            <w:tcW w:w="892" w:type="dxa"/>
            <w:tcBorders>
              <w:top w:val="nil"/>
              <w:left w:val="nil"/>
              <w:bottom w:val="single" w:sz="4" w:space="0" w:color="auto"/>
              <w:right w:val="single" w:sz="4" w:space="0" w:color="auto"/>
            </w:tcBorders>
            <w:shd w:val="clear" w:color="auto" w:fill="auto"/>
            <w:noWrap/>
            <w:vAlign w:val="bottom"/>
            <w:hideMark/>
          </w:tcPr>
          <w:p w14:paraId="1D3065E6"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475</w:t>
            </w:r>
          </w:p>
        </w:tc>
        <w:tc>
          <w:tcPr>
            <w:tcW w:w="892" w:type="dxa"/>
            <w:tcBorders>
              <w:top w:val="nil"/>
              <w:left w:val="nil"/>
              <w:bottom w:val="single" w:sz="4" w:space="0" w:color="auto"/>
              <w:right w:val="single" w:sz="4" w:space="0" w:color="auto"/>
            </w:tcBorders>
            <w:shd w:val="clear" w:color="auto" w:fill="auto"/>
            <w:noWrap/>
            <w:vAlign w:val="bottom"/>
            <w:hideMark/>
          </w:tcPr>
          <w:p w14:paraId="64C1DA15"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552</w:t>
            </w:r>
          </w:p>
        </w:tc>
        <w:tc>
          <w:tcPr>
            <w:tcW w:w="892" w:type="dxa"/>
            <w:tcBorders>
              <w:top w:val="nil"/>
              <w:left w:val="nil"/>
              <w:bottom w:val="single" w:sz="4" w:space="0" w:color="auto"/>
              <w:right w:val="single" w:sz="4" w:space="0" w:color="auto"/>
            </w:tcBorders>
            <w:shd w:val="clear" w:color="auto" w:fill="auto"/>
            <w:noWrap/>
            <w:vAlign w:val="bottom"/>
            <w:hideMark/>
          </w:tcPr>
          <w:p w14:paraId="7BD833F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565</w:t>
            </w:r>
          </w:p>
        </w:tc>
        <w:tc>
          <w:tcPr>
            <w:tcW w:w="892" w:type="dxa"/>
            <w:tcBorders>
              <w:top w:val="nil"/>
              <w:left w:val="nil"/>
              <w:bottom w:val="single" w:sz="4" w:space="0" w:color="auto"/>
              <w:right w:val="single" w:sz="4" w:space="0" w:color="auto"/>
            </w:tcBorders>
            <w:shd w:val="clear" w:color="auto" w:fill="auto"/>
            <w:noWrap/>
            <w:vAlign w:val="bottom"/>
            <w:hideMark/>
          </w:tcPr>
          <w:p w14:paraId="304D760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604</w:t>
            </w:r>
          </w:p>
        </w:tc>
        <w:tc>
          <w:tcPr>
            <w:tcW w:w="893" w:type="dxa"/>
            <w:tcBorders>
              <w:top w:val="nil"/>
              <w:left w:val="nil"/>
              <w:bottom w:val="single" w:sz="4" w:space="0" w:color="auto"/>
              <w:right w:val="single" w:sz="4" w:space="0" w:color="auto"/>
            </w:tcBorders>
            <w:shd w:val="clear" w:color="auto" w:fill="auto"/>
            <w:noWrap/>
            <w:vAlign w:val="bottom"/>
            <w:hideMark/>
          </w:tcPr>
          <w:p w14:paraId="26B4A29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669</w:t>
            </w:r>
          </w:p>
        </w:tc>
      </w:tr>
      <w:tr w:rsidR="00130C85" w:rsidRPr="00BF7E57" w14:paraId="51D16FAE" w14:textId="77777777" w:rsidTr="00092278">
        <w:trPr>
          <w:trHeight w:val="618"/>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B3EA9CB" w14:textId="0E706F91"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Predelava rastlinskih odpadkov ter proizvodnja in prodaja energije iz obnovljivih virov</w:t>
            </w:r>
          </w:p>
        </w:tc>
        <w:tc>
          <w:tcPr>
            <w:tcW w:w="892" w:type="dxa"/>
            <w:tcBorders>
              <w:top w:val="nil"/>
              <w:left w:val="nil"/>
              <w:bottom w:val="single" w:sz="4" w:space="0" w:color="auto"/>
              <w:right w:val="single" w:sz="4" w:space="0" w:color="auto"/>
            </w:tcBorders>
            <w:shd w:val="clear" w:color="auto" w:fill="auto"/>
            <w:noWrap/>
            <w:vAlign w:val="bottom"/>
            <w:hideMark/>
          </w:tcPr>
          <w:p w14:paraId="6E04B645"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549</w:t>
            </w:r>
          </w:p>
        </w:tc>
        <w:tc>
          <w:tcPr>
            <w:tcW w:w="892" w:type="dxa"/>
            <w:tcBorders>
              <w:top w:val="nil"/>
              <w:left w:val="nil"/>
              <w:bottom w:val="single" w:sz="4" w:space="0" w:color="auto"/>
              <w:right w:val="single" w:sz="4" w:space="0" w:color="auto"/>
            </w:tcBorders>
            <w:shd w:val="clear" w:color="auto" w:fill="auto"/>
            <w:noWrap/>
            <w:vAlign w:val="bottom"/>
            <w:hideMark/>
          </w:tcPr>
          <w:p w14:paraId="45D179FD"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564</w:t>
            </w:r>
          </w:p>
        </w:tc>
        <w:tc>
          <w:tcPr>
            <w:tcW w:w="892" w:type="dxa"/>
            <w:tcBorders>
              <w:top w:val="nil"/>
              <w:left w:val="nil"/>
              <w:bottom w:val="single" w:sz="4" w:space="0" w:color="auto"/>
              <w:right w:val="single" w:sz="4" w:space="0" w:color="auto"/>
            </w:tcBorders>
            <w:shd w:val="clear" w:color="auto" w:fill="auto"/>
            <w:noWrap/>
            <w:vAlign w:val="bottom"/>
            <w:hideMark/>
          </w:tcPr>
          <w:p w14:paraId="1041C1BE"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571</w:t>
            </w:r>
          </w:p>
        </w:tc>
        <w:tc>
          <w:tcPr>
            <w:tcW w:w="892" w:type="dxa"/>
            <w:tcBorders>
              <w:top w:val="nil"/>
              <w:left w:val="nil"/>
              <w:bottom w:val="single" w:sz="4" w:space="0" w:color="auto"/>
              <w:right w:val="single" w:sz="4" w:space="0" w:color="auto"/>
            </w:tcBorders>
            <w:shd w:val="clear" w:color="auto" w:fill="auto"/>
            <w:noWrap/>
            <w:vAlign w:val="bottom"/>
            <w:hideMark/>
          </w:tcPr>
          <w:p w14:paraId="45B25FE7"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576</w:t>
            </w:r>
          </w:p>
        </w:tc>
        <w:tc>
          <w:tcPr>
            <w:tcW w:w="893" w:type="dxa"/>
            <w:tcBorders>
              <w:top w:val="nil"/>
              <w:left w:val="nil"/>
              <w:bottom w:val="single" w:sz="4" w:space="0" w:color="auto"/>
              <w:right w:val="single" w:sz="4" w:space="0" w:color="auto"/>
            </w:tcBorders>
            <w:shd w:val="clear" w:color="auto" w:fill="auto"/>
            <w:noWrap/>
            <w:vAlign w:val="bottom"/>
            <w:hideMark/>
          </w:tcPr>
          <w:p w14:paraId="6715FE8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584</w:t>
            </w:r>
          </w:p>
        </w:tc>
      </w:tr>
      <w:tr w:rsidR="00130C85" w:rsidRPr="00BF7E57" w14:paraId="7615D829" w14:textId="77777777" w:rsidTr="00092278">
        <w:trPr>
          <w:trHeight w:val="31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221C80C" w14:textId="307F3EBA"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Socialno varstvo</w:t>
            </w:r>
          </w:p>
        </w:tc>
        <w:tc>
          <w:tcPr>
            <w:tcW w:w="892" w:type="dxa"/>
            <w:tcBorders>
              <w:top w:val="nil"/>
              <w:left w:val="nil"/>
              <w:bottom w:val="single" w:sz="4" w:space="0" w:color="auto"/>
              <w:right w:val="single" w:sz="4" w:space="0" w:color="auto"/>
            </w:tcBorders>
            <w:shd w:val="clear" w:color="auto" w:fill="auto"/>
            <w:noWrap/>
            <w:vAlign w:val="bottom"/>
            <w:hideMark/>
          </w:tcPr>
          <w:p w14:paraId="05042BCF"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4</w:t>
            </w:r>
          </w:p>
        </w:tc>
        <w:tc>
          <w:tcPr>
            <w:tcW w:w="892" w:type="dxa"/>
            <w:tcBorders>
              <w:top w:val="nil"/>
              <w:left w:val="nil"/>
              <w:bottom w:val="single" w:sz="4" w:space="0" w:color="auto"/>
              <w:right w:val="single" w:sz="4" w:space="0" w:color="auto"/>
            </w:tcBorders>
            <w:shd w:val="clear" w:color="auto" w:fill="auto"/>
            <w:noWrap/>
            <w:vAlign w:val="bottom"/>
            <w:hideMark/>
          </w:tcPr>
          <w:p w14:paraId="0C11679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w:t>
            </w:r>
          </w:p>
        </w:tc>
        <w:tc>
          <w:tcPr>
            <w:tcW w:w="892" w:type="dxa"/>
            <w:tcBorders>
              <w:top w:val="nil"/>
              <w:left w:val="nil"/>
              <w:bottom w:val="single" w:sz="4" w:space="0" w:color="auto"/>
              <w:right w:val="single" w:sz="4" w:space="0" w:color="auto"/>
            </w:tcBorders>
            <w:shd w:val="clear" w:color="auto" w:fill="auto"/>
            <w:noWrap/>
            <w:vAlign w:val="bottom"/>
            <w:hideMark/>
          </w:tcPr>
          <w:p w14:paraId="12BEBE1B"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4</w:t>
            </w:r>
          </w:p>
        </w:tc>
        <w:tc>
          <w:tcPr>
            <w:tcW w:w="892" w:type="dxa"/>
            <w:tcBorders>
              <w:top w:val="nil"/>
              <w:left w:val="nil"/>
              <w:bottom w:val="single" w:sz="4" w:space="0" w:color="auto"/>
              <w:right w:val="single" w:sz="4" w:space="0" w:color="auto"/>
            </w:tcBorders>
            <w:shd w:val="clear" w:color="auto" w:fill="auto"/>
            <w:noWrap/>
            <w:vAlign w:val="bottom"/>
            <w:hideMark/>
          </w:tcPr>
          <w:p w14:paraId="3A8FCD87"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3</w:t>
            </w:r>
          </w:p>
        </w:tc>
        <w:tc>
          <w:tcPr>
            <w:tcW w:w="893" w:type="dxa"/>
            <w:tcBorders>
              <w:top w:val="nil"/>
              <w:left w:val="nil"/>
              <w:bottom w:val="single" w:sz="4" w:space="0" w:color="auto"/>
              <w:right w:val="single" w:sz="4" w:space="0" w:color="auto"/>
            </w:tcBorders>
            <w:shd w:val="clear" w:color="auto" w:fill="auto"/>
            <w:noWrap/>
            <w:vAlign w:val="bottom"/>
            <w:hideMark/>
          </w:tcPr>
          <w:p w14:paraId="39CC84F7"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7</w:t>
            </w:r>
          </w:p>
        </w:tc>
      </w:tr>
      <w:tr w:rsidR="00130C85" w:rsidRPr="00BF7E57" w14:paraId="4E96636E" w14:textId="77777777" w:rsidTr="00092278">
        <w:trPr>
          <w:trHeight w:val="30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F129455" w14:textId="77777777" w:rsidR="00130C85" w:rsidRPr="00BF7E57" w:rsidRDefault="00130C85" w:rsidP="00C85A02">
            <w:pPr>
              <w:keepNext/>
              <w:keepLines/>
              <w:spacing w:before="60" w:after="60" w:line="240"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SKUPAJ</w:t>
            </w:r>
          </w:p>
        </w:tc>
        <w:tc>
          <w:tcPr>
            <w:tcW w:w="892" w:type="dxa"/>
            <w:tcBorders>
              <w:top w:val="nil"/>
              <w:left w:val="nil"/>
              <w:bottom w:val="single" w:sz="4" w:space="0" w:color="auto"/>
              <w:right w:val="single" w:sz="4" w:space="0" w:color="auto"/>
            </w:tcBorders>
            <w:shd w:val="clear" w:color="auto" w:fill="auto"/>
            <w:noWrap/>
            <w:vAlign w:val="bottom"/>
            <w:hideMark/>
          </w:tcPr>
          <w:p w14:paraId="46D14909" w14:textId="36DA0529"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4.</w:t>
            </w:r>
            <w:r w:rsidRPr="00BF7E57">
              <w:rPr>
                <w:rFonts w:ascii="Arial" w:hAnsi="Arial" w:cs="Arial"/>
                <w:b/>
                <w:bCs/>
                <w:color w:val="000000"/>
                <w:sz w:val="20"/>
                <w:szCs w:val="20"/>
              </w:rPr>
              <w:t>926</w:t>
            </w:r>
          </w:p>
        </w:tc>
        <w:tc>
          <w:tcPr>
            <w:tcW w:w="892" w:type="dxa"/>
            <w:tcBorders>
              <w:top w:val="nil"/>
              <w:left w:val="nil"/>
              <w:bottom w:val="single" w:sz="4" w:space="0" w:color="auto"/>
              <w:right w:val="single" w:sz="4" w:space="0" w:color="auto"/>
            </w:tcBorders>
            <w:shd w:val="clear" w:color="auto" w:fill="auto"/>
            <w:noWrap/>
            <w:vAlign w:val="bottom"/>
            <w:hideMark/>
          </w:tcPr>
          <w:p w14:paraId="65EBB509" w14:textId="060C60AD"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5.</w:t>
            </w:r>
            <w:r w:rsidRPr="00BF7E57">
              <w:rPr>
                <w:rFonts w:ascii="Arial" w:hAnsi="Arial" w:cs="Arial"/>
                <w:b/>
                <w:bCs/>
                <w:color w:val="000000"/>
                <w:sz w:val="20"/>
                <w:szCs w:val="20"/>
              </w:rPr>
              <w:t>609</w:t>
            </w:r>
          </w:p>
        </w:tc>
        <w:tc>
          <w:tcPr>
            <w:tcW w:w="892" w:type="dxa"/>
            <w:tcBorders>
              <w:top w:val="nil"/>
              <w:left w:val="nil"/>
              <w:bottom w:val="single" w:sz="4" w:space="0" w:color="auto"/>
              <w:right w:val="single" w:sz="4" w:space="0" w:color="auto"/>
            </w:tcBorders>
            <w:shd w:val="clear" w:color="auto" w:fill="auto"/>
            <w:noWrap/>
            <w:vAlign w:val="bottom"/>
            <w:hideMark/>
          </w:tcPr>
          <w:p w14:paraId="1E8D0126" w14:textId="3913A3D2"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5.</w:t>
            </w:r>
            <w:r w:rsidRPr="00BF7E57">
              <w:rPr>
                <w:rFonts w:ascii="Arial" w:hAnsi="Arial" w:cs="Arial"/>
                <w:b/>
                <w:bCs/>
                <w:color w:val="000000"/>
                <w:sz w:val="20"/>
                <w:szCs w:val="20"/>
              </w:rPr>
              <w:t>898</w:t>
            </w:r>
          </w:p>
        </w:tc>
        <w:tc>
          <w:tcPr>
            <w:tcW w:w="892" w:type="dxa"/>
            <w:tcBorders>
              <w:top w:val="nil"/>
              <w:left w:val="nil"/>
              <w:bottom w:val="single" w:sz="4" w:space="0" w:color="auto"/>
              <w:right w:val="single" w:sz="4" w:space="0" w:color="auto"/>
            </w:tcBorders>
            <w:shd w:val="clear" w:color="auto" w:fill="auto"/>
            <w:noWrap/>
            <w:vAlign w:val="bottom"/>
            <w:hideMark/>
          </w:tcPr>
          <w:p w14:paraId="2271D158" w14:textId="7B7B4442"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6.</w:t>
            </w:r>
            <w:r w:rsidRPr="00BF7E57">
              <w:rPr>
                <w:rFonts w:ascii="Arial" w:hAnsi="Arial" w:cs="Arial"/>
                <w:b/>
                <w:bCs/>
                <w:color w:val="000000"/>
                <w:sz w:val="20"/>
                <w:szCs w:val="20"/>
              </w:rPr>
              <w:t>198</w:t>
            </w:r>
          </w:p>
        </w:tc>
        <w:tc>
          <w:tcPr>
            <w:tcW w:w="893" w:type="dxa"/>
            <w:tcBorders>
              <w:top w:val="nil"/>
              <w:left w:val="nil"/>
              <w:bottom w:val="single" w:sz="4" w:space="0" w:color="auto"/>
              <w:right w:val="single" w:sz="4" w:space="0" w:color="auto"/>
            </w:tcBorders>
            <w:shd w:val="clear" w:color="auto" w:fill="auto"/>
            <w:noWrap/>
            <w:vAlign w:val="bottom"/>
            <w:hideMark/>
          </w:tcPr>
          <w:p w14:paraId="0378DBD6" w14:textId="0B275838"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6.</w:t>
            </w:r>
            <w:r w:rsidRPr="00BF7E57">
              <w:rPr>
                <w:rFonts w:ascii="Arial" w:hAnsi="Arial" w:cs="Arial"/>
                <w:b/>
                <w:bCs/>
                <w:color w:val="000000"/>
                <w:sz w:val="20"/>
                <w:szCs w:val="20"/>
              </w:rPr>
              <w:t>578</w:t>
            </w:r>
          </w:p>
        </w:tc>
      </w:tr>
    </w:tbl>
    <w:p w14:paraId="6B376387" w14:textId="3B9619A1" w:rsidR="00192A84" w:rsidRPr="00BF7E57" w:rsidRDefault="00192A84" w:rsidP="00C85A02">
      <w:pPr>
        <w:keepNext/>
        <w:keepLines/>
        <w:spacing w:line="240" w:lineRule="auto"/>
        <w:jc w:val="both"/>
        <w:rPr>
          <w:rFonts w:ascii="Arial" w:hAnsi="Arial" w:cs="Arial"/>
          <w:sz w:val="16"/>
          <w:szCs w:val="16"/>
        </w:rPr>
      </w:pPr>
      <w:r w:rsidRPr="00BF7E57">
        <w:rPr>
          <w:rFonts w:ascii="Arial" w:hAnsi="Arial" w:cs="Arial"/>
          <w:sz w:val="16"/>
          <w:szCs w:val="16"/>
        </w:rPr>
        <w:t>Vir: MKGP</w:t>
      </w:r>
      <w:r w:rsidR="000B7583" w:rsidRPr="00BF7E57">
        <w:rPr>
          <w:rFonts w:ascii="Arial" w:hAnsi="Arial" w:cs="Arial"/>
          <w:sz w:val="16"/>
          <w:szCs w:val="16"/>
        </w:rPr>
        <w:t xml:space="preserve"> 2020 (</w:t>
      </w:r>
      <w:r w:rsidRPr="00BF7E57">
        <w:rPr>
          <w:rFonts w:ascii="Arial" w:hAnsi="Arial" w:cs="Arial"/>
          <w:sz w:val="16"/>
          <w:szCs w:val="16"/>
        </w:rPr>
        <w:t>RKG</w:t>
      </w:r>
      <w:r w:rsidR="000B7583" w:rsidRPr="00BF7E57">
        <w:rPr>
          <w:rFonts w:ascii="Arial" w:hAnsi="Arial" w:cs="Arial"/>
          <w:sz w:val="16"/>
          <w:szCs w:val="16"/>
        </w:rPr>
        <w:t>)</w:t>
      </w:r>
    </w:p>
    <w:p w14:paraId="5F8F530F" w14:textId="2B286381" w:rsidR="00A46212" w:rsidRPr="00BF7E57" w:rsidRDefault="004E29D9" w:rsidP="00FD79A0">
      <w:pPr>
        <w:spacing w:before="200" w:line="360" w:lineRule="auto"/>
        <w:jc w:val="both"/>
        <w:rPr>
          <w:rFonts w:ascii="Arial" w:hAnsi="Arial" w:cs="Arial"/>
          <w:sz w:val="20"/>
          <w:szCs w:val="20"/>
        </w:rPr>
      </w:pPr>
      <w:r w:rsidRPr="00BF7E57">
        <w:rPr>
          <w:rFonts w:ascii="Arial" w:hAnsi="Arial" w:cs="Arial"/>
          <w:sz w:val="20"/>
          <w:szCs w:val="20"/>
        </w:rPr>
        <w:t xml:space="preserve">V letu 2020 je bilo na kmetijah registriranih </w:t>
      </w:r>
      <w:r w:rsidR="00130C85" w:rsidRPr="00BF7E57">
        <w:rPr>
          <w:rFonts w:ascii="Arial" w:hAnsi="Arial" w:cs="Arial"/>
          <w:sz w:val="20"/>
          <w:szCs w:val="20"/>
        </w:rPr>
        <w:t>6</w:t>
      </w:r>
      <w:r w:rsidR="00DD12D7" w:rsidRPr="00BF7E57">
        <w:rPr>
          <w:rFonts w:ascii="Arial" w:hAnsi="Arial" w:cs="Arial"/>
          <w:sz w:val="20"/>
          <w:szCs w:val="20"/>
        </w:rPr>
        <w:t>.</w:t>
      </w:r>
      <w:r w:rsidR="00130C85" w:rsidRPr="00BF7E57">
        <w:rPr>
          <w:rFonts w:ascii="Arial" w:hAnsi="Arial" w:cs="Arial"/>
          <w:sz w:val="20"/>
          <w:szCs w:val="20"/>
        </w:rPr>
        <w:t>578</w:t>
      </w:r>
      <w:r w:rsidRPr="00BF7E57">
        <w:rPr>
          <w:rFonts w:ascii="Arial" w:hAnsi="Arial" w:cs="Arial"/>
          <w:sz w:val="20"/>
          <w:szCs w:val="20"/>
        </w:rPr>
        <w:t xml:space="preserve"> nekmetijskih dopolnilnih dejavnosti</w:t>
      </w:r>
      <w:r w:rsidR="003840AB" w:rsidRPr="00BF7E57">
        <w:rPr>
          <w:rFonts w:ascii="Arial" w:hAnsi="Arial" w:cs="Arial"/>
          <w:sz w:val="20"/>
          <w:szCs w:val="20"/>
        </w:rPr>
        <w:t>. Največ, to je 1.811 dopolnilnih dejavnosti je povezanih s turizmom,</w:t>
      </w:r>
      <w:r w:rsidR="00DD12D7" w:rsidRPr="00BF7E57">
        <w:rPr>
          <w:rFonts w:ascii="Arial" w:hAnsi="Arial" w:cs="Arial"/>
          <w:sz w:val="20"/>
          <w:szCs w:val="20"/>
        </w:rPr>
        <w:t xml:space="preserve"> od tega sta se</w:t>
      </w:r>
      <w:r w:rsidR="003840AB" w:rsidRPr="00BF7E57">
        <w:rPr>
          <w:rFonts w:ascii="Arial" w:hAnsi="Arial" w:cs="Arial"/>
          <w:sz w:val="20"/>
          <w:szCs w:val="20"/>
        </w:rPr>
        <w:t xml:space="preserve"> 1.202 </w:t>
      </w:r>
      <w:r w:rsidR="00DD12D7" w:rsidRPr="00BF7E57">
        <w:rPr>
          <w:rFonts w:ascii="Arial" w:hAnsi="Arial" w:cs="Arial"/>
          <w:sz w:val="20"/>
          <w:szCs w:val="20"/>
        </w:rPr>
        <w:t>opravljali kot dopolnilna</w:t>
      </w:r>
      <w:r w:rsidR="003840AB" w:rsidRPr="00BF7E57">
        <w:rPr>
          <w:rFonts w:ascii="Arial" w:hAnsi="Arial" w:cs="Arial"/>
          <w:sz w:val="20"/>
          <w:szCs w:val="20"/>
        </w:rPr>
        <w:t xml:space="preserve"> dejavnost turizem, ki je gostinska dejavnost ter 669 kot dopolnilna dejavnost turizem na kmetiji, ki ni gostinska dejavnost.</w:t>
      </w:r>
      <w:r w:rsidR="00DD12D7" w:rsidRPr="00BF7E57">
        <w:rPr>
          <w:rFonts w:ascii="Arial" w:hAnsi="Arial" w:cs="Arial"/>
          <w:sz w:val="20"/>
          <w:szCs w:val="20"/>
        </w:rPr>
        <w:t xml:space="preserve"> </w:t>
      </w:r>
      <w:r w:rsidR="00EC6FD8" w:rsidRPr="00BF7E57">
        <w:rPr>
          <w:rFonts w:ascii="Arial" w:hAnsi="Arial" w:cs="Arial"/>
          <w:sz w:val="20"/>
          <w:szCs w:val="20"/>
        </w:rPr>
        <w:t>Pri vseh skupinah nekmetijskih dopolnilnih dejavnosti je opazen pozitiven trend</w:t>
      </w:r>
      <w:r w:rsidR="00332B9D" w:rsidRPr="00BF7E57">
        <w:rPr>
          <w:rFonts w:ascii="Arial" w:hAnsi="Arial" w:cs="Arial"/>
          <w:sz w:val="20"/>
          <w:szCs w:val="20"/>
        </w:rPr>
        <w:t xml:space="preserve"> števila. </w:t>
      </w:r>
      <w:r w:rsidR="00823434" w:rsidRPr="00BF7E57">
        <w:rPr>
          <w:rFonts w:ascii="Arial" w:hAnsi="Arial" w:cs="Arial"/>
          <w:sz w:val="20"/>
          <w:szCs w:val="20"/>
        </w:rPr>
        <w:t xml:space="preserve">V primerjavi z letom 2016 je bilo v letu 2020 tako za 1.652 več </w:t>
      </w:r>
      <w:r w:rsidR="00332B9D" w:rsidRPr="00BF7E57">
        <w:rPr>
          <w:rFonts w:ascii="Arial" w:hAnsi="Arial" w:cs="Arial"/>
          <w:sz w:val="20"/>
          <w:szCs w:val="20"/>
        </w:rPr>
        <w:t xml:space="preserve">registriranih nekmetijskih </w:t>
      </w:r>
      <w:r w:rsidR="00823434" w:rsidRPr="00BF7E57">
        <w:rPr>
          <w:rFonts w:ascii="Arial" w:hAnsi="Arial" w:cs="Arial"/>
          <w:sz w:val="20"/>
          <w:szCs w:val="20"/>
        </w:rPr>
        <w:t>dopolnilnih dejavnosti</w:t>
      </w:r>
      <w:r w:rsidR="00332B9D" w:rsidRPr="00BF7E57">
        <w:rPr>
          <w:rFonts w:ascii="Arial" w:hAnsi="Arial" w:cs="Arial"/>
          <w:sz w:val="20"/>
          <w:szCs w:val="20"/>
        </w:rPr>
        <w:t xml:space="preserve"> na kmetijah</w:t>
      </w:r>
      <w:r w:rsidR="00823434" w:rsidRPr="00BF7E57">
        <w:rPr>
          <w:rFonts w:ascii="Arial" w:hAnsi="Arial" w:cs="Arial"/>
          <w:sz w:val="20"/>
          <w:szCs w:val="20"/>
        </w:rPr>
        <w:t xml:space="preserve">. </w:t>
      </w:r>
      <w:r w:rsidR="006603A2" w:rsidRPr="00BF7E57">
        <w:rPr>
          <w:rFonts w:ascii="Arial" w:hAnsi="Arial" w:cs="Arial"/>
          <w:sz w:val="20"/>
          <w:szCs w:val="20"/>
        </w:rPr>
        <w:t xml:space="preserve">Največja rast števila </w:t>
      </w:r>
      <w:r w:rsidR="00332B9D" w:rsidRPr="00BF7E57">
        <w:rPr>
          <w:rFonts w:ascii="Arial" w:hAnsi="Arial" w:cs="Arial"/>
          <w:sz w:val="20"/>
          <w:szCs w:val="20"/>
        </w:rPr>
        <w:t xml:space="preserve">nekmetijskih </w:t>
      </w:r>
      <w:r w:rsidR="006603A2" w:rsidRPr="00BF7E57">
        <w:rPr>
          <w:rFonts w:ascii="Arial" w:hAnsi="Arial" w:cs="Arial"/>
          <w:sz w:val="20"/>
          <w:szCs w:val="20"/>
        </w:rPr>
        <w:t>dopolnilnih dejavnosti v primerjavi z letom 2016 je opazna v skupini dopolnilnih dejavnosti povezanih s s</w:t>
      </w:r>
      <w:r w:rsidR="006603A2" w:rsidRPr="00BF7E57">
        <w:rPr>
          <w:rFonts w:ascii="Arial" w:hAnsi="Arial" w:cs="Arial"/>
          <w:bCs/>
          <w:color w:val="000000"/>
          <w:sz w:val="20"/>
          <w:szCs w:val="20"/>
          <w:lang w:eastAsia="sl-SI"/>
        </w:rPr>
        <w:t xml:space="preserve">vetovanjem in usposabljanjem v zvezi s kmetijsko, gozdarsko in dopolnilno dejavnostjo in sicer gre za skoraj 53 % povečanje. </w:t>
      </w:r>
      <w:r w:rsidR="006C1926" w:rsidRPr="00BF7E57">
        <w:rPr>
          <w:rFonts w:ascii="Arial" w:hAnsi="Arial" w:cs="Arial"/>
          <w:sz w:val="20"/>
          <w:szCs w:val="20"/>
        </w:rPr>
        <w:t xml:space="preserve">V primerjavi s prejšnjimi leti je trend števila registriranih dopolnilnih dejavnosti v povezavi s turizmom na kmetiji </w:t>
      </w:r>
      <w:r w:rsidR="00332B9D" w:rsidRPr="00BF7E57">
        <w:rPr>
          <w:rFonts w:ascii="Arial" w:hAnsi="Arial" w:cs="Arial"/>
          <w:sz w:val="20"/>
          <w:szCs w:val="20"/>
        </w:rPr>
        <w:t xml:space="preserve">prav tako </w:t>
      </w:r>
      <w:r w:rsidR="006C1926" w:rsidRPr="00BF7E57">
        <w:rPr>
          <w:rFonts w:ascii="Arial" w:hAnsi="Arial" w:cs="Arial"/>
          <w:sz w:val="20"/>
          <w:szCs w:val="20"/>
        </w:rPr>
        <w:t>p</w:t>
      </w:r>
      <w:r w:rsidR="00EC6FD8" w:rsidRPr="00BF7E57">
        <w:rPr>
          <w:rFonts w:ascii="Arial" w:hAnsi="Arial" w:cs="Arial"/>
          <w:sz w:val="20"/>
          <w:szCs w:val="20"/>
        </w:rPr>
        <w:t xml:space="preserve">ozitiven in se je </w:t>
      </w:r>
      <w:r w:rsidR="00332B9D" w:rsidRPr="00BF7E57">
        <w:rPr>
          <w:rFonts w:ascii="Arial" w:hAnsi="Arial" w:cs="Arial"/>
          <w:sz w:val="20"/>
          <w:szCs w:val="20"/>
        </w:rPr>
        <w:t xml:space="preserve">število </w:t>
      </w:r>
      <w:r w:rsidR="00EC6FD8" w:rsidRPr="00BF7E57">
        <w:rPr>
          <w:rFonts w:ascii="Arial" w:hAnsi="Arial" w:cs="Arial"/>
          <w:sz w:val="20"/>
          <w:szCs w:val="20"/>
        </w:rPr>
        <w:t>v zadnjih štirih</w:t>
      </w:r>
      <w:r w:rsidR="00332B9D" w:rsidRPr="00BF7E57">
        <w:rPr>
          <w:rFonts w:ascii="Arial" w:hAnsi="Arial" w:cs="Arial"/>
          <w:sz w:val="20"/>
          <w:szCs w:val="20"/>
        </w:rPr>
        <w:t xml:space="preserve"> letih </w:t>
      </w:r>
      <w:r w:rsidR="00EC6FD8" w:rsidRPr="00BF7E57">
        <w:rPr>
          <w:rFonts w:ascii="Arial" w:hAnsi="Arial" w:cs="Arial"/>
          <w:sz w:val="20"/>
          <w:szCs w:val="20"/>
        </w:rPr>
        <w:t>povečal</w:t>
      </w:r>
      <w:r w:rsidR="00332B9D" w:rsidRPr="00BF7E57">
        <w:rPr>
          <w:rFonts w:ascii="Arial" w:hAnsi="Arial" w:cs="Arial"/>
          <w:sz w:val="20"/>
          <w:szCs w:val="20"/>
        </w:rPr>
        <w:t>o</w:t>
      </w:r>
      <w:r w:rsidR="00EC6FD8" w:rsidRPr="00BF7E57">
        <w:rPr>
          <w:rFonts w:ascii="Arial" w:hAnsi="Arial" w:cs="Arial"/>
          <w:sz w:val="20"/>
          <w:szCs w:val="20"/>
        </w:rPr>
        <w:t xml:space="preserve"> za 34,1</w:t>
      </w:r>
      <w:r w:rsidR="006C1926" w:rsidRPr="00BF7E57">
        <w:rPr>
          <w:rFonts w:ascii="Arial" w:hAnsi="Arial" w:cs="Arial"/>
          <w:sz w:val="20"/>
          <w:szCs w:val="20"/>
        </w:rPr>
        <w:t xml:space="preserve"> %. </w:t>
      </w:r>
      <w:bookmarkStart w:id="162" w:name="_Toc45016621"/>
      <w:r w:rsidR="00FD79A0" w:rsidRPr="00BF7E57">
        <w:rPr>
          <w:rFonts w:ascii="Arial" w:hAnsi="Arial" w:cs="Arial"/>
          <w:sz w:val="20"/>
          <w:szCs w:val="20"/>
        </w:rPr>
        <w:t xml:space="preserve">Pomemben delež tako predstavljajo dopolnilne dejavnosti, ki se opravljajo v povezavi s turizmom. </w:t>
      </w:r>
    </w:p>
    <w:p w14:paraId="2E7E4042" w14:textId="6874EA30" w:rsidR="00A46212" w:rsidRPr="00BF7E57" w:rsidRDefault="00A74714" w:rsidP="00A46212">
      <w:pPr>
        <w:spacing w:before="200" w:line="360" w:lineRule="auto"/>
        <w:jc w:val="both"/>
        <w:rPr>
          <w:rFonts w:ascii="Arial" w:hAnsi="Arial" w:cs="Arial"/>
          <w:sz w:val="20"/>
          <w:szCs w:val="20"/>
        </w:rPr>
      </w:pPr>
      <w:r w:rsidRPr="00BF7E57">
        <w:rPr>
          <w:rFonts w:ascii="Arial" w:hAnsi="Arial" w:cs="Arial"/>
          <w:sz w:val="20"/>
          <w:szCs w:val="20"/>
        </w:rPr>
        <w:t>Med vsemi nekmetijskimi dopolnilnimi dejavnostmi na kmetiji je v letu 2020 največkrat registrirana prav dopolnilna dejavnost »</w:t>
      </w:r>
      <w:r w:rsidR="004052BC" w:rsidRPr="00BF7E57">
        <w:rPr>
          <w:rFonts w:ascii="Arial" w:hAnsi="Arial" w:cs="Arial"/>
          <w:sz w:val="20"/>
          <w:szCs w:val="20"/>
        </w:rPr>
        <w:t>T</w:t>
      </w:r>
      <w:r w:rsidRPr="00BF7E57">
        <w:rPr>
          <w:rFonts w:ascii="Arial" w:hAnsi="Arial" w:cs="Arial"/>
          <w:sz w:val="20"/>
          <w:szCs w:val="20"/>
        </w:rPr>
        <w:t xml:space="preserve">uristična kmetija z nastanitvijo« in sicer 578 krat, druga največkrat registrirana pa je »Izletniška kmetija« in sicer 484 krat </w:t>
      </w:r>
      <w:r w:rsidR="00AA729E" w:rsidRPr="00BF7E57">
        <w:rPr>
          <w:rFonts w:ascii="Arial" w:hAnsi="Arial" w:cs="Arial"/>
          <w:sz w:val="20"/>
          <w:szCs w:val="20"/>
        </w:rPr>
        <w:t>(</w:t>
      </w:r>
      <w:r w:rsidR="00413918" w:rsidRPr="00BF7E57">
        <w:rPr>
          <w:rFonts w:ascii="Arial" w:hAnsi="Arial" w:cs="Arial"/>
          <w:sz w:val="20"/>
          <w:szCs w:val="20"/>
        </w:rPr>
        <w:fldChar w:fldCharType="begin"/>
      </w:r>
      <w:r w:rsidR="00413918" w:rsidRPr="00BF7E57">
        <w:rPr>
          <w:rFonts w:ascii="Arial" w:hAnsi="Arial" w:cs="Arial"/>
          <w:sz w:val="20"/>
          <w:szCs w:val="20"/>
        </w:rPr>
        <w:instrText xml:space="preserve"> REF _Ref84928458 \h </w:instrText>
      </w:r>
      <w:r w:rsidR="00413918" w:rsidRPr="00BF7E57">
        <w:rPr>
          <w:rFonts w:ascii="Arial" w:hAnsi="Arial" w:cs="Arial"/>
          <w:sz w:val="20"/>
          <w:szCs w:val="20"/>
        </w:rPr>
      </w:r>
      <w:r w:rsidR="00BF7E57">
        <w:rPr>
          <w:rFonts w:ascii="Arial" w:hAnsi="Arial" w:cs="Arial"/>
          <w:sz w:val="20"/>
          <w:szCs w:val="20"/>
        </w:rPr>
        <w:instrText xml:space="preserve"> \* MERGEFORMAT </w:instrText>
      </w:r>
      <w:r w:rsidR="00413918" w:rsidRPr="00BF7E57">
        <w:rPr>
          <w:rFonts w:ascii="Arial" w:hAnsi="Arial" w:cs="Arial"/>
          <w:sz w:val="20"/>
          <w:szCs w:val="20"/>
        </w:rPr>
        <w:fldChar w:fldCharType="separate"/>
      </w:r>
      <w:r w:rsidR="00236865" w:rsidRPr="00BF7E57">
        <w:t xml:space="preserve">Tabela </w:t>
      </w:r>
      <w:r w:rsidR="00236865">
        <w:rPr>
          <w:noProof/>
        </w:rPr>
        <w:t>31</w:t>
      </w:r>
      <w:r w:rsidR="00413918" w:rsidRPr="00BF7E57">
        <w:rPr>
          <w:rFonts w:ascii="Arial" w:hAnsi="Arial" w:cs="Arial"/>
          <w:sz w:val="20"/>
          <w:szCs w:val="20"/>
        </w:rPr>
        <w:fldChar w:fldCharType="end"/>
      </w:r>
      <w:r w:rsidR="00AA729E" w:rsidRPr="00BF7E57">
        <w:rPr>
          <w:rFonts w:ascii="Arial" w:hAnsi="Arial" w:cs="Arial"/>
          <w:sz w:val="20"/>
          <w:szCs w:val="20"/>
        </w:rPr>
        <w:t>)</w:t>
      </w:r>
      <w:r w:rsidR="0085376B" w:rsidRPr="00BF7E57">
        <w:rPr>
          <w:rFonts w:ascii="Arial" w:hAnsi="Arial" w:cs="Arial"/>
          <w:sz w:val="20"/>
          <w:szCs w:val="20"/>
        </w:rPr>
        <w:t>.</w:t>
      </w:r>
      <w:r w:rsidR="0052349A" w:rsidRPr="00BF7E57">
        <w:rPr>
          <w:rFonts w:ascii="Arial" w:hAnsi="Arial" w:cs="Arial"/>
          <w:sz w:val="20"/>
          <w:szCs w:val="20"/>
        </w:rPr>
        <w:t xml:space="preserve"> </w:t>
      </w:r>
      <w:r w:rsidR="00223122" w:rsidRPr="00BF7E57">
        <w:rPr>
          <w:rFonts w:ascii="Arial" w:hAnsi="Arial" w:cs="Arial"/>
          <w:sz w:val="20"/>
          <w:szCs w:val="20"/>
        </w:rPr>
        <w:t xml:space="preserve">Veliko povečanje turističnih kmetij z nastanitvijo </w:t>
      </w:r>
      <w:r w:rsidR="00223122" w:rsidRPr="00BF7E57">
        <w:rPr>
          <w:rFonts w:ascii="Arial" w:hAnsi="Arial" w:cs="Arial"/>
          <w:sz w:val="20"/>
          <w:szCs w:val="20"/>
        </w:rPr>
        <w:lastRenderedPageBreak/>
        <w:t xml:space="preserve">glede na predhodno leto je opazno prav v letu 2020 in sicer si je kar 80 kmetij dodatno registriralo dopolnilno dejavnost »turistična kmetija z nastanitvijo«. To lahko </w:t>
      </w:r>
      <w:r w:rsidR="009045C3" w:rsidRPr="00BF7E57">
        <w:rPr>
          <w:rFonts w:ascii="Arial" w:hAnsi="Arial" w:cs="Arial"/>
          <w:sz w:val="20"/>
          <w:szCs w:val="20"/>
        </w:rPr>
        <w:t xml:space="preserve">deloma </w:t>
      </w:r>
      <w:r w:rsidR="00223122" w:rsidRPr="00BF7E57">
        <w:rPr>
          <w:rFonts w:ascii="Arial" w:hAnsi="Arial" w:cs="Arial"/>
          <w:sz w:val="20"/>
          <w:szCs w:val="20"/>
        </w:rPr>
        <w:t>pripišemo tako izdaji t.i. »</w:t>
      </w:r>
      <w:r w:rsidR="00AC068C" w:rsidRPr="00BF7E57">
        <w:rPr>
          <w:rFonts w:ascii="Arial" w:hAnsi="Arial" w:cs="Arial"/>
          <w:sz w:val="20"/>
          <w:szCs w:val="20"/>
        </w:rPr>
        <w:t>t</w:t>
      </w:r>
      <w:r w:rsidR="00223122" w:rsidRPr="00BF7E57">
        <w:rPr>
          <w:rFonts w:ascii="Arial" w:hAnsi="Arial" w:cs="Arial"/>
          <w:sz w:val="20"/>
          <w:szCs w:val="20"/>
        </w:rPr>
        <w:t xml:space="preserve">urističnih bonov«, ki jih je izdala Vlada RS, kot blažitveni ukrep </w:t>
      </w:r>
      <w:r w:rsidR="00A70E29" w:rsidRPr="00BF7E57">
        <w:rPr>
          <w:rFonts w:ascii="Arial" w:hAnsi="Arial" w:cs="Arial"/>
          <w:sz w:val="20"/>
          <w:szCs w:val="20"/>
        </w:rPr>
        <w:t>v sektorju turizma v času Covid-19 krize in se je povpraševanje domačih turistov po tovrstnih produktih povečalo. Prav tako je bil v letu 2020 objavljen javni razpis</w:t>
      </w:r>
      <w:r w:rsidR="00223122" w:rsidRPr="00BF7E57">
        <w:rPr>
          <w:rFonts w:ascii="Arial" w:hAnsi="Arial" w:cs="Arial"/>
          <w:sz w:val="20"/>
          <w:szCs w:val="20"/>
        </w:rPr>
        <w:t xml:space="preserve"> za podukrep 6.4 </w:t>
      </w:r>
      <w:r w:rsidR="00A70E29" w:rsidRPr="00BF7E57">
        <w:rPr>
          <w:rFonts w:ascii="Arial" w:hAnsi="Arial" w:cs="Arial"/>
          <w:sz w:val="20"/>
          <w:szCs w:val="20"/>
        </w:rPr>
        <w:t xml:space="preserve">Podpora za naložbe v vzpostavitev in razvoj nekmetijskih dejavnosti v okviru </w:t>
      </w:r>
      <w:r w:rsidR="00223122" w:rsidRPr="00BF7E57">
        <w:rPr>
          <w:rFonts w:ascii="Arial" w:hAnsi="Arial" w:cs="Arial"/>
          <w:sz w:val="20"/>
          <w:szCs w:val="20"/>
        </w:rPr>
        <w:t xml:space="preserve">Programa razvoja podeželja 2014-2020, ki je podprl tudi </w:t>
      </w:r>
      <w:r w:rsidR="00A70E29" w:rsidRPr="00BF7E57">
        <w:rPr>
          <w:rFonts w:ascii="Arial" w:hAnsi="Arial" w:cs="Arial"/>
          <w:sz w:val="20"/>
          <w:szCs w:val="20"/>
        </w:rPr>
        <w:t>tovrstne dejavnosti.</w:t>
      </w:r>
    </w:p>
    <w:p w14:paraId="1BDBE808" w14:textId="75516E34" w:rsidR="0008099E" w:rsidRPr="00BF7E57" w:rsidRDefault="0008099E" w:rsidP="00A5125A">
      <w:pPr>
        <w:pStyle w:val="Napis"/>
      </w:pPr>
      <w:bookmarkStart w:id="163" w:name="_Ref84928458"/>
      <w:bookmarkStart w:id="164" w:name="_Toc86826469"/>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31</w:t>
      </w:r>
      <w:r w:rsidR="00A30B83" w:rsidRPr="00BF7E57">
        <w:rPr>
          <w:noProof/>
        </w:rPr>
        <w:fldChar w:fldCharType="end"/>
      </w:r>
      <w:bookmarkEnd w:id="163"/>
      <w:r w:rsidRPr="00BF7E57">
        <w:t>: Deset najpogosteje registriranih nekmetijskih dopolnilnih dejavnosti glede na leto 2020</w:t>
      </w:r>
      <w:bookmarkEnd w:id="164"/>
    </w:p>
    <w:p w14:paraId="7248B36A" w14:textId="648DE0EB" w:rsidR="00223122" w:rsidRPr="00BF7E57" w:rsidRDefault="0022312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4740"/>
        <w:gridCol w:w="822"/>
        <w:gridCol w:w="822"/>
        <w:gridCol w:w="822"/>
        <w:gridCol w:w="822"/>
        <w:gridCol w:w="823"/>
      </w:tblGrid>
      <w:tr w:rsidR="00223122" w:rsidRPr="00BF7E57" w14:paraId="44BDB395" w14:textId="77777777" w:rsidTr="00E77D01">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A17CEF5" w14:textId="213E1DEC" w:rsidR="00223122" w:rsidRPr="00BF7E57" w:rsidRDefault="00223122" w:rsidP="00223122">
            <w:pPr>
              <w:keepNext/>
              <w:keepLines/>
              <w:spacing w:before="60" w:after="60" w:line="240" w:lineRule="auto"/>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Dopolnilna dejavnost</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2E6B8B1C"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2016</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6EC47F8B"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2017</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035DF78D"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2018</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46EEA008"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2019</w:t>
            </w:r>
          </w:p>
        </w:tc>
        <w:tc>
          <w:tcPr>
            <w:tcW w:w="823" w:type="dxa"/>
            <w:tcBorders>
              <w:top w:val="single" w:sz="4" w:space="0" w:color="auto"/>
              <w:left w:val="nil"/>
              <w:bottom w:val="single" w:sz="4" w:space="0" w:color="auto"/>
              <w:right w:val="single" w:sz="4" w:space="0" w:color="auto"/>
            </w:tcBorders>
            <w:shd w:val="clear" w:color="auto" w:fill="92D050"/>
            <w:noWrap/>
            <w:vAlign w:val="bottom"/>
            <w:hideMark/>
          </w:tcPr>
          <w:p w14:paraId="4B7E3B81"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2020</w:t>
            </w:r>
          </w:p>
        </w:tc>
      </w:tr>
      <w:tr w:rsidR="00223122" w:rsidRPr="00BF7E57" w14:paraId="3B50509C"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3C9F2E4D" w14:textId="299FC505"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Turistična kmetija z nastanitvijo</w:t>
            </w:r>
          </w:p>
        </w:tc>
        <w:tc>
          <w:tcPr>
            <w:tcW w:w="822" w:type="dxa"/>
            <w:tcBorders>
              <w:top w:val="nil"/>
              <w:left w:val="nil"/>
              <w:bottom w:val="single" w:sz="4" w:space="0" w:color="auto"/>
              <w:right w:val="single" w:sz="4" w:space="0" w:color="auto"/>
            </w:tcBorders>
            <w:shd w:val="clear" w:color="auto" w:fill="auto"/>
            <w:noWrap/>
            <w:vAlign w:val="bottom"/>
            <w:hideMark/>
          </w:tcPr>
          <w:p w14:paraId="41C00B4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379</w:t>
            </w:r>
          </w:p>
        </w:tc>
        <w:tc>
          <w:tcPr>
            <w:tcW w:w="822" w:type="dxa"/>
            <w:tcBorders>
              <w:top w:val="nil"/>
              <w:left w:val="nil"/>
              <w:bottom w:val="single" w:sz="4" w:space="0" w:color="auto"/>
              <w:right w:val="single" w:sz="4" w:space="0" w:color="auto"/>
            </w:tcBorders>
            <w:shd w:val="clear" w:color="auto" w:fill="auto"/>
            <w:noWrap/>
            <w:vAlign w:val="bottom"/>
            <w:hideMark/>
          </w:tcPr>
          <w:p w14:paraId="7F7D6B5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431</w:t>
            </w:r>
          </w:p>
        </w:tc>
        <w:tc>
          <w:tcPr>
            <w:tcW w:w="822" w:type="dxa"/>
            <w:tcBorders>
              <w:top w:val="nil"/>
              <w:left w:val="nil"/>
              <w:bottom w:val="single" w:sz="4" w:space="0" w:color="auto"/>
              <w:right w:val="single" w:sz="4" w:space="0" w:color="auto"/>
            </w:tcBorders>
            <w:shd w:val="clear" w:color="auto" w:fill="auto"/>
            <w:noWrap/>
            <w:vAlign w:val="bottom"/>
            <w:hideMark/>
          </w:tcPr>
          <w:p w14:paraId="098B226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464</w:t>
            </w:r>
          </w:p>
        </w:tc>
        <w:tc>
          <w:tcPr>
            <w:tcW w:w="822" w:type="dxa"/>
            <w:tcBorders>
              <w:top w:val="nil"/>
              <w:left w:val="nil"/>
              <w:bottom w:val="single" w:sz="4" w:space="0" w:color="auto"/>
              <w:right w:val="single" w:sz="4" w:space="0" w:color="auto"/>
            </w:tcBorders>
            <w:shd w:val="clear" w:color="auto" w:fill="auto"/>
            <w:noWrap/>
            <w:vAlign w:val="bottom"/>
            <w:hideMark/>
          </w:tcPr>
          <w:p w14:paraId="39B3756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498</w:t>
            </w:r>
          </w:p>
        </w:tc>
        <w:tc>
          <w:tcPr>
            <w:tcW w:w="823" w:type="dxa"/>
            <w:tcBorders>
              <w:top w:val="nil"/>
              <w:left w:val="nil"/>
              <w:bottom w:val="single" w:sz="4" w:space="0" w:color="auto"/>
              <w:right w:val="single" w:sz="4" w:space="0" w:color="auto"/>
            </w:tcBorders>
            <w:shd w:val="clear" w:color="auto" w:fill="auto"/>
            <w:noWrap/>
            <w:vAlign w:val="bottom"/>
            <w:hideMark/>
          </w:tcPr>
          <w:p w14:paraId="34ABBBC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578</w:t>
            </w:r>
          </w:p>
        </w:tc>
      </w:tr>
      <w:tr w:rsidR="00223122" w:rsidRPr="00BF7E57" w14:paraId="71A568F3"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3313FCD" w14:textId="7EB07D76"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Izletniška kmetija </w:t>
            </w:r>
          </w:p>
        </w:tc>
        <w:tc>
          <w:tcPr>
            <w:tcW w:w="822" w:type="dxa"/>
            <w:tcBorders>
              <w:top w:val="nil"/>
              <w:left w:val="nil"/>
              <w:bottom w:val="single" w:sz="4" w:space="0" w:color="auto"/>
              <w:right w:val="single" w:sz="4" w:space="0" w:color="auto"/>
            </w:tcBorders>
            <w:shd w:val="clear" w:color="auto" w:fill="auto"/>
            <w:noWrap/>
            <w:vAlign w:val="bottom"/>
            <w:hideMark/>
          </w:tcPr>
          <w:p w14:paraId="636947C1"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435</w:t>
            </w:r>
          </w:p>
        </w:tc>
        <w:tc>
          <w:tcPr>
            <w:tcW w:w="822" w:type="dxa"/>
            <w:tcBorders>
              <w:top w:val="nil"/>
              <w:left w:val="nil"/>
              <w:bottom w:val="single" w:sz="4" w:space="0" w:color="auto"/>
              <w:right w:val="single" w:sz="4" w:space="0" w:color="auto"/>
            </w:tcBorders>
            <w:shd w:val="clear" w:color="auto" w:fill="auto"/>
            <w:noWrap/>
            <w:vAlign w:val="bottom"/>
            <w:hideMark/>
          </w:tcPr>
          <w:p w14:paraId="58F29E5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466</w:t>
            </w:r>
          </w:p>
        </w:tc>
        <w:tc>
          <w:tcPr>
            <w:tcW w:w="822" w:type="dxa"/>
            <w:tcBorders>
              <w:top w:val="nil"/>
              <w:left w:val="nil"/>
              <w:bottom w:val="single" w:sz="4" w:space="0" w:color="auto"/>
              <w:right w:val="single" w:sz="4" w:space="0" w:color="auto"/>
            </w:tcBorders>
            <w:shd w:val="clear" w:color="auto" w:fill="auto"/>
            <w:noWrap/>
            <w:vAlign w:val="bottom"/>
            <w:hideMark/>
          </w:tcPr>
          <w:p w14:paraId="6EB23B29"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476</w:t>
            </w:r>
          </w:p>
        </w:tc>
        <w:tc>
          <w:tcPr>
            <w:tcW w:w="822" w:type="dxa"/>
            <w:tcBorders>
              <w:top w:val="nil"/>
              <w:left w:val="nil"/>
              <w:bottom w:val="single" w:sz="4" w:space="0" w:color="auto"/>
              <w:right w:val="single" w:sz="4" w:space="0" w:color="auto"/>
            </w:tcBorders>
            <w:shd w:val="clear" w:color="auto" w:fill="auto"/>
            <w:noWrap/>
            <w:vAlign w:val="bottom"/>
            <w:hideMark/>
          </w:tcPr>
          <w:p w14:paraId="46948AE1"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477</w:t>
            </w:r>
          </w:p>
        </w:tc>
        <w:tc>
          <w:tcPr>
            <w:tcW w:w="823" w:type="dxa"/>
            <w:tcBorders>
              <w:top w:val="nil"/>
              <w:left w:val="nil"/>
              <w:bottom w:val="single" w:sz="4" w:space="0" w:color="auto"/>
              <w:right w:val="single" w:sz="4" w:space="0" w:color="auto"/>
            </w:tcBorders>
            <w:shd w:val="clear" w:color="auto" w:fill="auto"/>
            <w:noWrap/>
            <w:vAlign w:val="bottom"/>
            <w:hideMark/>
          </w:tcPr>
          <w:p w14:paraId="4BA0C4A9"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484</w:t>
            </w:r>
          </w:p>
        </w:tc>
      </w:tr>
      <w:tr w:rsidR="00223122" w:rsidRPr="00BF7E57" w14:paraId="71DB38A0"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1B81F25" w14:textId="670F5B6A"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Prikaz del iz kmetijske, gozdarske in dopolnilne dejavnosti </w:t>
            </w:r>
          </w:p>
        </w:tc>
        <w:tc>
          <w:tcPr>
            <w:tcW w:w="822" w:type="dxa"/>
            <w:tcBorders>
              <w:top w:val="nil"/>
              <w:left w:val="nil"/>
              <w:bottom w:val="single" w:sz="4" w:space="0" w:color="auto"/>
              <w:right w:val="single" w:sz="4" w:space="0" w:color="auto"/>
            </w:tcBorders>
            <w:shd w:val="clear" w:color="auto" w:fill="auto"/>
            <w:noWrap/>
            <w:vAlign w:val="bottom"/>
            <w:hideMark/>
          </w:tcPr>
          <w:p w14:paraId="3F8FCBC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339</w:t>
            </w:r>
          </w:p>
        </w:tc>
        <w:tc>
          <w:tcPr>
            <w:tcW w:w="822" w:type="dxa"/>
            <w:tcBorders>
              <w:top w:val="nil"/>
              <w:left w:val="nil"/>
              <w:bottom w:val="single" w:sz="4" w:space="0" w:color="auto"/>
              <w:right w:val="single" w:sz="4" w:space="0" w:color="auto"/>
            </w:tcBorders>
            <w:shd w:val="clear" w:color="auto" w:fill="auto"/>
            <w:noWrap/>
            <w:vAlign w:val="bottom"/>
            <w:hideMark/>
          </w:tcPr>
          <w:p w14:paraId="0A8A269B"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384</w:t>
            </w:r>
          </w:p>
        </w:tc>
        <w:tc>
          <w:tcPr>
            <w:tcW w:w="822" w:type="dxa"/>
            <w:tcBorders>
              <w:top w:val="nil"/>
              <w:left w:val="nil"/>
              <w:bottom w:val="single" w:sz="4" w:space="0" w:color="auto"/>
              <w:right w:val="single" w:sz="4" w:space="0" w:color="auto"/>
            </w:tcBorders>
            <w:shd w:val="clear" w:color="auto" w:fill="auto"/>
            <w:noWrap/>
            <w:vAlign w:val="bottom"/>
            <w:hideMark/>
          </w:tcPr>
          <w:p w14:paraId="70F7C573"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418</w:t>
            </w:r>
          </w:p>
        </w:tc>
        <w:tc>
          <w:tcPr>
            <w:tcW w:w="822" w:type="dxa"/>
            <w:tcBorders>
              <w:top w:val="nil"/>
              <w:left w:val="nil"/>
              <w:bottom w:val="single" w:sz="4" w:space="0" w:color="auto"/>
              <w:right w:val="single" w:sz="4" w:space="0" w:color="auto"/>
            </w:tcBorders>
            <w:shd w:val="clear" w:color="auto" w:fill="auto"/>
            <w:noWrap/>
            <w:vAlign w:val="bottom"/>
            <w:hideMark/>
          </w:tcPr>
          <w:p w14:paraId="6C5EAF0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438</w:t>
            </w:r>
          </w:p>
        </w:tc>
        <w:tc>
          <w:tcPr>
            <w:tcW w:w="823" w:type="dxa"/>
            <w:tcBorders>
              <w:top w:val="nil"/>
              <w:left w:val="nil"/>
              <w:bottom w:val="single" w:sz="4" w:space="0" w:color="auto"/>
              <w:right w:val="single" w:sz="4" w:space="0" w:color="auto"/>
            </w:tcBorders>
            <w:shd w:val="clear" w:color="auto" w:fill="auto"/>
            <w:noWrap/>
            <w:vAlign w:val="bottom"/>
            <w:hideMark/>
          </w:tcPr>
          <w:p w14:paraId="076CBEA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462</w:t>
            </w:r>
          </w:p>
        </w:tc>
      </w:tr>
      <w:tr w:rsidR="00223122" w:rsidRPr="00BF7E57" w14:paraId="34C08C0F"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2184D29" w14:textId="14E585BF"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Izdelava žaganega, skobljanega in impregniranega lesa (deske, tramovi), izdelava drogov, kolov, železniških pragov</w:t>
            </w:r>
          </w:p>
        </w:tc>
        <w:tc>
          <w:tcPr>
            <w:tcW w:w="822" w:type="dxa"/>
            <w:tcBorders>
              <w:top w:val="nil"/>
              <w:left w:val="nil"/>
              <w:bottom w:val="single" w:sz="4" w:space="0" w:color="auto"/>
              <w:right w:val="single" w:sz="4" w:space="0" w:color="auto"/>
            </w:tcBorders>
            <w:shd w:val="clear" w:color="auto" w:fill="auto"/>
            <w:noWrap/>
            <w:vAlign w:val="bottom"/>
            <w:hideMark/>
          </w:tcPr>
          <w:p w14:paraId="7954DB4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349</w:t>
            </w:r>
          </w:p>
        </w:tc>
        <w:tc>
          <w:tcPr>
            <w:tcW w:w="822" w:type="dxa"/>
            <w:tcBorders>
              <w:top w:val="nil"/>
              <w:left w:val="nil"/>
              <w:bottom w:val="single" w:sz="4" w:space="0" w:color="auto"/>
              <w:right w:val="single" w:sz="4" w:space="0" w:color="auto"/>
            </w:tcBorders>
            <w:shd w:val="clear" w:color="auto" w:fill="auto"/>
            <w:noWrap/>
            <w:vAlign w:val="bottom"/>
            <w:hideMark/>
          </w:tcPr>
          <w:p w14:paraId="476C6A1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396</w:t>
            </w:r>
          </w:p>
        </w:tc>
        <w:tc>
          <w:tcPr>
            <w:tcW w:w="822" w:type="dxa"/>
            <w:tcBorders>
              <w:top w:val="nil"/>
              <w:left w:val="nil"/>
              <w:bottom w:val="single" w:sz="4" w:space="0" w:color="auto"/>
              <w:right w:val="single" w:sz="4" w:space="0" w:color="auto"/>
            </w:tcBorders>
            <w:shd w:val="clear" w:color="auto" w:fill="auto"/>
            <w:noWrap/>
            <w:vAlign w:val="bottom"/>
            <w:hideMark/>
          </w:tcPr>
          <w:p w14:paraId="252FC41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415</w:t>
            </w:r>
          </w:p>
        </w:tc>
        <w:tc>
          <w:tcPr>
            <w:tcW w:w="822" w:type="dxa"/>
            <w:tcBorders>
              <w:top w:val="nil"/>
              <w:left w:val="nil"/>
              <w:bottom w:val="single" w:sz="4" w:space="0" w:color="auto"/>
              <w:right w:val="single" w:sz="4" w:space="0" w:color="auto"/>
            </w:tcBorders>
            <w:shd w:val="clear" w:color="auto" w:fill="auto"/>
            <w:noWrap/>
            <w:vAlign w:val="bottom"/>
            <w:hideMark/>
          </w:tcPr>
          <w:p w14:paraId="34833D64"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427</w:t>
            </w:r>
          </w:p>
        </w:tc>
        <w:tc>
          <w:tcPr>
            <w:tcW w:w="823" w:type="dxa"/>
            <w:tcBorders>
              <w:top w:val="nil"/>
              <w:left w:val="nil"/>
              <w:bottom w:val="single" w:sz="4" w:space="0" w:color="auto"/>
              <w:right w:val="single" w:sz="4" w:space="0" w:color="auto"/>
            </w:tcBorders>
            <w:shd w:val="clear" w:color="auto" w:fill="auto"/>
            <w:noWrap/>
            <w:vAlign w:val="bottom"/>
            <w:hideMark/>
          </w:tcPr>
          <w:p w14:paraId="29D6E94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443</w:t>
            </w:r>
          </w:p>
        </w:tc>
      </w:tr>
      <w:tr w:rsidR="00223122" w:rsidRPr="00BF7E57" w14:paraId="468A6980"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59C9DC90" w14:textId="075AB29C"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Proizvodnja in prodaja energije iz sončnega vira </w:t>
            </w:r>
          </w:p>
        </w:tc>
        <w:tc>
          <w:tcPr>
            <w:tcW w:w="822" w:type="dxa"/>
            <w:tcBorders>
              <w:top w:val="nil"/>
              <w:left w:val="nil"/>
              <w:bottom w:val="single" w:sz="4" w:space="0" w:color="auto"/>
              <w:right w:val="single" w:sz="4" w:space="0" w:color="auto"/>
            </w:tcBorders>
            <w:shd w:val="clear" w:color="auto" w:fill="auto"/>
            <w:noWrap/>
            <w:vAlign w:val="bottom"/>
            <w:hideMark/>
          </w:tcPr>
          <w:p w14:paraId="301F543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415</w:t>
            </w:r>
          </w:p>
        </w:tc>
        <w:tc>
          <w:tcPr>
            <w:tcW w:w="822" w:type="dxa"/>
            <w:tcBorders>
              <w:top w:val="nil"/>
              <w:left w:val="nil"/>
              <w:bottom w:val="single" w:sz="4" w:space="0" w:color="auto"/>
              <w:right w:val="single" w:sz="4" w:space="0" w:color="auto"/>
            </w:tcBorders>
            <w:shd w:val="clear" w:color="auto" w:fill="auto"/>
            <w:noWrap/>
            <w:vAlign w:val="bottom"/>
            <w:hideMark/>
          </w:tcPr>
          <w:p w14:paraId="3CEF460F"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426</w:t>
            </w:r>
          </w:p>
        </w:tc>
        <w:tc>
          <w:tcPr>
            <w:tcW w:w="822" w:type="dxa"/>
            <w:tcBorders>
              <w:top w:val="nil"/>
              <w:left w:val="nil"/>
              <w:bottom w:val="single" w:sz="4" w:space="0" w:color="auto"/>
              <w:right w:val="single" w:sz="4" w:space="0" w:color="auto"/>
            </w:tcBorders>
            <w:shd w:val="clear" w:color="auto" w:fill="auto"/>
            <w:noWrap/>
            <w:vAlign w:val="bottom"/>
            <w:hideMark/>
          </w:tcPr>
          <w:p w14:paraId="425F732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428</w:t>
            </w:r>
          </w:p>
        </w:tc>
        <w:tc>
          <w:tcPr>
            <w:tcW w:w="822" w:type="dxa"/>
            <w:tcBorders>
              <w:top w:val="nil"/>
              <w:left w:val="nil"/>
              <w:bottom w:val="single" w:sz="4" w:space="0" w:color="auto"/>
              <w:right w:val="single" w:sz="4" w:space="0" w:color="auto"/>
            </w:tcBorders>
            <w:shd w:val="clear" w:color="auto" w:fill="auto"/>
            <w:noWrap/>
            <w:vAlign w:val="bottom"/>
            <w:hideMark/>
          </w:tcPr>
          <w:p w14:paraId="62D0B65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430</w:t>
            </w:r>
          </w:p>
        </w:tc>
        <w:tc>
          <w:tcPr>
            <w:tcW w:w="823" w:type="dxa"/>
            <w:tcBorders>
              <w:top w:val="nil"/>
              <w:left w:val="nil"/>
              <w:bottom w:val="single" w:sz="4" w:space="0" w:color="auto"/>
              <w:right w:val="single" w:sz="4" w:space="0" w:color="auto"/>
            </w:tcBorders>
            <w:shd w:val="clear" w:color="auto" w:fill="auto"/>
            <w:noWrap/>
            <w:vAlign w:val="bottom"/>
            <w:hideMark/>
          </w:tcPr>
          <w:p w14:paraId="7BF0236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437</w:t>
            </w:r>
          </w:p>
        </w:tc>
      </w:tr>
      <w:tr w:rsidR="00223122" w:rsidRPr="00BF7E57" w14:paraId="474D3FB1"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46FE39ED" w14:textId="7861845B"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Izdelava enostavnih izdelkov iz lesa </w:t>
            </w:r>
          </w:p>
        </w:tc>
        <w:tc>
          <w:tcPr>
            <w:tcW w:w="822" w:type="dxa"/>
            <w:tcBorders>
              <w:top w:val="nil"/>
              <w:left w:val="nil"/>
              <w:bottom w:val="single" w:sz="4" w:space="0" w:color="auto"/>
              <w:right w:val="single" w:sz="4" w:space="0" w:color="auto"/>
            </w:tcBorders>
            <w:shd w:val="clear" w:color="auto" w:fill="auto"/>
            <w:noWrap/>
            <w:vAlign w:val="bottom"/>
            <w:hideMark/>
          </w:tcPr>
          <w:p w14:paraId="22011E8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298</w:t>
            </w:r>
          </w:p>
        </w:tc>
        <w:tc>
          <w:tcPr>
            <w:tcW w:w="822" w:type="dxa"/>
            <w:tcBorders>
              <w:top w:val="nil"/>
              <w:left w:val="nil"/>
              <w:bottom w:val="single" w:sz="4" w:space="0" w:color="auto"/>
              <w:right w:val="single" w:sz="4" w:space="0" w:color="auto"/>
            </w:tcBorders>
            <w:shd w:val="clear" w:color="auto" w:fill="auto"/>
            <w:noWrap/>
            <w:vAlign w:val="bottom"/>
            <w:hideMark/>
          </w:tcPr>
          <w:p w14:paraId="1FFDDED1"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346</w:t>
            </w:r>
          </w:p>
        </w:tc>
        <w:tc>
          <w:tcPr>
            <w:tcW w:w="822" w:type="dxa"/>
            <w:tcBorders>
              <w:top w:val="nil"/>
              <w:left w:val="nil"/>
              <w:bottom w:val="single" w:sz="4" w:space="0" w:color="auto"/>
              <w:right w:val="single" w:sz="4" w:space="0" w:color="auto"/>
            </w:tcBorders>
            <w:shd w:val="clear" w:color="auto" w:fill="auto"/>
            <w:noWrap/>
            <w:vAlign w:val="bottom"/>
            <w:hideMark/>
          </w:tcPr>
          <w:p w14:paraId="6959B85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365</w:t>
            </w:r>
          </w:p>
        </w:tc>
        <w:tc>
          <w:tcPr>
            <w:tcW w:w="822" w:type="dxa"/>
            <w:tcBorders>
              <w:top w:val="nil"/>
              <w:left w:val="nil"/>
              <w:bottom w:val="single" w:sz="4" w:space="0" w:color="auto"/>
              <w:right w:val="single" w:sz="4" w:space="0" w:color="auto"/>
            </w:tcBorders>
            <w:shd w:val="clear" w:color="auto" w:fill="auto"/>
            <w:noWrap/>
            <w:vAlign w:val="bottom"/>
            <w:hideMark/>
          </w:tcPr>
          <w:p w14:paraId="3202A9B8"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385</w:t>
            </w:r>
          </w:p>
        </w:tc>
        <w:tc>
          <w:tcPr>
            <w:tcW w:w="823" w:type="dxa"/>
            <w:tcBorders>
              <w:top w:val="nil"/>
              <w:left w:val="nil"/>
              <w:bottom w:val="single" w:sz="4" w:space="0" w:color="auto"/>
              <w:right w:val="single" w:sz="4" w:space="0" w:color="auto"/>
            </w:tcBorders>
            <w:shd w:val="clear" w:color="auto" w:fill="auto"/>
            <w:noWrap/>
            <w:vAlign w:val="bottom"/>
            <w:hideMark/>
          </w:tcPr>
          <w:p w14:paraId="2B35BAD5"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400</w:t>
            </w:r>
          </w:p>
        </w:tc>
      </w:tr>
      <w:tr w:rsidR="00223122" w:rsidRPr="00BF7E57" w14:paraId="1A995A84"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991399F" w14:textId="53016AB0"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Oddajanje površin za piknike </w:t>
            </w:r>
          </w:p>
        </w:tc>
        <w:tc>
          <w:tcPr>
            <w:tcW w:w="822" w:type="dxa"/>
            <w:tcBorders>
              <w:top w:val="nil"/>
              <w:left w:val="nil"/>
              <w:bottom w:val="single" w:sz="4" w:space="0" w:color="auto"/>
              <w:right w:val="single" w:sz="4" w:space="0" w:color="auto"/>
            </w:tcBorders>
            <w:shd w:val="clear" w:color="auto" w:fill="auto"/>
            <w:noWrap/>
            <w:vAlign w:val="bottom"/>
            <w:hideMark/>
          </w:tcPr>
          <w:p w14:paraId="535C7E2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191</w:t>
            </w:r>
          </w:p>
        </w:tc>
        <w:tc>
          <w:tcPr>
            <w:tcW w:w="822" w:type="dxa"/>
            <w:tcBorders>
              <w:top w:val="nil"/>
              <w:left w:val="nil"/>
              <w:bottom w:val="single" w:sz="4" w:space="0" w:color="auto"/>
              <w:right w:val="single" w:sz="4" w:space="0" w:color="auto"/>
            </w:tcBorders>
            <w:shd w:val="clear" w:color="auto" w:fill="auto"/>
            <w:noWrap/>
            <w:vAlign w:val="bottom"/>
            <w:hideMark/>
          </w:tcPr>
          <w:p w14:paraId="1E61501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224</w:t>
            </w:r>
          </w:p>
        </w:tc>
        <w:tc>
          <w:tcPr>
            <w:tcW w:w="822" w:type="dxa"/>
            <w:tcBorders>
              <w:top w:val="nil"/>
              <w:left w:val="nil"/>
              <w:bottom w:val="single" w:sz="4" w:space="0" w:color="auto"/>
              <w:right w:val="single" w:sz="4" w:space="0" w:color="auto"/>
            </w:tcBorders>
            <w:shd w:val="clear" w:color="auto" w:fill="auto"/>
            <w:noWrap/>
            <w:vAlign w:val="bottom"/>
            <w:hideMark/>
          </w:tcPr>
          <w:p w14:paraId="164AC16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230</w:t>
            </w:r>
          </w:p>
        </w:tc>
        <w:tc>
          <w:tcPr>
            <w:tcW w:w="822" w:type="dxa"/>
            <w:tcBorders>
              <w:top w:val="nil"/>
              <w:left w:val="nil"/>
              <w:bottom w:val="single" w:sz="4" w:space="0" w:color="auto"/>
              <w:right w:val="single" w:sz="4" w:space="0" w:color="auto"/>
            </w:tcBorders>
            <w:shd w:val="clear" w:color="auto" w:fill="auto"/>
            <w:noWrap/>
            <w:vAlign w:val="bottom"/>
            <w:hideMark/>
          </w:tcPr>
          <w:p w14:paraId="4CEB2D1E"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243</w:t>
            </w:r>
          </w:p>
        </w:tc>
        <w:tc>
          <w:tcPr>
            <w:tcW w:w="823" w:type="dxa"/>
            <w:tcBorders>
              <w:top w:val="nil"/>
              <w:left w:val="nil"/>
              <w:bottom w:val="single" w:sz="4" w:space="0" w:color="auto"/>
              <w:right w:val="single" w:sz="4" w:space="0" w:color="auto"/>
            </w:tcBorders>
            <w:shd w:val="clear" w:color="auto" w:fill="auto"/>
            <w:noWrap/>
            <w:vAlign w:val="bottom"/>
            <w:hideMark/>
          </w:tcPr>
          <w:p w14:paraId="752EAC6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269</w:t>
            </w:r>
          </w:p>
        </w:tc>
      </w:tr>
      <w:tr w:rsidR="00223122" w:rsidRPr="00BF7E57" w14:paraId="6D6608CB"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832451C" w14:textId="31E15CF3"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Izdelava drv ali lesnih sekancev iz kupljenih gozdnih lesnih sortimentov in izdelava lesnih sekancev v predelovalnem obratu ali za proizvodnjo energije iz kupljenih gozdnih lesnih sortimentov </w:t>
            </w:r>
          </w:p>
        </w:tc>
        <w:tc>
          <w:tcPr>
            <w:tcW w:w="822" w:type="dxa"/>
            <w:tcBorders>
              <w:top w:val="nil"/>
              <w:left w:val="nil"/>
              <w:bottom w:val="single" w:sz="4" w:space="0" w:color="auto"/>
              <w:right w:val="single" w:sz="4" w:space="0" w:color="auto"/>
            </w:tcBorders>
            <w:shd w:val="clear" w:color="auto" w:fill="auto"/>
            <w:noWrap/>
            <w:vAlign w:val="bottom"/>
            <w:hideMark/>
          </w:tcPr>
          <w:p w14:paraId="0B91FDC5"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194</w:t>
            </w:r>
          </w:p>
        </w:tc>
        <w:tc>
          <w:tcPr>
            <w:tcW w:w="822" w:type="dxa"/>
            <w:tcBorders>
              <w:top w:val="nil"/>
              <w:left w:val="nil"/>
              <w:bottom w:val="single" w:sz="4" w:space="0" w:color="auto"/>
              <w:right w:val="single" w:sz="4" w:space="0" w:color="auto"/>
            </w:tcBorders>
            <w:shd w:val="clear" w:color="auto" w:fill="auto"/>
            <w:noWrap/>
            <w:vAlign w:val="bottom"/>
            <w:hideMark/>
          </w:tcPr>
          <w:p w14:paraId="7AC123B0"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220</w:t>
            </w:r>
          </w:p>
        </w:tc>
        <w:tc>
          <w:tcPr>
            <w:tcW w:w="822" w:type="dxa"/>
            <w:tcBorders>
              <w:top w:val="nil"/>
              <w:left w:val="nil"/>
              <w:bottom w:val="single" w:sz="4" w:space="0" w:color="auto"/>
              <w:right w:val="single" w:sz="4" w:space="0" w:color="auto"/>
            </w:tcBorders>
            <w:shd w:val="clear" w:color="auto" w:fill="auto"/>
            <w:noWrap/>
            <w:vAlign w:val="bottom"/>
            <w:hideMark/>
          </w:tcPr>
          <w:p w14:paraId="5E830ED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230</w:t>
            </w:r>
          </w:p>
        </w:tc>
        <w:tc>
          <w:tcPr>
            <w:tcW w:w="822" w:type="dxa"/>
            <w:tcBorders>
              <w:top w:val="nil"/>
              <w:left w:val="nil"/>
              <w:bottom w:val="single" w:sz="4" w:space="0" w:color="auto"/>
              <w:right w:val="single" w:sz="4" w:space="0" w:color="auto"/>
            </w:tcBorders>
            <w:shd w:val="clear" w:color="auto" w:fill="auto"/>
            <w:noWrap/>
            <w:vAlign w:val="bottom"/>
            <w:hideMark/>
          </w:tcPr>
          <w:p w14:paraId="64DC801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253</w:t>
            </w:r>
          </w:p>
        </w:tc>
        <w:tc>
          <w:tcPr>
            <w:tcW w:w="823" w:type="dxa"/>
            <w:tcBorders>
              <w:top w:val="nil"/>
              <w:left w:val="nil"/>
              <w:bottom w:val="single" w:sz="4" w:space="0" w:color="auto"/>
              <w:right w:val="single" w:sz="4" w:space="0" w:color="auto"/>
            </w:tcBorders>
            <w:shd w:val="clear" w:color="auto" w:fill="auto"/>
            <w:noWrap/>
            <w:vAlign w:val="bottom"/>
            <w:hideMark/>
          </w:tcPr>
          <w:p w14:paraId="7A2B6246"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266</w:t>
            </w:r>
          </w:p>
        </w:tc>
      </w:tr>
      <w:tr w:rsidR="00223122" w:rsidRPr="00BF7E57" w14:paraId="53973759"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E6C4D34" w14:textId="461B1F55"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Organiziranje delavnic ali tečajev </w:t>
            </w:r>
          </w:p>
        </w:tc>
        <w:tc>
          <w:tcPr>
            <w:tcW w:w="822" w:type="dxa"/>
            <w:tcBorders>
              <w:top w:val="nil"/>
              <w:left w:val="nil"/>
              <w:bottom w:val="single" w:sz="4" w:space="0" w:color="auto"/>
              <w:right w:val="single" w:sz="4" w:space="0" w:color="auto"/>
            </w:tcBorders>
            <w:shd w:val="clear" w:color="auto" w:fill="auto"/>
            <w:noWrap/>
            <w:vAlign w:val="bottom"/>
            <w:hideMark/>
          </w:tcPr>
          <w:p w14:paraId="1BDAAEA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170</w:t>
            </w:r>
          </w:p>
        </w:tc>
        <w:tc>
          <w:tcPr>
            <w:tcW w:w="822" w:type="dxa"/>
            <w:tcBorders>
              <w:top w:val="nil"/>
              <w:left w:val="nil"/>
              <w:bottom w:val="single" w:sz="4" w:space="0" w:color="auto"/>
              <w:right w:val="single" w:sz="4" w:space="0" w:color="auto"/>
            </w:tcBorders>
            <w:shd w:val="clear" w:color="auto" w:fill="auto"/>
            <w:noWrap/>
            <w:vAlign w:val="bottom"/>
            <w:hideMark/>
          </w:tcPr>
          <w:p w14:paraId="2F6B8374"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202</w:t>
            </w:r>
          </w:p>
        </w:tc>
        <w:tc>
          <w:tcPr>
            <w:tcW w:w="822" w:type="dxa"/>
            <w:tcBorders>
              <w:top w:val="nil"/>
              <w:left w:val="nil"/>
              <w:bottom w:val="single" w:sz="4" w:space="0" w:color="auto"/>
              <w:right w:val="single" w:sz="4" w:space="0" w:color="auto"/>
            </w:tcBorders>
            <w:shd w:val="clear" w:color="auto" w:fill="auto"/>
            <w:noWrap/>
            <w:vAlign w:val="bottom"/>
            <w:hideMark/>
          </w:tcPr>
          <w:p w14:paraId="4A9ECED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225</w:t>
            </w:r>
          </w:p>
        </w:tc>
        <w:tc>
          <w:tcPr>
            <w:tcW w:w="822" w:type="dxa"/>
            <w:tcBorders>
              <w:top w:val="nil"/>
              <w:left w:val="nil"/>
              <w:bottom w:val="single" w:sz="4" w:space="0" w:color="auto"/>
              <w:right w:val="single" w:sz="4" w:space="0" w:color="auto"/>
            </w:tcBorders>
            <w:shd w:val="clear" w:color="auto" w:fill="auto"/>
            <w:noWrap/>
            <w:vAlign w:val="bottom"/>
            <w:hideMark/>
          </w:tcPr>
          <w:p w14:paraId="49729FF8"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239</w:t>
            </w:r>
          </w:p>
        </w:tc>
        <w:tc>
          <w:tcPr>
            <w:tcW w:w="823" w:type="dxa"/>
            <w:tcBorders>
              <w:top w:val="nil"/>
              <w:left w:val="nil"/>
              <w:bottom w:val="single" w:sz="4" w:space="0" w:color="auto"/>
              <w:right w:val="single" w:sz="4" w:space="0" w:color="auto"/>
            </w:tcBorders>
            <w:shd w:val="clear" w:color="auto" w:fill="auto"/>
            <w:noWrap/>
            <w:vAlign w:val="bottom"/>
            <w:hideMark/>
          </w:tcPr>
          <w:p w14:paraId="4D6FC2F6"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261</w:t>
            </w:r>
          </w:p>
        </w:tc>
      </w:tr>
      <w:tr w:rsidR="00223122" w:rsidRPr="00BF7E57" w14:paraId="06ACCCD2"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6B334552" w14:textId="6F724FE5"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Svetovanje in prikazi iz kmečkih gospodinjskih opravil</w:t>
            </w:r>
          </w:p>
        </w:tc>
        <w:tc>
          <w:tcPr>
            <w:tcW w:w="822" w:type="dxa"/>
            <w:tcBorders>
              <w:top w:val="nil"/>
              <w:left w:val="nil"/>
              <w:bottom w:val="single" w:sz="4" w:space="0" w:color="auto"/>
              <w:right w:val="single" w:sz="4" w:space="0" w:color="auto"/>
            </w:tcBorders>
            <w:shd w:val="clear" w:color="auto" w:fill="auto"/>
            <w:noWrap/>
            <w:vAlign w:val="bottom"/>
            <w:hideMark/>
          </w:tcPr>
          <w:p w14:paraId="28F73B86"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185</w:t>
            </w:r>
          </w:p>
        </w:tc>
        <w:tc>
          <w:tcPr>
            <w:tcW w:w="822" w:type="dxa"/>
            <w:tcBorders>
              <w:top w:val="nil"/>
              <w:left w:val="nil"/>
              <w:bottom w:val="single" w:sz="4" w:space="0" w:color="auto"/>
              <w:right w:val="single" w:sz="4" w:space="0" w:color="auto"/>
            </w:tcBorders>
            <w:shd w:val="clear" w:color="auto" w:fill="auto"/>
            <w:noWrap/>
            <w:vAlign w:val="bottom"/>
            <w:hideMark/>
          </w:tcPr>
          <w:p w14:paraId="2FB34A5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217</w:t>
            </w:r>
          </w:p>
        </w:tc>
        <w:tc>
          <w:tcPr>
            <w:tcW w:w="822" w:type="dxa"/>
            <w:tcBorders>
              <w:top w:val="nil"/>
              <w:left w:val="nil"/>
              <w:bottom w:val="single" w:sz="4" w:space="0" w:color="auto"/>
              <w:right w:val="single" w:sz="4" w:space="0" w:color="auto"/>
            </w:tcBorders>
            <w:shd w:val="clear" w:color="auto" w:fill="auto"/>
            <w:noWrap/>
            <w:vAlign w:val="bottom"/>
            <w:hideMark/>
          </w:tcPr>
          <w:p w14:paraId="0C37AA19"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242</w:t>
            </w:r>
          </w:p>
        </w:tc>
        <w:tc>
          <w:tcPr>
            <w:tcW w:w="822" w:type="dxa"/>
            <w:tcBorders>
              <w:top w:val="nil"/>
              <w:left w:val="nil"/>
              <w:bottom w:val="single" w:sz="4" w:space="0" w:color="auto"/>
              <w:right w:val="single" w:sz="4" w:space="0" w:color="auto"/>
            </w:tcBorders>
            <w:shd w:val="clear" w:color="auto" w:fill="auto"/>
            <w:noWrap/>
            <w:vAlign w:val="bottom"/>
            <w:hideMark/>
          </w:tcPr>
          <w:p w14:paraId="4E85474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247</w:t>
            </w:r>
          </w:p>
        </w:tc>
        <w:tc>
          <w:tcPr>
            <w:tcW w:w="823" w:type="dxa"/>
            <w:tcBorders>
              <w:top w:val="nil"/>
              <w:left w:val="nil"/>
              <w:bottom w:val="single" w:sz="4" w:space="0" w:color="auto"/>
              <w:right w:val="single" w:sz="4" w:space="0" w:color="auto"/>
            </w:tcBorders>
            <w:shd w:val="clear" w:color="auto" w:fill="auto"/>
            <w:noWrap/>
            <w:vAlign w:val="bottom"/>
            <w:hideMark/>
          </w:tcPr>
          <w:p w14:paraId="6A0CC34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259</w:t>
            </w:r>
          </w:p>
        </w:tc>
      </w:tr>
    </w:tbl>
    <w:p w14:paraId="54E98246" w14:textId="77777777" w:rsidR="00A46212" w:rsidRPr="00BF7E57" w:rsidRDefault="00A46212" w:rsidP="00223122">
      <w:pPr>
        <w:pStyle w:val="Default"/>
        <w:keepNext/>
        <w:keepLines/>
        <w:spacing w:line="360" w:lineRule="auto"/>
        <w:jc w:val="both"/>
        <w:rPr>
          <w:rFonts w:ascii="Arial" w:hAnsi="Arial" w:cs="Arial"/>
          <w:color w:val="auto"/>
          <w:sz w:val="16"/>
          <w:szCs w:val="16"/>
          <w:lang w:val="sl-SI"/>
        </w:rPr>
      </w:pPr>
      <w:r w:rsidRPr="00BF7E57">
        <w:rPr>
          <w:rFonts w:ascii="Arial" w:hAnsi="Arial" w:cs="Arial"/>
          <w:color w:val="auto"/>
          <w:sz w:val="16"/>
          <w:szCs w:val="16"/>
          <w:lang w:val="sl-SI"/>
        </w:rPr>
        <w:t>Vir: MKGP, 2020 (RKG)</w:t>
      </w:r>
    </w:p>
    <w:p w14:paraId="2A95D056" w14:textId="3E936A06" w:rsidR="00FD79A0" w:rsidRPr="00BF7E57" w:rsidRDefault="0052349A" w:rsidP="00FD79A0">
      <w:pPr>
        <w:spacing w:before="200" w:line="360" w:lineRule="auto"/>
        <w:jc w:val="both"/>
        <w:rPr>
          <w:rFonts w:ascii="Arial" w:hAnsi="Arial" w:cs="Arial"/>
          <w:sz w:val="20"/>
          <w:szCs w:val="20"/>
        </w:rPr>
      </w:pPr>
      <w:r w:rsidRPr="00BF7E57">
        <w:rPr>
          <w:rFonts w:ascii="Arial" w:hAnsi="Arial" w:cs="Arial"/>
          <w:sz w:val="20"/>
          <w:szCs w:val="20"/>
        </w:rPr>
        <w:t>T</w:t>
      </w:r>
      <w:r w:rsidR="00FD79A0" w:rsidRPr="00BF7E57">
        <w:rPr>
          <w:rFonts w:ascii="Arial" w:hAnsi="Arial" w:cs="Arial"/>
          <w:sz w:val="20"/>
          <w:szCs w:val="20"/>
        </w:rPr>
        <w:t xml:space="preserve">urizem </w:t>
      </w:r>
      <w:r w:rsidR="00A46212" w:rsidRPr="00BF7E57">
        <w:rPr>
          <w:rFonts w:ascii="Arial" w:hAnsi="Arial" w:cs="Arial"/>
          <w:sz w:val="20"/>
          <w:szCs w:val="20"/>
        </w:rPr>
        <w:t xml:space="preserve">na vseh ravneh </w:t>
      </w:r>
      <w:r w:rsidR="00FD79A0" w:rsidRPr="00BF7E57">
        <w:rPr>
          <w:rFonts w:ascii="Arial" w:hAnsi="Arial" w:cs="Arial"/>
          <w:sz w:val="20"/>
          <w:szCs w:val="20"/>
        </w:rPr>
        <w:t xml:space="preserve">v Sloveniji je v zadnjih letih hitro rastoča gospodarska panoga. </w:t>
      </w:r>
      <w:r w:rsidR="00A46212" w:rsidRPr="00BF7E57">
        <w:rPr>
          <w:rFonts w:ascii="Arial" w:hAnsi="Arial" w:cs="Arial"/>
          <w:sz w:val="20"/>
          <w:szCs w:val="20"/>
        </w:rPr>
        <w:t>V letu 2019 je turizem predstavlja</w:t>
      </w:r>
      <w:r w:rsidR="00AC068C" w:rsidRPr="00BF7E57">
        <w:rPr>
          <w:rFonts w:ascii="Arial" w:hAnsi="Arial" w:cs="Arial"/>
          <w:sz w:val="20"/>
          <w:szCs w:val="20"/>
        </w:rPr>
        <w:t>l</w:t>
      </w:r>
      <w:r w:rsidR="00A46212" w:rsidRPr="00BF7E57">
        <w:rPr>
          <w:rFonts w:ascii="Arial" w:hAnsi="Arial" w:cs="Arial"/>
          <w:sz w:val="20"/>
          <w:szCs w:val="20"/>
        </w:rPr>
        <w:t xml:space="preserve"> 9,9 % celotnega BDP in 10,3 % vseh zaposlitev, kar predstavlja 92.500 delovnih mest. Nastanitveni objekti so v letu 2019 zabeležili več kot 6,2 milijona turističnih prihodov in 15,7 milijona turističnih prenočitev, od tega so tuji turisti ustvarili dobrih 11 milijonov vseh turističnih prenočitev (72 % vseh) in 4,7 milijona prihodov (75,5 % vseh prihodov). Domači turisti so ustvarili 4,4 milijona prenočitev in 1,5 milijona prihodov. </w:t>
      </w:r>
      <w:r w:rsidR="00FD79A0" w:rsidRPr="00BF7E57">
        <w:rPr>
          <w:rFonts w:ascii="Arial" w:hAnsi="Arial" w:cs="Arial"/>
          <w:sz w:val="20"/>
          <w:szCs w:val="20"/>
        </w:rPr>
        <w:t xml:space="preserve">Največji delež </w:t>
      </w:r>
      <w:r w:rsidR="00A46212" w:rsidRPr="00BF7E57">
        <w:rPr>
          <w:rFonts w:ascii="Arial" w:hAnsi="Arial" w:cs="Arial"/>
          <w:sz w:val="20"/>
          <w:szCs w:val="20"/>
        </w:rPr>
        <w:t xml:space="preserve">vseh </w:t>
      </w:r>
      <w:r w:rsidR="00FD79A0" w:rsidRPr="00BF7E57">
        <w:rPr>
          <w:rFonts w:ascii="Arial" w:hAnsi="Arial" w:cs="Arial"/>
          <w:sz w:val="20"/>
          <w:szCs w:val="20"/>
        </w:rPr>
        <w:t>prenočitev po vrstah občin predstavljajo t.i. gorske občine (skoraj 40 %), sledijo zdraviliške občine in obmorske občine s po okoli 20 % vseh prenočitev (STO, 2020). Kot kaže Slika 34, po nočitvah turistov glede na število prebivalcev je Slovenija nad povprečjem držav članic EU-27, kar kaže na pomen turizma v Sloveniji. V Sloveniji je bila večina prenočitev turistov v letu 2018 na podeželju</w:t>
      </w:r>
      <w:r w:rsidR="000B7583" w:rsidRPr="00BF7E57">
        <w:rPr>
          <w:rFonts w:ascii="Arial" w:hAnsi="Arial" w:cs="Arial"/>
          <w:sz w:val="20"/>
          <w:szCs w:val="20"/>
        </w:rPr>
        <w:t xml:space="preserve"> (</w:t>
      </w:r>
      <w:r w:rsidR="00AC068C" w:rsidRPr="00BF7E57">
        <w:rPr>
          <w:rFonts w:ascii="Arial" w:hAnsi="Arial" w:cs="Arial"/>
          <w:sz w:val="20"/>
          <w:szCs w:val="20"/>
        </w:rPr>
        <w:fldChar w:fldCharType="begin"/>
      </w:r>
      <w:r w:rsidR="00AC068C" w:rsidRPr="00BF7E57">
        <w:rPr>
          <w:rFonts w:ascii="Arial" w:hAnsi="Arial" w:cs="Arial"/>
          <w:sz w:val="20"/>
          <w:szCs w:val="20"/>
        </w:rPr>
        <w:instrText xml:space="preserve"> REF _Ref84928621 \h </w:instrText>
      </w:r>
      <w:r w:rsidR="00AC068C" w:rsidRPr="00BF7E57">
        <w:rPr>
          <w:rFonts w:ascii="Arial" w:hAnsi="Arial" w:cs="Arial"/>
          <w:sz w:val="20"/>
          <w:szCs w:val="20"/>
        </w:rPr>
      </w:r>
      <w:r w:rsidR="00BF7E57">
        <w:rPr>
          <w:rFonts w:ascii="Arial" w:hAnsi="Arial" w:cs="Arial"/>
          <w:sz w:val="20"/>
          <w:szCs w:val="20"/>
        </w:rPr>
        <w:instrText xml:space="preserve"> \* MERGEFORMAT </w:instrText>
      </w:r>
      <w:r w:rsidR="00AC068C" w:rsidRPr="00BF7E57">
        <w:rPr>
          <w:rFonts w:ascii="Arial" w:hAnsi="Arial" w:cs="Arial"/>
          <w:sz w:val="20"/>
          <w:szCs w:val="20"/>
        </w:rPr>
        <w:fldChar w:fldCharType="separate"/>
      </w:r>
      <w:r w:rsidR="00236865" w:rsidRPr="00BF7E57">
        <w:t xml:space="preserve">Slika </w:t>
      </w:r>
      <w:r w:rsidR="00236865">
        <w:rPr>
          <w:noProof/>
        </w:rPr>
        <w:t>35</w:t>
      </w:r>
      <w:r w:rsidR="00AC068C" w:rsidRPr="00BF7E57">
        <w:rPr>
          <w:rFonts w:ascii="Arial" w:hAnsi="Arial" w:cs="Arial"/>
          <w:sz w:val="20"/>
          <w:szCs w:val="20"/>
        </w:rPr>
        <w:fldChar w:fldCharType="end"/>
      </w:r>
      <w:r w:rsidR="000B7583" w:rsidRPr="00BF7E57">
        <w:rPr>
          <w:rFonts w:ascii="Arial" w:hAnsi="Arial" w:cs="Arial"/>
          <w:sz w:val="20"/>
          <w:szCs w:val="20"/>
        </w:rPr>
        <w:t>)</w:t>
      </w:r>
      <w:r w:rsidR="00FD79A0" w:rsidRPr="00BF7E57">
        <w:rPr>
          <w:rFonts w:ascii="Arial" w:hAnsi="Arial" w:cs="Arial"/>
          <w:sz w:val="20"/>
          <w:szCs w:val="20"/>
        </w:rPr>
        <w:t xml:space="preserve">. </w:t>
      </w:r>
    </w:p>
    <w:p w14:paraId="03C9AB23" w14:textId="55FD52E7" w:rsidR="00ED3453" w:rsidRPr="00BF7E57" w:rsidRDefault="00ED3453" w:rsidP="00FD79A0">
      <w:pPr>
        <w:spacing w:before="200" w:line="360" w:lineRule="auto"/>
        <w:jc w:val="both"/>
        <w:rPr>
          <w:rFonts w:ascii="Arial" w:hAnsi="Arial" w:cs="Arial"/>
          <w:sz w:val="20"/>
          <w:szCs w:val="20"/>
        </w:rPr>
      </w:pPr>
      <w:r w:rsidRPr="00BF7E57">
        <w:rPr>
          <w:rFonts w:ascii="Arial" w:hAnsi="Arial" w:cs="Arial"/>
          <w:sz w:val="20"/>
          <w:szCs w:val="20"/>
        </w:rPr>
        <w:t>Glede na podatke Eurostat se število ležišč v turizmu po letih sicer povečuje, glede na regijo pa jih je največ v podeželskih regijah.</w:t>
      </w:r>
    </w:p>
    <w:p w14:paraId="0F373B78" w14:textId="101BBAA9" w:rsidR="0008099E" w:rsidRPr="00BF7E57" w:rsidRDefault="0008099E" w:rsidP="00A5125A">
      <w:pPr>
        <w:pStyle w:val="Napis"/>
      </w:pPr>
      <w:bookmarkStart w:id="165" w:name="_Toc86826470"/>
      <w:r w:rsidRPr="00BF7E57">
        <w:lastRenderedPageBreak/>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32</w:t>
      </w:r>
      <w:r w:rsidR="00A30B83" w:rsidRPr="00BF7E57">
        <w:rPr>
          <w:noProof/>
        </w:rPr>
        <w:fldChar w:fldCharType="end"/>
      </w:r>
      <w:r w:rsidRPr="00BF7E57">
        <w:t>: Število ležišč v turizmu po regijah</w:t>
      </w:r>
      <w:bookmarkEnd w:id="165"/>
    </w:p>
    <w:p w14:paraId="726253A9" w14:textId="45F57862" w:rsidR="00517EA5" w:rsidRPr="00BF7E57" w:rsidRDefault="00517EA5" w:rsidP="00A5125A">
      <w:pPr>
        <w:pStyle w:val="Napis"/>
        <w:rPr>
          <w:sz w:val="20"/>
          <w:szCs w:val="20"/>
        </w:rPr>
      </w:pPr>
    </w:p>
    <w:tbl>
      <w:tblPr>
        <w:tblW w:w="8649" w:type="dxa"/>
        <w:tblCellMar>
          <w:left w:w="70" w:type="dxa"/>
          <w:right w:w="70" w:type="dxa"/>
        </w:tblCellMar>
        <w:tblLook w:val="04A0" w:firstRow="1" w:lastRow="0" w:firstColumn="1" w:lastColumn="0" w:noHBand="0" w:noVBand="1"/>
      </w:tblPr>
      <w:tblGrid>
        <w:gridCol w:w="279"/>
        <w:gridCol w:w="2693"/>
        <w:gridCol w:w="1276"/>
        <w:gridCol w:w="1276"/>
        <w:gridCol w:w="1417"/>
        <w:gridCol w:w="1708"/>
      </w:tblGrid>
      <w:tr w:rsidR="008A1B63" w:rsidRPr="00BF7E57" w14:paraId="6378BF06" w14:textId="77777777" w:rsidTr="00E77D01">
        <w:trPr>
          <w:trHeight w:val="288"/>
        </w:trPr>
        <w:tc>
          <w:tcPr>
            <w:tcW w:w="2972"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34430B2F" w14:textId="77777777" w:rsidR="008A1B63" w:rsidRPr="00BF7E57" w:rsidRDefault="008A1B63" w:rsidP="00ED3453">
            <w:pPr>
              <w:spacing w:after="0" w:line="240" w:lineRule="auto"/>
              <w:rPr>
                <w:rFonts w:ascii="Arial" w:eastAsia="Times New Roman" w:hAnsi="Arial" w:cs="Arial"/>
                <w:color w:val="000000"/>
                <w:sz w:val="20"/>
                <w:szCs w:val="20"/>
                <w:lang w:eastAsia="sl-SI"/>
              </w:rPr>
            </w:pPr>
          </w:p>
          <w:p w14:paraId="1ABD9BA7" w14:textId="6F409D34" w:rsidR="008A1B63" w:rsidRPr="00BF7E57" w:rsidRDefault="008A1B6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C.31 Turistična infrastruktura</w:t>
            </w:r>
          </w:p>
        </w:tc>
        <w:tc>
          <w:tcPr>
            <w:tcW w:w="1276" w:type="dxa"/>
            <w:tcBorders>
              <w:top w:val="single" w:sz="4" w:space="0" w:color="auto"/>
              <w:left w:val="nil"/>
              <w:bottom w:val="single" w:sz="4" w:space="0" w:color="auto"/>
              <w:right w:val="single" w:sz="4" w:space="0" w:color="auto"/>
            </w:tcBorders>
            <w:shd w:val="clear" w:color="auto" w:fill="92D050"/>
            <w:noWrap/>
            <w:vAlign w:val="bottom"/>
          </w:tcPr>
          <w:p w14:paraId="77092709" w14:textId="296DC303" w:rsidR="008A1B63" w:rsidRPr="00BF7E57" w:rsidRDefault="008A1B63" w:rsidP="00ED3453">
            <w:pPr>
              <w:spacing w:after="0" w:line="240" w:lineRule="auto"/>
              <w:rPr>
                <w:rFonts w:ascii="Arial" w:eastAsia="Times New Roman" w:hAnsi="Arial" w:cs="Arial"/>
                <w:color w:val="000000"/>
                <w:sz w:val="20"/>
                <w:szCs w:val="20"/>
                <w:lang w:eastAsia="sl-SI"/>
              </w:rPr>
            </w:pPr>
          </w:p>
        </w:tc>
        <w:tc>
          <w:tcPr>
            <w:tcW w:w="1276" w:type="dxa"/>
            <w:tcBorders>
              <w:top w:val="single" w:sz="4" w:space="0" w:color="auto"/>
              <w:left w:val="nil"/>
              <w:bottom w:val="single" w:sz="4" w:space="0" w:color="auto"/>
              <w:right w:val="single" w:sz="4" w:space="0" w:color="auto"/>
            </w:tcBorders>
            <w:shd w:val="clear" w:color="auto" w:fill="92D050"/>
            <w:noWrap/>
            <w:vAlign w:val="bottom"/>
            <w:hideMark/>
          </w:tcPr>
          <w:p w14:paraId="352B8E83" w14:textId="77777777" w:rsidR="008A1B63" w:rsidRPr="00BF7E57" w:rsidRDefault="008A1B6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2013</w:t>
            </w:r>
          </w:p>
        </w:tc>
        <w:tc>
          <w:tcPr>
            <w:tcW w:w="1417" w:type="dxa"/>
            <w:tcBorders>
              <w:top w:val="single" w:sz="4" w:space="0" w:color="auto"/>
              <w:left w:val="nil"/>
              <w:bottom w:val="single" w:sz="4" w:space="0" w:color="auto"/>
              <w:right w:val="single" w:sz="4" w:space="0" w:color="auto"/>
            </w:tcBorders>
            <w:shd w:val="clear" w:color="auto" w:fill="92D050"/>
            <w:noWrap/>
            <w:vAlign w:val="bottom"/>
            <w:hideMark/>
          </w:tcPr>
          <w:p w14:paraId="6307165F" w14:textId="77777777" w:rsidR="008A1B63" w:rsidRPr="00BF7E57" w:rsidRDefault="008A1B6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2015</w:t>
            </w:r>
          </w:p>
        </w:tc>
        <w:tc>
          <w:tcPr>
            <w:tcW w:w="1708" w:type="dxa"/>
            <w:tcBorders>
              <w:top w:val="single" w:sz="4" w:space="0" w:color="auto"/>
              <w:left w:val="nil"/>
              <w:bottom w:val="single" w:sz="4" w:space="0" w:color="auto"/>
              <w:right w:val="single" w:sz="4" w:space="0" w:color="auto"/>
            </w:tcBorders>
            <w:shd w:val="clear" w:color="auto" w:fill="92D050"/>
            <w:noWrap/>
            <w:vAlign w:val="bottom"/>
            <w:hideMark/>
          </w:tcPr>
          <w:p w14:paraId="21F23219" w14:textId="77777777" w:rsidR="008A1B63" w:rsidRPr="00BF7E57" w:rsidRDefault="008A1B6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2019</w:t>
            </w:r>
          </w:p>
        </w:tc>
      </w:tr>
      <w:tr w:rsidR="00ED3453" w:rsidRPr="00BF7E57" w14:paraId="49CFDEC3" w14:textId="77777777" w:rsidTr="008A1B63">
        <w:trPr>
          <w:trHeight w:val="288"/>
        </w:trPr>
        <w:tc>
          <w:tcPr>
            <w:tcW w:w="279" w:type="dxa"/>
            <w:vMerge w:val="restart"/>
            <w:tcBorders>
              <w:top w:val="nil"/>
              <w:left w:val="single" w:sz="4" w:space="0" w:color="auto"/>
              <w:bottom w:val="single" w:sz="4" w:space="0" w:color="auto"/>
              <w:right w:val="single" w:sz="4" w:space="0" w:color="auto"/>
            </w:tcBorders>
            <w:shd w:val="clear" w:color="auto" w:fill="auto"/>
            <w:vAlign w:val="bottom"/>
            <w:hideMark/>
          </w:tcPr>
          <w:p w14:paraId="2A453022" w14:textId="478A0449" w:rsidR="00ED3453" w:rsidRPr="00BF7E57"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3B5451DB"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vmesne regije</w:t>
            </w:r>
          </w:p>
        </w:tc>
        <w:tc>
          <w:tcPr>
            <w:tcW w:w="1276" w:type="dxa"/>
            <w:tcBorders>
              <w:top w:val="nil"/>
              <w:left w:val="nil"/>
              <w:bottom w:val="single" w:sz="4" w:space="0" w:color="auto"/>
              <w:right w:val="single" w:sz="4" w:space="0" w:color="auto"/>
            </w:tcBorders>
            <w:shd w:val="clear" w:color="auto" w:fill="auto"/>
            <w:noWrap/>
            <w:vAlign w:val="bottom"/>
            <w:hideMark/>
          </w:tcPr>
          <w:p w14:paraId="2CD51FAB"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072CA630"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36,08</w:t>
            </w:r>
          </w:p>
        </w:tc>
        <w:tc>
          <w:tcPr>
            <w:tcW w:w="1417" w:type="dxa"/>
            <w:tcBorders>
              <w:top w:val="nil"/>
              <w:left w:val="nil"/>
              <w:bottom w:val="single" w:sz="4" w:space="0" w:color="auto"/>
              <w:right w:val="single" w:sz="4" w:space="0" w:color="auto"/>
            </w:tcBorders>
            <w:shd w:val="clear" w:color="auto" w:fill="auto"/>
            <w:noWrap/>
            <w:vAlign w:val="bottom"/>
            <w:hideMark/>
          </w:tcPr>
          <w:p w14:paraId="56F0225A"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39,83</w:t>
            </w:r>
          </w:p>
        </w:tc>
        <w:tc>
          <w:tcPr>
            <w:tcW w:w="1708" w:type="dxa"/>
            <w:tcBorders>
              <w:top w:val="nil"/>
              <w:left w:val="nil"/>
              <w:bottom w:val="single" w:sz="4" w:space="0" w:color="auto"/>
              <w:right w:val="single" w:sz="4" w:space="0" w:color="auto"/>
            </w:tcBorders>
            <w:shd w:val="clear" w:color="auto" w:fill="auto"/>
            <w:noWrap/>
            <w:vAlign w:val="bottom"/>
            <w:hideMark/>
          </w:tcPr>
          <w:p w14:paraId="5562C942"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36,40</w:t>
            </w:r>
          </w:p>
        </w:tc>
      </w:tr>
      <w:tr w:rsidR="00ED3453" w:rsidRPr="00BF7E57" w14:paraId="44737BBD"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46A1CD5C" w14:textId="77777777" w:rsidR="00ED3453" w:rsidRPr="00BF7E57"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48501930"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podeželske regije</w:t>
            </w:r>
          </w:p>
        </w:tc>
        <w:tc>
          <w:tcPr>
            <w:tcW w:w="1276" w:type="dxa"/>
            <w:tcBorders>
              <w:top w:val="nil"/>
              <w:left w:val="nil"/>
              <w:bottom w:val="single" w:sz="4" w:space="0" w:color="auto"/>
              <w:right w:val="single" w:sz="4" w:space="0" w:color="auto"/>
            </w:tcBorders>
            <w:shd w:val="clear" w:color="auto" w:fill="auto"/>
            <w:noWrap/>
            <w:vAlign w:val="bottom"/>
            <w:hideMark/>
          </w:tcPr>
          <w:p w14:paraId="43E32D50"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7D4E3EF5"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55,29</w:t>
            </w:r>
          </w:p>
        </w:tc>
        <w:tc>
          <w:tcPr>
            <w:tcW w:w="1417" w:type="dxa"/>
            <w:tcBorders>
              <w:top w:val="nil"/>
              <w:left w:val="nil"/>
              <w:bottom w:val="single" w:sz="4" w:space="0" w:color="auto"/>
              <w:right w:val="single" w:sz="4" w:space="0" w:color="auto"/>
            </w:tcBorders>
            <w:shd w:val="clear" w:color="auto" w:fill="auto"/>
            <w:noWrap/>
            <w:vAlign w:val="bottom"/>
            <w:hideMark/>
          </w:tcPr>
          <w:p w14:paraId="3DD24899"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51,16</w:t>
            </w:r>
          </w:p>
        </w:tc>
        <w:tc>
          <w:tcPr>
            <w:tcW w:w="1708" w:type="dxa"/>
            <w:tcBorders>
              <w:top w:val="nil"/>
              <w:left w:val="nil"/>
              <w:bottom w:val="single" w:sz="4" w:space="0" w:color="auto"/>
              <w:right w:val="single" w:sz="4" w:space="0" w:color="auto"/>
            </w:tcBorders>
            <w:shd w:val="clear" w:color="auto" w:fill="auto"/>
            <w:noWrap/>
            <w:vAlign w:val="bottom"/>
            <w:hideMark/>
          </w:tcPr>
          <w:p w14:paraId="4737D858"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49,07</w:t>
            </w:r>
          </w:p>
        </w:tc>
      </w:tr>
      <w:tr w:rsidR="00ED3453" w:rsidRPr="00BF7E57" w14:paraId="6B05DD8F"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1D5EDE59" w14:textId="77777777" w:rsidR="00ED3453" w:rsidRPr="00BF7E57"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5B84CA42"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urbane regije</w:t>
            </w:r>
          </w:p>
        </w:tc>
        <w:tc>
          <w:tcPr>
            <w:tcW w:w="1276" w:type="dxa"/>
            <w:tcBorders>
              <w:top w:val="nil"/>
              <w:left w:val="nil"/>
              <w:bottom w:val="single" w:sz="4" w:space="0" w:color="auto"/>
              <w:right w:val="single" w:sz="4" w:space="0" w:color="auto"/>
            </w:tcBorders>
            <w:shd w:val="clear" w:color="auto" w:fill="auto"/>
            <w:noWrap/>
            <w:vAlign w:val="bottom"/>
            <w:hideMark/>
          </w:tcPr>
          <w:p w14:paraId="10501C39"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6C576CCE"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8,63</w:t>
            </w:r>
          </w:p>
        </w:tc>
        <w:tc>
          <w:tcPr>
            <w:tcW w:w="1417" w:type="dxa"/>
            <w:tcBorders>
              <w:top w:val="nil"/>
              <w:left w:val="nil"/>
              <w:bottom w:val="single" w:sz="4" w:space="0" w:color="auto"/>
              <w:right w:val="single" w:sz="4" w:space="0" w:color="auto"/>
            </w:tcBorders>
            <w:shd w:val="clear" w:color="auto" w:fill="auto"/>
            <w:noWrap/>
            <w:vAlign w:val="bottom"/>
            <w:hideMark/>
          </w:tcPr>
          <w:p w14:paraId="70F5FA38"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9,01</w:t>
            </w:r>
          </w:p>
        </w:tc>
        <w:tc>
          <w:tcPr>
            <w:tcW w:w="1708" w:type="dxa"/>
            <w:tcBorders>
              <w:top w:val="nil"/>
              <w:left w:val="nil"/>
              <w:bottom w:val="single" w:sz="4" w:space="0" w:color="auto"/>
              <w:right w:val="single" w:sz="4" w:space="0" w:color="auto"/>
            </w:tcBorders>
            <w:shd w:val="clear" w:color="auto" w:fill="auto"/>
            <w:noWrap/>
            <w:vAlign w:val="bottom"/>
            <w:hideMark/>
          </w:tcPr>
          <w:p w14:paraId="278D1907"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14,53</w:t>
            </w:r>
          </w:p>
        </w:tc>
      </w:tr>
      <w:tr w:rsidR="00ED3453" w:rsidRPr="00BF7E57" w14:paraId="2AA2330D"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5B11A3BE" w14:textId="77777777" w:rsidR="00ED3453" w:rsidRPr="00BF7E57"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4EC3A656" w14:textId="7D015074"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Skupaj</w:t>
            </w:r>
          </w:p>
        </w:tc>
        <w:tc>
          <w:tcPr>
            <w:tcW w:w="1276" w:type="dxa"/>
            <w:tcBorders>
              <w:top w:val="nil"/>
              <w:left w:val="nil"/>
              <w:bottom w:val="single" w:sz="4" w:space="0" w:color="auto"/>
              <w:right w:val="single" w:sz="4" w:space="0" w:color="auto"/>
            </w:tcBorders>
            <w:shd w:val="clear" w:color="auto" w:fill="auto"/>
            <w:noWrap/>
            <w:vAlign w:val="bottom"/>
            <w:hideMark/>
          </w:tcPr>
          <w:p w14:paraId="42D103D0" w14:textId="2F2F714C"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 ležišč</w:t>
            </w:r>
          </w:p>
        </w:tc>
        <w:tc>
          <w:tcPr>
            <w:tcW w:w="1276" w:type="dxa"/>
            <w:tcBorders>
              <w:top w:val="nil"/>
              <w:left w:val="nil"/>
              <w:bottom w:val="single" w:sz="4" w:space="0" w:color="auto"/>
              <w:right w:val="single" w:sz="4" w:space="0" w:color="auto"/>
            </w:tcBorders>
            <w:shd w:val="clear" w:color="auto" w:fill="auto"/>
            <w:noWrap/>
            <w:vAlign w:val="bottom"/>
            <w:hideMark/>
          </w:tcPr>
          <w:p w14:paraId="678C22D8"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105.559,00</w:t>
            </w:r>
          </w:p>
        </w:tc>
        <w:tc>
          <w:tcPr>
            <w:tcW w:w="1417" w:type="dxa"/>
            <w:tcBorders>
              <w:top w:val="nil"/>
              <w:left w:val="nil"/>
              <w:bottom w:val="single" w:sz="4" w:space="0" w:color="auto"/>
              <w:right w:val="single" w:sz="4" w:space="0" w:color="auto"/>
            </w:tcBorders>
            <w:shd w:val="clear" w:color="auto" w:fill="auto"/>
            <w:noWrap/>
            <w:vAlign w:val="bottom"/>
            <w:hideMark/>
          </w:tcPr>
          <w:p w14:paraId="0621A1F9"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109.596,00</w:t>
            </w:r>
          </w:p>
        </w:tc>
        <w:tc>
          <w:tcPr>
            <w:tcW w:w="1708" w:type="dxa"/>
            <w:tcBorders>
              <w:top w:val="nil"/>
              <w:left w:val="nil"/>
              <w:bottom w:val="single" w:sz="4" w:space="0" w:color="auto"/>
              <w:right w:val="single" w:sz="4" w:space="0" w:color="auto"/>
            </w:tcBorders>
            <w:shd w:val="clear" w:color="auto" w:fill="auto"/>
            <w:noWrap/>
            <w:vAlign w:val="bottom"/>
            <w:hideMark/>
          </w:tcPr>
          <w:p w14:paraId="534F7757"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186.590,00</w:t>
            </w:r>
          </w:p>
        </w:tc>
      </w:tr>
    </w:tbl>
    <w:p w14:paraId="12AD2F35" w14:textId="0452A8F1" w:rsidR="00ED3453" w:rsidRPr="00BF7E57" w:rsidRDefault="00ED3453" w:rsidP="00FD79A0">
      <w:pPr>
        <w:spacing w:before="200" w:line="360" w:lineRule="auto"/>
        <w:jc w:val="both"/>
        <w:rPr>
          <w:rFonts w:ascii="Arial" w:hAnsi="Arial" w:cs="Arial"/>
          <w:sz w:val="20"/>
          <w:szCs w:val="20"/>
        </w:rPr>
      </w:pPr>
      <w:r w:rsidRPr="00BF7E57">
        <w:rPr>
          <w:rFonts w:ascii="Arial" w:hAnsi="Arial" w:cs="Arial"/>
          <w:sz w:val="20"/>
          <w:szCs w:val="20"/>
        </w:rPr>
        <w:t>Vir: Eurostat, 2021</w:t>
      </w:r>
    </w:p>
    <w:p w14:paraId="55D42B3D" w14:textId="500D00F8" w:rsidR="003E038D" w:rsidRPr="00BF7E57" w:rsidRDefault="003E038D" w:rsidP="00A5125A">
      <w:pPr>
        <w:pStyle w:val="Napis"/>
      </w:pPr>
      <w:bookmarkStart w:id="166" w:name="_Toc86826424"/>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34</w:t>
      </w:r>
      <w:r w:rsidR="00A30B83" w:rsidRPr="00BF7E57">
        <w:rPr>
          <w:noProof/>
        </w:rPr>
        <w:fldChar w:fldCharType="end"/>
      </w:r>
      <w:r w:rsidRPr="00BF7E57">
        <w:t>: Število prenočitev v turističnih nastanitvenih zmogljivostih na število prebivalcev</w:t>
      </w:r>
      <w:bookmarkEnd w:id="166"/>
    </w:p>
    <w:p w14:paraId="718D75F2" w14:textId="2D6D64AA" w:rsidR="000B7583" w:rsidRPr="00BF7E57" w:rsidRDefault="000B7583" w:rsidP="00A5125A">
      <w:pPr>
        <w:pStyle w:val="Napis"/>
        <w:rPr>
          <w:sz w:val="20"/>
          <w:szCs w:val="20"/>
        </w:rPr>
      </w:pPr>
    </w:p>
    <w:p w14:paraId="5AF2B707" w14:textId="77777777" w:rsidR="000B7583" w:rsidRPr="00BF7E57" w:rsidRDefault="000B7583" w:rsidP="000B7583">
      <w:pPr>
        <w:pStyle w:val="Default"/>
        <w:jc w:val="both"/>
        <w:rPr>
          <w:rFonts w:ascii="Arial" w:hAnsi="Arial" w:cs="Arial"/>
          <w:color w:val="auto"/>
          <w:sz w:val="20"/>
          <w:szCs w:val="20"/>
          <w:lang w:val="sl-SI"/>
        </w:rPr>
      </w:pPr>
      <w:r w:rsidRPr="00BF7E57">
        <w:rPr>
          <w:rFonts w:ascii="Arial" w:hAnsi="Arial" w:cs="Arial"/>
          <w:noProof/>
          <w:color w:val="auto"/>
          <w:sz w:val="20"/>
          <w:szCs w:val="20"/>
          <w:lang w:val="sl-SI" w:eastAsia="sl-SI"/>
        </w:rPr>
        <w:drawing>
          <wp:inline distT="0" distB="0" distL="0" distR="0" wp14:anchorId="25A793DB" wp14:editId="28E008F5">
            <wp:extent cx="5692004" cy="4477109"/>
            <wp:effectExtent l="19050" t="19050" r="23495" b="19050"/>
            <wp:docPr id="28" name="Slika 28" descr="C:\Users\marjeta.jeric\Desktop\Predstavitev1\Diapozit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eta.jeric\Desktop\Predstavitev1\Diapozitiv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077" t="7795" r="10991" b="10473"/>
                    <a:stretch/>
                  </pic:blipFill>
                  <pic:spPr bwMode="auto">
                    <a:xfrm>
                      <a:off x="0" y="0"/>
                      <a:ext cx="5752833" cy="4524955"/>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C6479F6" w14:textId="500A3CA8" w:rsidR="000B7583" w:rsidRPr="00BF7E57" w:rsidRDefault="000B7583" w:rsidP="000B7583">
      <w:pPr>
        <w:spacing w:line="360" w:lineRule="auto"/>
        <w:jc w:val="both"/>
        <w:rPr>
          <w:rFonts w:ascii="Arial" w:hAnsi="Arial" w:cs="Arial"/>
          <w:sz w:val="16"/>
          <w:szCs w:val="16"/>
        </w:rPr>
      </w:pPr>
      <w:r w:rsidRPr="00BF7E57">
        <w:rPr>
          <w:rFonts w:ascii="Arial" w:hAnsi="Arial" w:cs="Arial"/>
          <w:sz w:val="16"/>
          <w:szCs w:val="16"/>
        </w:rPr>
        <w:t xml:space="preserve">Vir: Eurostat, 2020 </w:t>
      </w:r>
    </w:p>
    <w:p w14:paraId="4AC49098" w14:textId="28E20CB3" w:rsidR="003E038D" w:rsidRPr="00BF7E57" w:rsidRDefault="003E038D" w:rsidP="00A5125A">
      <w:pPr>
        <w:pStyle w:val="Napis"/>
      </w:pPr>
      <w:bookmarkStart w:id="167" w:name="_Ref84928621"/>
      <w:bookmarkStart w:id="168" w:name="_Toc86826425"/>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35</w:t>
      </w:r>
      <w:r w:rsidR="00A30B83" w:rsidRPr="00BF7E57">
        <w:rPr>
          <w:noProof/>
        </w:rPr>
        <w:fldChar w:fldCharType="end"/>
      </w:r>
      <w:bookmarkEnd w:id="167"/>
      <w:r w:rsidRPr="00BF7E57">
        <w:t>: Prenočitve turistov v letu 2018</w:t>
      </w:r>
      <w:bookmarkEnd w:id="168"/>
    </w:p>
    <w:p w14:paraId="7D82E900" w14:textId="77777777" w:rsidR="00FD79A0" w:rsidRPr="00BF7E57" w:rsidRDefault="00FD79A0" w:rsidP="00FD79A0">
      <w:pPr>
        <w:pStyle w:val="Default"/>
        <w:jc w:val="both"/>
        <w:rPr>
          <w:rFonts w:ascii="Arial" w:hAnsi="Arial" w:cs="Arial"/>
          <w:color w:val="auto"/>
          <w:sz w:val="20"/>
          <w:szCs w:val="20"/>
          <w:lang w:val="sl-SI"/>
        </w:rPr>
      </w:pPr>
      <w:r w:rsidRPr="00BF7E57">
        <w:rPr>
          <w:rFonts w:ascii="Arial" w:hAnsi="Arial" w:cs="Arial"/>
          <w:noProof/>
          <w:sz w:val="20"/>
          <w:szCs w:val="20"/>
          <w:lang w:val="sl-SI" w:eastAsia="sl-SI"/>
        </w:rPr>
        <w:drawing>
          <wp:inline distT="0" distB="0" distL="0" distR="0" wp14:anchorId="62C44E6E" wp14:editId="2001C01C">
            <wp:extent cx="4365266" cy="2615979"/>
            <wp:effectExtent l="0" t="0" r="16510" b="13335"/>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31923F" w14:textId="77777777" w:rsidR="00FD79A0" w:rsidRPr="00BF7E57" w:rsidRDefault="00FD79A0" w:rsidP="00FD79A0">
      <w:pPr>
        <w:spacing w:line="360" w:lineRule="auto"/>
        <w:jc w:val="both"/>
        <w:rPr>
          <w:rFonts w:ascii="Arial" w:hAnsi="Arial" w:cs="Arial"/>
          <w:sz w:val="20"/>
          <w:szCs w:val="20"/>
        </w:rPr>
      </w:pPr>
      <w:r w:rsidRPr="00BF7E57">
        <w:rPr>
          <w:rFonts w:ascii="Arial" w:hAnsi="Arial" w:cs="Arial"/>
          <w:sz w:val="16"/>
          <w:szCs w:val="16"/>
        </w:rPr>
        <w:t xml:space="preserve">Vir: SURS, 2020 in lastni preračuni </w:t>
      </w:r>
    </w:p>
    <w:p w14:paraId="149CEB81" w14:textId="77777777" w:rsidR="000B7583" w:rsidRPr="00BF7E57" w:rsidRDefault="000B7583" w:rsidP="000B7583">
      <w:pPr>
        <w:spacing w:before="200" w:line="360" w:lineRule="auto"/>
        <w:jc w:val="both"/>
        <w:rPr>
          <w:rFonts w:ascii="Arial" w:hAnsi="Arial" w:cs="Arial"/>
          <w:sz w:val="20"/>
          <w:szCs w:val="20"/>
        </w:rPr>
      </w:pPr>
      <w:r w:rsidRPr="00BF7E57">
        <w:rPr>
          <w:rFonts w:ascii="Arial" w:hAnsi="Arial" w:cs="Arial"/>
          <w:sz w:val="20"/>
          <w:szCs w:val="20"/>
        </w:rPr>
        <w:t xml:space="preserve">Turizem na podeželju je na nacionalni ravni uvrščeno med deset vodilnih turističnih produktov v Sloveniji. Ta produkt je pomemben pospeševalec kmetijske proizvodnje, visokokakovostne pristne kulinarike in vinarstva, pristne oziroma izvirne nastanitvene ponudbe in številnih doživetij v stiku z naravo, kulturo in ljudmi. </w:t>
      </w:r>
    </w:p>
    <w:p w14:paraId="284A22F1" w14:textId="17E37184" w:rsidR="000B7583" w:rsidRPr="00BF7E57" w:rsidRDefault="000B7583" w:rsidP="000B7583">
      <w:pPr>
        <w:spacing w:before="200" w:line="360" w:lineRule="auto"/>
        <w:jc w:val="both"/>
        <w:rPr>
          <w:rFonts w:ascii="Arial" w:hAnsi="Arial" w:cs="Arial"/>
          <w:sz w:val="20"/>
          <w:szCs w:val="20"/>
        </w:rPr>
      </w:pPr>
      <w:r w:rsidRPr="00BF7E57">
        <w:rPr>
          <w:rFonts w:ascii="Arial" w:hAnsi="Arial" w:cs="Arial"/>
          <w:sz w:val="20"/>
          <w:szCs w:val="20"/>
        </w:rPr>
        <w:t>Strategija trajnostne rasti slovenskega turizma 2017–2021 opredeljuje turizem na podeželju kot turizem, ki temelji na ponudbi turističnih kmetij, manjših ponudnikov in zidanic ter na pristnih doživetjih podeželja (MGRT, 2017).</w:t>
      </w:r>
    </w:p>
    <w:bookmarkEnd w:id="162"/>
    <w:p w14:paraId="4CBD0B08" w14:textId="4249781A" w:rsidR="009E0216" w:rsidRPr="00BF7E57" w:rsidRDefault="00FC16F5" w:rsidP="008D32AC">
      <w:pPr>
        <w:spacing w:before="200" w:line="360" w:lineRule="auto"/>
        <w:jc w:val="both"/>
        <w:rPr>
          <w:sz w:val="20"/>
          <w:szCs w:val="20"/>
        </w:rPr>
      </w:pPr>
      <w:r w:rsidRPr="00BF7E57">
        <w:rPr>
          <w:rFonts w:ascii="Arial" w:hAnsi="Arial" w:cs="Arial"/>
          <w:sz w:val="20"/>
          <w:szCs w:val="20"/>
        </w:rPr>
        <w:t>Razgl</w:t>
      </w:r>
      <w:r w:rsidR="00B7149D" w:rsidRPr="00BF7E57">
        <w:rPr>
          <w:rFonts w:ascii="Arial" w:hAnsi="Arial" w:cs="Arial"/>
          <w:sz w:val="20"/>
          <w:szCs w:val="20"/>
        </w:rPr>
        <w:t>asitev</w:t>
      </w:r>
      <w:r w:rsidRPr="00BF7E57">
        <w:rPr>
          <w:rFonts w:ascii="Arial" w:hAnsi="Arial" w:cs="Arial"/>
          <w:sz w:val="20"/>
          <w:szCs w:val="20"/>
        </w:rPr>
        <w:t xml:space="preserve"> epidemije je bistveno vpli</w:t>
      </w:r>
      <w:r w:rsidR="00B7149D" w:rsidRPr="00BF7E57">
        <w:rPr>
          <w:rFonts w:ascii="Arial" w:hAnsi="Arial" w:cs="Arial"/>
          <w:sz w:val="20"/>
          <w:szCs w:val="20"/>
        </w:rPr>
        <w:t xml:space="preserve">valo tudi na slovenski turizem. </w:t>
      </w:r>
      <w:r w:rsidR="00AC3188" w:rsidRPr="00BF7E57">
        <w:rPr>
          <w:rFonts w:ascii="Arial" w:hAnsi="Arial" w:cs="Arial"/>
          <w:sz w:val="20"/>
          <w:szCs w:val="20"/>
        </w:rPr>
        <w:t>Glede na leto 2019 je bilo zabeleženih 70,5 % manj prenočitev in 74,1 % manj prihodov tujcev.</w:t>
      </w:r>
      <w:r w:rsidR="00F51C9F" w:rsidRPr="00BF7E57">
        <w:rPr>
          <w:rFonts w:ascii="Arial" w:hAnsi="Arial" w:cs="Arial"/>
          <w:sz w:val="20"/>
          <w:szCs w:val="20"/>
        </w:rPr>
        <w:t xml:space="preserve"> Domačih gostov je bilo več kot pretekla leta (1,84 mio), tujih pa 1,21 mio. </w:t>
      </w:r>
      <w:r w:rsidR="00AC3188" w:rsidRPr="00BF7E57">
        <w:rPr>
          <w:rFonts w:ascii="Arial" w:hAnsi="Arial" w:cs="Arial"/>
          <w:sz w:val="20"/>
          <w:szCs w:val="20"/>
        </w:rPr>
        <w:t>Tudi v letu 2020 je bilo največ prenočitev zabeleženih v gorskih občinah (31</w:t>
      </w:r>
      <w:r w:rsidR="00AC068C" w:rsidRPr="00BF7E57">
        <w:rPr>
          <w:rFonts w:ascii="Arial" w:hAnsi="Arial" w:cs="Arial"/>
          <w:sz w:val="20"/>
          <w:szCs w:val="20"/>
        </w:rPr>
        <w:t xml:space="preserve"> </w:t>
      </w:r>
      <w:r w:rsidR="00AC3188" w:rsidRPr="00BF7E57">
        <w:rPr>
          <w:rFonts w:ascii="Arial" w:hAnsi="Arial" w:cs="Arial"/>
          <w:sz w:val="20"/>
          <w:szCs w:val="20"/>
        </w:rPr>
        <w:t xml:space="preserve">% vseh prenočitev), sledile pa so zdraviliške (24 %) in obmorske občine (24 %).  </w:t>
      </w:r>
      <w:r w:rsidR="00145E90" w:rsidRPr="00BF7E57">
        <w:rPr>
          <w:rFonts w:ascii="Arial" w:hAnsi="Arial" w:cs="Arial"/>
          <w:sz w:val="20"/>
          <w:szCs w:val="20"/>
        </w:rPr>
        <w:t>Enako velja za prenočitve turistov, ki jih je bilo</w:t>
      </w:r>
      <w:r w:rsidR="00AC3188" w:rsidRPr="00BF7E57">
        <w:rPr>
          <w:rFonts w:ascii="Arial" w:hAnsi="Arial" w:cs="Arial"/>
          <w:sz w:val="20"/>
          <w:szCs w:val="20"/>
        </w:rPr>
        <w:t xml:space="preserve"> leta </w:t>
      </w:r>
      <w:r w:rsidR="00145E90" w:rsidRPr="00BF7E57">
        <w:rPr>
          <w:rFonts w:ascii="Arial" w:hAnsi="Arial" w:cs="Arial"/>
          <w:sz w:val="20"/>
          <w:szCs w:val="20"/>
        </w:rPr>
        <w:t xml:space="preserve"> 2020 za </w:t>
      </w:r>
      <w:r w:rsidR="00F51C9F" w:rsidRPr="00BF7E57">
        <w:rPr>
          <w:rFonts w:ascii="Arial" w:hAnsi="Arial" w:cs="Arial"/>
          <w:sz w:val="20"/>
          <w:szCs w:val="20"/>
        </w:rPr>
        <w:t>40</w:t>
      </w:r>
      <w:r w:rsidR="00145E90" w:rsidRPr="00BF7E57">
        <w:rPr>
          <w:rFonts w:ascii="Arial" w:hAnsi="Arial" w:cs="Arial"/>
          <w:sz w:val="20"/>
          <w:szCs w:val="20"/>
        </w:rPr>
        <w:t xml:space="preserve"> % manj kot </w:t>
      </w:r>
      <w:r w:rsidR="00AC3188" w:rsidRPr="00BF7E57">
        <w:rPr>
          <w:rFonts w:ascii="Arial" w:hAnsi="Arial" w:cs="Arial"/>
          <w:sz w:val="20"/>
          <w:szCs w:val="20"/>
        </w:rPr>
        <w:t xml:space="preserve">leta </w:t>
      </w:r>
      <w:r w:rsidR="00145E90" w:rsidRPr="00BF7E57">
        <w:rPr>
          <w:rFonts w:ascii="Arial" w:hAnsi="Arial" w:cs="Arial"/>
          <w:sz w:val="20"/>
          <w:szCs w:val="20"/>
        </w:rPr>
        <w:t xml:space="preserve">2019. </w:t>
      </w:r>
      <w:r w:rsidR="00F51C9F" w:rsidRPr="00BF7E57">
        <w:rPr>
          <w:rFonts w:ascii="Arial" w:hAnsi="Arial" w:cs="Arial"/>
          <w:sz w:val="20"/>
          <w:szCs w:val="20"/>
        </w:rPr>
        <w:t>Leta 2020 je prenočevalo 9,2 mio gostov, od tega 3,3 mio tujih (70 % manj kot prejšnje leto) in 5,8 domačih (30</w:t>
      </w:r>
      <w:r w:rsidR="00AC068C" w:rsidRPr="00BF7E57">
        <w:rPr>
          <w:rFonts w:ascii="Arial" w:hAnsi="Arial" w:cs="Arial"/>
          <w:sz w:val="20"/>
          <w:szCs w:val="20"/>
        </w:rPr>
        <w:t xml:space="preserve"> </w:t>
      </w:r>
      <w:r w:rsidR="00F51C9F" w:rsidRPr="00BF7E57">
        <w:rPr>
          <w:rFonts w:ascii="Arial" w:hAnsi="Arial" w:cs="Arial"/>
          <w:sz w:val="20"/>
          <w:szCs w:val="20"/>
        </w:rPr>
        <w:t>% več). Priliv iz naslova izvoda potovanj je bil 60,7 % manjši, oz. 1,08 mrd. Skupni prispevek turizma k BDP je predstavljal 5,3 % (v primerjavi z letom 2019 skoraj polovico manjši). Delež zaposlenih v turizmu je predstavljal 6</w:t>
      </w:r>
      <w:r w:rsidR="00AC068C" w:rsidRPr="00BF7E57">
        <w:rPr>
          <w:rFonts w:ascii="Arial" w:hAnsi="Arial" w:cs="Arial"/>
          <w:sz w:val="20"/>
          <w:szCs w:val="20"/>
        </w:rPr>
        <w:t xml:space="preserve"> </w:t>
      </w:r>
      <w:r w:rsidR="00F51C9F" w:rsidRPr="00BF7E57">
        <w:rPr>
          <w:rFonts w:ascii="Arial" w:hAnsi="Arial" w:cs="Arial"/>
          <w:sz w:val="20"/>
          <w:szCs w:val="20"/>
        </w:rPr>
        <w:t xml:space="preserve">% vseh (STO, 2021).  </w:t>
      </w:r>
    </w:p>
    <w:p w14:paraId="31AC6EB7" w14:textId="77777777" w:rsidR="00FC16F5" w:rsidRPr="00BF7E57" w:rsidRDefault="00FC16F5" w:rsidP="00EA2E4C">
      <w:pPr>
        <w:pStyle w:val="tevilnatoka"/>
        <w:numPr>
          <w:ilvl w:val="0"/>
          <w:numId w:val="0"/>
        </w:numPr>
        <w:spacing w:line="360" w:lineRule="auto"/>
        <w:outlineLvl w:val="1"/>
        <w:rPr>
          <w:sz w:val="20"/>
          <w:szCs w:val="20"/>
        </w:rPr>
      </w:pPr>
    </w:p>
    <w:p w14:paraId="0B5D11E5" w14:textId="26E37909" w:rsidR="009E0216" w:rsidRPr="00BF7E57" w:rsidRDefault="004052BC" w:rsidP="008D32AC">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69" w:name="_Toc86826381"/>
      <w:r w:rsidRPr="00BF7E57">
        <w:rPr>
          <w:rFonts w:ascii="Arial" w:hAnsi="Arial" w:cs="Arial"/>
          <w:color w:val="000000" w:themeColor="text1"/>
          <w:sz w:val="24"/>
          <w:szCs w:val="24"/>
        </w:rPr>
        <w:t xml:space="preserve">3.4 </w:t>
      </w:r>
      <w:r w:rsidR="009E0216" w:rsidRPr="00BF7E57">
        <w:rPr>
          <w:rFonts w:ascii="Arial" w:hAnsi="Arial" w:cs="Arial"/>
          <w:color w:val="000000" w:themeColor="text1"/>
          <w:sz w:val="24"/>
          <w:szCs w:val="24"/>
        </w:rPr>
        <w:t>BIOGOSPODARSTVO</w:t>
      </w:r>
      <w:bookmarkEnd w:id="169"/>
    </w:p>
    <w:p w14:paraId="449DB3E0" w14:textId="73B69418"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Definicija biogospodarstva v EU, iz katere izhajajo tudi številne raziskave in razpoložljivi uradni podatki za države članice, se nanaša na biološke procese, funkcije in načela, bioosnovane proizvode in storitve ter različne sektorje, od tistih usmerjenih v proizvodnjo (kmetijstvo, gozdarstvo in ribištvo), do drugih usmerjenih v pretvorbo (bioindustrije, energetika), pa tudi na presečne sektorje s področja okolja in narave, raziskav in razvoja, vk</w:t>
      </w:r>
      <w:r w:rsidR="00083AB5" w:rsidRPr="00BF7E57">
        <w:rPr>
          <w:rFonts w:ascii="Arial" w:hAnsi="Arial" w:cs="Arial"/>
          <w:sz w:val="20"/>
          <w:szCs w:val="20"/>
        </w:rPr>
        <w:t xml:space="preserve">ljučno z regionalnim razvojem. </w:t>
      </w:r>
    </w:p>
    <w:p w14:paraId="710A5EF4"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lastRenderedPageBreak/>
        <w:t>Biogospodarstvo je po definiciji torej gospodarstvo, ki temelji na trajnostni proizvodnji obnovljivih bioloških virov in njihovi predelavi v hrano, krmo, vlakna, materiale, kemikalije in bioenergijo, z učinkovitimi oziro</w:t>
      </w:r>
      <w:r w:rsidR="00083AB5" w:rsidRPr="00BF7E57">
        <w:rPr>
          <w:rFonts w:ascii="Arial" w:hAnsi="Arial" w:cs="Arial"/>
          <w:sz w:val="20"/>
          <w:szCs w:val="20"/>
        </w:rPr>
        <w:t xml:space="preserve">ma inovativnimi tehnologijami. </w:t>
      </w:r>
    </w:p>
    <w:p w14:paraId="35E9BAE4"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Stranski proizvodi in ostanki predelovalne industrije, katere primarni vir je biomasa, torej postanejo surovine v procesih nadaljnje pretvorbe biomase v različne produkte. Nove tehnologije razklopa biomase in vključevanje nastalih gradnikov v bio-osnovane materiale (npr. ekstrakti, nanomateriali, biopolimeri) omogočajo vstop v nove verige vrednosti (npr. zdravje, pametna embalaža). Kaskadni proces predelave biomase od hrane in bio-osnovanih proizvodov do končne energetske rabe je smotrn tako z vidika trajnostne rabe obnovljivega ogljika (proizvodnja brez odpadkov, zaprte energetske zanke) kot tudi z vidika ekonomske učinkovitosti (doseganje višje skupne dodane vrednosti) in gospodarske rasti.</w:t>
      </w:r>
    </w:p>
    <w:p w14:paraId="62B3873B" w14:textId="519279D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Področje biogospodarstva oziroma njegova načela so naslovljena tudi v Strategiji razvoja Slovenije do leta 2030, ki v dveh ključnih ciljih naslavlja biogospodarski načeli in sicer nizkoogljično krožno gospodarstvo in trajnostno upravljanje naravnih virov, saj je Slovenija pri učinkovitosti rabe virov in energije pod povprečjem EU, prepočasno pa je tudi napredovanje glede produktivnosti rabe ogljika. Prehod v nizkoogljično krožno gospodarstvo je zato prednostna razvojna usmeritev za celotno slovensko gospodarstvo</w:t>
      </w:r>
      <w:r w:rsidR="000F7702" w:rsidRPr="00BF7E57">
        <w:rPr>
          <w:rFonts w:ascii="Arial" w:hAnsi="Arial" w:cs="Arial"/>
          <w:sz w:val="20"/>
          <w:szCs w:val="20"/>
        </w:rPr>
        <w:t xml:space="preserve"> (SVRK</w:t>
      </w:r>
      <w:r w:rsidR="00AC068C" w:rsidRPr="00BF7E57">
        <w:rPr>
          <w:rFonts w:ascii="Arial" w:hAnsi="Arial" w:cs="Arial"/>
          <w:sz w:val="20"/>
          <w:szCs w:val="20"/>
        </w:rPr>
        <w:t>,</w:t>
      </w:r>
      <w:r w:rsidR="000F7702" w:rsidRPr="00BF7E57">
        <w:rPr>
          <w:rFonts w:ascii="Arial" w:hAnsi="Arial" w:cs="Arial"/>
          <w:sz w:val="20"/>
          <w:szCs w:val="20"/>
        </w:rPr>
        <w:t xml:space="preserve"> 2017)</w:t>
      </w:r>
      <w:r w:rsidR="00E435D3" w:rsidRPr="00BF7E57">
        <w:rPr>
          <w:rFonts w:ascii="Arial" w:hAnsi="Arial" w:cs="Arial"/>
          <w:sz w:val="20"/>
          <w:szCs w:val="20"/>
        </w:rPr>
        <w:t>. V Sloveniji je oblikovano tudi strateško razvojno-inovacijsko partnerstvo – Mreže za prehod v krožno gospodarstvo (SRIP – Krožno gospodarstvo), katerega vizija je trajnostno povečati učinkovitost in konkurenčnost domačega gospodarstva pri prehodu v krožno gospodarstvo</w:t>
      </w:r>
      <w:r w:rsidR="000F7702" w:rsidRPr="00BF7E57">
        <w:rPr>
          <w:rFonts w:ascii="Arial" w:hAnsi="Arial" w:cs="Arial"/>
          <w:sz w:val="20"/>
          <w:szCs w:val="20"/>
        </w:rPr>
        <w:t>.</w:t>
      </w:r>
    </w:p>
    <w:p w14:paraId="1C57CA70" w14:textId="1602E991"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Iz osnutka poročila CRP »Družbeni kontekst prehoda v biogospodarstvo«, izhaja, da biogospodarstvo v Sloveniji nima dovolj prepoznavne lastne identitete, po kateri bi se ločilo od drugih povezanih konceptov kot sta npr. zeleno gospodarstvo ali krožno gospodarstvo. V povezavi s tem je problematičen zaostanek na področju kmetijstva in hrane, kot največjim segmentom biogospodarstva v Sloveniji, ki se sooča s strukturnimi problemi po celotni verigi, kjer bi pristop biogospodarstva na ravni velikih in malih proizvodnih sistemov (pilotni projekti s potencialom za razširjanje) spodbudil vključevanje znanja in tehnologije, razvoj novih verig in diverzifikacijo, s koristmi predvsem za podeželsko okolje.</w:t>
      </w:r>
    </w:p>
    <w:p w14:paraId="6EFDE2A8"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 povečanjem rabe pojma »biogospodarstvo« se v javnosti pogosto pojavljata še dva vsebinsko sorodna koncepta in sicer zeleno gospodarstvo in krožno gospodarstvo. Zeleno gospodarstvo je vsebinsko širši koncept. Razumemo ga lahko kot skupek pristopov, ki si prizadeva zmanjšati okoljske in ekološke vplive ter spodbuja trajnostni razvoj, pri čemer je poudarjena ekološka komponenta trajnosti. Pogosto izpostavlja tudi družbeno komponento trajnostnega razvoja, npr. s poudarjanjem ideje pravičnosti (Viaggi, 2018).</w:t>
      </w:r>
    </w:p>
    <w:p w14:paraId="1CED3B2C"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Krožno gospodarstvo gradi na novem vzorcu proizvodnje in potrošnje in temelji na konceptu pozitivnega snovnega kroga, ki se usmerja v ponovno uporabo, popravilo in recikliranje obstoječih materialov in izdelkov. </w:t>
      </w:r>
    </w:p>
    <w:p w14:paraId="5403CF70"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lastRenderedPageBreak/>
        <w:t>Ob tem se vse bolj razmišlja in tudi že udejanja idejo o kaskadni rabi biomase. Tu gre za koncept, da se iz biomase najprej pridobi komponente z najvišjo dodano vrednostjo, nato se izraba nadaljuje s pridobivanjem komponent z vedno nižjo dodano vrednostjo, vse do končne energetske izrabe preostanka biomase.</w:t>
      </w:r>
    </w:p>
    <w:p w14:paraId="1FE880D1" w14:textId="1121EB96" w:rsidR="003E038D" w:rsidRPr="00BF7E57" w:rsidRDefault="003E038D" w:rsidP="00A5125A">
      <w:pPr>
        <w:pStyle w:val="Napis"/>
      </w:pPr>
      <w:bookmarkStart w:id="170" w:name="_Toc86826426"/>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36</w:t>
      </w:r>
      <w:r w:rsidR="00A30B83" w:rsidRPr="00BF7E57">
        <w:rPr>
          <w:noProof/>
        </w:rPr>
        <w:fldChar w:fldCharType="end"/>
      </w:r>
      <w:r w:rsidRPr="00BF7E57">
        <w:t>: Biogospodarstvo in krožno gospodarstvo</w:t>
      </w:r>
      <w:bookmarkEnd w:id="170"/>
    </w:p>
    <w:p w14:paraId="4C6220F4" w14:textId="77777777" w:rsidR="009E0216" w:rsidRPr="00BF7E57" w:rsidRDefault="009E0216" w:rsidP="00E435D3">
      <w:pPr>
        <w:autoSpaceDE w:val="0"/>
        <w:autoSpaceDN w:val="0"/>
        <w:adjustRightInd w:val="0"/>
        <w:spacing w:line="36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04150921" wp14:editId="360BF99A">
            <wp:extent cx="2751152" cy="19818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772278" cy="1997053"/>
                    </a:xfrm>
                    <a:prstGeom prst="rect">
                      <a:avLst/>
                    </a:prstGeom>
                  </pic:spPr>
                </pic:pic>
              </a:graphicData>
            </a:graphic>
          </wp:inline>
        </w:drawing>
      </w:r>
    </w:p>
    <w:p w14:paraId="399D293B" w14:textId="7DA70ABE" w:rsidR="0008099E" w:rsidRPr="00BF7E57" w:rsidRDefault="0008099E" w:rsidP="00A5125A">
      <w:pPr>
        <w:pStyle w:val="Napis"/>
      </w:pPr>
      <w:bookmarkStart w:id="171" w:name="_Ref84928928"/>
      <w:bookmarkStart w:id="172" w:name="_Toc86826471"/>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33</w:t>
      </w:r>
      <w:r w:rsidR="00A30B83" w:rsidRPr="00BF7E57">
        <w:rPr>
          <w:noProof/>
        </w:rPr>
        <w:fldChar w:fldCharType="end"/>
      </w:r>
      <w:bookmarkEnd w:id="171"/>
      <w:r w:rsidRPr="00BF7E57">
        <w:t>: Bruto dodana vrednost biogospodarstva v Sloveniji (v mio EUR)</w:t>
      </w:r>
      <w:bookmarkEnd w:id="172"/>
    </w:p>
    <w:p w14:paraId="6B97193D" w14:textId="55F89BE6" w:rsidR="009E0216" w:rsidRPr="00BF7E57" w:rsidRDefault="009E0216" w:rsidP="00A5125A">
      <w:pPr>
        <w:pStyle w:val="Napis"/>
      </w:pPr>
    </w:p>
    <w:tbl>
      <w:tblPr>
        <w:tblW w:w="9579" w:type="dxa"/>
        <w:tblInd w:w="55" w:type="dxa"/>
        <w:tblLayout w:type="fixed"/>
        <w:tblCellMar>
          <w:left w:w="70" w:type="dxa"/>
          <w:right w:w="70" w:type="dxa"/>
        </w:tblCellMar>
        <w:tblLook w:val="04A0" w:firstRow="1" w:lastRow="0" w:firstColumn="1" w:lastColumn="0" w:noHBand="0" w:noVBand="1"/>
      </w:tblPr>
      <w:tblGrid>
        <w:gridCol w:w="2120"/>
        <w:gridCol w:w="745"/>
        <w:gridCol w:w="746"/>
        <w:gridCol w:w="746"/>
        <w:gridCol w:w="746"/>
        <w:gridCol w:w="746"/>
        <w:gridCol w:w="746"/>
        <w:gridCol w:w="746"/>
        <w:gridCol w:w="746"/>
        <w:gridCol w:w="746"/>
        <w:gridCol w:w="746"/>
      </w:tblGrid>
      <w:tr w:rsidR="00092278" w:rsidRPr="00BF7E57" w14:paraId="1179EEE9" w14:textId="0BB4A44D" w:rsidTr="00E77D01">
        <w:trPr>
          <w:trHeight w:val="379"/>
        </w:trPr>
        <w:tc>
          <w:tcPr>
            <w:tcW w:w="21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EB028E1" w14:textId="66F2E042" w:rsidR="00092278" w:rsidRPr="00BF7E57" w:rsidRDefault="00092278" w:rsidP="00092278">
            <w:pPr>
              <w:keepNext/>
              <w:keepLines/>
              <w:spacing w:after="0" w:line="360" w:lineRule="auto"/>
              <w:jc w:val="both"/>
              <w:rPr>
                <w:rFonts w:ascii="Arial" w:hAnsi="Arial" w:cs="Arial"/>
                <w:color w:val="000000"/>
                <w:sz w:val="18"/>
                <w:szCs w:val="18"/>
              </w:rPr>
            </w:pPr>
          </w:p>
        </w:tc>
        <w:tc>
          <w:tcPr>
            <w:tcW w:w="745" w:type="dxa"/>
            <w:tcBorders>
              <w:top w:val="single" w:sz="4" w:space="0" w:color="auto"/>
              <w:left w:val="nil"/>
              <w:bottom w:val="single" w:sz="4" w:space="0" w:color="auto"/>
              <w:right w:val="single" w:sz="4" w:space="0" w:color="auto"/>
            </w:tcBorders>
            <w:shd w:val="clear" w:color="auto" w:fill="92D050"/>
            <w:noWrap/>
            <w:vAlign w:val="bottom"/>
            <w:hideMark/>
          </w:tcPr>
          <w:p w14:paraId="671D12FB"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2008</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616E1FD1"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2009</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58C77FB3"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2010</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787AC9A5"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2011</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1996B40F"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2012</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5865354"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2013</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D3799FA"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2014</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691AEB34"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2015</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8BE0C7F"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2016</w:t>
            </w:r>
          </w:p>
        </w:tc>
        <w:tc>
          <w:tcPr>
            <w:tcW w:w="746" w:type="dxa"/>
            <w:tcBorders>
              <w:top w:val="single" w:sz="4" w:space="0" w:color="auto"/>
              <w:left w:val="nil"/>
              <w:bottom w:val="single" w:sz="4" w:space="0" w:color="auto"/>
              <w:right w:val="single" w:sz="4" w:space="0" w:color="auto"/>
            </w:tcBorders>
            <w:shd w:val="clear" w:color="auto" w:fill="92D050"/>
            <w:vAlign w:val="bottom"/>
          </w:tcPr>
          <w:p w14:paraId="2C0FE109" w14:textId="56FA2FFB"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2017</w:t>
            </w:r>
          </w:p>
        </w:tc>
      </w:tr>
      <w:tr w:rsidR="00092278" w:rsidRPr="00BF7E57" w14:paraId="6C4FD616" w14:textId="41E85519"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DCF0DFB"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Kmetijstvo</w:t>
            </w:r>
          </w:p>
        </w:tc>
        <w:tc>
          <w:tcPr>
            <w:tcW w:w="745" w:type="dxa"/>
            <w:tcBorders>
              <w:top w:val="nil"/>
              <w:left w:val="nil"/>
              <w:bottom w:val="single" w:sz="4" w:space="0" w:color="auto"/>
              <w:right w:val="single" w:sz="4" w:space="0" w:color="auto"/>
            </w:tcBorders>
            <w:shd w:val="clear" w:color="auto" w:fill="auto"/>
            <w:noWrap/>
            <w:vAlign w:val="bottom"/>
            <w:hideMark/>
          </w:tcPr>
          <w:p w14:paraId="5B58058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434,7</w:t>
            </w:r>
          </w:p>
        </w:tc>
        <w:tc>
          <w:tcPr>
            <w:tcW w:w="746" w:type="dxa"/>
            <w:tcBorders>
              <w:top w:val="nil"/>
              <w:left w:val="nil"/>
              <w:bottom w:val="single" w:sz="4" w:space="0" w:color="auto"/>
              <w:right w:val="single" w:sz="4" w:space="0" w:color="auto"/>
            </w:tcBorders>
            <w:shd w:val="clear" w:color="auto" w:fill="auto"/>
            <w:noWrap/>
            <w:vAlign w:val="bottom"/>
            <w:hideMark/>
          </w:tcPr>
          <w:p w14:paraId="5AD9512E"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422,1</w:t>
            </w:r>
          </w:p>
        </w:tc>
        <w:tc>
          <w:tcPr>
            <w:tcW w:w="746" w:type="dxa"/>
            <w:tcBorders>
              <w:top w:val="nil"/>
              <w:left w:val="nil"/>
              <w:bottom w:val="single" w:sz="4" w:space="0" w:color="auto"/>
              <w:right w:val="single" w:sz="4" w:space="0" w:color="auto"/>
            </w:tcBorders>
            <w:shd w:val="clear" w:color="auto" w:fill="auto"/>
            <w:noWrap/>
            <w:vAlign w:val="bottom"/>
            <w:hideMark/>
          </w:tcPr>
          <w:p w14:paraId="5E0C279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440,5</w:t>
            </w:r>
          </w:p>
        </w:tc>
        <w:tc>
          <w:tcPr>
            <w:tcW w:w="746" w:type="dxa"/>
            <w:tcBorders>
              <w:top w:val="nil"/>
              <w:left w:val="nil"/>
              <w:bottom w:val="single" w:sz="4" w:space="0" w:color="auto"/>
              <w:right w:val="single" w:sz="4" w:space="0" w:color="auto"/>
            </w:tcBorders>
            <w:shd w:val="clear" w:color="auto" w:fill="auto"/>
            <w:noWrap/>
            <w:vAlign w:val="bottom"/>
            <w:hideMark/>
          </w:tcPr>
          <w:p w14:paraId="135738C0"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519,9</w:t>
            </w:r>
          </w:p>
        </w:tc>
        <w:tc>
          <w:tcPr>
            <w:tcW w:w="746" w:type="dxa"/>
            <w:tcBorders>
              <w:top w:val="nil"/>
              <w:left w:val="nil"/>
              <w:bottom w:val="single" w:sz="4" w:space="0" w:color="auto"/>
              <w:right w:val="single" w:sz="4" w:space="0" w:color="auto"/>
            </w:tcBorders>
            <w:shd w:val="clear" w:color="auto" w:fill="auto"/>
            <w:noWrap/>
            <w:vAlign w:val="bottom"/>
            <w:hideMark/>
          </w:tcPr>
          <w:p w14:paraId="1428EB6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431,5</w:t>
            </w:r>
          </w:p>
        </w:tc>
        <w:tc>
          <w:tcPr>
            <w:tcW w:w="746" w:type="dxa"/>
            <w:tcBorders>
              <w:top w:val="nil"/>
              <w:left w:val="nil"/>
              <w:bottom w:val="single" w:sz="4" w:space="0" w:color="auto"/>
              <w:right w:val="single" w:sz="4" w:space="0" w:color="auto"/>
            </w:tcBorders>
            <w:shd w:val="clear" w:color="auto" w:fill="auto"/>
            <w:noWrap/>
            <w:vAlign w:val="bottom"/>
            <w:hideMark/>
          </w:tcPr>
          <w:p w14:paraId="00DAA29D"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425,4</w:t>
            </w:r>
          </w:p>
        </w:tc>
        <w:tc>
          <w:tcPr>
            <w:tcW w:w="746" w:type="dxa"/>
            <w:tcBorders>
              <w:top w:val="nil"/>
              <w:left w:val="nil"/>
              <w:bottom w:val="single" w:sz="4" w:space="0" w:color="auto"/>
              <w:right w:val="single" w:sz="4" w:space="0" w:color="auto"/>
            </w:tcBorders>
            <w:shd w:val="clear" w:color="auto" w:fill="auto"/>
            <w:noWrap/>
            <w:vAlign w:val="bottom"/>
            <w:hideMark/>
          </w:tcPr>
          <w:p w14:paraId="5E9D014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513,2</w:t>
            </w:r>
          </w:p>
        </w:tc>
        <w:tc>
          <w:tcPr>
            <w:tcW w:w="746" w:type="dxa"/>
            <w:tcBorders>
              <w:top w:val="nil"/>
              <w:left w:val="nil"/>
              <w:bottom w:val="single" w:sz="4" w:space="0" w:color="auto"/>
              <w:right w:val="single" w:sz="4" w:space="0" w:color="auto"/>
            </w:tcBorders>
            <w:shd w:val="clear" w:color="auto" w:fill="auto"/>
            <w:noWrap/>
            <w:vAlign w:val="bottom"/>
            <w:hideMark/>
          </w:tcPr>
          <w:p w14:paraId="4845F880"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570,5</w:t>
            </w:r>
          </w:p>
        </w:tc>
        <w:tc>
          <w:tcPr>
            <w:tcW w:w="746" w:type="dxa"/>
            <w:tcBorders>
              <w:top w:val="nil"/>
              <w:left w:val="nil"/>
              <w:bottom w:val="single" w:sz="4" w:space="0" w:color="auto"/>
              <w:right w:val="single" w:sz="4" w:space="0" w:color="auto"/>
            </w:tcBorders>
            <w:shd w:val="clear" w:color="auto" w:fill="auto"/>
            <w:noWrap/>
            <w:vAlign w:val="bottom"/>
            <w:hideMark/>
          </w:tcPr>
          <w:p w14:paraId="3F5B1C4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539,5</w:t>
            </w:r>
          </w:p>
        </w:tc>
        <w:tc>
          <w:tcPr>
            <w:tcW w:w="746" w:type="dxa"/>
            <w:tcBorders>
              <w:top w:val="nil"/>
              <w:left w:val="nil"/>
              <w:bottom w:val="single" w:sz="4" w:space="0" w:color="auto"/>
              <w:right w:val="single" w:sz="4" w:space="0" w:color="auto"/>
            </w:tcBorders>
            <w:vAlign w:val="bottom"/>
          </w:tcPr>
          <w:p w14:paraId="09156F36" w14:textId="570F9689"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471,2</w:t>
            </w:r>
          </w:p>
        </w:tc>
      </w:tr>
      <w:tr w:rsidR="00092278" w:rsidRPr="00BF7E57" w14:paraId="5301E390" w14:textId="00BC3038"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DD4EA59"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Gozdarstvo</w:t>
            </w:r>
          </w:p>
        </w:tc>
        <w:tc>
          <w:tcPr>
            <w:tcW w:w="745" w:type="dxa"/>
            <w:tcBorders>
              <w:top w:val="nil"/>
              <w:left w:val="nil"/>
              <w:bottom w:val="single" w:sz="4" w:space="0" w:color="auto"/>
              <w:right w:val="single" w:sz="4" w:space="0" w:color="auto"/>
            </w:tcBorders>
            <w:shd w:val="clear" w:color="auto" w:fill="auto"/>
            <w:noWrap/>
            <w:vAlign w:val="bottom"/>
            <w:hideMark/>
          </w:tcPr>
          <w:p w14:paraId="7C2F48F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255,8</w:t>
            </w:r>
          </w:p>
        </w:tc>
        <w:tc>
          <w:tcPr>
            <w:tcW w:w="746" w:type="dxa"/>
            <w:tcBorders>
              <w:top w:val="nil"/>
              <w:left w:val="nil"/>
              <w:bottom w:val="single" w:sz="4" w:space="0" w:color="auto"/>
              <w:right w:val="single" w:sz="4" w:space="0" w:color="auto"/>
            </w:tcBorders>
            <w:shd w:val="clear" w:color="auto" w:fill="auto"/>
            <w:noWrap/>
            <w:vAlign w:val="bottom"/>
            <w:hideMark/>
          </w:tcPr>
          <w:p w14:paraId="3D0E6C5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232,2</w:t>
            </w:r>
          </w:p>
        </w:tc>
        <w:tc>
          <w:tcPr>
            <w:tcW w:w="746" w:type="dxa"/>
            <w:tcBorders>
              <w:top w:val="nil"/>
              <w:left w:val="nil"/>
              <w:bottom w:val="single" w:sz="4" w:space="0" w:color="auto"/>
              <w:right w:val="single" w:sz="4" w:space="0" w:color="auto"/>
            </w:tcBorders>
            <w:shd w:val="clear" w:color="auto" w:fill="auto"/>
            <w:noWrap/>
            <w:vAlign w:val="bottom"/>
            <w:hideMark/>
          </w:tcPr>
          <w:p w14:paraId="6D5F2C5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243,9</w:t>
            </w:r>
          </w:p>
        </w:tc>
        <w:tc>
          <w:tcPr>
            <w:tcW w:w="746" w:type="dxa"/>
            <w:tcBorders>
              <w:top w:val="nil"/>
              <w:left w:val="nil"/>
              <w:bottom w:val="single" w:sz="4" w:space="0" w:color="auto"/>
              <w:right w:val="single" w:sz="4" w:space="0" w:color="auto"/>
            </w:tcBorders>
            <w:shd w:val="clear" w:color="auto" w:fill="auto"/>
            <w:noWrap/>
            <w:vAlign w:val="bottom"/>
            <w:hideMark/>
          </w:tcPr>
          <w:p w14:paraId="773493D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270,0</w:t>
            </w:r>
          </w:p>
        </w:tc>
        <w:tc>
          <w:tcPr>
            <w:tcW w:w="746" w:type="dxa"/>
            <w:tcBorders>
              <w:top w:val="nil"/>
              <w:left w:val="nil"/>
              <w:bottom w:val="single" w:sz="4" w:space="0" w:color="auto"/>
              <w:right w:val="single" w:sz="4" w:space="0" w:color="auto"/>
            </w:tcBorders>
            <w:shd w:val="clear" w:color="auto" w:fill="auto"/>
            <w:noWrap/>
            <w:vAlign w:val="bottom"/>
            <w:hideMark/>
          </w:tcPr>
          <w:p w14:paraId="37188CB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276,1</w:t>
            </w:r>
          </w:p>
        </w:tc>
        <w:tc>
          <w:tcPr>
            <w:tcW w:w="746" w:type="dxa"/>
            <w:tcBorders>
              <w:top w:val="nil"/>
              <w:left w:val="nil"/>
              <w:bottom w:val="single" w:sz="4" w:space="0" w:color="auto"/>
              <w:right w:val="single" w:sz="4" w:space="0" w:color="auto"/>
            </w:tcBorders>
            <w:shd w:val="clear" w:color="auto" w:fill="auto"/>
            <w:noWrap/>
            <w:vAlign w:val="bottom"/>
            <w:hideMark/>
          </w:tcPr>
          <w:p w14:paraId="43DB8B8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288,5</w:t>
            </w:r>
          </w:p>
        </w:tc>
        <w:tc>
          <w:tcPr>
            <w:tcW w:w="746" w:type="dxa"/>
            <w:tcBorders>
              <w:top w:val="nil"/>
              <w:left w:val="nil"/>
              <w:bottom w:val="single" w:sz="4" w:space="0" w:color="auto"/>
              <w:right w:val="single" w:sz="4" w:space="0" w:color="auto"/>
            </w:tcBorders>
            <w:shd w:val="clear" w:color="auto" w:fill="auto"/>
            <w:noWrap/>
            <w:vAlign w:val="bottom"/>
            <w:hideMark/>
          </w:tcPr>
          <w:p w14:paraId="58843FE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241,4</w:t>
            </w:r>
          </w:p>
        </w:tc>
        <w:tc>
          <w:tcPr>
            <w:tcW w:w="746" w:type="dxa"/>
            <w:tcBorders>
              <w:top w:val="nil"/>
              <w:left w:val="nil"/>
              <w:bottom w:val="single" w:sz="4" w:space="0" w:color="auto"/>
              <w:right w:val="single" w:sz="4" w:space="0" w:color="auto"/>
            </w:tcBorders>
            <w:shd w:val="clear" w:color="auto" w:fill="auto"/>
            <w:noWrap/>
            <w:vAlign w:val="bottom"/>
            <w:hideMark/>
          </w:tcPr>
          <w:p w14:paraId="6493C7BF"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239,2</w:t>
            </w:r>
          </w:p>
        </w:tc>
        <w:tc>
          <w:tcPr>
            <w:tcW w:w="746" w:type="dxa"/>
            <w:tcBorders>
              <w:top w:val="nil"/>
              <w:left w:val="nil"/>
              <w:bottom w:val="single" w:sz="4" w:space="0" w:color="auto"/>
              <w:right w:val="single" w:sz="4" w:space="0" w:color="auto"/>
            </w:tcBorders>
            <w:shd w:val="clear" w:color="auto" w:fill="auto"/>
            <w:noWrap/>
            <w:vAlign w:val="bottom"/>
            <w:hideMark/>
          </w:tcPr>
          <w:p w14:paraId="1462D3E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262,5</w:t>
            </w:r>
          </w:p>
        </w:tc>
        <w:tc>
          <w:tcPr>
            <w:tcW w:w="746" w:type="dxa"/>
            <w:tcBorders>
              <w:top w:val="nil"/>
              <w:left w:val="nil"/>
              <w:bottom w:val="single" w:sz="4" w:space="0" w:color="auto"/>
              <w:right w:val="single" w:sz="4" w:space="0" w:color="auto"/>
            </w:tcBorders>
            <w:vAlign w:val="bottom"/>
          </w:tcPr>
          <w:p w14:paraId="4E927E9A" w14:textId="0C0EE442"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320,1</w:t>
            </w:r>
          </w:p>
        </w:tc>
      </w:tr>
      <w:tr w:rsidR="00092278" w:rsidRPr="00BF7E57" w14:paraId="753BE5A0" w14:textId="0F4935F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A83DB1D"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Hrana, pijača in tobak</w:t>
            </w:r>
          </w:p>
        </w:tc>
        <w:tc>
          <w:tcPr>
            <w:tcW w:w="745" w:type="dxa"/>
            <w:tcBorders>
              <w:top w:val="nil"/>
              <w:left w:val="nil"/>
              <w:bottom w:val="single" w:sz="4" w:space="0" w:color="auto"/>
              <w:right w:val="single" w:sz="4" w:space="0" w:color="auto"/>
            </w:tcBorders>
            <w:shd w:val="clear" w:color="auto" w:fill="auto"/>
            <w:noWrap/>
            <w:vAlign w:val="bottom"/>
            <w:hideMark/>
          </w:tcPr>
          <w:p w14:paraId="7F79AC2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469,2</w:t>
            </w:r>
          </w:p>
        </w:tc>
        <w:tc>
          <w:tcPr>
            <w:tcW w:w="746" w:type="dxa"/>
            <w:tcBorders>
              <w:top w:val="nil"/>
              <w:left w:val="nil"/>
              <w:bottom w:val="single" w:sz="4" w:space="0" w:color="auto"/>
              <w:right w:val="single" w:sz="4" w:space="0" w:color="auto"/>
            </w:tcBorders>
            <w:shd w:val="clear" w:color="auto" w:fill="auto"/>
            <w:noWrap/>
            <w:vAlign w:val="bottom"/>
            <w:hideMark/>
          </w:tcPr>
          <w:p w14:paraId="79CED62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453,0</w:t>
            </w:r>
          </w:p>
        </w:tc>
        <w:tc>
          <w:tcPr>
            <w:tcW w:w="746" w:type="dxa"/>
            <w:tcBorders>
              <w:top w:val="nil"/>
              <w:left w:val="nil"/>
              <w:bottom w:val="single" w:sz="4" w:space="0" w:color="auto"/>
              <w:right w:val="single" w:sz="4" w:space="0" w:color="auto"/>
            </w:tcBorders>
            <w:shd w:val="clear" w:color="auto" w:fill="auto"/>
            <w:noWrap/>
            <w:vAlign w:val="bottom"/>
            <w:hideMark/>
          </w:tcPr>
          <w:p w14:paraId="0EFA324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470,6</w:t>
            </w:r>
          </w:p>
        </w:tc>
        <w:tc>
          <w:tcPr>
            <w:tcW w:w="746" w:type="dxa"/>
            <w:tcBorders>
              <w:top w:val="nil"/>
              <w:left w:val="nil"/>
              <w:bottom w:val="single" w:sz="4" w:space="0" w:color="auto"/>
              <w:right w:val="single" w:sz="4" w:space="0" w:color="auto"/>
            </w:tcBorders>
            <w:shd w:val="clear" w:color="auto" w:fill="auto"/>
            <w:noWrap/>
            <w:vAlign w:val="bottom"/>
            <w:hideMark/>
          </w:tcPr>
          <w:p w14:paraId="2F67390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469,4</w:t>
            </w:r>
          </w:p>
        </w:tc>
        <w:tc>
          <w:tcPr>
            <w:tcW w:w="746" w:type="dxa"/>
            <w:tcBorders>
              <w:top w:val="nil"/>
              <w:left w:val="nil"/>
              <w:bottom w:val="single" w:sz="4" w:space="0" w:color="auto"/>
              <w:right w:val="single" w:sz="4" w:space="0" w:color="auto"/>
            </w:tcBorders>
            <w:shd w:val="clear" w:color="auto" w:fill="auto"/>
            <w:noWrap/>
            <w:vAlign w:val="bottom"/>
            <w:hideMark/>
          </w:tcPr>
          <w:p w14:paraId="2604026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446,3</w:t>
            </w:r>
          </w:p>
        </w:tc>
        <w:tc>
          <w:tcPr>
            <w:tcW w:w="746" w:type="dxa"/>
            <w:tcBorders>
              <w:top w:val="nil"/>
              <w:left w:val="nil"/>
              <w:bottom w:val="single" w:sz="4" w:space="0" w:color="auto"/>
              <w:right w:val="single" w:sz="4" w:space="0" w:color="auto"/>
            </w:tcBorders>
            <w:shd w:val="clear" w:color="auto" w:fill="auto"/>
            <w:noWrap/>
            <w:vAlign w:val="bottom"/>
            <w:hideMark/>
          </w:tcPr>
          <w:p w14:paraId="02DD3E7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439,7</w:t>
            </w:r>
          </w:p>
        </w:tc>
        <w:tc>
          <w:tcPr>
            <w:tcW w:w="746" w:type="dxa"/>
            <w:tcBorders>
              <w:top w:val="nil"/>
              <w:left w:val="nil"/>
              <w:bottom w:val="single" w:sz="4" w:space="0" w:color="auto"/>
              <w:right w:val="single" w:sz="4" w:space="0" w:color="auto"/>
            </w:tcBorders>
            <w:shd w:val="clear" w:color="auto" w:fill="auto"/>
            <w:noWrap/>
            <w:vAlign w:val="bottom"/>
            <w:hideMark/>
          </w:tcPr>
          <w:p w14:paraId="7CB1A67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471,6</w:t>
            </w:r>
          </w:p>
        </w:tc>
        <w:tc>
          <w:tcPr>
            <w:tcW w:w="746" w:type="dxa"/>
            <w:tcBorders>
              <w:top w:val="nil"/>
              <w:left w:val="nil"/>
              <w:bottom w:val="single" w:sz="4" w:space="0" w:color="auto"/>
              <w:right w:val="single" w:sz="4" w:space="0" w:color="auto"/>
            </w:tcBorders>
            <w:shd w:val="clear" w:color="auto" w:fill="auto"/>
            <w:noWrap/>
            <w:vAlign w:val="bottom"/>
            <w:hideMark/>
          </w:tcPr>
          <w:p w14:paraId="464C9B5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505,9</w:t>
            </w:r>
          </w:p>
        </w:tc>
        <w:tc>
          <w:tcPr>
            <w:tcW w:w="746" w:type="dxa"/>
            <w:tcBorders>
              <w:top w:val="nil"/>
              <w:left w:val="nil"/>
              <w:bottom w:val="single" w:sz="4" w:space="0" w:color="auto"/>
              <w:right w:val="single" w:sz="4" w:space="0" w:color="auto"/>
            </w:tcBorders>
            <w:shd w:val="clear" w:color="auto" w:fill="auto"/>
            <w:noWrap/>
            <w:vAlign w:val="bottom"/>
            <w:hideMark/>
          </w:tcPr>
          <w:p w14:paraId="03EF731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523,4</w:t>
            </w:r>
          </w:p>
        </w:tc>
        <w:tc>
          <w:tcPr>
            <w:tcW w:w="746" w:type="dxa"/>
            <w:tcBorders>
              <w:top w:val="nil"/>
              <w:left w:val="nil"/>
              <w:bottom w:val="single" w:sz="4" w:space="0" w:color="auto"/>
              <w:right w:val="single" w:sz="4" w:space="0" w:color="auto"/>
            </w:tcBorders>
            <w:vAlign w:val="bottom"/>
          </w:tcPr>
          <w:p w14:paraId="06A87E08" w14:textId="32576D54"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543,3</w:t>
            </w:r>
          </w:p>
        </w:tc>
      </w:tr>
      <w:tr w:rsidR="00092278" w:rsidRPr="00BF7E57" w14:paraId="36BF72E6" w14:textId="437506C7"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5E521F7"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Lesni izdelki in pohištvo</w:t>
            </w:r>
          </w:p>
        </w:tc>
        <w:tc>
          <w:tcPr>
            <w:tcW w:w="745" w:type="dxa"/>
            <w:tcBorders>
              <w:top w:val="nil"/>
              <w:left w:val="nil"/>
              <w:bottom w:val="single" w:sz="4" w:space="0" w:color="auto"/>
              <w:right w:val="single" w:sz="4" w:space="0" w:color="auto"/>
            </w:tcBorders>
            <w:shd w:val="clear" w:color="auto" w:fill="auto"/>
            <w:noWrap/>
            <w:vAlign w:val="bottom"/>
            <w:hideMark/>
          </w:tcPr>
          <w:p w14:paraId="1254B78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361,7</w:t>
            </w:r>
          </w:p>
        </w:tc>
        <w:tc>
          <w:tcPr>
            <w:tcW w:w="746" w:type="dxa"/>
            <w:tcBorders>
              <w:top w:val="nil"/>
              <w:left w:val="nil"/>
              <w:bottom w:val="single" w:sz="4" w:space="0" w:color="auto"/>
              <w:right w:val="single" w:sz="4" w:space="0" w:color="auto"/>
            </w:tcBorders>
            <w:shd w:val="clear" w:color="auto" w:fill="auto"/>
            <w:noWrap/>
            <w:vAlign w:val="bottom"/>
            <w:hideMark/>
          </w:tcPr>
          <w:p w14:paraId="5710A13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248,6</w:t>
            </w:r>
          </w:p>
        </w:tc>
        <w:tc>
          <w:tcPr>
            <w:tcW w:w="746" w:type="dxa"/>
            <w:tcBorders>
              <w:top w:val="nil"/>
              <w:left w:val="nil"/>
              <w:bottom w:val="single" w:sz="4" w:space="0" w:color="auto"/>
              <w:right w:val="single" w:sz="4" w:space="0" w:color="auto"/>
            </w:tcBorders>
            <w:shd w:val="clear" w:color="auto" w:fill="auto"/>
            <w:noWrap/>
            <w:vAlign w:val="bottom"/>
            <w:hideMark/>
          </w:tcPr>
          <w:p w14:paraId="34065EAD"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260,7</w:t>
            </w:r>
          </w:p>
        </w:tc>
        <w:tc>
          <w:tcPr>
            <w:tcW w:w="746" w:type="dxa"/>
            <w:tcBorders>
              <w:top w:val="nil"/>
              <w:left w:val="nil"/>
              <w:bottom w:val="single" w:sz="4" w:space="0" w:color="auto"/>
              <w:right w:val="single" w:sz="4" w:space="0" w:color="auto"/>
            </w:tcBorders>
            <w:shd w:val="clear" w:color="auto" w:fill="auto"/>
            <w:noWrap/>
            <w:vAlign w:val="bottom"/>
            <w:hideMark/>
          </w:tcPr>
          <w:p w14:paraId="736AF18E"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258,4</w:t>
            </w:r>
          </w:p>
        </w:tc>
        <w:tc>
          <w:tcPr>
            <w:tcW w:w="746" w:type="dxa"/>
            <w:tcBorders>
              <w:top w:val="nil"/>
              <w:left w:val="nil"/>
              <w:bottom w:val="single" w:sz="4" w:space="0" w:color="auto"/>
              <w:right w:val="single" w:sz="4" w:space="0" w:color="auto"/>
            </w:tcBorders>
            <w:shd w:val="clear" w:color="auto" w:fill="auto"/>
            <w:noWrap/>
            <w:vAlign w:val="bottom"/>
            <w:hideMark/>
          </w:tcPr>
          <w:p w14:paraId="68C1C53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246,9</w:t>
            </w:r>
          </w:p>
        </w:tc>
        <w:tc>
          <w:tcPr>
            <w:tcW w:w="746" w:type="dxa"/>
            <w:tcBorders>
              <w:top w:val="nil"/>
              <w:left w:val="nil"/>
              <w:bottom w:val="single" w:sz="4" w:space="0" w:color="auto"/>
              <w:right w:val="single" w:sz="4" w:space="0" w:color="auto"/>
            </w:tcBorders>
            <w:shd w:val="clear" w:color="auto" w:fill="auto"/>
            <w:noWrap/>
            <w:vAlign w:val="bottom"/>
            <w:hideMark/>
          </w:tcPr>
          <w:p w14:paraId="6CB7360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245,0</w:t>
            </w:r>
          </w:p>
        </w:tc>
        <w:tc>
          <w:tcPr>
            <w:tcW w:w="746" w:type="dxa"/>
            <w:tcBorders>
              <w:top w:val="nil"/>
              <w:left w:val="nil"/>
              <w:bottom w:val="single" w:sz="4" w:space="0" w:color="auto"/>
              <w:right w:val="single" w:sz="4" w:space="0" w:color="auto"/>
            </w:tcBorders>
            <w:shd w:val="clear" w:color="auto" w:fill="auto"/>
            <w:noWrap/>
            <w:vAlign w:val="bottom"/>
            <w:hideMark/>
          </w:tcPr>
          <w:p w14:paraId="4BA09816"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271,1</w:t>
            </w:r>
          </w:p>
        </w:tc>
        <w:tc>
          <w:tcPr>
            <w:tcW w:w="746" w:type="dxa"/>
            <w:tcBorders>
              <w:top w:val="nil"/>
              <w:left w:val="nil"/>
              <w:bottom w:val="single" w:sz="4" w:space="0" w:color="auto"/>
              <w:right w:val="single" w:sz="4" w:space="0" w:color="auto"/>
            </w:tcBorders>
            <w:shd w:val="clear" w:color="auto" w:fill="auto"/>
            <w:noWrap/>
            <w:vAlign w:val="bottom"/>
            <w:hideMark/>
          </w:tcPr>
          <w:p w14:paraId="6AF7736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295,2</w:t>
            </w:r>
          </w:p>
        </w:tc>
        <w:tc>
          <w:tcPr>
            <w:tcW w:w="746" w:type="dxa"/>
            <w:tcBorders>
              <w:top w:val="nil"/>
              <w:left w:val="nil"/>
              <w:bottom w:val="single" w:sz="4" w:space="0" w:color="auto"/>
              <w:right w:val="single" w:sz="4" w:space="0" w:color="auto"/>
            </w:tcBorders>
            <w:shd w:val="clear" w:color="auto" w:fill="auto"/>
            <w:noWrap/>
            <w:vAlign w:val="bottom"/>
            <w:hideMark/>
          </w:tcPr>
          <w:p w14:paraId="321360CE"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307,4</w:t>
            </w:r>
          </w:p>
        </w:tc>
        <w:tc>
          <w:tcPr>
            <w:tcW w:w="746" w:type="dxa"/>
            <w:tcBorders>
              <w:top w:val="nil"/>
              <w:left w:val="nil"/>
              <w:bottom w:val="single" w:sz="4" w:space="0" w:color="auto"/>
              <w:right w:val="single" w:sz="4" w:space="0" w:color="auto"/>
            </w:tcBorders>
            <w:vAlign w:val="bottom"/>
          </w:tcPr>
          <w:p w14:paraId="7B91CDFE" w14:textId="5F09EF94"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326,3</w:t>
            </w:r>
          </w:p>
        </w:tc>
      </w:tr>
      <w:tr w:rsidR="00092278" w:rsidRPr="00BF7E57" w14:paraId="722F98CF" w14:textId="7E2C4D6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9A7BAA4"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Papir</w:t>
            </w:r>
          </w:p>
        </w:tc>
        <w:tc>
          <w:tcPr>
            <w:tcW w:w="745" w:type="dxa"/>
            <w:tcBorders>
              <w:top w:val="nil"/>
              <w:left w:val="nil"/>
              <w:bottom w:val="single" w:sz="4" w:space="0" w:color="auto"/>
              <w:right w:val="single" w:sz="4" w:space="0" w:color="auto"/>
            </w:tcBorders>
            <w:shd w:val="clear" w:color="auto" w:fill="auto"/>
            <w:noWrap/>
            <w:vAlign w:val="bottom"/>
            <w:hideMark/>
          </w:tcPr>
          <w:p w14:paraId="62B024A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146,9</w:t>
            </w:r>
          </w:p>
        </w:tc>
        <w:tc>
          <w:tcPr>
            <w:tcW w:w="746" w:type="dxa"/>
            <w:tcBorders>
              <w:top w:val="nil"/>
              <w:left w:val="nil"/>
              <w:bottom w:val="single" w:sz="4" w:space="0" w:color="auto"/>
              <w:right w:val="single" w:sz="4" w:space="0" w:color="auto"/>
            </w:tcBorders>
            <w:shd w:val="clear" w:color="auto" w:fill="auto"/>
            <w:noWrap/>
            <w:vAlign w:val="bottom"/>
            <w:hideMark/>
          </w:tcPr>
          <w:p w14:paraId="1A7B1D4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150,5</w:t>
            </w:r>
          </w:p>
        </w:tc>
        <w:tc>
          <w:tcPr>
            <w:tcW w:w="746" w:type="dxa"/>
            <w:tcBorders>
              <w:top w:val="nil"/>
              <w:left w:val="nil"/>
              <w:bottom w:val="single" w:sz="4" w:space="0" w:color="auto"/>
              <w:right w:val="single" w:sz="4" w:space="0" w:color="auto"/>
            </w:tcBorders>
            <w:shd w:val="clear" w:color="auto" w:fill="auto"/>
            <w:noWrap/>
            <w:vAlign w:val="bottom"/>
            <w:hideMark/>
          </w:tcPr>
          <w:p w14:paraId="001EAA8D"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124,7</w:t>
            </w:r>
          </w:p>
        </w:tc>
        <w:tc>
          <w:tcPr>
            <w:tcW w:w="746" w:type="dxa"/>
            <w:tcBorders>
              <w:top w:val="nil"/>
              <w:left w:val="nil"/>
              <w:bottom w:val="single" w:sz="4" w:space="0" w:color="auto"/>
              <w:right w:val="single" w:sz="4" w:space="0" w:color="auto"/>
            </w:tcBorders>
            <w:shd w:val="clear" w:color="auto" w:fill="auto"/>
            <w:noWrap/>
            <w:vAlign w:val="bottom"/>
            <w:hideMark/>
          </w:tcPr>
          <w:p w14:paraId="3381857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122,0</w:t>
            </w:r>
          </w:p>
        </w:tc>
        <w:tc>
          <w:tcPr>
            <w:tcW w:w="746" w:type="dxa"/>
            <w:tcBorders>
              <w:top w:val="nil"/>
              <w:left w:val="nil"/>
              <w:bottom w:val="single" w:sz="4" w:space="0" w:color="auto"/>
              <w:right w:val="single" w:sz="4" w:space="0" w:color="auto"/>
            </w:tcBorders>
            <w:shd w:val="clear" w:color="auto" w:fill="auto"/>
            <w:noWrap/>
            <w:vAlign w:val="bottom"/>
            <w:hideMark/>
          </w:tcPr>
          <w:p w14:paraId="0AEA007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122,2</w:t>
            </w:r>
          </w:p>
        </w:tc>
        <w:tc>
          <w:tcPr>
            <w:tcW w:w="746" w:type="dxa"/>
            <w:tcBorders>
              <w:top w:val="nil"/>
              <w:left w:val="nil"/>
              <w:bottom w:val="single" w:sz="4" w:space="0" w:color="auto"/>
              <w:right w:val="single" w:sz="4" w:space="0" w:color="auto"/>
            </w:tcBorders>
            <w:shd w:val="clear" w:color="auto" w:fill="auto"/>
            <w:noWrap/>
            <w:vAlign w:val="bottom"/>
            <w:hideMark/>
          </w:tcPr>
          <w:p w14:paraId="4E1FF1F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124,4</w:t>
            </w:r>
          </w:p>
        </w:tc>
        <w:tc>
          <w:tcPr>
            <w:tcW w:w="746" w:type="dxa"/>
            <w:tcBorders>
              <w:top w:val="nil"/>
              <w:left w:val="nil"/>
              <w:bottom w:val="single" w:sz="4" w:space="0" w:color="auto"/>
              <w:right w:val="single" w:sz="4" w:space="0" w:color="auto"/>
            </w:tcBorders>
            <w:shd w:val="clear" w:color="auto" w:fill="auto"/>
            <w:noWrap/>
            <w:vAlign w:val="bottom"/>
            <w:hideMark/>
          </w:tcPr>
          <w:p w14:paraId="3A91DDA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128,4</w:t>
            </w:r>
          </w:p>
        </w:tc>
        <w:tc>
          <w:tcPr>
            <w:tcW w:w="746" w:type="dxa"/>
            <w:tcBorders>
              <w:top w:val="nil"/>
              <w:left w:val="nil"/>
              <w:bottom w:val="single" w:sz="4" w:space="0" w:color="auto"/>
              <w:right w:val="single" w:sz="4" w:space="0" w:color="auto"/>
            </w:tcBorders>
            <w:shd w:val="clear" w:color="auto" w:fill="auto"/>
            <w:noWrap/>
            <w:vAlign w:val="bottom"/>
            <w:hideMark/>
          </w:tcPr>
          <w:p w14:paraId="08F047F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125,2</w:t>
            </w:r>
          </w:p>
        </w:tc>
        <w:tc>
          <w:tcPr>
            <w:tcW w:w="746" w:type="dxa"/>
            <w:tcBorders>
              <w:top w:val="nil"/>
              <w:left w:val="nil"/>
              <w:bottom w:val="single" w:sz="4" w:space="0" w:color="auto"/>
              <w:right w:val="single" w:sz="4" w:space="0" w:color="auto"/>
            </w:tcBorders>
            <w:shd w:val="clear" w:color="auto" w:fill="auto"/>
            <w:noWrap/>
            <w:vAlign w:val="bottom"/>
            <w:hideMark/>
          </w:tcPr>
          <w:p w14:paraId="0505F72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125,5</w:t>
            </w:r>
          </w:p>
        </w:tc>
        <w:tc>
          <w:tcPr>
            <w:tcW w:w="746" w:type="dxa"/>
            <w:tcBorders>
              <w:top w:val="nil"/>
              <w:left w:val="nil"/>
              <w:bottom w:val="single" w:sz="4" w:space="0" w:color="auto"/>
              <w:right w:val="single" w:sz="4" w:space="0" w:color="auto"/>
            </w:tcBorders>
            <w:vAlign w:val="bottom"/>
          </w:tcPr>
          <w:p w14:paraId="04A2C8AF" w14:textId="1B38E639"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129,6</w:t>
            </w:r>
          </w:p>
        </w:tc>
      </w:tr>
      <w:tr w:rsidR="00092278" w:rsidRPr="00BF7E57" w14:paraId="75B495D3" w14:textId="70928C8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7063B28"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Bioosnovan tekstil</w:t>
            </w:r>
          </w:p>
        </w:tc>
        <w:tc>
          <w:tcPr>
            <w:tcW w:w="745" w:type="dxa"/>
            <w:tcBorders>
              <w:top w:val="nil"/>
              <w:left w:val="nil"/>
              <w:bottom w:val="single" w:sz="4" w:space="0" w:color="auto"/>
              <w:right w:val="single" w:sz="4" w:space="0" w:color="auto"/>
            </w:tcBorders>
            <w:shd w:val="clear" w:color="auto" w:fill="auto"/>
            <w:noWrap/>
            <w:vAlign w:val="bottom"/>
            <w:hideMark/>
          </w:tcPr>
          <w:p w14:paraId="35182E0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128,4</w:t>
            </w:r>
          </w:p>
        </w:tc>
        <w:tc>
          <w:tcPr>
            <w:tcW w:w="746" w:type="dxa"/>
            <w:tcBorders>
              <w:top w:val="nil"/>
              <w:left w:val="nil"/>
              <w:bottom w:val="single" w:sz="4" w:space="0" w:color="auto"/>
              <w:right w:val="single" w:sz="4" w:space="0" w:color="auto"/>
            </w:tcBorders>
            <w:shd w:val="clear" w:color="auto" w:fill="auto"/>
            <w:noWrap/>
            <w:vAlign w:val="bottom"/>
            <w:hideMark/>
          </w:tcPr>
          <w:p w14:paraId="7BAB44E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90,4</w:t>
            </w:r>
          </w:p>
        </w:tc>
        <w:tc>
          <w:tcPr>
            <w:tcW w:w="746" w:type="dxa"/>
            <w:tcBorders>
              <w:top w:val="nil"/>
              <w:left w:val="nil"/>
              <w:bottom w:val="single" w:sz="4" w:space="0" w:color="auto"/>
              <w:right w:val="single" w:sz="4" w:space="0" w:color="auto"/>
            </w:tcBorders>
            <w:shd w:val="clear" w:color="auto" w:fill="auto"/>
            <w:noWrap/>
            <w:vAlign w:val="bottom"/>
            <w:hideMark/>
          </w:tcPr>
          <w:p w14:paraId="747EEA6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94,4</w:t>
            </w:r>
          </w:p>
        </w:tc>
        <w:tc>
          <w:tcPr>
            <w:tcW w:w="746" w:type="dxa"/>
            <w:tcBorders>
              <w:top w:val="nil"/>
              <w:left w:val="nil"/>
              <w:bottom w:val="single" w:sz="4" w:space="0" w:color="auto"/>
              <w:right w:val="single" w:sz="4" w:space="0" w:color="auto"/>
            </w:tcBorders>
            <w:shd w:val="clear" w:color="auto" w:fill="auto"/>
            <w:noWrap/>
            <w:vAlign w:val="bottom"/>
            <w:hideMark/>
          </w:tcPr>
          <w:p w14:paraId="43F3F3FF"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95,3</w:t>
            </w:r>
          </w:p>
        </w:tc>
        <w:tc>
          <w:tcPr>
            <w:tcW w:w="746" w:type="dxa"/>
            <w:tcBorders>
              <w:top w:val="nil"/>
              <w:left w:val="nil"/>
              <w:bottom w:val="single" w:sz="4" w:space="0" w:color="auto"/>
              <w:right w:val="single" w:sz="4" w:space="0" w:color="auto"/>
            </w:tcBorders>
            <w:shd w:val="clear" w:color="auto" w:fill="auto"/>
            <w:noWrap/>
            <w:vAlign w:val="bottom"/>
            <w:hideMark/>
          </w:tcPr>
          <w:p w14:paraId="00E4517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83,9</w:t>
            </w:r>
          </w:p>
        </w:tc>
        <w:tc>
          <w:tcPr>
            <w:tcW w:w="746" w:type="dxa"/>
            <w:tcBorders>
              <w:top w:val="nil"/>
              <w:left w:val="nil"/>
              <w:bottom w:val="single" w:sz="4" w:space="0" w:color="auto"/>
              <w:right w:val="single" w:sz="4" w:space="0" w:color="auto"/>
            </w:tcBorders>
            <w:shd w:val="clear" w:color="auto" w:fill="auto"/>
            <w:noWrap/>
            <w:vAlign w:val="bottom"/>
            <w:hideMark/>
          </w:tcPr>
          <w:p w14:paraId="5216BF56"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82,1</w:t>
            </w:r>
          </w:p>
        </w:tc>
        <w:tc>
          <w:tcPr>
            <w:tcW w:w="746" w:type="dxa"/>
            <w:tcBorders>
              <w:top w:val="nil"/>
              <w:left w:val="nil"/>
              <w:bottom w:val="single" w:sz="4" w:space="0" w:color="auto"/>
              <w:right w:val="single" w:sz="4" w:space="0" w:color="auto"/>
            </w:tcBorders>
            <w:shd w:val="clear" w:color="auto" w:fill="auto"/>
            <w:noWrap/>
            <w:vAlign w:val="bottom"/>
            <w:hideMark/>
          </w:tcPr>
          <w:p w14:paraId="4DB7366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91,5</w:t>
            </w:r>
          </w:p>
        </w:tc>
        <w:tc>
          <w:tcPr>
            <w:tcW w:w="746" w:type="dxa"/>
            <w:tcBorders>
              <w:top w:val="nil"/>
              <w:left w:val="nil"/>
              <w:bottom w:val="single" w:sz="4" w:space="0" w:color="auto"/>
              <w:right w:val="single" w:sz="4" w:space="0" w:color="auto"/>
            </w:tcBorders>
            <w:shd w:val="clear" w:color="auto" w:fill="auto"/>
            <w:noWrap/>
            <w:vAlign w:val="bottom"/>
            <w:hideMark/>
          </w:tcPr>
          <w:p w14:paraId="08AF3C3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90,4</w:t>
            </w:r>
          </w:p>
        </w:tc>
        <w:tc>
          <w:tcPr>
            <w:tcW w:w="746" w:type="dxa"/>
            <w:tcBorders>
              <w:top w:val="nil"/>
              <w:left w:val="nil"/>
              <w:bottom w:val="single" w:sz="4" w:space="0" w:color="auto"/>
              <w:right w:val="single" w:sz="4" w:space="0" w:color="auto"/>
            </w:tcBorders>
            <w:shd w:val="clear" w:color="auto" w:fill="auto"/>
            <w:noWrap/>
            <w:vAlign w:val="bottom"/>
            <w:hideMark/>
          </w:tcPr>
          <w:p w14:paraId="45A64DFE"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93,2</w:t>
            </w:r>
          </w:p>
        </w:tc>
        <w:tc>
          <w:tcPr>
            <w:tcW w:w="746" w:type="dxa"/>
            <w:tcBorders>
              <w:top w:val="nil"/>
              <w:left w:val="nil"/>
              <w:bottom w:val="single" w:sz="4" w:space="0" w:color="auto"/>
              <w:right w:val="single" w:sz="4" w:space="0" w:color="auto"/>
            </w:tcBorders>
            <w:vAlign w:val="bottom"/>
          </w:tcPr>
          <w:p w14:paraId="412688C3" w14:textId="70E4C9EF"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97,2</w:t>
            </w:r>
          </w:p>
        </w:tc>
      </w:tr>
      <w:tr w:rsidR="00092278" w:rsidRPr="00BF7E57" w14:paraId="7F465E7F" w14:textId="5C2D5EF4" w:rsidTr="00092278">
        <w:trPr>
          <w:trHeight w:val="703"/>
        </w:trPr>
        <w:tc>
          <w:tcPr>
            <w:tcW w:w="2120" w:type="dxa"/>
            <w:tcBorders>
              <w:top w:val="nil"/>
              <w:left w:val="single" w:sz="4" w:space="0" w:color="auto"/>
              <w:bottom w:val="single" w:sz="4" w:space="0" w:color="auto"/>
              <w:right w:val="single" w:sz="4" w:space="0" w:color="auto"/>
            </w:tcBorders>
            <w:shd w:val="clear" w:color="auto" w:fill="auto"/>
            <w:vAlign w:val="bottom"/>
            <w:hideMark/>
          </w:tcPr>
          <w:p w14:paraId="2BE4AE06"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Bioosnovane kemikalije, zdravila, plastika in guma (brez biogoriv)</w:t>
            </w:r>
          </w:p>
        </w:tc>
        <w:tc>
          <w:tcPr>
            <w:tcW w:w="745" w:type="dxa"/>
            <w:tcBorders>
              <w:top w:val="nil"/>
              <w:left w:val="nil"/>
              <w:bottom w:val="single" w:sz="4" w:space="0" w:color="auto"/>
              <w:right w:val="single" w:sz="4" w:space="0" w:color="auto"/>
            </w:tcBorders>
            <w:shd w:val="clear" w:color="auto" w:fill="auto"/>
            <w:noWrap/>
            <w:vAlign w:val="bottom"/>
            <w:hideMark/>
          </w:tcPr>
          <w:p w14:paraId="7EF4E51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438,0</w:t>
            </w:r>
          </w:p>
        </w:tc>
        <w:tc>
          <w:tcPr>
            <w:tcW w:w="746" w:type="dxa"/>
            <w:tcBorders>
              <w:top w:val="nil"/>
              <w:left w:val="nil"/>
              <w:bottom w:val="single" w:sz="4" w:space="0" w:color="auto"/>
              <w:right w:val="single" w:sz="4" w:space="0" w:color="auto"/>
            </w:tcBorders>
            <w:shd w:val="clear" w:color="auto" w:fill="auto"/>
            <w:noWrap/>
            <w:vAlign w:val="bottom"/>
            <w:hideMark/>
          </w:tcPr>
          <w:p w14:paraId="14054CB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432,4</w:t>
            </w:r>
          </w:p>
        </w:tc>
        <w:tc>
          <w:tcPr>
            <w:tcW w:w="746" w:type="dxa"/>
            <w:tcBorders>
              <w:top w:val="nil"/>
              <w:left w:val="nil"/>
              <w:bottom w:val="single" w:sz="4" w:space="0" w:color="auto"/>
              <w:right w:val="single" w:sz="4" w:space="0" w:color="auto"/>
            </w:tcBorders>
            <w:shd w:val="clear" w:color="auto" w:fill="auto"/>
            <w:noWrap/>
            <w:vAlign w:val="bottom"/>
            <w:hideMark/>
          </w:tcPr>
          <w:p w14:paraId="2A5CEC8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439,7</w:t>
            </w:r>
          </w:p>
        </w:tc>
        <w:tc>
          <w:tcPr>
            <w:tcW w:w="746" w:type="dxa"/>
            <w:tcBorders>
              <w:top w:val="nil"/>
              <w:left w:val="nil"/>
              <w:bottom w:val="single" w:sz="4" w:space="0" w:color="auto"/>
              <w:right w:val="single" w:sz="4" w:space="0" w:color="auto"/>
            </w:tcBorders>
            <w:shd w:val="clear" w:color="auto" w:fill="auto"/>
            <w:noWrap/>
            <w:vAlign w:val="bottom"/>
            <w:hideMark/>
          </w:tcPr>
          <w:p w14:paraId="49EA23DF"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432,1</w:t>
            </w:r>
          </w:p>
        </w:tc>
        <w:tc>
          <w:tcPr>
            <w:tcW w:w="746" w:type="dxa"/>
            <w:tcBorders>
              <w:top w:val="nil"/>
              <w:left w:val="nil"/>
              <w:bottom w:val="single" w:sz="4" w:space="0" w:color="auto"/>
              <w:right w:val="single" w:sz="4" w:space="0" w:color="auto"/>
            </w:tcBorders>
            <w:shd w:val="clear" w:color="auto" w:fill="auto"/>
            <w:noWrap/>
            <w:vAlign w:val="bottom"/>
            <w:hideMark/>
          </w:tcPr>
          <w:p w14:paraId="366F0A6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436,4</w:t>
            </w:r>
          </w:p>
        </w:tc>
        <w:tc>
          <w:tcPr>
            <w:tcW w:w="746" w:type="dxa"/>
            <w:tcBorders>
              <w:top w:val="nil"/>
              <w:left w:val="nil"/>
              <w:bottom w:val="single" w:sz="4" w:space="0" w:color="auto"/>
              <w:right w:val="single" w:sz="4" w:space="0" w:color="auto"/>
            </w:tcBorders>
            <w:shd w:val="clear" w:color="auto" w:fill="auto"/>
            <w:noWrap/>
            <w:vAlign w:val="bottom"/>
            <w:hideMark/>
          </w:tcPr>
          <w:p w14:paraId="5CEE52C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437,9</w:t>
            </w:r>
          </w:p>
        </w:tc>
        <w:tc>
          <w:tcPr>
            <w:tcW w:w="746" w:type="dxa"/>
            <w:tcBorders>
              <w:top w:val="nil"/>
              <w:left w:val="nil"/>
              <w:bottom w:val="single" w:sz="4" w:space="0" w:color="auto"/>
              <w:right w:val="single" w:sz="4" w:space="0" w:color="auto"/>
            </w:tcBorders>
            <w:shd w:val="clear" w:color="auto" w:fill="auto"/>
            <w:noWrap/>
            <w:vAlign w:val="bottom"/>
            <w:hideMark/>
          </w:tcPr>
          <w:p w14:paraId="3DEA7BD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437,0</w:t>
            </w:r>
          </w:p>
        </w:tc>
        <w:tc>
          <w:tcPr>
            <w:tcW w:w="746" w:type="dxa"/>
            <w:tcBorders>
              <w:top w:val="nil"/>
              <w:left w:val="nil"/>
              <w:bottom w:val="single" w:sz="4" w:space="0" w:color="auto"/>
              <w:right w:val="single" w:sz="4" w:space="0" w:color="auto"/>
            </w:tcBorders>
            <w:shd w:val="clear" w:color="auto" w:fill="auto"/>
            <w:noWrap/>
            <w:vAlign w:val="bottom"/>
            <w:hideMark/>
          </w:tcPr>
          <w:p w14:paraId="679D3E3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436,4</w:t>
            </w:r>
          </w:p>
        </w:tc>
        <w:tc>
          <w:tcPr>
            <w:tcW w:w="746" w:type="dxa"/>
            <w:tcBorders>
              <w:top w:val="nil"/>
              <w:left w:val="nil"/>
              <w:bottom w:val="single" w:sz="4" w:space="0" w:color="auto"/>
              <w:right w:val="single" w:sz="4" w:space="0" w:color="auto"/>
            </w:tcBorders>
            <w:shd w:val="clear" w:color="auto" w:fill="auto"/>
            <w:noWrap/>
            <w:vAlign w:val="bottom"/>
            <w:hideMark/>
          </w:tcPr>
          <w:p w14:paraId="1667D74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435,5</w:t>
            </w:r>
          </w:p>
        </w:tc>
        <w:tc>
          <w:tcPr>
            <w:tcW w:w="746" w:type="dxa"/>
            <w:tcBorders>
              <w:top w:val="nil"/>
              <w:left w:val="nil"/>
              <w:bottom w:val="single" w:sz="4" w:space="0" w:color="auto"/>
              <w:right w:val="single" w:sz="4" w:space="0" w:color="auto"/>
            </w:tcBorders>
            <w:vAlign w:val="bottom"/>
          </w:tcPr>
          <w:p w14:paraId="53A08E4E" w14:textId="1423BCA1"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435,8</w:t>
            </w:r>
          </w:p>
        </w:tc>
      </w:tr>
      <w:tr w:rsidR="00092278" w:rsidRPr="00BF7E57" w14:paraId="1269212C" w14:textId="62EC101F"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9A4275F"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Elektrika iz biomase</w:t>
            </w:r>
          </w:p>
        </w:tc>
        <w:tc>
          <w:tcPr>
            <w:tcW w:w="745" w:type="dxa"/>
            <w:tcBorders>
              <w:top w:val="nil"/>
              <w:left w:val="nil"/>
              <w:bottom w:val="single" w:sz="4" w:space="0" w:color="auto"/>
              <w:right w:val="single" w:sz="4" w:space="0" w:color="auto"/>
            </w:tcBorders>
            <w:shd w:val="clear" w:color="auto" w:fill="auto"/>
            <w:noWrap/>
            <w:vAlign w:val="bottom"/>
            <w:hideMark/>
          </w:tcPr>
          <w:p w14:paraId="39873D7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4,5</w:t>
            </w:r>
          </w:p>
        </w:tc>
        <w:tc>
          <w:tcPr>
            <w:tcW w:w="746" w:type="dxa"/>
            <w:tcBorders>
              <w:top w:val="nil"/>
              <w:left w:val="nil"/>
              <w:bottom w:val="single" w:sz="4" w:space="0" w:color="auto"/>
              <w:right w:val="single" w:sz="4" w:space="0" w:color="auto"/>
            </w:tcBorders>
            <w:shd w:val="clear" w:color="auto" w:fill="auto"/>
            <w:noWrap/>
            <w:vAlign w:val="bottom"/>
            <w:hideMark/>
          </w:tcPr>
          <w:p w14:paraId="144D721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2,9</w:t>
            </w:r>
          </w:p>
        </w:tc>
        <w:tc>
          <w:tcPr>
            <w:tcW w:w="746" w:type="dxa"/>
            <w:tcBorders>
              <w:top w:val="nil"/>
              <w:left w:val="nil"/>
              <w:bottom w:val="single" w:sz="4" w:space="0" w:color="auto"/>
              <w:right w:val="single" w:sz="4" w:space="0" w:color="auto"/>
            </w:tcBorders>
            <w:shd w:val="clear" w:color="auto" w:fill="auto"/>
            <w:noWrap/>
            <w:vAlign w:val="bottom"/>
            <w:hideMark/>
          </w:tcPr>
          <w:p w14:paraId="7A1ECC3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3,4</w:t>
            </w:r>
          </w:p>
        </w:tc>
        <w:tc>
          <w:tcPr>
            <w:tcW w:w="746" w:type="dxa"/>
            <w:tcBorders>
              <w:top w:val="nil"/>
              <w:left w:val="nil"/>
              <w:bottom w:val="single" w:sz="4" w:space="0" w:color="auto"/>
              <w:right w:val="single" w:sz="4" w:space="0" w:color="auto"/>
            </w:tcBorders>
            <w:shd w:val="clear" w:color="auto" w:fill="auto"/>
            <w:noWrap/>
            <w:vAlign w:val="bottom"/>
            <w:hideMark/>
          </w:tcPr>
          <w:p w14:paraId="0A8D87D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5,2</w:t>
            </w:r>
          </w:p>
        </w:tc>
        <w:tc>
          <w:tcPr>
            <w:tcW w:w="746" w:type="dxa"/>
            <w:tcBorders>
              <w:top w:val="nil"/>
              <w:left w:val="nil"/>
              <w:bottom w:val="single" w:sz="4" w:space="0" w:color="auto"/>
              <w:right w:val="single" w:sz="4" w:space="0" w:color="auto"/>
            </w:tcBorders>
            <w:shd w:val="clear" w:color="auto" w:fill="auto"/>
            <w:noWrap/>
            <w:vAlign w:val="bottom"/>
            <w:hideMark/>
          </w:tcPr>
          <w:p w14:paraId="72A01FF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5,8</w:t>
            </w:r>
          </w:p>
        </w:tc>
        <w:tc>
          <w:tcPr>
            <w:tcW w:w="746" w:type="dxa"/>
            <w:tcBorders>
              <w:top w:val="nil"/>
              <w:left w:val="nil"/>
              <w:bottom w:val="single" w:sz="4" w:space="0" w:color="auto"/>
              <w:right w:val="single" w:sz="4" w:space="0" w:color="auto"/>
            </w:tcBorders>
            <w:shd w:val="clear" w:color="auto" w:fill="auto"/>
            <w:noWrap/>
            <w:vAlign w:val="bottom"/>
            <w:hideMark/>
          </w:tcPr>
          <w:p w14:paraId="03F7F63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5,0</w:t>
            </w:r>
          </w:p>
        </w:tc>
        <w:tc>
          <w:tcPr>
            <w:tcW w:w="746" w:type="dxa"/>
            <w:tcBorders>
              <w:top w:val="nil"/>
              <w:left w:val="nil"/>
              <w:bottom w:val="single" w:sz="4" w:space="0" w:color="auto"/>
              <w:right w:val="single" w:sz="4" w:space="0" w:color="auto"/>
            </w:tcBorders>
            <w:shd w:val="clear" w:color="auto" w:fill="auto"/>
            <w:noWrap/>
            <w:vAlign w:val="bottom"/>
            <w:hideMark/>
          </w:tcPr>
          <w:p w14:paraId="5AAC822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4,4</w:t>
            </w:r>
          </w:p>
        </w:tc>
        <w:tc>
          <w:tcPr>
            <w:tcW w:w="746" w:type="dxa"/>
            <w:tcBorders>
              <w:top w:val="nil"/>
              <w:left w:val="nil"/>
              <w:bottom w:val="single" w:sz="4" w:space="0" w:color="auto"/>
              <w:right w:val="single" w:sz="4" w:space="0" w:color="auto"/>
            </w:tcBorders>
            <w:shd w:val="clear" w:color="auto" w:fill="auto"/>
            <w:noWrap/>
            <w:vAlign w:val="bottom"/>
            <w:hideMark/>
          </w:tcPr>
          <w:p w14:paraId="2709EF8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5,1</w:t>
            </w:r>
          </w:p>
        </w:tc>
        <w:tc>
          <w:tcPr>
            <w:tcW w:w="746" w:type="dxa"/>
            <w:tcBorders>
              <w:top w:val="nil"/>
              <w:left w:val="nil"/>
              <w:bottom w:val="single" w:sz="4" w:space="0" w:color="auto"/>
              <w:right w:val="single" w:sz="4" w:space="0" w:color="auto"/>
            </w:tcBorders>
            <w:shd w:val="clear" w:color="auto" w:fill="auto"/>
            <w:noWrap/>
            <w:vAlign w:val="bottom"/>
            <w:hideMark/>
          </w:tcPr>
          <w:p w14:paraId="4336F45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4,9</w:t>
            </w:r>
          </w:p>
        </w:tc>
        <w:tc>
          <w:tcPr>
            <w:tcW w:w="746" w:type="dxa"/>
            <w:tcBorders>
              <w:top w:val="nil"/>
              <w:left w:val="nil"/>
              <w:bottom w:val="single" w:sz="4" w:space="0" w:color="auto"/>
              <w:right w:val="single" w:sz="4" w:space="0" w:color="auto"/>
            </w:tcBorders>
            <w:vAlign w:val="bottom"/>
          </w:tcPr>
          <w:p w14:paraId="15335A6B" w14:textId="3A08280F"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4,9</w:t>
            </w:r>
          </w:p>
        </w:tc>
      </w:tr>
      <w:tr w:rsidR="00092278" w:rsidRPr="00BF7E57" w14:paraId="25EE8E5C" w14:textId="326B65B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62A54AC"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Ribištvo in akvakultura</w:t>
            </w:r>
          </w:p>
        </w:tc>
        <w:tc>
          <w:tcPr>
            <w:tcW w:w="745" w:type="dxa"/>
            <w:tcBorders>
              <w:top w:val="nil"/>
              <w:left w:val="nil"/>
              <w:bottom w:val="single" w:sz="4" w:space="0" w:color="auto"/>
              <w:right w:val="single" w:sz="4" w:space="0" w:color="auto"/>
            </w:tcBorders>
            <w:shd w:val="clear" w:color="auto" w:fill="auto"/>
            <w:noWrap/>
            <w:vAlign w:val="bottom"/>
            <w:hideMark/>
          </w:tcPr>
          <w:p w14:paraId="00FF337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2,7</w:t>
            </w:r>
          </w:p>
        </w:tc>
        <w:tc>
          <w:tcPr>
            <w:tcW w:w="746" w:type="dxa"/>
            <w:tcBorders>
              <w:top w:val="nil"/>
              <w:left w:val="nil"/>
              <w:bottom w:val="single" w:sz="4" w:space="0" w:color="auto"/>
              <w:right w:val="single" w:sz="4" w:space="0" w:color="auto"/>
            </w:tcBorders>
            <w:shd w:val="clear" w:color="auto" w:fill="auto"/>
            <w:noWrap/>
            <w:vAlign w:val="bottom"/>
            <w:hideMark/>
          </w:tcPr>
          <w:p w14:paraId="5965FBB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4,1</w:t>
            </w:r>
          </w:p>
        </w:tc>
        <w:tc>
          <w:tcPr>
            <w:tcW w:w="746" w:type="dxa"/>
            <w:tcBorders>
              <w:top w:val="nil"/>
              <w:left w:val="nil"/>
              <w:bottom w:val="single" w:sz="4" w:space="0" w:color="auto"/>
              <w:right w:val="single" w:sz="4" w:space="0" w:color="auto"/>
            </w:tcBorders>
            <w:shd w:val="clear" w:color="auto" w:fill="auto"/>
            <w:noWrap/>
            <w:vAlign w:val="bottom"/>
            <w:hideMark/>
          </w:tcPr>
          <w:p w14:paraId="3875E6F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w:t>
            </w:r>
          </w:p>
        </w:tc>
        <w:tc>
          <w:tcPr>
            <w:tcW w:w="746" w:type="dxa"/>
            <w:tcBorders>
              <w:top w:val="nil"/>
              <w:left w:val="nil"/>
              <w:bottom w:val="single" w:sz="4" w:space="0" w:color="auto"/>
              <w:right w:val="single" w:sz="4" w:space="0" w:color="auto"/>
            </w:tcBorders>
            <w:shd w:val="clear" w:color="auto" w:fill="auto"/>
            <w:noWrap/>
            <w:vAlign w:val="bottom"/>
            <w:hideMark/>
          </w:tcPr>
          <w:p w14:paraId="1E2A1DA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4,1</w:t>
            </w:r>
          </w:p>
        </w:tc>
        <w:tc>
          <w:tcPr>
            <w:tcW w:w="746" w:type="dxa"/>
            <w:tcBorders>
              <w:top w:val="nil"/>
              <w:left w:val="nil"/>
              <w:bottom w:val="single" w:sz="4" w:space="0" w:color="auto"/>
              <w:right w:val="single" w:sz="4" w:space="0" w:color="auto"/>
            </w:tcBorders>
            <w:shd w:val="clear" w:color="auto" w:fill="auto"/>
            <w:noWrap/>
            <w:vAlign w:val="bottom"/>
            <w:hideMark/>
          </w:tcPr>
          <w:p w14:paraId="50C01836"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4,2</w:t>
            </w:r>
          </w:p>
        </w:tc>
        <w:tc>
          <w:tcPr>
            <w:tcW w:w="746" w:type="dxa"/>
            <w:tcBorders>
              <w:top w:val="nil"/>
              <w:left w:val="nil"/>
              <w:bottom w:val="single" w:sz="4" w:space="0" w:color="auto"/>
              <w:right w:val="single" w:sz="4" w:space="0" w:color="auto"/>
            </w:tcBorders>
            <w:shd w:val="clear" w:color="auto" w:fill="auto"/>
            <w:noWrap/>
            <w:vAlign w:val="bottom"/>
            <w:hideMark/>
          </w:tcPr>
          <w:p w14:paraId="746D9E3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4,8</w:t>
            </w:r>
          </w:p>
        </w:tc>
        <w:tc>
          <w:tcPr>
            <w:tcW w:w="746" w:type="dxa"/>
            <w:tcBorders>
              <w:top w:val="nil"/>
              <w:left w:val="nil"/>
              <w:bottom w:val="single" w:sz="4" w:space="0" w:color="auto"/>
              <w:right w:val="single" w:sz="4" w:space="0" w:color="auto"/>
            </w:tcBorders>
            <w:shd w:val="clear" w:color="auto" w:fill="auto"/>
            <w:noWrap/>
            <w:vAlign w:val="bottom"/>
            <w:hideMark/>
          </w:tcPr>
          <w:p w14:paraId="2C5B929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4,5</w:t>
            </w:r>
          </w:p>
        </w:tc>
        <w:tc>
          <w:tcPr>
            <w:tcW w:w="746" w:type="dxa"/>
            <w:tcBorders>
              <w:top w:val="nil"/>
              <w:left w:val="nil"/>
              <w:bottom w:val="single" w:sz="4" w:space="0" w:color="auto"/>
              <w:right w:val="single" w:sz="4" w:space="0" w:color="auto"/>
            </w:tcBorders>
            <w:shd w:val="clear" w:color="auto" w:fill="auto"/>
            <w:noWrap/>
            <w:vAlign w:val="bottom"/>
            <w:hideMark/>
          </w:tcPr>
          <w:p w14:paraId="5012EF2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4,9</w:t>
            </w:r>
          </w:p>
        </w:tc>
        <w:tc>
          <w:tcPr>
            <w:tcW w:w="746" w:type="dxa"/>
            <w:tcBorders>
              <w:top w:val="nil"/>
              <w:left w:val="nil"/>
              <w:bottom w:val="single" w:sz="4" w:space="0" w:color="auto"/>
              <w:right w:val="single" w:sz="4" w:space="0" w:color="auto"/>
            </w:tcBorders>
            <w:shd w:val="clear" w:color="auto" w:fill="auto"/>
            <w:noWrap/>
            <w:vAlign w:val="bottom"/>
            <w:hideMark/>
          </w:tcPr>
          <w:p w14:paraId="016CF47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4,2</w:t>
            </w:r>
          </w:p>
        </w:tc>
        <w:tc>
          <w:tcPr>
            <w:tcW w:w="746" w:type="dxa"/>
            <w:tcBorders>
              <w:top w:val="nil"/>
              <w:left w:val="nil"/>
              <w:bottom w:val="single" w:sz="4" w:space="0" w:color="auto"/>
              <w:right w:val="single" w:sz="4" w:space="0" w:color="auto"/>
            </w:tcBorders>
            <w:vAlign w:val="bottom"/>
          </w:tcPr>
          <w:p w14:paraId="5D2A61B7" w14:textId="65F58A6F"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5,1</w:t>
            </w:r>
          </w:p>
        </w:tc>
      </w:tr>
      <w:tr w:rsidR="00092278" w:rsidRPr="00BF7E57" w14:paraId="705B89B2" w14:textId="6D1A0021"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BD818F7"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Tekoča biogoriva</w:t>
            </w:r>
          </w:p>
        </w:tc>
        <w:tc>
          <w:tcPr>
            <w:tcW w:w="745" w:type="dxa"/>
            <w:tcBorders>
              <w:top w:val="nil"/>
              <w:left w:val="nil"/>
              <w:bottom w:val="single" w:sz="4" w:space="0" w:color="auto"/>
              <w:right w:val="single" w:sz="4" w:space="0" w:color="auto"/>
            </w:tcBorders>
            <w:shd w:val="clear" w:color="auto" w:fill="auto"/>
            <w:noWrap/>
            <w:vAlign w:val="bottom"/>
            <w:hideMark/>
          </w:tcPr>
          <w:p w14:paraId="3C42A8C0"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6450B29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06E0AA8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73FA6B5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68F5875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2E568D4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49774AE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0081D69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101221B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vAlign w:val="bottom"/>
          </w:tcPr>
          <w:p w14:paraId="1983D69F" w14:textId="17CCAD00"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r>
      <w:tr w:rsidR="00092278" w:rsidRPr="00BF7E57" w14:paraId="6F18F46F" w14:textId="05ED5DFC" w:rsidTr="00092278">
        <w:trPr>
          <w:trHeight w:val="33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2BE74FB" w14:textId="77777777" w:rsidR="00092278" w:rsidRPr="00BF7E57" w:rsidRDefault="00092278" w:rsidP="00092278">
            <w:pPr>
              <w:keepNext/>
              <w:keepLines/>
              <w:spacing w:after="0" w:line="360" w:lineRule="auto"/>
              <w:rPr>
                <w:rFonts w:ascii="Arial" w:hAnsi="Arial" w:cs="Arial"/>
                <w:b/>
                <w:bCs/>
                <w:color w:val="000000"/>
                <w:sz w:val="18"/>
                <w:szCs w:val="18"/>
              </w:rPr>
            </w:pPr>
            <w:r w:rsidRPr="00BF7E57">
              <w:rPr>
                <w:rFonts w:ascii="Arial" w:hAnsi="Arial" w:cs="Arial"/>
                <w:b/>
                <w:bCs/>
                <w:color w:val="000000"/>
                <w:sz w:val="18"/>
                <w:szCs w:val="18"/>
              </w:rPr>
              <w:t>Skupaj</w:t>
            </w:r>
          </w:p>
        </w:tc>
        <w:tc>
          <w:tcPr>
            <w:tcW w:w="745" w:type="dxa"/>
            <w:tcBorders>
              <w:top w:val="nil"/>
              <w:left w:val="nil"/>
              <w:bottom w:val="single" w:sz="4" w:space="0" w:color="auto"/>
              <w:right w:val="single" w:sz="4" w:space="0" w:color="auto"/>
            </w:tcBorders>
            <w:shd w:val="clear" w:color="auto" w:fill="auto"/>
            <w:noWrap/>
            <w:vAlign w:val="bottom"/>
            <w:hideMark/>
          </w:tcPr>
          <w:p w14:paraId="5F9A6E10"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2.241,8</w:t>
            </w:r>
          </w:p>
        </w:tc>
        <w:tc>
          <w:tcPr>
            <w:tcW w:w="746" w:type="dxa"/>
            <w:tcBorders>
              <w:top w:val="nil"/>
              <w:left w:val="nil"/>
              <w:bottom w:val="single" w:sz="4" w:space="0" w:color="auto"/>
              <w:right w:val="single" w:sz="4" w:space="0" w:color="auto"/>
            </w:tcBorders>
            <w:shd w:val="clear" w:color="auto" w:fill="auto"/>
            <w:noWrap/>
            <w:vAlign w:val="bottom"/>
            <w:hideMark/>
          </w:tcPr>
          <w:p w14:paraId="427D5473"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2.036,2</w:t>
            </w:r>
          </w:p>
        </w:tc>
        <w:tc>
          <w:tcPr>
            <w:tcW w:w="746" w:type="dxa"/>
            <w:tcBorders>
              <w:top w:val="nil"/>
              <w:left w:val="nil"/>
              <w:bottom w:val="single" w:sz="4" w:space="0" w:color="auto"/>
              <w:right w:val="single" w:sz="4" w:space="0" w:color="auto"/>
            </w:tcBorders>
            <w:shd w:val="clear" w:color="auto" w:fill="auto"/>
            <w:noWrap/>
            <w:vAlign w:val="bottom"/>
            <w:hideMark/>
          </w:tcPr>
          <w:p w14:paraId="5D1D9B30"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2.082,1</w:t>
            </w:r>
          </w:p>
        </w:tc>
        <w:tc>
          <w:tcPr>
            <w:tcW w:w="746" w:type="dxa"/>
            <w:tcBorders>
              <w:top w:val="nil"/>
              <w:left w:val="nil"/>
              <w:bottom w:val="single" w:sz="4" w:space="0" w:color="auto"/>
              <w:right w:val="single" w:sz="4" w:space="0" w:color="auto"/>
            </w:tcBorders>
            <w:shd w:val="clear" w:color="auto" w:fill="auto"/>
            <w:noWrap/>
            <w:vAlign w:val="bottom"/>
            <w:hideMark/>
          </w:tcPr>
          <w:p w14:paraId="53D7715B"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2.176,4</w:t>
            </w:r>
          </w:p>
        </w:tc>
        <w:tc>
          <w:tcPr>
            <w:tcW w:w="746" w:type="dxa"/>
            <w:tcBorders>
              <w:top w:val="nil"/>
              <w:left w:val="nil"/>
              <w:bottom w:val="single" w:sz="4" w:space="0" w:color="auto"/>
              <w:right w:val="single" w:sz="4" w:space="0" w:color="auto"/>
            </w:tcBorders>
            <w:shd w:val="clear" w:color="auto" w:fill="auto"/>
            <w:noWrap/>
            <w:vAlign w:val="bottom"/>
            <w:hideMark/>
          </w:tcPr>
          <w:p w14:paraId="0B247FA3"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2.053,3</w:t>
            </w:r>
          </w:p>
        </w:tc>
        <w:tc>
          <w:tcPr>
            <w:tcW w:w="746" w:type="dxa"/>
            <w:tcBorders>
              <w:top w:val="nil"/>
              <w:left w:val="nil"/>
              <w:bottom w:val="single" w:sz="4" w:space="0" w:color="auto"/>
              <w:right w:val="single" w:sz="4" w:space="0" w:color="auto"/>
            </w:tcBorders>
            <w:shd w:val="clear" w:color="auto" w:fill="auto"/>
            <w:noWrap/>
            <w:vAlign w:val="bottom"/>
            <w:hideMark/>
          </w:tcPr>
          <w:p w14:paraId="12413FF3"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2.052,8</w:t>
            </w:r>
          </w:p>
        </w:tc>
        <w:tc>
          <w:tcPr>
            <w:tcW w:w="746" w:type="dxa"/>
            <w:tcBorders>
              <w:top w:val="nil"/>
              <w:left w:val="nil"/>
              <w:bottom w:val="single" w:sz="4" w:space="0" w:color="auto"/>
              <w:right w:val="single" w:sz="4" w:space="0" w:color="auto"/>
            </w:tcBorders>
            <w:shd w:val="clear" w:color="auto" w:fill="auto"/>
            <w:noWrap/>
            <w:vAlign w:val="bottom"/>
            <w:hideMark/>
          </w:tcPr>
          <w:p w14:paraId="6C3EF570"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2.163,1</w:t>
            </w:r>
          </w:p>
        </w:tc>
        <w:tc>
          <w:tcPr>
            <w:tcW w:w="746" w:type="dxa"/>
            <w:tcBorders>
              <w:top w:val="nil"/>
              <w:left w:val="nil"/>
              <w:bottom w:val="single" w:sz="4" w:space="0" w:color="auto"/>
              <w:right w:val="single" w:sz="4" w:space="0" w:color="auto"/>
            </w:tcBorders>
            <w:shd w:val="clear" w:color="auto" w:fill="auto"/>
            <w:noWrap/>
            <w:vAlign w:val="bottom"/>
            <w:hideMark/>
          </w:tcPr>
          <w:p w14:paraId="465AB150"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2.272,8</w:t>
            </w:r>
          </w:p>
        </w:tc>
        <w:tc>
          <w:tcPr>
            <w:tcW w:w="746" w:type="dxa"/>
            <w:tcBorders>
              <w:top w:val="nil"/>
              <w:left w:val="nil"/>
              <w:bottom w:val="single" w:sz="4" w:space="0" w:color="auto"/>
              <w:right w:val="single" w:sz="4" w:space="0" w:color="auto"/>
            </w:tcBorders>
            <w:shd w:val="clear" w:color="auto" w:fill="auto"/>
            <w:noWrap/>
            <w:vAlign w:val="bottom"/>
            <w:hideMark/>
          </w:tcPr>
          <w:p w14:paraId="20512BFF" w14:textId="4947EA43"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2.296,0</w:t>
            </w:r>
          </w:p>
        </w:tc>
        <w:tc>
          <w:tcPr>
            <w:tcW w:w="746" w:type="dxa"/>
            <w:tcBorders>
              <w:top w:val="nil"/>
              <w:left w:val="nil"/>
              <w:bottom w:val="single" w:sz="4" w:space="0" w:color="auto"/>
              <w:right w:val="single" w:sz="4" w:space="0" w:color="auto"/>
            </w:tcBorders>
            <w:vAlign w:val="bottom"/>
          </w:tcPr>
          <w:p w14:paraId="7E3B37DA" w14:textId="7A97BA16"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2.333,4</w:t>
            </w:r>
          </w:p>
        </w:tc>
      </w:tr>
    </w:tbl>
    <w:p w14:paraId="2B663D03" w14:textId="375395CD"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E</w:t>
      </w:r>
      <w:r w:rsidR="00390F79" w:rsidRPr="00BF7E57">
        <w:rPr>
          <w:rFonts w:ascii="Arial" w:hAnsi="Arial" w:cs="Arial"/>
          <w:sz w:val="16"/>
          <w:szCs w:val="16"/>
        </w:rPr>
        <w:t>K, 2020</w:t>
      </w:r>
    </w:p>
    <w:p w14:paraId="77FE0FC1" w14:textId="737C4D37" w:rsidR="00390F79" w:rsidRPr="00BF7E57" w:rsidRDefault="005A7044"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Kot kaže </w:t>
      </w:r>
      <w:r w:rsidR="00AC068C" w:rsidRPr="00BF7E57">
        <w:rPr>
          <w:rFonts w:ascii="Arial" w:hAnsi="Arial" w:cs="Arial"/>
          <w:sz w:val="20"/>
          <w:szCs w:val="20"/>
        </w:rPr>
        <w:fldChar w:fldCharType="begin"/>
      </w:r>
      <w:r w:rsidR="00AC068C" w:rsidRPr="00BF7E57">
        <w:rPr>
          <w:rFonts w:ascii="Arial" w:hAnsi="Arial" w:cs="Arial"/>
          <w:sz w:val="20"/>
          <w:szCs w:val="20"/>
        </w:rPr>
        <w:instrText xml:space="preserve"> REF _Ref84928928 \h </w:instrText>
      </w:r>
      <w:r w:rsidR="00AC068C" w:rsidRPr="00BF7E57">
        <w:rPr>
          <w:rFonts w:ascii="Arial" w:hAnsi="Arial" w:cs="Arial"/>
          <w:sz w:val="20"/>
          <w:szCs w:val="20"/>
        </w:rPr>
      </w:r>
      <w:r w:rsidR="00BF7E57">
        <w:rPr>
          <w:rFonts w:ascii="Arial" w:hAnsi="Arial" w:cs="Arial"/>
          <w:sz w:val="20"/>
          <w:szCs w:val="20"/>
        </w:rPr>
        <w:instrText xml:space="preserve"> \* MERGEFORMAT </w:instrText>
      </w:r>
      <w:r w:rsidR="00AC068C" w:rsidRPr="00BF7E57">
        <w:rPr>
          <w:rFonts w:ascii="Arial" w:hAnsi="Arial" w:cs="Arial"/>
          <w:sz w:val="20"/>
          <w:szCs w:val="20"/>
        </w:rPr>
        <w:fldChar w:fldCharType="separate"/>
      </w:r>
      <w:r w:rsidR="00236865" w:rsidRPr="00BF7E57">
        <w:t xml:space="preserve">Tabela </w:t>
      </w:r>
      <w:r w:rsidR="00236865">
        <w:rPr>
          <w:noProof/>
        </w:rPr>
        <w:t>33</w:t>
      </w:r>
      <w:r w:rsidR="00AC068C" w:rsidRPr="00BF7E57">
        <w:rPr>
          <w:rFonts w:ascii="Arial" w:hAnsi="Arial" w:cs="Arial"/>
          <w:sz w:val="20"/>
          <w:szCs w:val="20"/>
        </w:rPr>
        <w:fldChar w:fldCharType="end"/>
      </w:r>
      <w:r w:rsidRPr="00BF7E57">
        <w:rPr>
          <w:rFonts w:ascii="Arial" w:hAnsi="Arial" w:cs="Arial"/>
          <w:sz w:val="20"/>
          <w:szCs w:val="20"/>
        </w:rPr>
        <w:t>d</w:t>
      </w:r>
      <w:r w:rsidR="009E0216" w:rsidRPr="00BF7E57">
        <w:rPr>
          <w:rFonts w:ascii="Arial" w:hAnsi="Arial" w:cs="Arial"/>
          <w:sz w:val="20"/>
          <w:szCs w:val="20"/>
        </w:rPr>
        <w:t>odana vrednost v kmetijstvu in gozdarstvu, sodeč po podatkih vozlišča za biogospodarstvo Evropske komisije</w:t>
      </w:r>
      <w:r w:rsidR="00390F79" w:rsidRPr="00BF7E57">
        <w:rPr>
          <w:rFonts w:ascii="Arial" w:hAnsi="Arial" w:cs="Arial"/>
          <w:sz w:val="20"/>
          <w:szCs w:val="20"/>
        </w:rPr>
        <w:t xml:space="preserve"> (2020)</w:t>
      </w:r>
      <w:r w:rsidR="009E0216" w:rsidRPr="00BF7E57">
        <w:rPr>
          <w:rFonts w:ascii="Arial" w:hAnsi="Arial" w:cs="Arial"/>
          <w:sz w:val="20"/>
          <w:szCs w:val="20"/>
        </w:rPr>
        <w:t xml:space="preserve"> </w:t>
      </w:r>
      <w:r w:rsidR="006075F4" w:rsidRPr="00BF7E57">
        <w:rPr>
          <w:rFonts w:ascii="Arial" w:hAnsi="Arial" w:cs="Arial"/>
          <w:sz w:val="20"/>
          <w:szCs w:val="20"/>
        </w:rPr>
        <w:t xml:space="preserve">v povprečju </w:t>
      </w:r>
      <w:r w:rsidR="009E0216" w:rsidRPr="00BF7E57">
        <w:rPr>
          <w:rFonts w:ascii="Arial" w:hAnsi="Arial" w:cs="Arial"/>
          <w:sz w:val="20"/>
          <w:szCs w:val="20"/>
        </w:rPr>
        <w:t>narašča</w:t>
      </w:r>
      <w:r w:rsidR="006075F4" w:rsidRPr="00BF7E57">
        <w:rPr>
          <w:rFonts w:ascii="Arial" w:hAnsi="Arial" w:cs="Arial"/>
          <w:sz w:val="20"/>
          <w:szCs w:val="20"/>
        </w:rPr>
        <w:t>, njun skupni delež pa je v letu 2017 predstavlja skoraj 34 % celotnega biogospodarstva</w:t>
      </w:r>
      <w:r w:rsidR="009E0216" w:rsidRPr="00BF7E57">
        <w:rPr>
          <w:rFonts w:ascii="Arial" w:hAnsi="Arial" w:cs="Arial"/>
          <w:sz w:val="20"/>
          <w:szCs w:val="20"/>
        </w:rPr>
        <w:t xml:space="preserve">. Rast je počasnejša v proizvodnji hrane, pijače in tobaka. Industrija biotekstila je </w:t>
      </w:r>
      <w:r w:rsidR="004A001F" w:rsidRPr="00BF7E57">
        <w:rPr>
          <w:rFonts w:ascii="Arial" w:hAnsi="Arial" w:cs="Arial"/>
          <w:sz w:val="20"/>
          <w:szCs w:val="20"/>
        </w:rPr>
        <w:t xml:space="preserve">bila do leta 2015 </w:t>
      </w:r>
      <w:r w:rsidR="009E0216" w:rsidRPr="00BF7E57">
        <w:rPr>
          <w:rFonts w:ascii="Arial" w:hAnsi="Arial" w:cs="Arial"/>
          <w:sz w:val="20"/>
          <w:szCs w:val="20"/>
        </w:rPr>
        <w:t>v upadu</w:t>
      </w:r>
      <w:r w:rsidR="00AC068C" w:rsidRPr="00BF7E57">
        <w:rPr>
          <w:rFonts w:ascii="Arial" w:hAnsi="Arial" w:cs="Arial"/>
          <w:sz w:val="20"/>
          <w:szCs w:val="20"/>
        </w:rPr>
        <w:t>,</w:t>
      </w:r>
      <w:r w:rsidR="004A001F" w:rsidRPr="00BF7E57">
        <w:rPr>
          <w:rFonts w:ascii="Arial" w:hAnsi="Arial" w:cs="Arial"/>
          <w:sz w:val="20"/>
          <w:szCs w:val="20"/>
        </w:rPr>
        <w:t xml:space="preserve"> v letih 2016 in 2017 pa je viden manjši porast.</w:t>
      </w:r>
      <w:r w:rsidR="009E0216" w:rsidRPr="00BF7E57">
        <w:rPr>
          <w:rFonts w:ascii="Arial" w:hAnsi="Arial" w:cs="Arial"/>
          <w:sz w:val="20"/>
          <w:szCs w:val="20"/>
        </w:rPr>
        <w:t>. Dodana vrednost zmerno narašča tudi v sektorj</w:t>
      </w:r>
      <w:r w:rsidR="004A001F" w:rsidRPr="00BF7E57">
        <w:rPr>
          <w:rFonts w:ascii="Arial" w:hAnsi="Arial" w:cs="Arial"/>
          <w:sz w:val="20"/>
          <w:szCs w:val="20"/>
        </w:rPr>
        <w:t>u</w:t>
      </w:r>
      <w:r w:rsidR="009E0216" w:rsidRPr="00BF7E57">
        <w:rPr>
          <w:rFonts w:ascii="Arial" w:hAnsi="Arial" w:cs="Arial"/>
          <w:sz w:val="20"/>
          <w:szCs w:val="20"/>
        </w:rPr>
        <w:t xml:space="preserve"> lesnih izdelkov</w:t>
      </w:r>
      <w:r w:rsidR="004A001F" w:rsidRPr="00BF7E57">
        <w:rPr>
          <w:rFonts w:ascii="Arial" w:hAnsi="Arial" w:cs="Arial"/>
          <w:sz w:val="20"/>
          <w:szCs w:val="20"/>
        </w:rPr>
        <w:t xml:space="preserve">, sektor </w:t>
      </w:r>
      <w:r w:rsidR="009E0216" w:rsidRPr="00BF7E57">
        <w:rPr>
          <w:rFonts w:ascii="Arial" w:hAnsi="Arial" w:cs="Arial"/>
          <w:sz w:val="20"/>
          <w:szCs w:val="20"/>
        </w:rPr>
        <w:t>papirja</w:t>
      </w:r>
      <w:r w:rsidR="004A001F" w:rsidRPr="00BF7E57">
        <w:rPr>
          <w:rFonts w:ascii="Arial" w:hAnsi="Arial" w:cs="Arial"/>
          <w:sz w:val="20"/>
          <w:szCs w:val="20"/>
        </w:rPr>
        <w:t xml:space="preserve"> pa je relativno stabilen z manjšimi letnimi vzponi in padci</w:t>
      </w:r>
      <w:r w:rsidR="009E0216" w:rsidRPr="00BF7E57">
        <w:rPr>
          <w:rFonts w:ascii="Arial" w:hAnsi="Arial" w:cs="Arial"/>
          <w:sz w:val="20"/>
          <w:szCs w:val="20"/>
        </w:rPr>
        <w:t xml:space="preserve">. </w:t>
      </w:r>
      <w:r w:rsidR="004A001F" w:rsidRPr="00BF7E57">
        <w:rPr>
          <w:rFonts w:ascii="Arial" w:hAnsi="Arial" w:cs="Arial"/>
          <w:sz w:val="20"/>
          <w:szCs w:val="20"/>
        </w:rPr>
        <w:t>Stabilna je tudi bruto dodana vrednost</w:t>
      </w:r>
      <w:r w:rsidR="009E0216" w:rsidRPr="00BF7E57">
        <w:rPr>
          <w:rFonts w:ascii="Arial" w:hAnsi="Arial" w:cs="Arial"/>
          <w:sz w:val="20"/>
          <w:szCs w:val="20"/>
        </w:rPr>
        <w:t xml:space="preserve"> v bioindustrijah – biokemični </w:t>
      </w:r>
      <w:r w:rsidR="009E0216" w:rsidRPr="00BF7E57">
        <w:rPr>
          <w:rFonts w:ascii="Arial" w:hAnsi="Arial" w:cs="Arial"/>
          <w:sz w:val="20"/>
          <w:szCs w:val="20"/>
        </w:rPr>
        <w:lastRenderedPageBreak/>
        <w:t>industriji, farmacevtiki in proiz</w:t>
      </w:r>
      <w:r w:rsidR="004A001F" w:rsidRPr="00BF7E57">
        <w:rPr>
          <w:rFonts w:ascii="Arial" w:hAnsi="Arial" w:cs="Arial"/>
          <w:sz w:val="20"/>
          <w:szCs w:val="20"/>
        </w:rPr>
        <w:t xml:space="preserve">vodnji plastike ter gume, </w:t>
      </w:r>
      <w:r w:rsidR="009E0216" w:rsidRPr="00BF7E57">
        <w:rPr>
          <w:rFonts w:ascii="Arial" w:hAnsi="Arial" w:cs="Arial"/>
          <w:sz w:val="20"/>
          <w:szCs w:val="20"/>
        </w:rPr>
        <w:t xml:space="preserve">omenjeni sektorji </w:t>
      </w:r>
      <w:r w:rsidR="004A001F" w:rsidRPr="00BF7E57">
        <w:rPr>
          <w:rFonts w:ascii="Arial" w:hAnsi="Arial" w:cs="Arial"/>
          <w:sz w:val="20"/>
          <w:szCs w:val="20"/>
        </w:rPr>
        <w:t xml:space="preserve">pa so v letu 2017 </w:t>
      </w:r>
      <w:r w:rsidR="009E0216" w:rsidRPr="00BF7E57">
        <w:rPr>
          <w:rFonts w:ascii="Arial" w:hAnsi="Arial" w:cs="Arial"/>
          <w:sz w:val="20"/>
          <w:szCs w:val="20"/>
        </w:rPr>
        <w:t>predstavlj</w:t>
      </w:r>
      <w:r w:rsidR="004A001F" w:rsidRPr="00BF7E57">
        <w:rPr>
          <w:rFonts w:ascii="Arial" w:hAnsi="Arial" w:cs="Arial"/>
          <w:sz w:val="20"/>
          <w:szCs w:val="20"/>
        </w:rPr>
        <w:t>ali</w:t>
      </w:r>
      <w:r w:rsidR="009E0216" w:rsidRPr="00BF7E57">
        <w:rPr>
          <w:rFonts w:ascii="Arial" w:hAnsi="Arial" w:cs="Arial"/>
          <w:sz w:val="20"/>
          <w:szCs w:val="20"/>
        </w:rPr>
        <w:t xml:space="preserve"> </w:t>
      </w:r>
      <w:r w:rsidR="006075F4" w:rsidRPr="00BF7E57">
        <w:rPr>
          <w:rFonts w:ascii="Arial" w:hAnsi="Arial" w:cs="Arial"/>
          <w:sz w:val="20"/>
          <w:szCs w:val="20"/>
        </w:rPr>
        <w:t xml:space="preserve"> 18,7</w:t>
      </w:r>
      <w:r w:rsidR="004A001F" w:rsidRPr="00BF7E57">
        <w:rPr>
          <w:rFonts w:ascii="Arial" w:hAnsi="Arial" w:cs="Arial"/>
          <w:sz w:val="20"/>
          <w:szCs w:val="20"/>
        </w:rPr>
        <w:t xml:space="preserve"> % celotnega</w:t>
      </w:r>
      <w:r w:rsidR="009E0216" w:rsidRPr="00BF7E57">
        <w:rPr>
          <w:rFonts w:ascii="Arial" w:hAnsi="Arial" w:cs="Arial"/>
          <w:sz w:val="20"/>
          <w:szCs w:val="20"/>
        </w:rPr>
        <w:t xml:space="preserve"> biogospodarstva.</w:t>
      </w:r>
    </w:p>
    <w:p w14:paraId="6BCEAA6E" w14:textId="7F1D985D" w:rsidR="0008099E" w:rsidRPr="00BF7E57" w:rsidRDefault="0008099E" w:rsidP="00A5125A">
      <w:pPr>
        <w:pStyle w:val="Napis"/>
      </w:pPr>
      <w:bookmarkStart w:id="173" w:name="_Toc86826472"/>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34</w:t>
      </w:r>
      <w:r w:rsidR="00A30B83" w:rsidRPr="00BF7E57">
        <w:rPr>
          <w:noProof/>
        </w:rPr>
        <w:fldChar w:fldCharType="end"/>
      </w:r>
      <w:r w:rsidRPr="00BF7E57">
        <w:t>: Zaposlenost v biogospodarstvu</w:t>
      </w:r>
      <w:bookmarkEnd w:id="173"/>
    </w:p>
    <w:p w14:paraId="27C95C20" w14:textId="61FFAFD1" w:rsidR="009E0216" w:rsidRPr="00BF7E57" w:rsidRDefault="009E0216" w:rsidP="00A5125A">
      <w:pPr>
        <w:pStyle w:val="Napis"/>
      </w:pPr>
    </w:p>
    <w:tbl>
      <w:tblPr>
        <w:tblW w:w="9579" w:type="dxa"/>
        <w:tblInd w:w="55" w:type="dxa"/>
        <w:tblLayout w:type="fixed"/>
        <w:tblCellMar>
          <w:left w:w="70" w:type="dxa"/>
          <w:right w:w="70" w:type="dxa"/>
        </w:tblCellMar>
        <w:tblLook w:val="04A0" w:firstRow="1" w:lastRow="0" w:firstColumn="1" w:lastColumn="0" w:noHBand="0" w:noVBand="1"/>
      </w:tblPr>
      <w:tblGrid>
        <w:gridCol w:w="1587"/>
        <w:gridCol w:w="799"/>
        <w:gridCol w:w="799"/>
        <w:gridCol w:w="799"/>
        <w:gridCol w:w="799"/>
        <w:gridCol w:w="800"/>
        <w:gridCol w:w="799"/>
        <w:gridCol w:w="799"/>
        <w:gridCol w:w="799"/>
        <w:gridCol w:w="799"/>
        <w:gridCol w:w="800"/>
      </w:tblGrid>
      <w:tr w:rsidR="00092278" w:rsidRPr="00BF7E57" w14:paraId="363CF38C" w14:textId="77777777" w:rsidTr="00E77D01">
        <w:trPr>
          <w:trHeight w:val="177"/>
        </w:trPr>
        <w:tc>
          <w:tcPr>
            <w:tcW w:w="1587"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2E012BC" w14:textId="77777777" w:rsidR="009E0216" w:rsidRPr="00BF7E57" w:rsidRDefault="009E0216" w:rsidP="00092278">
            <w:pPr>
              <w:keepNext/>
              <w:keepLines/>
              <w:spacing w:before="60" w:after="60" w:line="240" w:lineRule="auto"/>
              <w:jc w:val="both"/>
              <w:rPr>
                <w:rFonts w:ascii="Arial" w:hAnsi="Arial" w:cs="Arial"/>
                <w:b/>
                <w:color w:val="000000"/>
                <w:sz w:val="18"/>
                <w:szCs w:val="18"/>
              </w:rPr>
            </w:pP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193BB1B5"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2008</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221D2687"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2009</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535BBE3E"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2010</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019E2905"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2011</w:t>
            </w:r>
          </w:p>
        </w:tc>
        <w:tc>
          <w:tcPr>
            <w:tcW w:w="800" w:type="dxa"/>
            <w:tcBorders>
              <w:top w:val="single" w:sz="4" w:space="0" w:color="auto"/>
              <w:left w:val="nil"/>
              <w:bottom w:val="single" w:sz="4" w:space="0" w:color="auto"/>
              <w:right w:val="single" w:sz="4" w:space="0" w:color="auto"/>
            </w:tcBorders>
            <w:shd w:val="clear" w:color="auto" w:fill="92D050"/>
            <w:noWrap/>
            <w:vAlign w:val="bottom"/>
            <w:hideMark/>
          </w:tcPr>
          <w:p w14:paraId="2B9845C9"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2012</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0BBA06DE"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2013</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7AA61F44"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2014</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520A6721"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2015</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7423431D"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2016</w:t>
            </w:r>
          </w:p>
        </w:tc>
        <w:tc>
          <w:tcPr>
            <w:tcW w:w="800" w:type="dxa"/>
            <w:tcBorders>
              <w:top w:val="single" w:sz="4" w:space="0" w:color="auto"/>
              <w:left w:val="nil"/>
              <w:bottom w:val="single" w:sz="4" w:space="0" w:color="auto"/>
              <w:right w:val="single" w:sz="4" w:space="0" w:color="auto"/>
            </w:tcBorders>
            <w:shd w:val="clear" w:color="auto" w:fill="92D050"/>
            <w:noWrap/>
            <w:vAlign w:val="bottom"/>
            <w:hideMark/>
          </w:tcPr>
          <w:p w14:paraId="07D29F7B"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2017</w:t>
            </w:r>
          </w:p>
        </w:tc>
      </w:tr>
      <w:tr w:rsidR="00092278" w:rsidRPr="00BF7E57" w14:paraId="11AFE862"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B580EBC"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Kmetijstvo</w:t>
            </w:r>
          </w:p>
        </w:tc>
        <w:tc>
          <w:tcPr>
            <w:tcW w:w="799" w:type="dxa"/>
            <w:tcBorders>
              <w:top w:val="nil"/>
              <w:left w:val="nil"/>
              <w:bottom w:val="single" w:sz="4" w:space="0" w:color="auto"/>
              <w:right w:val="single" w:sz="4" w:space="0" w:color="auto"/>
            </w:tcBorders>
            <w:shd w:val="clear" w:color="auto" w:fill="auto"/>
            <w:noWrap/>
            <w:vAlign w:val="bottom"/>
            <w:hideMark/>
          </w:tcPr>
          <w:p w14:paraId="5C3A2A1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76.840</w:t>
            </w:r>
          </w:p>
        </w:tc>
        <w:tc>
          <w:tcPr>
            <w:tcW w:w="799" w:type="dxa"/>
            <w:tcBorders>
              <w:top w:val="nil"/>
              <w:left w:val="nil"/>
              <w:bottom w:val="single" w:sz="4" w:space="0" w:color="auto"/>
              <w:right w:val="single" w:sz="4" w:space="0" w:color="auto"/>
            </w:tcBorders>
            <w:shd w:val="clear" w:color="auto" w:fill="auto"/>
            <w:noWrap/>
            <w:vAlign w:val="bottom"/>
            <w:hideMark/>
          </w:tcPr>
          <w:p w14:paraId="3E6CE45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75.440</w:t>
            </w:r>
          </w:p>
        </w:tc>
        <w:tc>
          <w:tcPr>
            <w:tcW w:w="799" w:type="dxa"/>
            <w:tcBorders>
              <w:top w:val="nil"/>
              <w:left w:val="nil"/>
              <w:bottom w:val="single" w:sz="4" w:space="0" w:color="auto"/>
              <w:right w:val="single" w:sz="4" w:space="0" w:color="auto"/>
            </w:tcBorders>
            <w:shd w:val="clear" w:color="auto" w:fill="auto"/>
            <w:noWrap/>
            <w:vAlign w:val="bottom"/>
            <w:hideMark/>
          </w:tcPr>
          <w:p w14:paraId="72806B0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73.850</w:t>
            </w:r>
          </w:p>
        </w:tc>
        <w:tc>
          <w:tcPr>
            <w:tcW w:w="799" w:type="dxa"/>
            <w:tcBorders>
              <w:top w:val="nil"/>
              <w:left w:val="nil"/>
              <w:bottom w:val="single" w:sz="4" w:space="0" w:color="auto"/>
              <w:right w:val="single" w:sz="4" w:space="0" w:color="auto"/>
            </w:tcBorders>
            <w:shd w:val="clear" w:color="auto" w:fill="auto"/>
            <w:noWrap/>
            <w:vAlign w:val="bottom"/>
            <w:hideMark/>
          </w:tcPr>
          <w:p w14:paraId="4396660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71.970</w:t>
            </w:r>
          </w:p>
        </w:tc>
        <w:tc>
          <w:tcPr>
            <w:tcW w:w="800" w:type="dxa"/>
            <w:tcBorders>
              <w:top w:val="nil"/>
              <w:left w:val="nil"/>
              <w:bottom w:val="single" w:sz="4" w:space="0" w:color="auto"/>
              <w:right w:val="single" w:sz="4" w:space="0" w:color="auto"/>
            </w:tcBorders>
            <w:shd w:val="clear" w:color="auto" w:fill="auto"/>
            <w:noWrap/>
            <w:vAlign w:val="bottom"/>
            <w:hideMark/>
          </w:tcPr>
          <w:p w14:paraId="7BD3D70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70.860</w:t>
            </w:r>
          </w:p>
        </w:tc>
        <w:tc>
          <w:tcPr>
            <w:tcW w:w="799" w:type="dxa"/>
            <w:tcBorders>
              <w:top w:val="nil"/>
              <w:left w:val="nil"/>
              <w:bottom w:val="single" w:sz="4" w:space="0" w:color="auto"/>
              <w:right w:val="single" w:sz="4" w:space="0" w:color="auto"/>
            </w:tcBorders>
            <w:shd w:val="clear" w:color="auto" w:fill="auto"/>
            <w:noWrap/>
            <w:vAlign w:val="bottom"/>
            <w:hideMark/>
          </w:tcPr>
          <w:p w14:paraId="08EE11C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70.610</w:t>
            </w:r>
          </w:p>
        </w:tc>
        <w:tc>
          <w:tcPr>
            <w:tcW w:w="799" w:type="dxa"/>
            <w:tcBorders>
              <w:top w:val="nil"/>
              <w:left w:val="nil"/>
              <w:bottom w:val="single" w:sz="4" w:space="0" w:color="auto"/>
              <w:right w:val="single" w:sz="4" w:space="0" w:color="auto"/>
            </w:tcBorders>
            <w:shd w:val="clear" w:color="auto" w:fill="auto"/>
            <w:noWrap/>
            <w:vAlign w:val="bottom"/>
            <w:hideMark/>
          </w:tcPr>
          <w:p w14:paraId="302BA85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68.990</w:t>
            </w:r>
          </w:p>
        </w:tc>
        <w:tc>
          <w:tcPr>
            <w:tcW w:w="799" w:type="dxa"/>
            <w:tcBorders>
              <w:top w:val="nil"/>
              <w:left w:val="nil"/>
              <w:bottom w:val="single" w:sz="4" w:space="0" w:color="auto"/>
              <w:right w:val="single" w:sz="4" w:space="0" w:color="auto"/>
            </w:tcBorders>
            <w:shd w:val="clear" w:color="auto" w:fill="auto"/>
            <w:noWrap/>
            <w:vAlign w:val="bottom"/>
            <w:hideMark/>
          </w:tcPr>
          <w:p w14:paraId="15E54D2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68.780</w:t>
            </w:r>
          </w:p>
        </w:tc>
        <w:tc>
          <w:tcPr>
            <w:tcW w:w="799" w:type="dxa"/>
            <w:tcBorders>
              <w:top w:val="nil"/>
              <w:left w:val="nil"/>
              <w:bottom w:val="single" w:sz="4" w:space="0" w:color="auto"/>
              <w:right w:val="single" w:sz="4" w:space="0" w:color="auto"/>
            </w:tcBorders>
            <w:shd w:val="clear" w:color="auto" w:fill="auto"/>
            <w:noWrap/>
            <w:vAlign w:val="bottom"/>
            <w:hideMark/>
          </w:tcPr>
          <w:p w14:paraId="18CC775B"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67.130</w:t>
            </w:r>
          </w:p>
        </w:tc>
        <w:tc>
          <w:tcPr>
            <w:tcW w:w="800" w:type="dxa"/>
            <w:tcBorders>
              <w:top w:val="nil"/>
              <w:left w:val="nil"/>
              <w:bottom w:val="single" w:sz="4" w:space="0" w:color="auto"/>
              <w:right w:val="single" w:sz="4" w:space="0" w:color="auto"/>
            </w:tcBorders>
            <w:shd w:val="clear" w:color="auto" w:fill="auto"/>
            <w:noWrap/>
            <w:vAlign w:val="bottom"/>
            <w:hideMark/>
          </w:tcPr>
          <w:p w14:paraId="770B906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66.070</w:t>
            </w:r>
          </w:p>
        </w:tc>
      </w:tr>
      <w:tr w:rsidR="00092278" w:rsidRPr="00BF7E57" w14:paraId="42899EF6"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2472C228"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Gozdarstvo</w:t>
            </w:r>
          </w:p>
        </w:tc>
        <w:tc>
          <w:tcPr>
            <w:tcW w:w="799" w:type="dxa"/>
            <w:tcBorders>
              <w:top w:val="nil"/>
              <w:left w:val="nil"/>
              <w:bottom w:val="single" w:sz="4" w:space="0" w:color="auto"/>
              <w:right w:val="single" w:sz="4" w:space="0" w:color="auto"/>
            </w:tcBorders>
            <w:shd w:val="clear" w:color="auto" w:fill="auto"/>
            <w:noWrap/>
            <w:vAlign w:val="bottom"/>
            <w:hideMark/>
          </w:tcPr>
          <w:p w14:paraId="618F481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6.100</w:t>
            </w:r>
          </w:p>
        </w:tc>
        <w:tc>
          <w:tcPr>
            <w:tcW w:w="799" w:type="dxa"/>
            <w:tcBorders>
              <w:top w:val="nil"/>
              <w:left w:val="nil"/>
              <w:bottom w:val="single" w:sz="4" w:space="0" w:color="auto"/>
              <w:right w:val="single" w:sz="4" w:space="0" w:color="auto"/>
            </w:tcBorders>
            <w:shd w:val="clear" w:color="auto" w:fill="auto"/>
            <w:noWrap/>
            <w:vAlign w:val="bottom"/>
            <w:hideMark/>
          </w:tcPr>
          <w:p w14:paraId="50CE09E7"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6.000</w:t>
            </w:r>
          </w:p>
        </w:tc>
        <w:tc>
          <w:tcPr>
            <w:tcW w:w="799" w:type="dxa"/>
            <w:tcBorders>
              <w:top w:val="nil"/>
              <w:left w:val="nil"/>
              <w:bottom w:val="single" w:sz="4" w:space="0" w:color="auto"/>
              <w:right w:val="single" w:sz="4" w:space="0" w:color="auto"/>
            </w:tcBorders>
            <w:shd w:val="clear" w:color="auto" w:fill="auto"/>
            <w:noWrap/>
            <w:vAlign w:val="bottom"/>
            <w:hideMark/>
          </w:tcPr>
          <w:p w14:paraId="0B5EB17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5.910</w:t>
            </w:r>
          </w:p>
        </w:tc>
        <w:tc>
          <w:tcPr>
            <w:tcW w:w="799" w:type="dxa"/>
            <w:tcBorders>
              <w:top w:val="nil"/>
              <w:left w:val="nil"/>
              <w:bottom w:val="single" w:sz="4" w:space="0" w:color="auto"/>
              <w:right w:val="single" w:sz="4" w:space="0" w:color="auto"/>
            </w:tcBorders>
            <w:shd w:val="clear" w:color="auto" w:fill="auto"/>
            <w:noWrap/>
            <w:vAlign w:val="bottom"/>
            <w:hideMark/>
          </w:tcPr>
          <w:p w14:paraId="4ACA23A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5.830</w:t>
            </w:r>
          </w:p>
        </w:tc>
        <w:tc>
          <w:tcPr>
            <w:tcW w:w="800" w:type="dxa"/>
            <w:tcBorders>
              <w:top w:val="nil"/>
              <w:left w:val="nil"/>
              <w:bottom w:val="single" w:sz="4" w:space="0" w:color="auto"/>
              <w:right w:val="single" w:sz="4" w:space="0" w:color="auto"/>
            </w:tcBorders>
            <w:shd w:val="clear" w:color="auto" w:fill="auto"/>
            <w:noWrap/>
            <w:vAlign w:val="bottom"/>
            <w:hideMark/>
          </w:tcPr>
          <w:p w14:paraId="47C785B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6.180</w:t>
            </w:r>
          </w:p>
        </w:tc>
        <w:tc>
          <w:tcPr>
            <w:tcW w:w="799" w:type="dxa"/>
            <w:tcBorders>
              <w:top w:val="nil"/>
              <w:left w:val="nil"/>
              <w:bottom w:val="single" w:sz="4" w:space="0" w:color="auto"/>
              <w:right w:val="single" w:sz="4" w:space="0" w:color="auto"/>
            </w:tcBorders>
            <w:shd w:val="clear" w:color="auto" w:fill="auto"/>
            <w:noWrap/>
            <w:vAlign w:val="bottom"/>
            <w:hideMark/>
          </w:tcPr>
          <w:p w14:paraId="4C612CC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6.400</w:t>
            </w:r>
          </w:p>
        </w:tc>
        <w:tc>
          <w:tcPr>
            <w:tcW w:w="799" w:type="dxa"/>
            <w:tcBorders>
              <w:top w:val="nil"/>
              <w:left w:val="nil"/>
              <w:bottom w:val="single" w:sz="4" w:space="0" w:color="auto"/>
              <w:right w:val="single" w:sz="4" w:space="0" w:color="auto"/>
            </w:tcBorders>
            <w:shd w:val="clear" w:color="auto" w:fill="auto"/>
            <w:noWrap/>
            <w:vAlign w:val="bottom"/>
            <w:hideMark/>
          </w:tcPr>
          <w:p w14:paraId="46FF6E5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6.690</w:t>
            </w:r>
          </w:p>
        </w:tc>
        <w:tc>
          <w:tcPr>
            <w:tcW w:w="799" w:type="dxa"/>
            <w:tcBorders>
              <w:top w:val="nil"/>
              <w:left w:val="nil"/>
              <w:bottom w:val="single" w:sz="4" w:space="0" w:color="auto"/>
              <w:right w:val="single" w:sz="4" w:space="0" w:color="auto"/>
            </w:tcBorders>
            <w:shd w:val="clear" w:color="auto" w:fill="auto"/>
            <w:noWrap/>
            <w:vAlign w:val="bottom"/>
            <w:hideMark/>
          </w:tcPr>
          <w:p w14:paraId="5039B5BC"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6.210</w:t>
            </w:r>
          </w:p>
        </w:tc>
        <w:tc>
          <w:tcPr>
            <w:tcW w:w="799" w:type="dxa"/>
            <w:tcBorders>
              <w:top w:val="nil"/>
              <w:left w:val="nil"/>
              <w:bottom w:val="single" w:sz="4" w:space="0" w:color="auto"/>
              <w:right w:val="single" w:sz="4" w:space="0" w:color="auto"/>
            </w:tcBorders>
            <w:shd w:val="clear" w:color="auto" w:fill="auto"/>
            <w:noWrap/>
            <w:vAlign w:val="bottom"/>
            <w:hideMark/>
          </w:tcPr>
          <w:p w14:paraId="50FDBFD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6.850</w:t>
            </w:r>
          </w:p>
        </w:tc>
        <w:tc>
          <w:tcPr>
            <w:tcW w:w="800" w:type="dxa"/>
            <w:tcBorders>
              <w:top w:val="nil"/>
              <w:left w:val="nil"/>
              <w:bottom w:val="single" w:sz="4" w:space="0" w:color="auto"/>
              <w:right w:val="single" w:sz="4" w:space="0" w:color="auto"/>
            </w:tcBorders>
            <w:shd w:val="clear" w:color="auto" w:fill="auto"/>
            <w:noWrap/>
            <w:vAlign w:val="bottom"/>
            <w:hideMark/>
          </w:tcPr>
          <w:p w14:paraId="31B687EF"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7.160</w:t>
            </w:r>
          </w:p>
        </w:tc>
      </w:tr>
      <w:tr w:rsidR="00092278" w:rsidRPr="00BF7E57" w14:paraId="00B0C28F"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4A4139E"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Hrana, pijača in tobak</w:t>
            </w:r>
          </w:p>
        </w:tc>
        <w:tc>
          <w:tcPr>
            <w:tcW w:w="799" w:type="dxa"/>
            <w:tcBorders>
              <w:top w:val="nil"/>
              <w:left w:val="nil"/>
              <w:bottom w:val="single" w:sz="4" w:space="0" w:color="auto"/>
              <w:right w:val="single" w:sz="4" w:space="0" w:color="auto"/>
            </w:tcBorders>
            <w:shd w:val="clear" w:color="auto" w:fill="auto"/>
            <w:noWrap/>
            <w:vAlign w:val="bottom"/>
            <w:hideMark/>
          </w:tcPr>
          <w:p w14:paraId="15915C7B"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17.845</w:t>
            </w:r>
          </w:p>
        </w:tc>
        <w:tc>
          <w:tcPr>
            <w:tcW w:w="799" w:type="dxa"/>
            <w:tcBorders>
              <w:top w:val="nil"/>
              <w:left w:val="nil"/>
              <w:bottom w:val="single" w:sz="4" w:space="0" w:color="auto"/>
              <w:right w:val="single" w:sz="4" w:space="0" w:color="auto"/>
            </w:tcBorders>
            <w:shd w:val="clear" w:color="auto" w:fill="auto"/>
            <w:noWrap/>
            <w:vAlign w:val="bottom"/>
            <w:hideMark/>
          </w:tcPr>
          <w:p w14:paraId="0495AA7C"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17.031</w:t>
            </w:r>
          </w:p>
        </w:tc>
        <w:tc>
          <w:tcPr>
            <w:tcW w:w="799" w:type="dxa"/>
            <w:tcBorders>
              <w:top w:val="nil"/>
              <w:left w:val="nil"/>
              <w:bottom w:val="single" w:sz="4" w:space="0" w:color="auto"/>
              <w:right w:val="single" w:sz="4" w:space="0" w:color="auto"/>
            </w:tcBorders>
            <w:shd w:val="clear" w:color="auto" w:fill="auto"/>
            <w:noWrap/>
            <w:vAlign w:val="bottom"/>
            <w:hideMark/>
          </w:tcPr>
          <w:p w14:paraId="7CBA1BA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16.589</w:t>
            </w:r>
          </w:p>
        </w:tc>
        <w:tc>
          <w:tcPr>
            <w:tcW w:w="799" w:type="dxa"/>
            <w:tcBorders>
              <w:top w:val="nil"/>
              <w:left w:val="nil"/>
              <w:bottom w:val="single" w:sz="4" w:space="0" w:color="auto"/>
              <w:right w:val="single" w:sz="4" w:space="0" w:color="auto"/>
            </w:tcBorders>
            <w:shd w:val="clear" w:color="auto" w:fill="auto"/>
            <w:noWrap/>
            <w:vAlign w:val="bottom"/>
            <w:hideMark/>
          </w:tcPr>
          <w:p w14:paraId="0AC4CAB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15.843</w:t>
            </w:r>
          </w:p>
        </w:tc>
        <w:tc>
          <w:tcPr>
            <w:tcW w:w="800" w:type="dxa"/>
            <w:tcBorders>
              <w:top w:val="nil"/>
              <w:left w:val="nil"/>
              <w:bottom w:val="single" w:sz="4" w:space="0" w:color="auto"/>
              <w:right w:val="single" w:sz="4" w:space="0" w:color="auto"/>
            </w:tcBorders>
            <w:shd w:val="clear" w:color="auto" w:fill="auto"/>
            <w:noWrap/>
            <w:vAlign w:val="bottom"/>
            <w:hideMark/>
          </w:tcPr>
          <w:p w14:paraId="3AA2771F"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15.899</w:t>
            </w:r>
          </w:p>
        </w:tc>
        <w:tc>
          <w:tcPr>
            <w:tcW w:w="799" w:type="dxa"/>
            <w:tcBorders>
              <w:top w:val="nil"/>
              <w:left w:val="nil"/>
              <w:bottom w:val="single" w:sz="4" w:space="0" w:color="auto"/>
              <w:right w:val="single" w:sz="4" w:space="0" w:color="auto"/>
            </w:tcBorders>
            <w:shd w:val="clear" w:color="auto" w:fill="auto"/>
            <w:noWrap/>
            <w:vAlign w:val="bottom"/>
            <w:hideMark/>
          </w:tcPr>
          <w:p w14:paraId="05C0BE8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16.007</w:t>
            </w:r>
          </w:p>
        </w:tc>
        <w:tc>
          <w:tcPr>
            <w:tcW w:w="799" w:type="dxa"/>
            <w:tcBorders>
              <w:top w:val="nil"/>
              <w:left w:val="nil"/>
              <w:bottom w:val="single" w:sz="4" w:space="0" w:color="auto"/>
              <w:right w:val="single" w:sz="4" w:space="0" w:color="auto"/>
            </w:tcBorders>
            <w:shd w:val="clear" w:color="auto" w:fill="auto"/>
            <w:noWrap/>
            <w:vAlign w:val="bottom"/>
            <w:hideMark/>
          </w:tcPr>
          <w:p w14:paraId="4E59E17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16.018</w:t>
            </w:r>
          </w:p>
        </w:tc>
        <w:tc>
          <w:tcPr>
            <w:tcW w:w="799" w:type="dxa"/>
            <w:tcBorders>
              <w:top w:val="nil"/>
              <w:left w:val="nil"/>
              <w:bottom w:val="single" w:sz="4" w:space="0" w:color="auto"/>
              <w:right w:val="single" w:sz="4" w:space="0" w:color="auto"/>
            </w:tcBorders>
            <w:shd w:val="clear" w:color="auto" w:fill="auto"/>
            <w:noWrap/>
            <w:vAlign w:val="bottom"/>
            <w:hideMark/>
          </w:tcPr>
          <w:p w14:paraId="692C44D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16.468</w:t>
            </w:r>
          </w:p>
        </w:tc>
        <w:tc>
          <w:tcPr>
            <w:tcW w:w="799" w:type="dxa"/>
            <w:tcBorders>
              <w:top w:val="nil"/>
              <w:left w:val="nil"/>
              <w:bottom w:val="single" w:sz="4" w:space="0" w:color="auto"/>
              <w:right w:val="single" w:sz="4" w:space="0" w:color="auto"/>
            </w:tcBorders>
            <w:shd w:val="clear" w:color="auto" w:fill="auto"/>
            <w:noWrap/>
            <w:vAlign w:val="bottom"/>
            <w:hideMark/>
          </w:tcPr>
          <w:p w14:paraId="6259AA1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16.935</w:t>
            </w:r>
          </w:p>
        </w:tc>
        <w:tc>
          <w:tcPr>
            <w:tcW w:w="800" w:type="dxa"/>
            <w:tcBorders>
              <w:top w:val="nil"/>
              <w:left w:val="nil"/>
              <w:bottom w:val="single" w:sz="4" w:space="0" w:color="auto"/>
              <w:right w:val="single" w:sz="4" w:space="0" w:color="auto"/>
            </w:tcBorders>
            <w:shd w:val="clear" w:color="auto" w:fill="auto"/>
            <w:noWrap/>
            <w:vAlign w:val="bottom"/>
            <w:hideMark/>
          </w:tcPr>
          <w:p w14:paraId="24DE56B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17.539</w:t>
            </w:r>
          </w:p>
        </w:tc>
      </w:tr>
      <w:tr w:rsidR="00092278" w:rsidRPr="00BF7E57" w14:paraId="170DF4A7"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8249DE6"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Lesni izdelki in pohištvo</w:t>
            </w:r>
          </w:p>
        </w:tc>
        <w:tc>
          <w:tcPr>
            <w:tcW w:w="799" w:type="dxa"/>
            <w:tcBorders>
              <w:top w:val="nil"/>
              <w:left w:val="nil"/>
              <w:bottom w:val="single" w:sz="4" w:space="0" w:color="auto"/>
              <w:right w:val="single" w:sz="4" w:space="0" w:color="auto"/>
            </w:tcBorders>
            <w:shd w:val="clear" w:color="auto" w:fill="auto"/>
            <w:noWrap/>
            <w:vAlign w:val="bottom"/>
            <w:hideMark/>
          </w:tcPr>
          <w:p w14:paraId="4FCA5201"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19.403</w:t>
            </w:r>
          </w:p>
        </w:tc>
        <w:tc>
          <w:tcPr>
            <w:tcW w:w="799" w:type="dxa"/>
            <w:tcBorders>
              <w:top w:val="nil"/>
              <w:left w:val="nil"/>
              <w:bottom w:val="single" w:sz="4" w:space="0" w:color="auto"/>
              <w:right w:val="single" w:sz="4" w:space="0" w:color="auto"/>
            </w:tcBorders>
            <w:shd w:val="clear" w:color="auto" w:fill="auto"/>
            <w:noWrap/>
            <w:vAlign w:val="bottom"/>
            <w:hideMark/>
          </w:tcPr>
          <w:p w14:paraId="1FB8C05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15.248</w:t>
            </w:r>
          </w:p>
        </w:tc>
        <w:tc>
          <w:tcPr>
            <w:tcW w:w="799" w:type="dxa"/>
            <w:tcBorders>
              <w:top w:val="nil"/>
              <w:left w:val="nil"/>
              <w:bottom w:val="single" w:sz="4" w:space="0" w:color="auto"/>
              <w:right w:val="single" w:sz="4" w:space="0" w:color="auto"/>
            </w:tcBorders>
            <w:shd w:val="clear" w:color="auto" w:fill="auto"/>
            <w:noWrap/>
            <w:vAlign w:val="bottom"/>
            <w:hideMark/>
          </w:tcPr>
          <w:p w14:paraId="0DB7FF89"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14.427</w:t>
            </w:r>
          </w:p>
        </w:tc>
        <w:tc>
          <w:tcPr>
            <w:tcW w:w="799" w:type="dxa"/>
            <w:tcBorders>
              <w:top w:val="nil"/>
              <w:left w:val="nil"/>
              <w:bottom w:val="single" w:sz="4" w:space="0" w:color="auto"/>
              <w:right w:val="single" w:sz="4" w:space="0" w:color="auto"/>
            </w:tcBorders>
            <w:shd w:val="clear" w:color="auto" w:fill="auto"/>
            <w:noWrap/>
            <w:vAlign w:val="bottom"/>
            <w:hideMark/>
          </w:tcPr>
          <w:p w14:paraId="66D2DF2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13.515</w:t>
            </w:r>
          </w:p>
        </w:tc>
        <w:tc>
          <w:tcPr>
            <w:tcW w:w="800" w:type="dxa"/>
            <w:tcBorders>
              <w:top w:val="nil"/>
              <w:left w:val="nil"/>
              <w:bottom w:val="single" w:sz="4" w:space="0" w:color="auto"/>
              <w:right w:val="single" w:sz="4" w:space="0" w:color="auto"/>
            </w:tcBorders>
            <w:shd w:val="clear" w:color="auto" w:fill="auto"/>
            <w:noWrap/>
            <w:vAlign w:val="bottom"/>
            <w:hideMark/>
          </w:tcPr>
          <w:p w14:paraId="42C7670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12.351</w:t>
            </w:r>
          </w:p>
        </w:tc>
        <w:tc>
          <w:tcPr>
            <w:tcW w:w="799" w:type="dxa"/>
            <w:tcBorders>
              <w:top w:val="nil"/>
              <w:left w:val="nil"/>
              <w:bottom w:val="single" w:sz="4" w:space="0" w:color="auto"/>
              <w:right w:val="single" w:sz="4" w:space="0" w:color="auto"/>
            </w:tcBorders>
            <w:shd w:val="clear" w:color="auto" w:fill="auto"/>
            <w:noWrap/>
            <w:vAlign w:val="bottom"/>
            <w:hideMark/>
          </w:tcPr>
          <w:p w14:paraId="76C7860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11.622</w:t>
            </w:r>
          </w:p>
        </w:tc>
        <w:tc>
          <w:tcPr>
            <w:tcW w:w="799" w:type="dxa"/>
            <w:tcBorders>
              <w:top w:val="nil"/>
              <w:left w:val="nil"/>
              <w:bottom w:val="single" w:sz="4" w:space="0" w:color="auto"/>
              <w:right w:val="single" w:sz="4" w:space="0" w:color="auto"/>
            </w:tcBorders>
            <w:shd w:val="clear" w:color="auto" w:fill="auto"/>
            <w:noWrap/>
            <w:vAlign w:val="bottom"/>
            <w:hideMark/>
          </w:tcPr>
          <w:p w14:paraId="5F6D8D4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11.814</w:t>
            </w:r>
          </w:p>
        </w:tc>
        <w:tc>
          <w:tcPr>
            <w:tcW w:w="799" w:type="dxa"/>
            <w:tcBorders>
              <w:top w:val="nil"/>
              <w:left w:val="nil"/>
              <w:bottom w:val="single" w:sz="4" w:space="0" w:color="auto"/>
              <w:right w:val="single" w:sz="4" w:space="0" w:color="auto"/>
            </w:tcBorders>
            <w:shd w:val="clear" w:color="auto" w:fill="auto"/>
            <w:noWrap/>
            <w:vAlign w:val="bottom"/>
            <w:hideMark/>
          </w:tcPr>
          <w:p w14:paraId="08D1319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11.868</w:t>
            </w:r>
          </w:p>
        </w:tc>
        <w:tc>
          <w:tcPr>
            <w:tcW w:w="799" w:type="dxa"/>
            <w:tcBorders>
              <w:top w:val="nil"/>
              <w:left w:val="nil"/>
              <w:bottom w:val="single" w:sz="4" w:space="0" w:color="auto"/>
              <w:right w:val="single" w:sz="4" w:space="0" w:color="auto"/>
            </w:tcBorders>
            <w:shd w:val="clear" w:color="auto" w:fill="auto"/>
            <w:noWrap/>
            <w:vAlign w:val="bottom"/>
            <w:hideMark/>
          </w:tcPr>
          <w:p w14:paraId="5C671C3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11.980</w:t>
            </w:r>
          </w:p>
        </w:tc>
        <w:tc>
          <w:tcPr>
            <w:tcW w:w="800" w:type="dxa"/>
            <w:tcBorders>
              <w:top w:val="nil"/>
              <w:left w:val="nil"/>
              <w:bottom w:val="single" w:sz="4" w:space="0" w:color="auto"/>
              <w:right w:val="single" w:sz="4" w:space="0" w:color="auto"/>
            </w:tcBorders>
            <w:shd w:val="clear" w:color="auto" w:fill="auto"/>
            <w:noWrap/>
            <w:vAlign w:val="bottom"/>
            <w:hideMark/>
          </w:tcPr>
          <w:p w14:paraId="7AB1EE4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12.115</w:t>
            </w:r>
          </w:p>
        </w:tc>
      </w:tr>
      <w:tr w:rsidR="00092278" w:rsidRPr="00BF7E57" w14:paraId="4C1F55DE"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0D6F779F"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Bioosnovan tekstil</w:t>
            </w:r>
          </w:p>
        </w:tc>
        <w:tc>
          <w:tcPr>
            <w:tcW w:w="799" w:type="dxa"/>
            <w:tcBorders>
              <w:top w:val="nil"/>
              <w:left w:val="nil"/>
              <w:bottom w:val="single" w:sz="4" w:space="0" w:color="auto"/>
              <w:right w:val="single" w:sz="4" w:space="0" w:color="auto"/>
            </w:tcBorders>
            <w:shd w:val="clear" w:color="auto" w:fill="auto"/>
            <w:noWrap/>
            <w:vAlign w:val="bottom"/>
            <w:hideMark/>
          </w:tcPr>
          <w:p w14:paraId="084CD72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8.259</w:t>
            </w:r>
          </w:p>
        </w:tc>
        <w:tc>
          <w:tcPr>
            <w:tcW w:w="799" w:type="dxa"/>
            <w:tcBorders>
              <w:top w:val="nil"/>
              <w:left w:val="nil"/>
              <w:bottom w:val="single" w:sz="4" w:space="0" w:color="auto"/>
              <w:right w:val="single" w:sz="4" w:space="0" w:color="auto"/>
            </w:tcBorders>
            <w:shd w:val="clear" w:color="auto" w:fill="auto"/>
            <w:noWrap/>
            <w:vAlign w:val="bottom"/>
            <w:hideMark/>
          </w:tcPr>
          <w:p w14:paraId="06E66BC1"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6.623</w:t>
            </w:r>
          </w:p>
        </w:tc>
        <w:tc>
          <w:tcPr>
            <w:tcW w:w="799" w:type="dxa"/>
            <w:tcBorders>
              <w:top w:val="nil"/>
              <w:left w:val="nil"/>
              <w:bottom w:val="single" w:sz="4" w:space="0" w:color="auto"/>
              <w:right w:val="single" w:sz="4" w:space="0" w:color="auto"/>
            </w:tcBorders>
            <w:shd w:val="clear" w:color="auto" w:fill="auto"/>
            <w:noWrap/>
            <w:vAlign w:val="bottom"/>
            <w:hideMark/>
          </w:tcPr>
          <w:p w14:paraId="50C07F4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5.153</w:t>
            </w:r>
          </w:p>
        </w:tc>
        <w:tc>
          <w:tcPr>
            <w:tcW w:w="799" w:type="dxa"/>
            <w:tcBorders>
              <w:top w:val="nil"/>
              <w:left w:val="nil"/>
              <w:bottom w:val="single" w:sz="4" w:space="0" w:color="auto"/>
              <w:right w:val="single" w:sz="4" w:space="0" w:color="auto"/>
            </w:tcBorders>
            <w:shd w:val="clear" w:color="auto" w:fill="auto"/>
            <w:noWrap/>
            <w:vAlign w:val="bottom"/>
            <w:hideMark/>
          </w:tcPr>
          <w:p w14:paraId="03DF175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4.669</w:t>
            </w:r>
          </w:p>
        </w:tc>
        <w:tc>
          <w:tcPr>
            <w:tcW w:w="800" w:type="dxa"/>
            <w:tcBorders>
              <w:top w:val="nil"/>
              <w:left w:val="nil"/>
              <w:bottom w:val="single" w:sz="4" w:space="0" w:color="auto"/>
              <w:right w:val="single" w:sz="4" w:space="0" w:color="auto"/>
            </w:tcBorders>
            <w:shd w:val="clear" w:color="auto" w:fill="auto"/>
            <w:noWrap/>
            <w:vAlign w:val="bottom"/>
            <w:hideMark/>
          </w:tcPr>
          <w:p w14:paraId="2090257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4.194</w:t>
            </w:r>
          </w:p>
        </w:tc>
        <w:tc>
          <w:tcPr>
            <w:tcW w:w="799" w:type="dxa"/>
            <w:tcBorders>
              <w:top w:val="nil"/>
              <w:left w:val="nil"/>
              <w:bottom w:val="single" w:sz="4" w:space="0" w:color="auto"/>
              <w:right w:val="single" w:sz="4" w:space="0" w:color="auto"/>
            </w:tcBorders>
            <w:shd w:val="clear" w:color="auto" w:fill="auto"/>
            <w:noWrap/>
            <w:vAlign w:val="bottom"/>
            <w:hideMark/>
          </w:tcPr>
          <w:p w14:paraId="54F97E6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3.896</w:t>
            </w:r>
          </w:p>
        </w:tc>
        <w:tc>
          <w:tcPr>
            <w:tcW w:w="799" w:type="dxa"/>
            <w:tcBorders>
              <w:top w:val="nil"/>
              <w:left w:val="nil"/>
              <w:bottom w:val="single" w:sz="4" w:space="0" w:color="auto"/>
              <w:right w:val="single" w:sz="4" w:space="0" w:color="auto"/>
            </w:tcBorders>
            <w:shd w:val="clear" w:color="auto" w:fill="auto"/>
            <w:noWrap/>
            <w:vAlign w:val="bottom"/>
            <w:hideMark/>
          </w:tcPr>
          <w:p w14:paraId="0271FB4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3.739</w:t>
            </w:r>
          </w:p>
        </w:tc>
        <w:tc>
          <w:tcPr>
            <w:tcW w:w="799" w:type="dxa"/>
            <w:tcBorders>
              <w:top w:val="nil"/>
              <w:left w:val="nil"/>
              <w:bottom w:val="single" w:sz="4" w:space="0" w:color="auto"/>
              <w:right w:val="single" w:sz="4" w:space="0" w:color="auto"/>
            </w:tcBorders>
            <w:shd w:val="clear" w:color="auto" w:fill="auto"/>
            <w:noWrap/>
            <w:vAlign w:val="bottom"/>
            <w:hideMark/>
          </w:tcPr>
          <w:p w14:paraId="69C264F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3.507</w:t>
            </w:r>
          </w:p>
        </w:tc>
        <w:tc>
          <w:tcPr>
            <w:tcW w:w="799" w:type="dxa"/>
            <w:tcBorders>
              <w:top w:val="nil"/>
              <w:left w:val="nil"/>
              <w:bottom w:val="single" w:sz="4" w:space="0" w:color="auto"/>
              <w:right w:val="single" w:sz="4" w:space="0" w:color="auto"/>
            </w:tcBorders>
            <w:shd w:val="clear" w:color="auto" w:fill="auto"/>
            <w:noWrap/>
            <w:vAlign w:val="bottom"/>
            <w:hideMark/>
          </w:tcPr>
          <w:p w14:paraId="61A7D66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3.306</w:t>
            </w:r>
          </w:p>
        </w:tc>
        <w:tc>
          <w:tcPr>
            <w:tcW w:w="800" w:type="dxa"/>
            <w:tcBorders>
              <w:top w:val="nil"/>
              <w:left w:val="nil"/>
              <w:bottom w:val="single" w:sz="4" w:space="0" w:color="auto"/>
              <w:right w:val="single" w:sz="4" w:space="0" w:color="auto"/>
            </w:tcBorders>
            <w:shd w:val="clear" w:color="auto" w:fill="auto"/>
            <w:noWrap/>
            <w:vAlign w:val="bottom"/>
            <w:hideMark/>
          </w:tcPr>
          <w:p w14:paraId="7ED8541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3.317</w:t>
            </w:r>
          </w:p>
        </w:tc>
      </w:tr>
      <w:tr w:rsidR="00092278" w:rsidRPr="00BF7E57" w14:paraId="375588C5"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692DF931"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Papir</w:t>
            </w:r>
          </w:p>
        </w:tc>
        <w:tc>
          <w:tcPr>
            <w:tcW w:w="799" w:type="dxa"/>
            <w:tcBorders>
              <w:top w:val="nil"/>
              <w:left w:val="nil"/>
              <w:bottom w:val="single" w:sz="4" w:space="0" w:color="auto"/>
              <w:right w:val="single" w:sz="4" w:space="0" w:color="auto"/>
            </w:tcBorders>
            <w:shd w:val="clear" w:color="auto" w:fill="auto"/>
            <w:noWrap/>
            <w:vAlign w:val="bottom"/>
            <w:hideMark/>
          </w:tcPr>
          <w:p w14:paraId="23BDBAF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5.002</w:t>
            </w:r>
          </w:p>
        </w:tc>
        <w:tc>
          <w:tcPr>
            <w:tcW w:w="799" w:type="dxa"/>
            <w:tcBorders>
              <w:top w:val="nil"/>
              <w:left w:val="nil"/>
              <w:bottom w:val="single" w:sz="4" w:space="0" w:color="auto"/>
              <w:right w:val="single" w:sz="4" w:space="0" w:color="auto"/>
            </w:tcBorders>
            <w:shd w:val="clear" w:color="auto" w:fill="auto"/>
            <w:noWrap/>
            <w:vAlign w:val="bottom"/>
            <w:hideMark/>
          </w:tcPr>
          <w:p w14:paraId="40B9B03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4.054</w:t>
            </w:r>
          </w:p>
        </w:tc>
        <w:tc>
          <w:tcPr>
            <w:tcW w:w="799" w:type="dxa"/>
            <w:tcBorders>
              <w:top w:val="nil"/>
              <w:left w:val="nil"/>
              <w:bottom w:val="single" w:sz="4" w:space="0" w:color="auto"/>
              <w:right w:val="single" w:sz="4" w:space="0" w:color="auto"/>
            </w:tcBorders>
            <w:shd w:val="clear" w:color="auto" w:fill="auto"/>
            <w:noWrap/>
            <w:vAlign w:val="bottom"/>
            <w:hideMark/>
          </w:tcPr>
          <w:p w14:paraId="2EA9900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3.730</w:t>
            </w:r>
          </w:p>
        </w:tc>
        <w:tc>
          <w:tcPr>
            <w:tcW w:w="799" w:type="dxa"/>
            <w:tcBorders>
              <w:top w:val="nil"/>
              <w:left w:val="nil"/>
              <w:bottom w:val="single" w:sz="4" w:space="0" w:color="auto"/>
              <w:right w:val="single" w:sz="4" w:space="0" w:color="auto"/>
            </w:tcBorders>
            <w:shd w:val="clear" w:color="auto" w:fill="auto"/>
            <w:noWrap/>
            <w:vAlign w:val="bottom"/>
            <w:hideMark/>
          </w:tcPr>
          <w:p w14:paraId="3A0683C1"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3.511</w:t>
            </w:r>
          </w:p>
        </w:tc>
        <w:tc>
          <w:tcPr>
            <w:tcW w:w="800" w:type="dxa"/>
            <w:tcBorders>
              <w:top w:val="nil"/>
              <w:left w:val="nil"/>
              <w:bottom w:val="single" w:sz="4" w:space="0" w:color="auto"/>
              <w:right w:val="single" w:sz="4" w:space="0" w:color="auto"/>
            </w:tcBorders>
            <w:shd w:val="clear" w:color="auto" w:fill="auto"/>
            <w:noWrap/>
            <w:vAlign w:val="bottom"/>
            <w:hideMark/>
          </w:tcPr>
          <w:p w14:paraId="26F95397"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3.543</w:t>
            </w:r>
          </w:p>
        </w:tc>
        <w:tc>
          <w:tcPr>
            <w:tcW w:w="799" w:type="dxa"/>
            <w:tcBorders>
              <w:top w:val="nil"/>
              <w:left w:val="nil"/>
              <w:bottom w:val="single" w:sz="4" w:space="0" w:color="auto"/>
              <w:right w:val="single" w:sz="4" w:space="0" w:color="auto"/>
            </w:tcBorders>
            <w:shd w:val="clear" w:color="auto" w:fill="auto"/>
            <w:noWrap/>
            <w:vAlign w:val="bottom"/>
            <w:hideMark/>
          </w:tcPr>
          <w:p w14:paraId="46087E7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3.705</w:t>
            </w:r>
          </w:p>
        </w:tc>
        <w:tc>
          <w:tcPr>
            <w:tcW w:w="799" w:type="dxa"/>
            <w:tcBorders>
              <w:top w:val="nil"/>
              <w:left w:val="nil"/>
              <w:bottom w:val="single" w:sz="4" w:space="0" w:color="auto"/>
              <w:right w:val="single" w:sz="4" w:space="0" w:color="auto"/>
            </w:tcBorders>
            <w:shd w:val="clear" w:color="auto" w:fill="auto"/>
            <w:noWrap/>
            <w:vAlign w:val="bottom"/>
            <w:hideMark/>
          </w:tcPr>
          <w:p w14:paraId="4EE8F81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3.601</w:t>
            </w:r>
          </w:p>
        </w:tc>
        <w:tc>
          <w:tcPr>
            <w:tcW w:w="799" w:type="dxa"/>
            <w:tcBorders>
              <w:top w:val="nil"/>
              <w:left w:val="nil"/>
              <w:bottom w:val="single" w:sz="4" w:space="0" w:color="auto"/>
              <w:right w:val="single" w:sz="4" w:space="0" w:color="auto"/>
            </w:tcBorders>
            <w:shd w:val="clear" w:color="auto" w:fill="auto"/>
            <w:noWrap/>
            <w:vAlign w:val="bottom"/>
            <w:hideMark/>
          </w:tcPr>
          <w:p w14:paraId="5A83830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3.410</w:t>
            </w:r>
          </w:p>
        </w:tc>
        <w:tc>
          <w:tcPr>
            <w:tcW w:w="799" w:type="dxa"/>
            <w:tcBorders>
              <w:top w:val="nil"/>
              <w:left w:val="nil"/>
              <w:bottom w:val="single" w:sz="4" w:space="0" w:color="auto"/>
              <w:right w:val="single" w:sz="4" w:space="0" w:color="auto"/>
            </w:tcBorders>
            <w:shd w:val="clear" w:color="auto" w:fill="auto"/>
            <w:noWrap/>
            <w:vAlign w:val="bottom"/>
            <w:hideMark/>
          </w:tcPr>
          <w:p w14:paraId="024634C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3.419</w:t>
            </w:r>
          </w:p>
        </w:tc>
        <w:tc>
          <w:tcPr>
            <w:tcW w:w="800" w:type="dxa"/>
            <w:tcBorders>
              <w:top w:val="nil"/>
              <w:left w:val="nil"/>
              <w:bottom w:val="single" w:sz="4" w:space="0" w:color="auto"/>
              <w:right w:val="single" w:sz="4" w:space="0" w:color="auto"/>
            </w:tcBorders>
            <w:shd w:val="clear" w:color="auto" w:fill="auto"/>
            <w:noWrap/>
            <w:vAlign w:val="bottom"/>
            <w:hideMark/>
          </w:tcPr>
          <w:p w14:paraId="5A638797"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3.556</w:t>
            </w:r>
          </w:p>
        </w:tc>
      </w:tr>
      <w:tr w:rsidR="00092278" w:rsidRPr="00BF7E57" w14:paraId="62546414" w14:textId="77777777" w:rsidTr="00092278">
        <w:trPr>
          <w:trHeight w:val="322"/>
        </w:trPr>
        <w:tc>
          <w:tcPr>
            <w:tcW w:w="1587" w:type="dxa"/>
            <w:tcBorders>
              <w:top w:val="nil"/>
              <w:left w:val="single" w:sz="4" w:space="0" w:color="auto"/>
              <w:bottom w:val="single" w:sz="4" w:space="0" w:color="auto"/>
              <w:right w:val="single" w:sz="4" w:space="0" w:color="auto"/>
            </w:tcBorders>
            <w:shd w:val="clear" w:color="auto" w:fill="auto"/>
            <w:vAlign w:val="bottom"/>
            <w:hideMark/>
          </w:tcPr>
          <w:p w14:paraId="676CC109"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Bioosnovane kemikalije, zdravila, plastika in guma (brez biogoriv)</w:t>
            </w:r>
          </w:p>
        </w:tc>
        <w:tc>
          <w:tcPr>
            <w:tcW w:w="799" w:type="dxa"/>
            <w:tcBorders>
              <w:top w:val="nil"/>
              <w:left w:val="nil"/>
              <w:bottom w:val="single" w:sz="4" w:space="0" w:color="auto"/>
              <w:right w:val="single" w:sz="4" w:space="0" w:color="auto"/>
            </w:tcBorders>
            <w:shd w:val="clear" w:color="auto" w:fill="auto"/>
            <w:noWrap/>
            <w:vAlign w:val="bottom"/>
            <w:hideMark/>
          </w:tcPr>
          <w:p w14:paraId="52365D7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3.848</w:t>
            </w:r>
          </w:p>
        </w:tc>
        <w:tc>
          <w:tcPr>
            <w:tcW w:w="799" w:type="dxa"/>
            <w:tcBorders>
              <w:top w:val="nil"/>
              <w:left w:val="nil"/>
              <w:bottom w:val="single" w:sz="4" w:space="0" w:color="auto"/>
              <w:right w:val="single" w:sz="4" w:space="0" w:color="auto"/>
            </w:tcBorders>
            <w:shd w:val="clear" w:color="auto" w:fill="auto"/>
            <w:noWrap/>
            <w:vAlign w:val="bottom"/>
            <w:hideMark/>
          </w:tcPr>
          <w:p w14:paraId="0AABBCD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3.712</w:t>
            </w:r>
          </w:p>
        </w:tc>
        <w:tc>
          <w:tcPr>
            <w:tcW w:w="799" w:type="dxa"/>
            <w:tcBorders>
              <w:top w:val="nil"/>
              <w:left w:val="nil"/>
              <w:bottom w:val="single" w:sz="4" w:space="0" w:color="auto"/>
              <w:right w:val="single" w:sz="4" w:space="0" w:color="auto"/>
            </w:tcBorders>
            <w:shd w:val="clear" w:color="auto" w:fill="auto"/>
            <w:noWrap/>
            <w:vAlign w:val="bottom"/>
            <w:hideMark/>
          </w:tcPr>
          <w:p w14:paraId="7977BF6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3.695</w:t>
            </w:r>
          </w:p>
        </w:tc>
        <w:tc>
          <w:tcPr>
            <w:tcW w:w="799" w:type="dxa"/>
            <w:tcBorders>
              <w:top w:val="nil"/>
              <w:left w:val="nil"/>
              <w:bottom w:val="single" w:sz="4" w:space="0" w:color="auto"/>
              <w:right w:val="single" w:sz="4" w:space="0" w:color="auto"/>
            </w:tcBorders>
            <w:shd w:val="clear" w:color="auto" w:fill="auto"/>
            <w:noWrap/>
            <w:vAlign w:val="bottom"/>
            <w:hideMark/>
          </w:tcPr>
          <w:p w14:paraId="01F6703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3.709</w:t>
            </w:r>
          </w:p>
        </w:tc>
        <w:tc>
          <w:tcPr>
            <w:tcW w:w="800" w:type="dxa"/>
            <w:tcBorders>
              <w:top w:val="nil"/>
              <w:left w:val="nil"/>
              <w:bottom w:val="single" w:sz="4" w:space="0" w:color="auto"/>
              <w:right w:val="single" w:sz="4" w:space="0" w:color="auto"/>
            </w:tcBorders>
            <w:shd w:val="clear" w:color="auto" w:fill="auto"/>
            <w:noWrap/>
            <w:vAlign w:val="bottom"/>
            <w:hideMark/>
          </w:tcPr>
          <w:p w14:paraId="663CB96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3.697</w:t>
            </w:r>
          </w:p>
        </w:tc>
        <w:tc>
          <w:tcPr>
            <w:tcW w:w="799" w:type="dxa"/>
            <w:tcBorders>
              <w:top w:val="nil"/>
              <w:left w:val="nil"/>
              <w:bottom w:val="single" w:sz="4" w:space="0" w:color="auto"/>
              <w:right w:val="single" w:sz="4" w:space="0" w:color="auto"/>
            </w:tcBorders>
            <w:shd w:val="clear" w:color="auto" w:fill="auto"/>
            <w:noWrap/>
            <w:vAlign w:val="bottom"/>
            <w:hideMark/>
          </w:tcPr>
          <w:p w14:paraId="42A0F40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3.691</w:t>
            </w:r>
          </w:p>
        </w:tc>
        <w:tc>
          <w:tcPr>
            <w:tcW w:w="799" w:type="dxa"/>
            <w:tcBorders>
              <w:top w:val="nil"/>
              <w:left w:val="nil"/>
              <w:bottom w:val="single" w:sz="4" w:space="0" w:color="auto"/>
              <w:right w:val="single" w:sz="4" w:space="0" w:color="auto"/>
            </w:tcBorders>
            <w:shd w:val="clear" w:color="auto" w:fill="auto"/>
            <w:noWrap/>
            <w:vAlign w:val="bottom"/>
            <w:hideMark/>
          </w:tcPr>
          <w:p w14:paraId="33BE214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3.676</w:t>
            </w:r>
          </w:p>
        </w:tc>
        <w:tc>
          <w:tcPr>
            <w:tcW w:w="799" w:type="dxa"/>
            <w:tcBorders>
              <w:top w:val="nil"/>
              <w:left w:val="nil"/>
              <w:bottom w:val="single" w:sz="4" w:space="0" w:color="auto"/>
              <w:right w:val="single" w:sz="4" w:space="0" w:color="auto"/>
            </w:tcBorders>
            <w:shd w:val="clear" w:color="auto" w:fill="auto"/>
            <w:noWrap/>
            <w:vAlign w:val="bottom"/>
            <w:hideMark/>
          </w:tcPr>
          <w:p w14:paraId="200EB8B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3.677</w:t>
            </w:r>
          </w:p>
        </w:tc>
        <w:tc>
          <w:tcPr>
            <w:tcW w:w="799" w:type="dxa"/>
            <w:tcBorders>
              <w:top w:val="nil"/>
              <w:left w:val="nil"/>
              <w:bottom w:val="single" w:sz="4" w:space="0" w:color="auto"/>
              <w:right w:val="single" w:sz="4" w:space="0" w:color="auto"/>
            </w:tcBorders>
            <w:shd w:val="clear" w:color="auto" w:fill="auto"/>
            <w:noWrap/>
            <w:vAlign w:val="bottom"/>
            <w:hideMark/>
          </w:tcPr>
          <w:p w14:paraId="6FD13937"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3.672</w:t>
            </w:r>
          </w:p>
        </w:tc>
        <w:tc>
          <w:tcPr>
            <w:tcW w:w="800" w:type="dxa"/>
            <w:tcBorders>
              <w:top w:val="nil"/>
              <w:left w:val="nil"/>
              <w:bottom w:val="single" w:sz="4" w:space="0" w:color="auto"/>
              <w:right w:val="single" w:sz="4" w:space="0" w:color="auto"/>
            </w:tcBorders>
            <w:shd w:val="clear" w:color="auto" w:fill="auto"/>
            <w:noWrap/>
            <w:vAlign w:val="bottom"/>
            <w:hideMark/>
          </w:tcPr>
          <w:p w14:paraId="488CF30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3.678</w:t>
            </w:r>
          </w:p>
        </w:tc>
      </w:tr>
      <w:tr w:rsidR="00092278" w:rsidRPr="00BF7E57" w14:paraId="15759392"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A903BDD"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Ribištvo in akvakultura</w:t>
            </w:r>
          </w:p>
        </w:tc>
        <w:tc>
          <w:tcPr>
            <w:tcW w:w="799" w:type="dxa"/>
            <w:tcBorders>
              <w:top w:val="nil"/>
              <w:left w:val="nil"/>
              <w:bottom w:val="single" w:sz="4" w:space="0" w:color="auto"/>
              <w:right w:val="single" w:sz="4" w:space="0" w:color="auto"/>
            </w:tcBorders>
            <w:shd w:val="clear" w:color="auto" w:fill="auto"/>
            <w:noWrap/>
            <w:vAlign w:val="bottom"/>
            <w:hideMark/>
          </w:tcPr>
          <w:p w14:paraId="6A557D0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230</w:t>
            </w:r>
          </w:p>
        </w:tc>
        <w:tc>
          <w:tcPr>
            <w:tcW w:w="799" w:type="dxa"/>
            <w:tcBorders>
              <w:top w:val="nil"/>
              <w:left w:val="nil"/>
              <w:bottom w:val="single" w:sz="4" w:space="0" w:color="auto"/>
              <w:right w:val="single" w:sz="4" w:space="0" w:color="auto"/>
            </w:tcBorders>
            <w:shd w:val="clear" w:color="auto" w:fill="auto"/>
            <w:noWrap/>
            <w:vAlign w:val="bottom"/>
            <w:hideMark/>
          </w:tcPr>
          <w:p w14:paraId="6CA9628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240</w:t>
            </w:r>
          </w:p>
        </w:tc>
        <w:tc>
          <w:tcPr>
            <w:tcW w:w="799" w:type="dxa"/>
            <w:tcBorders>
              <w:top w:val="nil"/>
              <w:left w:val="nil"/>
              <w:bottom w:val="single" w:sz="4" w:space="0" w:color="auto"/>
              <w:right w:val="single" w:sz="4" w:space="0" w:color="auto"/>
            </w:tcBorders>
            <w:shd w:val="clear" w:color="auto" w:fill="auto"/>
            <w:noWrap/>
            <w:vAlign w:val="bottom"/>
            <w:hideMark/>
          </w:tcPr>
          <w:p w14:paraId="3935ED1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64D4BA8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240</w:t>
            </w:r>
          </w:p>
        </w:tc>
        <w:tc>
          <w:tcPr>
            <w:tcW w:w="800" w:type="dxa"/>
            <w:tcBorders>
              <w:top w:val="nil"/>
              <w:left w:val="nil"/>
              <w:bottom w:val="single" w:sz="4" w:space="0" w:color="auto"/>
              <w:right w:val="single" w:sz="4" w:space="0" w:color="auto"/>
            </w:tcBorders>
            <w:shd w:val="clear" w:color="auto" w:fill="auto"/>
            <w:noWrap/>
            <w:vAlign w:val="bottom"/>
            <w:hideMark/>
          </w:tcPr>
          <w:p w14:paraId="5003E771"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240</w:t>
            </w:r>
          </w:p>
        </w:tc>
        <w:tc>
          <w:tcPr>
            <w:tcW w:w="799" w:type="dxa"/>
            <w:tcBorders>
              <w:top w:val="nil"/>
              <w:left w:val="nil"/>
              <w:bottom w:val="single" w:sz="4" w:space="0" w:color="auto"/>
              <w:right w:val="single" w:sz="4" w:space="0" w:color="auto"/>
            </w:tcBorders>
            <w:shd w:val="clear" w:color="auto" w:fill="auto"/>
            <w:noWrap/>
            <w:vAlign w:val="bottom"/>
            <w:hideMark/>
          </w:tcPr>
          <w:p w14:paraId="40D2A83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230</w:t>
            </w:r>
          </w:p>
        </w:tc>
        <w:tc>
          <w:tcPr>
            <w:tcW w:w="799" w:type="dxa"/>
            <w:tcBorders>
              <w:top w:val="nil"/>
              <w:left w:val="nil"/>
              <w:bottom w:val="single" w:sz="4" w:space="0" w:color="auto"/>
              <w:right w:val="single" w:sz="4" w:space="0" w:color="auto"/>
            </w:tcBorders>
            <w:shd w:val="clear" w:color="auto" w:fill="auto"/>
            <w:noWrap/>
            <w:vAlign w:val="bottom"/>
            <w:hideMark/>
          </w:tcPr>
          <w:p w14:paraId="6C8B97AC"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424697F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293FFF8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240</w:t>
            </w:r>
          </w:p>
        </w:tc>
        <w:tc>
          <w:tcPr>
            <w:tcW w:w="800" w:type="dxa"/>
            <w:tcBorders>
              <w:top w:val="nil"/>
              <w:left w:val="nil"/>
              <w:bottom w:val="single" w:sz="4" w:space="0" w:color="auto"/>
              <w:right w:val="single" w:sz="4" w:space="0" w:color="auto"/>
            </w:tcBorders>
            <w:shd w:val="clear" w:color="auto" w:fill="auto"/>
            <w:noWrap/>
            <w:vAlign w:val="bottom"/>
            <w:hideMark/>
          </w:tcPr>
          <w:p w14:paraId="17398A2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230</w:t>
            </w:r>
          </w:p>
        </w:tc>
      </w:tr>
      <w:tr w:rsidR="00092278" w:rsidRPr="00BF7E57" w14:paraId="0E67AE56"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AAB119E"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Elektrika iz biomase</w:t>
            </w:r>
          </w:p>
        </w:tc>
        <w:tc>
          <w:tcPr>
            <w:tcW w:w="799" w:type="dxa"/>
            <w:tcBorders>
              <w:top w:val="nil"/>
              <w:left w:val="nil"/>
              <w:bottom w:val="single" w:sz="4" w:space="0" w:color="auto"/>
              <w:right w:val="single" w:sz="4" w:space="0" w:color="auto"/>
            </w:tcBorders>
            <w:shd w:val="clear" w:color="auto" w:fill="auto"/>
            <w:noWrap/>
            <w:vAlign w:val="bottom"/>
            <w:hideMark/>
          </w:tcPr>
          <w:p w14:paraId="6FCFC279"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47</w:t>
            </w:r>
          </w:p>
        </w:tc>
        <w:tc>
          <w:tcPr>
            <w:tcW w:w="799" w:type="dxa"/>
            <w:tcBorders>
              <w:top w:val="nil"/>
              <w:left w:val="nil"/>
              <w:bottom w:val="single" w:sz="4" w:space="0" w:color="auto"/>
              <w:right w:val="single" w:sz="4" w:space="0" w:color="auto"/>
            </w:tcBorders>
            <w:shd w:val="clear" w:color="auto" w:fill="auto"/>
            <w:noWrap/>
            <w:vAlign w:val="bottom"/>
            <w:hideMark/>
          </w:tcPr>
          <w:p w14:paraId="1064814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32</w:t>
            </w:r>
          </w:p>
        </w:tc>
        <w:tc>
          <w:tcPr>
            <w:tcW w:w="799" w:type="dxa"/>
            <w:tcBorders>
              <w:top w:val="nil"/>
              <w:left w:val="nil"/>
              <w:bottom w:val="single" w:sz="4" w:space="0" w:color="auto"/>
              <w:right w:val="single" w:sz="4" w:space="0" w:color="auto"/>
            </w:tcBorders>
            <w:shd w:val="clear" w:color="auto" w:fill="auto"/>
            <w:noWrap/>
            <w:vAlign w:val="bottom"/>
            <w:hideMark/>
          </w:tcPr>
          <w:p w14:paraId="7ABFB0F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40</w:t>
            </w:r>
          </w:p>
        </w:tc>
        <w:tc>
          <w:tcPr>
            <w:tcW w:w="799" w:type="dxa"/>
            <w:tcBorders>
              <w:top w:val="nil"/>
              <w:left w:val="nil"/>
              <w:bottom w:val="single" w:sz="4" w:space="0" w:color="auto"/>
              <w:right w:val="single" w:sz="4" w:space="0" w:color="auto"/>
            </w:tcBorders>
            <w:shd w:val="clear" w:color="auto" w:fill="auto"/>
            <w:noWrap/>
            <w:vAlign w:val="bottom"/>
            <w:hideMark/>
          </w:tcPr>
          <w:p w14:paraId="26F5EF5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50</w:t>
            </w:r>
          </w:p>
        </w:tc>
        <w:tc>
          <w:tcPr>
            <w:tcW w:w="800" w:type="dxa"/>
            <w:tcBorders>
              <w:top w:val="nil"/>
              <w:left w:val="nil"/>
              <w:bottom w:val="single" w:sz="4" w:space="0" w:color="auto"/>
              <w:right w:val="single" w:sz="4" w:space="0" w:color="auto"/>
            </w:tcBorders>
            <w:shd w:val="clear" w:color="auto" w:fill="auto"/>
            <w:noWrap/>
            <w:vAlign w:val="bottom"/>
            <w:hideMark/>
          </w:tcPr>
          <w:p w14:paraId="43EAD7C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60</w:t>
            </w:r>
          </w:p>
        </w:tc>
        <w:tc>
          <w:tcPr>
            <w:tcW w:w="799" w:type="dxa"/>
            <w:tcBorders>
              <w:top w:val="nil"/>
              <w:left w:val="nil"/>
              <w:bottom w:val="single" w:sz="4" w:space="0" w:color="auto"/>
              <w:right w:val="single" w:sz="4" w:space="0" w:color="auto"/>
            </w:tcBorders>
            <w:shd w:val="clear" w:color="auto" w:fill="auto"/>
            <w:noWrap/>
            <w:vAlign w:val="bottom"/>
            <w:hideMark/>
          </w:tcPr>
          <w:p w14:paraId="2364057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61</w:t>
            </w:r>
          </w:p>
        </w:tc>
        <w:tc>
          <w:tcPr>
            <w:tcW w:w="799" w:type="dxa"/>
            <w:tcBorders>
              <w:top w:val="nil"/>
              <w:left w:val="nil"/>
              <w:bottom w:val="single" w:sz="4" w:space="0" w:color="auto"/>
              <w:right w:val="single" w:sz="4" w:space="0" w:color="auto"/>
            </w:tcBorders>
            <w:shd w:val="clear" w:color="auto" w:fill="auto"/>
            <w:noWrap/>
            <w:vAlign w:val="bottom"/>
            <w:hideMark/>
          </w:tcPr>
          <w:p w14:paraId="4F31A35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52</w:t>
            </w:r>
          </w:p>
        </w:tc>
        <w:tc>
          <w:tcPr>
            <w:tcW w:w="799" w:type="dxa"/>
            <w:tcBorders>
              <w:top w:val="nil"/>
              <w:left w:val="nil"/>
              <w:bottom w:val="single" w:sz="4" w:space="0" w:color="auto"/>
              <w:right w:val="single" w:sz="4" w:space="0" w:color="auto"/>
            </w:tcBorders>
            <w:shd w:val="clear" w:color="auto" w:fill="auto"/>
            <w:noWrap/>
            <w:vAlign w:val="bottom"/>
            <w:hideMark/>
          </w:tcPr>
          <w:p w14:paraId="3E53C13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59</w:t>
            </w:r>
          </w:p>
        </w:tc>
        <w:tc>
          <w:tcPr>
            <w:tcW w:w="799" w:type="dxa"/>
            <w:tcBorders>
              <w:top w:val="nil"/>
              <w:left w:val="nil"/>
              <w:bottom w:val="single" w:sz="4" w:space="0" w:color="auto"/>
              <w:right w:val="single" w:sz="4" w:space="0" w:color="auto"/>
            </w:tcBorders>
            <w:shd w:val="clear" w:color="auto" w:fill="auto"/>
            <w:noWrap/>
            <w:vAlign w:val="bottom"/>
            <w:hideMark/>
          </w:tcPr>
          <w:p w14:paraId="2E27D31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54</w:t>
            </w:r>
          </w:p>
        </w:tc>
        <w:tc>
          <w:tcPr>
            <w:tcW w:w="800" w:type="dxa"/>
            <w:tcBorders>
              <w:top w:val="nil"/>
              <w:left w:val="nil"/>
              <w:bottom w:val="single" w:sz="4" w:space="0" w:color="auto"/>
              <w:right w:val="single" w:sz="4" w:space="0" w:color="auto"/>
            </w:tcBorders>
            <w:shd w:val="clear" w:color="auto" w:fill="auto"/>
            <w:noWrap/>
            <w:vAlign w:val="bottom"/>
            <w:hideMark/>
          </w:tcPr>
          <w:p w14:paraId="48DAD69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54</w:t>
            </w:r>
          </w:p>
        </w:tc>
      </w:tr>
      <w:tr w:rsidR="00092278" w:rsidRPr="00BF7E57" w14:paraId="33099483"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A97CB4C"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Tekoča biogoriva</w:t>
            </w:r>
          </w:p>
        </w:tc>
        <w:tc>
          <w:tcPr>
            <w:tcW w:w="799" w:type="dxa"/>
            <w:tcBorders>
              <w:top w:val="nil"/>
              <w:left w:val="nil"/>
              <w:bottom w:val="single" w:sz="4" w:space="0" w:color="auto"/>
              <w:right w:val="single" w:sz="4" w:space="0" w:color="auto"/>
            </w:tcBorders>
            <w:shd w:val="clear" w:color="auto" w:fill="auto"/>
            <w:noWrap/>
            <w:vAlign w:val="bottom"/>
            <w:hideMark/>
          </w:tcPr>
          <w:p w14:paraId="6C5EE2F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0F36456C"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3012077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3EB63CA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800" w:type="dxa"/>
            <w:tcBorders>
              <w:top w:val="nil"/>
              <w:left w:val="nil"/>
              <w:bottom w:val="single" w:sz="4" w:space="0" w:color="auto"/>
              <w:right w:val="single" w:sz="4" w:space="0" w:color="auto"/>
            </w:tcBorders>
            <w:shd w:val="clear" w:color="auto" w:fill="auto"/>
            <w:noWrap/>
            <w:vAlign w:val="bottom"/>
            <w:hideMark/>
          </w:tcPr>
          <w:p w14:paraId="704177E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1AA1E3B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4FA899B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121D3BC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068BDDC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800" w:type="dxa"/>
            <w:tcBorders>
              <w:top w:val="nil"/>
              <w:left w:val="nil"/>
              <w:bottom w:val="single" w:sz="4" w:space="0" w:color="auto"/>
              <w:right w:val="single" w:sz="4" w:space="0" w:color="auto"/>
            </w:tcBorders>
            <w:shd w:val="clear" w:color="auto" w:fill="auto"/>
            <w:noWrap/>
            <w:vAlign w:val="bottom"/>
            <w:hideMark/>
          </w:tcPr>
          <w:p w14:paraId="3EC8A909"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r>
      <w:tr w:rsidR="00092278" w:rsidRPr="00BF7E57" w14:paraId="679A364C"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193420E" w14:textId="77777777" w:rsidR="009E0216" w:rsidRPr="00BF7E57" w:rsidRDefault="009E0216" w:rsidP="00092278">
            <w:pPr>
              <w:keepNext/>
              <w:keepLines/>
              <w:spacing w:before="60" w:after="60" w:line="240" w:lineRule="auto"/>
              <w:rPr>
                <w:rFonts w:ascii="Arial" w:hAnsi="Arial" w:cs="Arial"/>
                <w:b/>
                <w:bCs/>
                <w:color w:val="000000"/>
                <w:sz w:val="18"/>
                <w:szCs w:val="18"/>
              </w:rPr>
            </w:pPr>
            <w:r w:rsidRPr="00BF7E57">
              <w:rPr>
                <w:rFonts w:ascii="Arial" w:hAnsi="Arial" w:cs="Arial"/>
                <w:b/>
                <w:bCs/>
                <w:color w:val="000000"/>
                <w:sz w:val="18"/>
                <w:szCs w:val="18"/>
              </w:rPr>
              <w:t>Skupaj</w:t>
            </w:r>
          </w:p>
        </w:tc>
        <w:tc>
          <w:tcPr>
            <w:tcW w:w="799" w:type="dxa"/>
            <w:tcBorders>
              <w:top w:val="nil"/>
              <w:left w:val="nil"/>
              <w:bottom w:val="single" w:sz="4" w:space="0" w:color="auto"/>
              <w:right w:val="single" w:sz="4" w:space="0" w:color="auto"/>
            </w:tcBorders>
            <w:shd w:val="clear" w:color="auto" w:fill="auto"/>
            <w:noWrap/>
            <w:vAlign w:val="bottom"/>
            <w:hideMark/>
          </w:tcPr>
          <w:p w14:paraId="5959CC1B"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137.573</w:t>
            </w:r>
          </w:p>
        </w:tc>
        <w:tc>
          <w:tcPr>
            <w:tcW w:w="799" w:type="dxa"/>
            <w:tcBorders>
              <w:top w:val="nil"/>
              <w:left w:val="nil"/>
              <w:bottom w:val="single" w:sz="4" w:space="0" w:color="auto"/>
              <w:right w:val="single" w:sz="4" w:space="0" w:color="auto"/>
            </w:tcBorders>
            <w:shd w:val="clear" w:color="auto" w:fill="auto"/>
            <w:noWrap/>
            <w:vAlign w:val="bottom"/>
            <w:hideMark/>
          </w:tcPr>
          <w:p w14:paraId="64F80A6A"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128.380</w:t>
            </w:r>
          </w:p>
        </w:tc>
        <w:tc>
          <w:tcPr>
            <w:tcW w:w="799" w:type="dxa"/>
            <w:tcBorders>
              <w:top w:val="nil"/>
              <w:left w:val="nil"/>
              <w:bottom w:val="single" w:sz="4" w:space="0" w:color="auto"/>
              <w:right w:val="single" w:sz="4" w:space="0" w:color="auto"/>
            </w:tcBorders>
            <w:shd w:val="clear" w:color="auto" w:fill="auto"/>
            <w:noWrap/>
            <w:vAlign w:val="bottom"/>
            <w:hideMark/>
          </w:tcPr>
          <w:p w14:paraId="1AB45FD9"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123.643</w:t>
            </w:r>
          </w:p>
        </w:tc>
        <w:tc>
          <w:tcPr>
            <w:tcW w:w="799" w:type="dxa"/>
            <w:tcBorders>
              <w:top w:val="nil"/>
              <w:left w:val="nil"/>
              <w:bottom w:val="single" w:sz="4" w:space="0" w:color="auto"/>
              <w:right w:val="single" w:sz="4" w:space="0" w:color="auto"/>
            </w:tcBorders>
            <w:shd w:val="clear" w:color="auto" w:fill="auto"/>
            <w:noWrap/>
            <w:vAlign w:val="bottom"/>
            <w:hideMark/>
          </w:tcPr>
          <w:p w14:paraId="14CDCB6C"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119.337</w:t>
            </w:r>
          </w:p>
        </w:tc>
        <w:tc>
          <w:tcPr>
            <w:tcW w:w="800" w:type="dxa"/>
            <w:tcBorders>
              <w:top w:val="nil"/>
              <w:left w:val="nil"/>
              <w:bottom w:val="single" w:sz="4" w:space="0" w:color="auto"/>
              <w:right w:val="single" w:sz="4" w:space="0" w:color="auto"/>
            </w:tcBorders>
            <w:shd w:val="clear" w:color="auto" w:fill="auto"/>
            <w:noWrap/>
            <w:vAlign w:val="bottom"/>
            <w:hideMark/>
          </w:tcPr>
          <w:p w14:paraId="36019B91"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117.025</w:t>
            </w:r>
          </w:p>
        </w:tc>
        <w:tc>
          <w:tcPr>
            <w:tcW w:w="799" w:type="dxa"/>
            <w:tcBorders>
              <w:top w:val="nil"/>
              <w:left w:val="nil"/>
              <w:bottom w:val="single" w:sz="4" w:space="0" w:color="auto"/>
              <w:right w:val="single" w:sz="4" w:space="0" w:color="auto"/>
            </w:tcBorders>
            <w:shd w:val="clear" w:color="auto" w:fill="auto"/>
            <w:noWrap/>
            <w:vAlign w:val="bottom"/>
            <w:hideMark/>
          </w:tcPr>
          <w:p w14:paraId="76B9DF64"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116.222</w:t>
            </w:r>
          </w:p>
        </w:tc>
        <w:tc>
          <w:tcPr>
            <w:tcW w:w="799" w:type="dxa"/>
            <w:tcBorders>
              <w:top w:val="nil"/>
              <w:left w:val="nil"/>
              <w:bottom w:val="single" w:sz="4" w:space="0" w:color="auto"/>
              <w:right w:val="single" w:sz="4" w:space="0" w:color="auto"/>
            </w:tcBorders>
            <w:shd w:val="clear" w:color="auto" w:fill="auto"/>
            <w:noWrap/>
            <w:vAlign w:val="bottom"/>
            <w:hideMark/>
          </w:tcPr>
          <w:p w14:paraId="53BBF7BD"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114.831</w:t>
            </w:r>
          </w:p>
        </w:tc>
        <w:tc>
          <w:tcPr>
            <w:tcW w:w="799" w:type="dxa"/>
            <w:tcBorders>
              <w:top w:val="nil"/>
              <w:left w:val="nil"/>
              <w:bottom w:val="single" w:sz="4" w:space="0" w:color="auto"/>
              <w:right w:val="single" w:sz="4" w:space="0" w:color="auto"/>
            </w:tcBorders>
            <w:shd w:val="clear" w:color="auto" w:fill="auto"/>
            <w:noWrap/>
            <w:vAlign w:val="bottom"/>
            <w:hideMark/>
          </w:tcPr>
          <w:p w14:paraId="6D1BE39A"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114.229</w:t>
            </w:r>
          </w:p>
        </w:tc>
        <w:tc>
          <w:tcPr>
            <w:tcW w:w="799" w:type="dxa"/>
            <w:tcBorders>
              <w:top w:val="nil"/>
              <w:left w:val="nil"/>
              <w:bottom w:val="single" w:sz="4" w:space="0" w:color="auto"/>
              <w:right w:val="single" w:sz="4" w:space="0" w:color="auto"/>
            </w:tcBorders>
            <w:shd w:val="clear" w:color="auto" w:fill="auto"/>
            <w:noWrap/>
            <w:vAlign w:val="bottom"/>
            <w:hideMark/>
          </w:tcPr>
          <w:p w14:paraId="61F771E5"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113.585</w:t>
            </w:r>
          </w:p>
        </w:tc>
        <w:tc>
          <w:tcPr>
            <w:tcW w:w="800" w:type="dxa"/>
            <w:tcBorders>
              <w:top w:val="nil"/>
              <w:left w:val="nil"/>
              <w:bottom w:val="single" w:sz="4" w:space="0" w:color="auto"/>
              <w:right w:val="single" w:sz="4" w:space="0" w:color="auto"/>
            </w:tcBorders>
            <w:shd w:val="clear" w:color="auto" w:fill="auto"/>
            <w:noWrap/>
            <w:vAlign w:val="bottom"/>
            <w:hideMark/>
          </w:tcPr>
          <w:p w14:paraId="6CD94E35"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113.719</w:t>
            </w:r>
          </w:p>
        </w:tc>
      </w:tr>
    </w:tbl>
    <w:p w14:paraId="2221E2F2" w14:textId="415212E1"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 xml:space="preserve">Vir: </w:t>
      </w:r>
      <w:r w:rsidR="00390F79" w:rsidRPr="00BF7E57">
        <w:rPr>
          <w:rFonts w:ascii="Arial" w:hAnsi="Arial" w:cs="Arial"/>
          <w:sz w:val="16"/>
          <w:szCs w:val="16"/>
        </w:rPr>
        <w:t>EK, 2020</w:t>
      </w:r>
    </w:p>
    <w:p w14:paraId="2EBC1E3C" w14:textId="4CACE202"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Podatki kažejo na precejšnje znižanje zaposlenosti v biogospodarstvu v desetletnem obdobju. Tako se je skupna zaposlenost v biogospodarstvu znižala iz 137.573 na 113.719. Upad zaposlenosti je še poseb</w:t>
      </w:r>
      <w:r w:rsidR="00E435D3" w:rsidRPr="00BF7E57">
        <w:rPr>
          <w:rFonts w:ascii="Arial" w:hAnsi="Arial" w:cs="Arial"/>
          <w:sz w:val="20"/>
          <w:szCs w:val="20"/>
        </w:rPr>
        <w:t>no izrazit med leti 2008 in 2011</w:t>
      </w:r>
      <w:r w:rsidRPr="00BF7E57">
        <w:rPr>
          <w:rFonts w:ascii="Arial" w:hAnsi="Arial" w:cs="Arial"/>
          <w:sz w:val="20"/>
          <w:szCs w:val="20"/>
        </w:rPr>
        <w:t xml:space="preserve">, kar po vsej verjetnosti posledica vsesplošne gospodarske krize. </w:t>
      </w:r>
    </w:p>
    <w:p w14:paraId="569F2F4E" w14:textId="6EB89D84" w:rsidR="003E038D" w:rsidRPr="00BF7E57" w:rsidRDefault="003E038D" w:rsidP="00A5125A">
      <w:pPr>
        <w:pStyle w:val="Napis"/>
      </w:pPr>
      <w:bookmarkStart w:id="174" w:name="_Ref84929020"/>
      <w:bookmarkStart w:id="175" w:name="_Toc86826427"/>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37</w:t>
      </w:r>
      <w:r w:rsidR="00A30B83" w:rsidRPr="00BF7E57">
        <w:rPr>
          <w:noProof/>
        </w:rPr>
        <w:fldChar w:fldCharType="end"/>
      </w:r>
      <w:bookmarkEnd w:id="174"/>
      <w:r w:rsidRPr="00BF7E57">
        <w:t>: Bruto dodana vrednost na zaposlenega v biogospodarstvu</w:t>
      </w:r>
      <w:bookmarkEnd w:id="175"/>
    </w:p>
    <w:p w14:paraId="23F7DD7C" w14:textId="77777777" w:rsidR="009E0216" w:rsidRPr="00BF7E57" w:rsidRDefault="009E0216" w:rsidP="00BE756C">
      <w:pPr>
        <w:autoSpaceDE w:val="0"/>
        <w:autoSpaceDN w:val="0"/>
        <w:adjustRightInd w:val="0"/>
        <w:spacing w:after="0" w:line="36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04734EC8" wp14:editId="56A20D38">
            <wp:extent cx="5764696" cy="3085106"/>
            <wp:effectExtent l="0" t="0" r="7620" b="1270"/>
            <wp:docPr id="1631865542" name="Grafikon 1631865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F8B51D" w14:textId="77777777" w:rsidR="00C40C4A" w:rsidRPr="00BF7E57" w:rsidRDefault="00C40C4A" w:rsidP="00C40C4A">
      <w:pPr>
        <w:spacing w:line="360" w:lineRule="auto"/>
        <w:jc w:val="both"/>
        <w:rPr>
          <w:rFonts w:ascii="Arial" w:hAnsi="Arial" w:cs="Arial"/>
          <w:sz w:val="16"/>
          <w:szCs w:val="16"/>
        </w:rPr>
      </w:pPr>
      <w:r w:rsidRPr="00BF7E57">
        <w:rPr>
          <w:rFonts w:ascii="Arial" w:hAnsi="Arial" w:cs="Arial"/>
          <w:sz w:val="16"/>
          <w:szCs w:val="16"/>
        </w:rPr>
        <w:t>Vir: EK, 2020</w:t>
      </w:r>
    </w:p>
    <w:p w14:paraId="3E490CED" w14:textId="027DB668"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V obdobju od leta 2008 do 2017 je bruto dodana vrednost na zaposlenega v biogospodarstvu v Sloveniji rasla počasneje kot v povprečju EU</w:t>
      </w:r>
      <w:r w:rsidR="005A7044" w:rsidRPr="00BF7E57">
        <w:rPr>
          <w:rFonts w:ascii="Arial" w:hAnsi="Arial" w:cs="Arial"/>
          <w:sz w:val="20"/>
          <w:szCs w:val="20"/>
        </w:rPr>
        <w:t xml:space="preserve"> (</w:t>
      </w:r>
      <w:r w:rsidR="00AC068C" w:rsidRPr="00BF7E57">
        <w:rPr>
          <w:rFonts w:ascii="Arial" w:hAnsi="Arial" w:cs="Arial"/>
          <w:sz w:val="20"/>
          <w:szCs w:val="20"/>
        </w:rPr>
        <w:fldChar w:fldCharType="begin"/>
      </w:r>
      <w:r w:rsidR="00AC068C" w:rsidRPr="00BF7E57">
        <w:rPr>
          <w:rFonts w:ascii="Arial" w:hAnsi="Arial" w:cs="Arial"/>
          <w:sz w:val="20"/>
          <w:szCs w:val="20"/>
        </w:rPr>
        <w:instrText xml:space="preserve"> REF _Ref84929020 \h </w:instrText>
      </w:r>
      <w:r w:rsidR="00AC068C" w:rsidRPr="00BF7E57">
        <w:rPr>
          <w:rFonts w:ascii="Arial" w:hAnsi="Arial" w:cs="Arial"/>
          <w:sz w:val="20"/>
          <w:szCs w:val="20"/>
        </w:rPr>
      </w:r>
      <w:r w:rsidR="00BF7E57">
        <w:rPr>
          <w:rFonts w:ascii="Arial" w:hAnsi="Arial" w:cs="Arial"/>
          <w:sz w:val="20"/>
          <w:szCs w:val="20"/>
        </w:rPr>
        <w:instrText xml:space="preserve"> \* MERGEFORMAT </w:instrText>
      </w:r>
      <w:r w:rsidR="00AC068C" w:rsidRPr="00BF7E57">
        <w:rPr>
          <w:rFonts w:ascii="Arial" w:hAnsi="Arial" w:cs="Arial"/>
          <w:sz w:val="20"/>
          <w:szCs w:val="20"/>
        </w:rPr>
        <w:fldChar w:fldCharType="separate"/>
      </w:r>
      <w:r w:rsidR="00236865" w:rsidRPr="00BF7E57">
        <w:t xml:space="preserve">Slika </w:t>
      </w:r>
      <w:r w:rsidR="00236865">
        <w:rPr>
          <w:noProof/>
        </w:rPr>
        <w:t>37</w:t>
      </w:r>
      <w:r w:rsidR="00AC068C" w:rsidRPr="00BF7E57">
        <w:rPr>
          <w:rFonts w:ascii="Arial" w:hAnsi="Arial" w:cs="Arial"/>
          <w:sz w:val="20"/>
          <w:szCs w:val="20"/>
        </w:rPr>
        <w:fldChar w:fldCharType="end"/>
      </w:r>
      <w:r w:rsidR="005A7044" w:rsidRPr="00BF7E57">
        <w:rPr>
          <w:rFonts w:ascii="Arial" w:hAnsi="Arial" w:cs="Arial"/>
          <w:sz w:val="20"/>
          <w:szCs w:val="20"/>
        </w:rPr>
        <w:t>)</w:t>
      </w:r>
      <w:r w:rsidRPr="00BF7E57">
        <w:rPr>
          <w:rFonts w:ascii="Arial" w:hAnsi="Arial" w:cs="Arial"/>
          <w:sz w:val="20"/>
          <w:szCs w:val="20"/>
        </w:rPr>
        <w:t>. Od leta 2015 je vrednost v Sloveniji praktično stagnirala. Razkorak med povprečjem EU-27 in Slovenijo se tako še povečuje in se je v absolutnih številkah od leta 2008 do leta 2017 skoraj podvojil in sicer je leta 2008 razlika v bruto dodani vrednosti na zaposlenega v biogospodarstvu znašala 8.759 EUR leta 2017 pa</w:t>
      </w:r>
      <w:r w:rsidR="00083AB5" w:rsidRPr="00BF7E57">
        <w:rPr>
          <w:rFonts w:ascii="Arial" w:hAnsi="Arial" w:cs="Arial"/>
          <w:sz w:val="20"/>
          <w:szCs w:val="20"/>
        </w:rPr>
        <w:t xml:space="preserve"> že 15.284 EUR na zaposlenega. </w:t>
      </w:r>
    </w:p>
    <w:p w14:paraId="1381AF73" w14:textId="67B9E8CD"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 xml:space="preserve">Kmetijstvo je skupaj s prehranskim sistemom tudi največji porabnik biomase (okoli 60 odstotkov povpraševanja). Kar 20 odstotkov proizvedene hrane so zavrže. Procesi proizvodnje, predelave in prodaje so potratni – zanje se porabi kar 17 odstotkov vse ustvarjene energije v EU, oziroma po podatkih za leto 2013 kar 26 odstotkov vse končne porabe energije. Čeprav se je od leta 2005 produktivnost v kmetijstvu povečala za 9 </w:t>
      </w:r>
      <w:r w:rsidR="00AC068C" w:rsidRPr="00BF7E57">
        <w:rPr>
          <w:rFonts w:ascii="Arial" w:hAnsi="Arial" w:cs="Arial"/>
          <w:sz w:val="20"/>
          <w:szCs w:val="20"/>
        </w:rPr>
        <w:t xml:space="preserve">%, </w:t>
      </w:r>
      <w:r w:rsidRPr="00BF7E57">
        <w:rPr>
          <w:rFonts w:ascii="Arial" w:hAnsi="Arial" w:cs="Arial"/>
          <w:sz w:val="20"/>
          <w:szCs w:val="20"/>
        </w:rPr>
        <w:t xml:space="preserve">emisije toplogrednih plinov pa so se od leta 1990 zmanjšale za 21 </w:t>
      </w:r>
      <w:r w:rsidR="00AC068C" w:rsidRPr="00BF7E57">
        <w:rPr>
          <w:rFonts w:ascii="Arial" w:hAnsi="Arial" w:cs="Arial"/>
          <w:sz w:val="20"/>
          <w:szCs w:val="20"/>
        </w:rPr>
        <w:t xml:space="preserve">%, </w:t>
      </w:r>
      <w:r w:rsidRPr="00BF7E57">
        <w:rPr>
          <w:rFonts w:ascii="Arial" w:hAnsi="Arial" w:cs="Arial"/>
          <w:sz w:val="20"/>
          <w:szCs w:val="20"/>
        </w:rPr>
        <w:t xml:space="preserve">kmetijstvo še vedno globalno prispeva 10–12 </w:t>
      </w:r>
      <w:r w:rsidR="00AC068C" w:rsidRPr="00BF7E57">
        <w:rPr>
          <w:rFonts w:ascii="Arial" w:hAnsi="Arial" w:cs="Arial"/>
          <w:sz w:val="20"/>
          <w:szCs w:val="20"/>
        </w:rPr>
        <w:t xml:space="preserve">% </w:t>
      </w:r>
      <w:r w:rsidRPr="00BF7E57">
        <w:rPr>
          <w:rFonts w:ascii="Arial" w:hAnsi="Arial" w:cs="Arial"/>
          <w:sz w:val="20"/>
          <w:szCs w:val="20"/>
        </w:rPr>
        <w:t>izpustov toplogrednih plinov in je največji vir emisij metana in NO, več</w:t>
      </w:r>
      <w:r w:rsidR="00083AB5" w:rsidRPr="00BF7E57">
        <w:rPr>
          <w:rFonts w:ascii="Arial" w:hAnsi="Arial" w:cs="Arial"/>
          <w:sz w:val="20"/>
          <w:szCs w:val="20"/>
        </w:rPr>
        <w:t xml:space="preserve">inoma na račun prežvekovalcev. </w:t>
      </w:r>
    </w:p>
    <w:p w14:paraId="71348FF6" w14:textId="3F508746"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Po podatkih SURS je bilo v Sloveniji v letu 2018 proizvedenih skoraj 139.900 ton odpadne hrane od česar je bilo po oceni 38 % užitnega dela, ki bi ga lahko z ozaveščanjem in pravilnim odnosom do hrane zmanjšali ali preprečili</w:t>
      </w:r>
      <w:r w:rsidR="000A074F" w:rsidRPr="00BF7E57">
        <w:rPr>
          <w:rFonts w:ascii="Arial" w:hAnsi="Arial" w:cs="Arial"/>
          <w:sz w:val="20"/>
          <w:szCs w:val="20"/>
        </w:rPr>
        <w:t>.</w:t>
      </w:r>
      <w:r w:rsidRPr="00BF7E57">
        <w:rPr>
          <w:rFonts w:ascii="Arial" w:hAnsi="Arial" w:cs="Arial"/>
          <w:sz w:val="20"/>
          <w:szCs w:val="20"/>
        </w:rPr>
        <w:t xml:space="preserve"> 62 %</w:t>
      </w:r>
      <w:r w:rsidR="000A074F" w:rsidRPr="00BF7E57">
        <w:rPr>
          <w:rFonts w:ascii="Arial" w:hAnsi="Arial" w:cs="Arial"/>
          <w:sz w:val="20"/>
          <w:szCs w:val="20"/>
        </w:rPr>
        <w:t xml:space="preserve"> je</w:t>
      </w:r>
      <w:r w:rsidRPr="00BF7E57">
        <w:rPr>
          <w:rFonts w:ascii="Arial" w:hAnsi="Arial" w:cs="Arial"/>
          <w:sz w:val="20"/>
          <w:szCs w:val="20"/>
        </w:rPr>
        <w:t>o bil</w:t>
      </w:r>
      <w:r w:rsidR="000A074F" w:rsidRPr="00BF7E57">
        <w:rPr>
          <w:rFonts w:ascii="Arial" w:hAnsi="Arial" w:cs="Arial"/>
          <w:sz w:val="20"/>
          <w:szCs w:val="20"/>
        </w:rPr>
        <w:t>o</w:t>
      </w:r>
      <w:r w:rsidRPr="00BF7E57">
        <w:rPr>
          <w:rFonts w:ascii="Arial" w:hAnsi="Arial" w:cs="Arial"/>
          <w:sz w:val="20"/>
          <w:szCs w:val="20"/>
        </w:rPr>
        <w:t xml:space="preserve"> neužitni</w:t>
      </w:r>
      <w:r w:rsidR="000A074F" w:rsidRPr="00BF7E57">
        <w:rPr>
          <w:rFonts w:ascii="Arial" w:hAnsi="Arial" w:cs="Arial"/>
          <w:sz w:val="20"/>
          <w:szCs w:val="20"/>
        </w:rPr>
        <w:t>h</w:t>
      </w:r>
      <w:r w:rsidRPr="00BF7E57">
        <w:rPr>
          <w:rFonts w:ascii="Arial" w:hAnsi="Arial" w:cs="Arial"/>
          <w:sz w:val="20"/>
          <w:szCs w:val="20"/>
        </w:rPr>
        <w:t xml:space="preserve"> del</w:t>
      </w:r>
      <w:r w:rsidR="000A074F" w:rsidRPr="00BF7E57">
        <w:rPr>
          <w:rFonts w:ascii="Arial" w:hAnsi="Arial" w:cs="Arial"/>
          <w:sz w:val="20"/>
          <w:szCs w:val="20"/>
        </w:rPr>
        <w:t>ov</w:t>
      </w:r>
      <w:r w:rsidRPr="00BF7E57">
        <w:rPr>
          <w:rFonts w:ascii="Arial" w:hAnsi="Arial" w:cs="Arial"/>
          <w:sz w:val="20"/>
          <w:szCs w:val="20"/>
        </w:rPr>
        <w:t>, ki se jim večinoma ne da izogniti. Delež odpadne hrane, ki se je predelala v bioplinarnah, se je v obdobju 2013-2018 vseskozi povečeval. V letu 2013 je delež odpadne hrane predelane v bioplinarnah predstavljal 35 % vse odpadne hrane</w:t>
      </w:r>
      <w:r w:rsidR="000A074F" w:rsidRPr="00BF7E57">
        <w:rPr>
          <w:rFonts w:ascii="Arial" w:hAnsi="Arial" w:cs="Arial"/>
          <w:sz w:val="20"/>
          <w:szCs w:val="20"/>
        </w:rPr>
        <w:t>,</w:t>
      </w:r>
      <w:r w:rsidR="00FC16F5" w:rsidRPr="00BF7E57">
        <w:rPr>
          <w:rFonts w:ascii="Arial" w:hAnsi="Arial" w:cs="Arial"/>
          <w:sz w:val="20"/>
          <w:szCs w:val="20"/>
        </w:rPr>
        <w:t xml:space="preserve"> </w:t>
      </w:r>
      <w:r w:rsidRPr="00BF7E57">
        <w:rPr>
          <w:rFonts w:ascii="Arial" w:hAnsi="Arial" w:cs="Arial"/>
          <w:sz w:val="20"/>
          <w:szCs w:val="20"/>
        </w:rPr>
        <w:t>v letu 2015 že skoraj 40 %</w:t>
      </w:r>
      <w:r w:rsidR="000A074F" w:rsidRPr="00BF7E57">
        <w:rPr>
          <w:rFonts w:ascii="Arial" w:hAnsi="Arial" w:cs="Arial"/>
          <w:sz w:val="20"/>
          <w:szCs w:val="20"/>
        </w:rPr>
        <w:t>,</w:t>
      </w:r>
      <w:r w:rsidRPr="00BF7E57">
        <w:rPr>
          <w:rFonts w:ascii="Arial" w:hAnsi="Arial" w:cs="Arial"/>
          <w:sz w:val="20"/>
          <w:szCs w:val="20"/>
        </w:rPr>
        <w:t xml:space="preserve"> v letu 2018 pa je znašal že dobrih 47 %.</w:t>
      </w:r>
    </w:p>
    <w:p w14:paraId="60A508D8" w14:textId="7A860940" w:rsidR="003E038D" w:rsidRPr="00BF7E57" w:rsidRDefault="003E038D" w:rsidP="00A5125A">
      <w:pPr>
        <w:pStyle w:val="Napis"/>
      </w:pPr>
      <w:bookmarkStart w:id="176" w:name="_Toc86826428"/>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38</w:t>
      </w:r>
      <w:r w:rsidR="00A30B83" w:rsidRPr="00BF7E57">
        <w:rPr>
          <w:noProof/>
        </w:rPr>
        <w:fldChar w:fldCharType="end"/>
      </w:r>
      <w:r w:rsidRPr="00BF7E57">
        <w:t>: Ravnanje z odpadno hrano v Sloveniji</w:t>
      </w:r>
      <w:bookmarkEnd w:id="176"/>
    </w:p>
    <w:p w14:paraId="5519C3D8" w14:textId="1DE6993A" w:rsidR="009E0216" w:rsidRPr="00BF7E57" w:rsidRDefault="009E0216" w:rsidP="00BE756C">
      <w:pPr>
        <w:autoSpaceDE w:val="0"/>
        <w:autoSpaceDN w:val="0"/>
        <w:adjustRightInd w:val="0"/>
        <w:spacing w:after="0" w:line="36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21E210E3" wp14:editId="65AA1C3A">
            <wp:extent cx="5669280" cy="2999232"/>
            <wp:effectExtent l="0" t="0" r="7620" b="10795"/>
            <wp:docPr id="1631865545" name="Grafikon 163186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7B2B2E" w14:textId="77777777" w:rsidR="009E0216" w:rsidRPr="00BF7E57" w:rsidRDefault="00083AB5" w:rsidP="00EA2E4C">
      <w:pPr>
        <w:spacing w:line="360" w:lineRule="auto"/>
        <w:jc w:val="both"/>
        <w:rPr>
          <w:rFonts w:ascii="Arial" w:hAnsi="Arial" w:cs="Arial"/>
          <w:sz w:val="16"/>
          <w:szCs w:val="16"/>
        </w:rPr>
      </w:pPr>
      <w:r w:rsidRPr="00BF7E57">
        <w:rPr>
          <w:rFonts w:ascii="Arial" w:hAnsi="Arial" w:cs="Arial"/>
          <w:sz w:val="16"/>
          <w:szCs w:val="16"/>
        </w:rPr>
        <w:t>Vir: SURS</w:t>
      </w:r>
      <w:r w:rsidR="006F7A97" w:rsidRPr="00BF7E57">
        <w:rPr>
          <w:rFonts w:ascii="Arial" w:hAnsi="Arial" w:cs="Arial"/>
          <w:sz w:val="16"/>
          <w:szCs w:val="16"/>
        </w:rPr>
        <w:t>, 2020</w:t>
      </w:r>
    </w:p>
    <w:p w14:paraId="08346B44" w14:textId="36A94658"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Gozd z izkoriščanjem lesne biomase je pomemben vir surovin za številne sektorje, kot so predelava lesnih izdelkov, pohištvena industrija, proizvodnja celuloze in papirja, gradbeništvo in drugi. Tako je eno ključnih področij biogospodarstva področje rabe lesa, ki trenutno prispeva eno tretjino k skupni dodani vrednosti slovenskega biogospodarstva.</w:t>
      </w:r>
      <w:r w:rsidR="00C40C4A" w:rsidRPr="00BF7E57">
        <w:rPr>
          <w:rFonts w:ascii="Arial" w:hAnsi="Arial" w:cs="Arial"/>
          <w:sz w:val="20"/>
          <w:szCs w:val="20"/>
        </w:rPr>
        <w:t xml:space="preserve"> (GV, 2019)</w:t>
      </w:r>
      <w:r w:rsidRPr="00BF7E57">
        <w:rPr>
          <w:rFonts w:ascii="Arial" w:hAnsi="Arial" w:cs="Arial"/>
          <w:sz w:val="20"/>
          <w:szCs w:val="20"/>
        </w:rPr>
        <w:t xml:space="preserve"> Po podatkih </w:t>
      </w:r>
      <w:r w:rsidR="006F7A97" w:rsidRPr="00BF7E57">
        <w:rPr>
          <w:rFonts w:ascii="Arial" w:hAnsi="Arial" w:cs="Arial"/>
          <w:sz w:val="20"/>
          <w:szCs w:val="20"/>
        </w:rPr>
        <w:t xml:space="preserve">ARSO (2020) </w:t>
      </w:r>
      <w:r w:rsidRPr="00BF7E57">
        <w:rPr>
          <w:rFonts w:ascii="Arial" w:hAnsi="Arial" w:cs="Arial"/>
          <w:sz w:val="20"/>
          <w:szCs w:val="20"/>
        </w:rPr>
        <w:t>se gozdovi z vidika lesnih zalog in prirastka že dolgo krepijo. V zadnjih 70 letih sta se povečala za dobrih 140 %. Posek je, poleg naravnih danosti, odvisen še od socialnoekonomskih faktorjev, v zadnjem času pa predvsem od pojavljanja naravnih ujm (vetrolomi, žledolomi) in lubadarja. Do leta 2014 je posek predstavljal približno 50 % prirastka, po tem letu pa se je bistveno povečal in predstavlja od 60 do 75 % skupnega prirastka iglavcev in listavcev.</w:t>
      </w:r>
    </w:p>
    <w:p w14:paraId="518BCB92" w14:textId="3B8D31A0"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Učinkovita predelava biomase lahko temelji na izboljšanih industrijskih postopkih ekstrakcije in razklopa biomase v enostavnejše polimere, pripravljene za ponovno sintezo v bioosnovane materiale. Ključni pomen pri tem se pripisuje biorafinerijam. Koncept biorafinerij je podoben kot v petrokemični industriji – gre za širok nabor med seboj povezanih fizikalnih in kemijskih industrijskih procesov. V idealnem primeru vhodne dobrine in proizvodi temeljijo na trgu biomase in odpadkov, uporablja se kaskadni princip, na koncu cikla pa ni odpadkov, pri tem pa rafinerija deluje ogljično nevtralno. Biorafinerije je na različne načine mogoče integrirati tudi v manjša oddaljena okolja</w:t>
      </w:r>
      <w:r w:rsidR="006F7A97" w:rsidRPr="00BF7E57">
        <w:rPr>
          <w:rFonts w:ascii="Arial" w:hAnsi="Arial" w:cs="Arial"/>
          <w:sz w:val="20"/>
          <w:szCs w:val="20"/>
        </w:rPr>
        <w:t xml:space="preserve"> (EK, 2018)</w:t>
      </w:r>
      <w:r w:rsidRPr="00BF7E57">
        <w:rPr>
          <w:rFonts w:ascii="Arial" w:hAnsi="Arial" w:cs="Arial"/>
          <w:sz w:val="20"/>
          <w:szCs w:val="20"/>
        </w:rPr>
        <w:t>.</w:t>
      </w:r>
    </w:p>
    <w:p w14:paraId="7B0D8C75" w14:textId="6FFD0151"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Na področju energetike biološki viri v EU in Sloveniji predstavljajo najpomembnejši obnovljivi vir, ki je ključen v vseh scenarijih defosilizacije. Med to gre prišteti tudi bioplinarne. Obstajajo pa določena tveganja povezana s konkurenco za viri, ki jih je mogoče nasloviti z ustreznimi standardi</w:t>
      </w:r>
      <w:r w:rsidR="006F7A97" w:rsidRPr="00BF7E57">
        <w:rPr>
          <w:rFonts w:ascii="Arial" w:hAnsi="Arial" w:cs="Arial"/>
          <w:sz w:val="20"/>
          <w:szCs w:val="20"/>
        </w:rPr>
        <w:t xml:space="preserve"> (EK, 2018)</w:t>
      </w:r>
      <w:r w:rsidRPr="00BF7E57">
        <w:rPr>
          <w:rFonts w:ascii="Arial" w:hAnsi="Arial" w:cs="Arial"/>
          <w:sz w:val="20"/>
          <w:szCs w:val="20"/>
        </w:rPr>
        <w:t>.</w:t>
      </w:r>
    </w:p>
    <w:p w14:paraId="51D25E56" w14:textId="1F2E5A3B"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Lesna in druga trdna biomasa je s 56,5 odstotka najpomembnejši obnovljiv vir energije v Sloveniji, kar je</w:t>
      </w:r>
      <w:r w:rsidR="000A074F" w:rsidRPr="00BF7E57">
        <w:rPr>
          <w:rFonts w:ascii="Arial" w:hAnsi="Arial" w:cs="Arial"/>
          <w:sz w:val="20"/>
          <w:szCs w:val="20"/>
        </w:rPr>
        <w:t>,</w:t>
      </w:r>
      <w:r w:rsidRPr="00BF7E57">
        <w:rPr>
          <w:rFonts w:ascii="Arial" w:hAnsi="Arial" w:cs="Arial"/>
          <w:sz w:val="20"/>
          <w:szCs w:val="20"/>
        </w:rPr>
        <w:t xml:space="preserve"> glede na izjemno pokritost z gozdovi, tudi  pričakovano. V zadnjih letih je razvoj najbolj dinamičen prav pri izkoriščanju sončne energije in bioplina.</w:t>
      </w:r>
      <w:r w:rsidR="00751327" w:rsidRPr="00BF7E57">
        <w:rPr>
          <w:rFonts w:ascii="Arial" w:hAnsi="Arial" w:cs="Arial"/>
          <w:sz w:val="20"/>
          <w:szCs w:val="20"/>
        </w:rPr>
        <w:t xml:space="preserve"> (ZS, 2020)</w:t>
      </w:r>
    </w:p>
    <w:p w14:paraId="0E79F092" w14:textId="23007EE1" w:rsidR="009E0216" w:rsidRPr="00BF7E57" w:rsidRDefault="009E0216" w:rsidP="00EA2E4C">
      <w:pPr>
        <w:spacing w:after="160" w:line="360" w:lineRule="auto"/>
        <w:jc w:val="both"/>
        <w:rPr>
          <w:rFonts w:ascii="Arial" w:hAnsi="Arial" w:cs="Arial"/>
          <w:sz w:val="20"/>
          <w:szCs w:val="20"/>
        </w:rPr>
      </w:pPr>
      <w:r w:rsidRPr="00BF7E57">
        <w:rPr>
          <w:rFonts w:ascii="Arial" w:hAnsi="Arial" w:cs="Arial"/>
          <w:sz w:val="20"/>
          <w:szCs w:val="20"/>
        </w:rPr>
        <w:lastRenderedPageBreak/>
        <w:t>Glede na podatke Evropskega združenja za bioplin (EBA</w:t>
      </w:r>
      <w:r w:rsidR="00751327" w:rsidRPr="00BF7E57">
        <w:rPr>
          <w:rFonts w:ascii="Arial" w:hAnsi="Arial" w:cs="Arial"/>
          <w:sz w:val="20"/>
          <w:szCs w:val="20"/>
        </w:rPr>
        <w:t>, 2018</w:t>
      </w:r>
      <w:r w:rsidRPr="00BF7E57">
        <w:rPr>
          <w:rFonts w:ascii="Arial" w:hAnsi="Arial" w:cs="Arial"/>
          <w:sz w:val="20"/>
          <w:szCs w:val="20"/>
        </w:rPr>
        <w:t>) ima Slovenija le 13 bioplinarn na 1 mio prebivalcev, kar jo uvršča v spodnjo polovico evropskih držav</w:t>
      </w:r>
      <w:r w:rsidR="005A7044" w:rsidRPr="00BF7E57">
        <w:rPr>
          <w:rFonts w:ascii="Arial" w:hAnsi="Arial" w:cs="Arial"/>
          <w:sz w:val="20"/>
          <w:szCs w:val="20"/>
        </w:rPr>
        <w:t xml:space="preserve"> (</w:t>
      </w:r>
      <w:r w:rsidR="000A074F" w:rsidRPr="00BF7E57">
        <w:rPr>
          <w:rFonts w:ascii="Arial" w:hAnsi="Arial" w:cs="Arial"/>
          <w:sz w:val="20"/>
          <w:szCs w:val="20"/>
        </w:rPr>
        <w:fldChar w:fldCharType="begin"/>
      </w:r>
      <w:r w:rsidR="000A074F" w:rsidRPr="00BF7E57">
        <w:rPr>
          <w:rFonts w:ascii="Arial" w:hAnsi="Arial" w:cs="Arial"/>
          <w:sz w:val="20"/>
          <w:szCs w:val="20"/>
        </w:rPr>
        <w:instrText xml:space="preserve"> REF _Ref84929278 \h </w:instrText>
      </w:r>
      <w:r w:rsidR="000A074F" w:rsidRPr="00BF7E57">
        <w:rPr>
          <w:rFonts w:ascii="Arial" w:hAnsi="Arial" w:cs="Arial"/>
          <w:sz w:val="20"/>
          <w:szCs w:val="20"/>
        </w:rPr>
      </w:r>
      <w:r w:rsidR="00BF7E57">
        <w:rPr>
          <w:rFonts w:ascii="Arial" w:hAnsi="Arial" w:cs="Arial"/>
          <w:sz w:val="20"/>
          <w:szCs w:val="20"/>
        </w:rPr>
        <w:instrText xml:space="preserve"> \* MERGEFORMAT </w:instrText>
      </w:r>
      <w:r w:rsidR="000A074F" w:rsidRPr="00BF7E57">
        <w:rPr>
          <w:rFonts w:ascii="Arial" w:hAnsi="Arial" w:cs="Arial"/>
          <w:sz w:val="20"/>
          <w:szCs w:val="20"/>
        </w:rPr>
        <w:fldChar w:fldCharType="separate"/>
      </w:r>
      <w:r w:rsidR="00236865" w:rsidRPr="00BF7E57">
        <w:t xml:space="preserve">Slika </w:t>
      </w:r>
      <w:r w:rsidR="00236865">
        <w:rPr>
          <w:noProof/>
        </w:rPr>
        <w:t>39</w:t>
      </w:r>
      <w:r w:rsidR="000A074F" w:rsidRPr="00BF7E57">
        <w:rPr>
          <w:rFonts w:ascii="Arial" w:hAnsi="Arial" w:cs="Arial"/>
          <w:sz w:val="20"/>
          <w:szCs w:val="20"/>
        </w:rPr>
        <w:fldChar w:fldCharType="end"/>
      </w:r>
      <w:r w:rsidR="005A7044" w:rsidRPr="00BF7E57">
        <w:rPr>
          <w:rFonts w:ascii="Arial" w:hAnsi="Arial" w:cs="Arial"/>
          <w:sz w:val="20"/>
          <w:szCs w:val="20"/>
        </w:rPr>
        <w:t>)</w:t>
      </w:r>
      <w:r w:rsidRPr="00BF7E57">
        <w:rPr>
          <w:rFonts w:ascii="Arial" w:hAnsi="Arial" w:cs="Arial"/>
          <w:sz w:val="20"/>
          <w:szCs w:val="20"/>
        </w:rPr>
        <w:t>. Glede na navedbe iz statističnega poročila EBA obstaja za vse evropske države še vedno velik potencial za nadaljnji razvoj na področju bioplinarn</w:t>
      </w:r>
      <w:r w:rsidR="00751327" w:rsidRPr="00BF7E57">
        <w:rPr>
          <w:rFonts w:ascii="Arial" w:hAnsi="Arial" w:cs="Arial"/>
          <w:sz w:val="20"/>
          <w:szCs w:val="20"/>
        </w:rPr>
        <w:t xml:space="preserve">. </w:t>
      </w:r>
      <w:r w:rsidRPr="00BF7E57">
        <w:rPr>
          <w:rFonts w:ascii="Arial" w:hAnsi="Arial" w:cs="Arial"/>
          <w:sz w:val="20"/>
          <w:szCs w:val="20"/>
        </w:rPr>
        <w:t>Od leta 2005 do leta 2015 se je sicer izkoriščanje bioplina znatno povečala in sicer je skupna moč prešla iz 5MW do 37MW v letu 2015</w:t>
      </w:r>
      <w:r w:rsidR="00751327" w:rsidRPr="00BF7E57">
        <w:rPr>
          <w:rFonts w:ascii="Arial" w:hAnsi="Arial" w:cs="Arial"/>
          <w:sz w:val="20"/>
          <w:szCs w:val="20"/>
        </w:rPr>
        <w:t xml:space="preserve"> (ZS EOL, 2020)</w:t>
      </w:r>
      <w:r w:rsidRPr="00BF7E57">
        <w:rPr>
          <w:rFonts w:ascii="Arial" w:hAnsi="Arial" w:cs="Arial"/>
          <w:sz w:val="20"/>
          <w:szCs w:val="20"/>
        </w:rPr>
        <w:t>.</w:t>
      </w:r>
    </w:p>
    <w:p w14:paraId="431F3758" w14:textId="6A9F87E3" w:rsidR="003E038D" w:rsidRPr="00BF7E57" w:rsidRDefault="003E038D" w:rsidP="00A5125A">
      <w:pPr>
        <w:pStyle w:val="Napis"/>
      </w:pPr>
      <w:bookmarkStart w:id="177" w:name="_Ref84929278"/>
      <w:bookmarkStart w:id="178" w:name="_Toc86826429"/>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39</w:t>
      </w:r>
      <w:r w:rsidR="00A30B83" w:rsidRPr="00BF7E57">
        <w:rPr>
          <w:noProof/>
        </w:rPr>
        <w:fldChar w:fldCharType="end"/>
      </w:r>
      <w:bookmarkEnd w:id="177"/>
      <w:r w:rsidRPr="00BF7E57">
        <w:t>: Število bioplinarn na 1 mio prebivalcev v evropskih državah</w:t>
      </w:r>
      <w:bookmarkEnd w:id="178"/>
    </w:p>
    <w:p w14:paraId="770ED705" w14:textId="057531F3" w:rsidR="00083AB5" w:rsidRPr="00BF7E57" w:rsidRDefault="00083AB5" w:rsidP="00A5125A">
      <w:pPr>
        <w:pStyle w:val="Napis"/>
      </w:pPr>
    </w:p>
    <w:p w14:paraId="0F5BCDAF" w14:textId="77777777"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5B263446" wp14:editId="63B03D11">
            <wp:extent cx="5760720" cy="3298825"/>
            <wp:effectExtent l="0" t="0" r="0" b="0"/>
            <wp:docPr id="1631865538" name="Slika 163186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760720" cy="3298825"/>
                    </a:xfrm>
                    <a:prstGeom prst="rect">
                      <a:avLst/>
                    </a:prstGeom>
                  </pic:spPr>
                </pic:pic>
              </a:graphicData>
            </a:graphic>
          </wp:inline>
        </w:drawing>
      </w:r>
    </w:p>
    <w:p w14:paraId="4FEE7795" w14:textId="42962FEA" w:rsidR="009E0216" w:rsidRPr="00BF7E57" w:rsidRDefault="009E0216" w:rsidP="00EA2E4C">
      <w:pPr>
        <w:autoSpaceDE w:val="0"/>
        <w:autoSpaceDN w:val="0"/>
        <w:adjustRightInd w:val="0"/>
        <w:spacing w:line="360" w:lineRule="auto"/>
        <w:jc w:val="both"/>
        <w:rPr>
          <w:rFonts w:ascii="Arial" w:eastAsia="Calibri" w:hAnsi="Arial" w:cs="Arial"/>
          <w:sz w:val="20"/>
          <w:szCs w:val="20"/>
        </w:rPr>
      </w:pPr>
      <w:r w:rsidRPr="00BF7E57">
        <w:rPr>
          <w:rFonts w:ascii="Arial" w:eastAsia="Calibri" w:hAnsi="Arial" w:cs="Arial"/>
          <w:sz w:val="20"/>
          <w:szCs w:val="20"/>
        </w:rPr>
        <w:t>Mikro bioplinske naprave na malih kmetijah nudijo zelo učinkovito rešitev pri odpravljanju težav z organskimi odpadki, učinkovito preprečujejo uhajanje toplogrednih plinov v ozračje ter hkrati prinašajo investitorju mnoge druge koristi. S proizvodnjo električne energije sodijo med proizvajalce električne energije, kar prinaša korist tudi državi pri zagotavljanju deleža proizvedene električne energije iz obnovljivih virov. Mikro bioplinske elektrarne, ki so najbolj primerne za kmetijska področja, tako ponujajo učinkovito možnost predelave in razgradnje živalskih organskih ostankov ter raznih kmetijskih organskih odpadkov, pri čemer se metan učinkovito porabi za proizvodnjo elektrike, toplote ali bioplina kot pogonsko gorivo, s tem pa obvaruje ozračje pred onesnaženjem. Kmetom pa hkrati prinašajo številne ekonomske, agrarne in okoljske koristi.</w:t>
      </w:r>
      <w:r w:rsidR="00A40983" w:rsidRPr="00BF7E57">
        <w:rPr>
          <w:rFonts w:ascii="Arial" w:eastAsia="Calibri" w:hAnsi="Arial" w:cs="Arial"/>
          <w:sz w:val="20"/>
          <w:szCs w:val="20"/>
        </w:rPr>
        <w:t xml:space="preserve"> (PMS, 2018)</w:t>
      </w:r>
    </w:p>
    <w:p w14:paraId="0A6E7423" w14:textId="607BDF91" w:rsidR="009E0216" w:rsidRPr="00BF7E57" w:rsidRDefault="009E0216" w:rsidP="00EA2E4C">
      <w:pPr>
        <w:autoSpaceDE w:val="0"/>
        <w:autoSpaceDN w:val="0"/>
        <w:adjustRightInd w:val="0"/>
        <w:spacing w:line="360" w:lineRule="auto"/>
        <w:jc w:val="both"/>
        <w:rPr>
          <w:rFonts w:ascii="Arial" w:eastAsia="Calibri" w:hAnsi="Arial" w:cs="Arial"/>
          <w:sz w:val="20"/>
          <w:szCs w:val="20"/>
        </w:rPr>
      </w:pPr>
      <w:r w:rsidRPr="00BF7E57">
        <w:rPr>
          <w:rFonts w:ascii="Arial" w:eastAsia="Calibri" w:hAnsi="Arial" w:cs="Arial"/>
          <w:sz w:val="20"/>
          <w:szCs w:val="20"/>
        </w:rPr>
        <w:t xml:space="preserve">Po podatkih Registra kmetijskih gospodarstev je </w:t>
      </w:r>
      <w:r w:rsidR="00F303C8" w:rsidRPr="00BF7E57">
        <w:rPr>
          <w:rFonts w:ascii="Arial" w:eastAsia="Calibri" w:hAnsi="Arial" w:cs="Arial"/>
          <w:sz w:val="20"/>
          <w:szCs w:val="20"/>
        </w:rPr>
        <w:t xml:space="preserve">na dan 26. 10. 2020 </w:t>
      </w:r>
      <w:r w:rsidRPr="00BF7E57">
        <w:rPr>
          <w:rFonts w:ascii="Arial" w:eastAsia="Calibri" w:hAnsi="Arial" w:cs="Arial"/>
          <w:sz w:val="20"/>
          <w:szCs w:val="20"/>
        </w:rPr>
        <w:t>v Sloveniji zgolj ena kmetija, ki ima registrirano dopolnilno dejavnost na kmetiji, proizvodnja in prodaja energije iz gnoja, gnojevke in gnojnice ter rastlinskega substrata.</w:t>
      </w:r>
    </w:p>
    <w:p w14:paraId="4A6A107F" w14:textId="6F8D0547" w:rsidR="009E0216" w:rsidRPr="00BF7E57" w:rsidRDefault="009E0216" w:rsidP="00EA2E4C">
      <w:pPr>
        <w:autoSpaceDE w:val="0"/>
        <w:autoSpaceDN w:val="0"/>
        <w:adjustRightInd w:val="0"/>
        <w:spacing w:line="360" w:lineRule="auto"/>
        <w:jc w:val="both"/>
        <w:rPr>
          <w:rFonts w:ascii="Arial" w:eastAsia="Calibri" w:hAnsi="Arial" w:cs="Arial"/>
          <w:sz w:val="20"/>
          <w:szCs w:val="20"/>
        </w:rPr>
      </w:pPr>
      <w:r w:rsidRPr="00BF7E57">
        <w:rPr>
          <w:rFonts w:ascii="Arial" w:eastAsia="Calibri" w:hAnsi="Arial" w:cs="Arial"/>
          <w:sz w:val="20"/>
          <w:szCs w:val="20"/>
        </w:rPr>
        <w:t xml:space="preserve">Vzpostavitev mikro oziroma malih </w:t>
      </w:r>
      <w:r w:rsidR="00025EE6" w:rsidRPr="00BF7E57">
        <w:rPr>
          <w:rFonts w:ascii="Arial" w:eastAsia="Calibri" w:hAnsi="Arial" w:cs="Arial"/>
          <w:sz w:val="20"/>
          <w:szCs w:val="20"/>
        </w:rPr>
        <w:t xml:space="preserve">bioplinskih </w:t>
      </w:r>
      <w:r w:rsidRPr="00BF7E57">
        <w:rPr>
          <w:rFonts w:ascii="Arial" w:eastAsia="Calibri" w:hAnsi="Arial" w:cs="Arial"/>
          <w:sz w:val="20"/>
          <w:szCs w:val="20"/>
        </w:rPr>
        <w:t>elektrarn je povezana tudi z visokimi stroški investicije, ki po nekaterih podatkih iz tujine</w:t>
      </w:r>
      <w:r w:rsidR="002017CE" w:rsidRPr="00BF7E57">
        <w:rPr>
          <w:rFonts w:ascii="Arial" w:eastAsia="Calibri" w:hAnsi="Arial" w:cs="Arial"/>
          <w:sz w:val="20"/>
          <w:szCs w:val="20"/>
        </w:rPr>
        <w:t xml:space="preserve"> in lastnih podatkih</w:t>
      </w:r>
      <w:r w:rsidRPr="00BF7E57">
        <w:rPr>
          <w:rFonts w:ascii="Arial" w:eastAsia="Calibri" w:hAnsi="Arial" w:cs="Arial"/>
          <w:sz w:val="20"/>
          <w:szCs w:val="20"/>
        </w:rPr>
        <w:t xml:space="preserve"> lahko predstavljajo od 150 tisoč in tudi več sto tisoč evrov odvisno od same specifičnosti oziroma nazivne moči le-te.</w:t>
      </w:r>
      <w:r w:rsidR="00A51AC6" w:rsidRPr="00BF7E57">
        <w:rPr>
          <w:rFonts w:ascii="Arial" w:eastAsia="Calibri" w:hAnsi="Arial" w:cs="Arial"/>
          <w:sz w:val="20"/>
          <w:szCs w:val="20"/>
        </w:rPr>
        <w:t xml:space="preserve"> (BEF 2, 2015)</w:t>
      </w:r>
    </w:p>
    <w:p w14:paraId="6207B14D" w14:textId="3B8F788A" w:rsidR="009E0216" w:rsidRPr="00BF7E57" w:rsidRDefault="009E0216" w:rsidP="00EA2E4C">
      <w:pPr>
        <w:autoSpaceDE w:val="0"/>
        <w:autoSpaceDN w:val="0"/>
        <w:adjustRightInd w:val="0"/>
        <w:spacing w:line="360" w:lineRule="auto"/>
        <w:jc w:val="both"/>
        <w:rPr>
          <w:rFonts w:ascii="Arial" w:eastAsia="Calibri" w:hAnsi="Arial" w:cs="Arial"/>
          <w:sz w:val="20"/>
          <w:szCs w:val="20"/>
        </w:rPr>
      </w:pPr>
      <w:r w:rsidRPr="00BF7E57">
        <w:rPr>
          <w:rFonts w:ascii="Arial" w:eastAsia="Calibri" w:hAnsi="Arial" w:cs="Arial"/>
          <w:sz w:val="20"/>
          <w:szCs w:val="20"/>
        </w:rPr>
        <w:lastRenderedPageBreak/>
        <w:t xml:space="preserve">V Sloveniji </w:t>
      </w:r>
      <w:r w:rsidR="000A074F" w:rsidRPr="00BF7E57">
        <w:rPr>
          <w:rFonts w:ascii="Arial" w:eastAsia="Calibri" w:hAnsi="Arial" w:cs="Arial"/>
          <w:sz w:val="20"/>
          <w:szCs w:val="20"/>
        </w:rPr>
        <w:t xml:space="preserve">se je </w:t>
      </w:r>
      <w:r w:rsidRPr="00BF7E57">
        <w:rPr>
          <w:rFonts w:ascii="Arial" w:eastAsia="Calibri" w:hAnsi="Arial" w:cs="Arial"/>
          <w:sz w:val="20"/>
          <w:szCs w:val="20"/>
        </w:rPr>
        <w:t xml:space="preserve">končna poraba energije od leta 2008 do 2018 sicer znižala za 7,3 </w:t>
      </w:r>
      <w:r w:rsidR="000A074F" w:rsidRPr="00BF7E57">
        <w:rPr>
          <w:rFonts w:ascii="Arial" w:eastAsia="Calibri" w:hAnsi="Arial" w:cs="Arial"/>
          <w:sz w:val="20"/>
          <w:szCs w:val="20"/>
        </w:rPr>
        <w:t>%,</w:t>
      </w:r>
      <w:r w:rsidRPr="00BF7E57">
        <w:rPr>
          <w:rFonts w:ascii="Arial" w:eastAsia="Calibri" w:hAnsi="Arial" w:cs="Arial"/>
          <w:sz w:val="20"/>
          <w:szCs w:val="20"/>
        </w:rPr>
        <w:t xml:space="preserve"> vendar pa od leta 2014 le-ta kontinuirano narašča.  Od leta 2008 do leta 2014 pa je bil trend negativen in se je končna poraba energije zmanjševala in je leta 2014 znašala 4.644 kToe. Približno 48 </w:t>
      </w:r>
      <w:r w:rsidR="000A074F" w:rsidRPr="00BF7E57">
        <w:rPr>
          <w:rFonts w:ascii="Arial" w:eastAsia="Calibri" w:hAnsi="Arial" w:cs="Arial"/>
          <w:sz w:val="20"/>
          <w:szCs w:val="20"/>
        </w:rPr>
        <w:t xml:space="preserve">% </w:t>
      </w:r>
      <w:r w:rsidRPr="00BF7E57">
        <w:rPr>
          <w:rFonts w:ascii="Arial" w:eastAsia="Calibri" w:hAnsi="Arial" w:cs="Arial"/>
          <w:sz w:val="20"/>
          <w:szCs w:val="20"/>
        </w:rPr>
        <w:t>energije je odvisne od uvoza,</w:t>
      </w:r>
      <w:r w:rsidR="00E45CFB" w:rsidRPr="00BF7E57">
        <w:rPr>
          <w:rFonts w:ascii="Arial" w:eastAsia="Calibri" w:hAnsi="Arial" w:cs="Arial"/>
          <w:sz w:val="20"/>
          <w:szCs w:val="20"/>
        </w:rPr>
        <w:t xml:space="preserve"> </w:t>
      </w:r>
      <w:r w:rsidRPr="00BF7E57">
        <w:rPr>
          <w:rFonts w:ascii="Arial" w:eastAsia="Calibri" w:hAnsi="Arial" w:cs="Arial"/>
          <w:sz w:val="20"/>
          <w:szCs w:val="20"/>
        </w:rPr>
        <w:t xml:space="preserve">v povprečju pa je kar 80 </w:t>
      </w:r>
      <w:r w:rsidR="000A074F" w:rsidRPr="00BF7E57">
        <w:rPr>
          <w:rFonts w:ascii="Arial" w:eastAsia="Calibri" w:hAnsi="Arial" w:cs="Arial"/>
          <w:sz w:val="20"/>
          <w:szCs w:val="20"/>
        </w:rPr>
        <w:t xml:space="preserve">% </w:t>
      </w:r>
      <w:r w:rsidRPr="00BF7E57">
        <w:rPr>
          <w:rFonts w:ascii="Arial" w:eastAsia="Calibri" w:hAnsi="Arial" w:cs="Arial"/>
          <w:sz w:val="20"/>
          <w:szCs w:val="20"/>
        </w:rPr>
        <w:t>vseh emisij toplogrednih plinov posledica emisij povezanih s porabo in proizvodnjo energije</w:t>
      </w:r>
      <w:r w:rsidR="006A050F" w:rsidRPr="00BF7E57">
        <w:rPr>
          <w:rFonts w:ascii="Arial" w:eastAsia="Calibri" w:hAnsi="Arial" w:cs="Arial"/>
          <w:sz w:val="20"/>
          <w:szCs w:val="20"/>
        </w:rPr>
        <w:t xml:space="preserve"> </w:t>
      </w:r>
      <w:r w:rsidR="00A51AC6" w:rsidRPr="00BF7E57">
        <w:rPr>
          <w:rFonts w:ascii="Arial" w:eastAsia="Calibri" w:hAnsi="Arial" w:cs="Arial"/>
          <w:sz w:val="20"/>
          <w:szCs w:val="20"/>
        </w:rPr>
        <w:t>(UM FE, 2011)</w:t>
      </w:r>
      <w:r w:rsidRPr="00BF7E57">
        <w:rPr>
          <w:rFonts w:ascii="Arial" w:eastAsia="Calibri" w:hAnsi="Arial" w:cs="Arial"/>
          <w:sz w:val="20"/>
          <w:szCs w:val="20"/>
        </w:rPr>
        <w:t>.</w:t>
      </w:r>
    </w:p>
    <w:p w14:paraId="5C29B6A8" w14:textId="1935A4C3" w:rsidR="009E0216" w:rsidRPr="00BF7E57" w:rsidRDefault="009E0216" w:rsidP="00EA2E4C">
      <w:pPr>
        <w:spacing w:line="360" w:lineRule="auto"/>
        <w:jc w:val="both"/>
        <w:rPr>
          <w:rFonts w:ascii="Arial" w:eastAsia="Calibri" w:hAnsi="Arial" w:cs="Arial"/>
          <w:sz w:val="20"/>
          <w:szCs w:val="20"/>
        </w:rPr>
      </w:pPr>
      <w:r w:rsidRPr="00BF7E57">
        <w:rPr>
          <w:rFonts w:ascii="Arial" w:eastAsia="Calibri" w:hAnsi="Arial" w:cs="Arial"/>
          <w:sz w:val="20"/>
          <w:szCs w:val="20"/>
        </w:rPr>
        <w:t>Delež obnovljivih virov v končni porabi energije (v nadaljevanju: OVE) se je predvsem v letih od 2008 do 2010 občutno povečal</w:t>
      </w:r>
      <w:r w:rsidR="000A074F" w:rsidRPr="00BF7E57">
        <w:rPr>
          <w:rFonts w:ascii="Arial" w:eastAsia="Calibri" w:hAnsi="Arial" w:cs="Arial"/>
          <w:sz w:val="20"/>
          <w:szCs w:val="20"/>
        </w:rPr>
        <w:t>,</w:t>
      </w:r>
      <w:r w:rsidRPr="00BF7E57">
        <w:rPr>
          <w:rFonts w:ascii="Arial" w:eastAsia="Calibri" w:hAnsi="Arial" w:cs="Arial"/>
          <w:sz w:val="20"/>
          <w:szCs w:val="20"/>
        </w:rPr>
        <w:t xml:space="preserve"> medtem ko od leta 2010 delež ostaja na približno enaki ravni. </w:t>
      </w:r>
    </w:p>
    <w:p w14:paraId="26107B78" w14:textId="0B3CB2A4" w:rsidR="00083AB5"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V Sloveniji smo v letu 2018 skoraj polovico (46,5 %) končne energije porabili v obliki naftnih proizvodov. Drugi največji delež je bila električna energija (23,5 %). V primerjavi z letom 2008 se je delež končne energije, ki se je porabili v obliki naftnih proizvodov zmanjšal za 6,3 %, pri električni energiji pa se je ta delež povišal za dobre 3 %. Delež obnovljivih virov in odpadko</w:t>
      </w:r>
      <w:r w:rsidR="00E45CFB" w:rsidRPr="00BF7E57">
        <w:rPr>
          <w:rFonts w:ascii="Arial" w:hAnsi="Arial" w:cs="Arial"/>
          <w:sz w:val="20"/>
          <w:szCs w:val="20"/>
        </w:rPr>
        <w:t>v</w:t>
      </w:r>
      <w:r w:rsidRPr="00BF7E57">
        <w:rPr>
          <w:rFonts w:ascii="Arial" w:hAnsi="Arial" w:cs="Arial"/>
          <w:sz w:val="20"/>
          <w:szCs w:val="20"/>
        </w:rPr>
        <w:t xml:space="preserve"> ter geotermalne, sončne, itd</w:t>
      </w:r>
      <w:r w:rsidR="00E45CFB" w:rsidRPr="00BF7E57">
        <w:rPr>
          <w:rFonts w:ascii="Arial" w:hAnsi="Arial" w:cs="Arial"/>
          <w:sz w:val="20"/>
          <w:szCs w:val="20"/>
        </w:rPr>
        <w:t>.</w:t>
      </w:r>
      <w:r w:rsidRPr="00BF7E57">
        <w:rPr>
          <w:rFonts w:ascii="Arial" w:hAnsi="Arial" w:cs="Arial"/>
          <w:sz w:val="20"/>
          <w:szCs w:val="20"/>
        </w:rPr>
        <w:t xml:space="preserve"> energije pa se je v tem obdobju v končni porabi energije povečal za 5,4 %. (SURS</w:t>
      </w:r>
      <w:r w:rsidR="00A51AC6" w:rsidRPr="00BF7E57">
        <w:rPr>
          <w:rFonts w:ascii="Arial" w:hAnsi="Arial" w:cs="Arial"/>
          <w:sz w:val="20"/>
          <w:szCs w:val="20"/>
        </w:rPr>
        <w:t>, 2020</w:t>
      </w:r>
      <w:r w:rsidRPr="00BF7E57">
        <w:rPr>
          <w:rFonts w:ascii="Arial" w:hAnsi="Arial" w:cs="Arial"/>
          <w:sz w:val="20"/>
          <w:szCs w:val="20"/>
        </w:rPr>
        <w:t>)</w:t>
      </w:r>
    </w:p>
    <w:p w14:paraId="55075316" w14:textId="03DFCDC0" w:rsidR="003E038D" w:rsidRPr="00BF7E57" w:rsidRDefault="003E038D" w:rsidP="00A5125A">
      <w:pPr>
        <w:pStyle w:val="Napis"/>
      </w:pPr>
      <w:bookmarkStart w:id="179" w:name="_Toc86826430"/>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40</w:t>
      </w:r>
      <w:r w:rsidR="00A30B83" w:rsidRPr="00BF7E57">
        <w:rPr>
          <w:noProof/>
        </w:rPr>
        <w:fldChar w:fldCharType="end"/>
      </w:r>
      <w:r w:rsidRPr="00BF7E57">
        <w:t>: Končna poraba energije, glede na energetski vir (v 1000 toe)</w:t>
      </w:r>
      <w:bookmarkEnd w:id="179"/>
    </w:p>
    <w:p w14:paraId="59B75EA0" w14:textId="2A61CC9F" w:rsidR="009E0216" w:rsidRPr="00BF7E57" w:rsidRDefault="009E0216" w:rsidP="008B69F6">
      <w:pPr>
        <w:autoSpaceDE w:val="0"/>
        <w:autoSpaceDN w:val="0"/>
        <w:adjustRightInd w:val="0"/>
        <w:spacing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7B2394A2" wp14:editId="0DE7D972">
            <wp:extent cx="5713171" cy="2874874"/>
            <wp:effectExtent l="0" t="0" r="1905" b="1905"/>
            <wp:docPr id="1631865558" name="Grafikon 1631865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083AB5" w:rsidRPr="00BF7E57">
        <w:rPr>
          <w:rFonts w:ascii="Arial" w:hAnsi="Arial" w:cs="Arial"/>
          <w:i/>
          <w:sz w:val="20"/>
          <w:szCs w:val="20"/>
        </w:rPr>
        <w:t xml:space="preserve"> </w:t>
      </w:r>
      <w:r w:rsidR="00083AB5" w:rsidRPr="00BF7E57">
        <w:rPr>
          <w:rFonts w:ascii="Arial" w:hAnsi="Arial" w:cs="Arial"/>
          <w:sz w:val="16"/>
          <w:szCs w:val="16"/>
        </w:rPr>
        <w:t>Vir: SURS</w:t>
      </w:r>
      <w:r w:rsidR="009C45C9" w:rsidRPr="00BF7E57">
        <w:rPr>
          <w:rFonts w:ascii="Arial" w:hAnsi="Arial" w:cs="Arial"/>
          <w:sz w:val="16"/>
          <w:szCs w:val="16"/>
        </w:rPr>
        <w:t>, 2020</w:t>
      </w:r>
    </w:p>
    <w:p w14:paraId="6AB61828" w14:textId="2EBD0A77" w:rsidR="009E0216" w:rsidRPr="00BF7E57" w:rsidRDefault="009E0216" w:rsidP="00EA2E4C">
      <w:pPr>
        <w:spacing w:line="360" w:lineRule="auto"/>
        <w:jc w:val="both"/>
        <w:rPr>
          <w:rFonts w:ascii="Arial" w:eastAsia="Calibri" w:hAnsi="Arial" w:cs="Arial"/>
          <w:sz w:val="20"/>
          <w:szCs w:val="20"/>
        </w:rPr>
      </w:pPr>
      <w:r w:rsidRPr="00BF7E57">
        <w:rPr>
          <w:rFonts w:ascii="Arial" w:eastAsia="Calibri" w:hAnsi="Arial" w:cs="Arial"/>
          <w:sz w:val="20"/>
          <w:szCs w:val="20"/>
        </w:rPr>
        <w:t>Neposredna poraba energije v kmetijstvu in gozdarstvu je v letu 2018 znašala 73,07 kToe in se je v primerjavi z letom 2010 zvišala za 3,53 kToe. Raba energije v kmetijstvu je v letu 2018 znašala 42,34 kg ekvivalenta nafte na ha KZU in se je v primerjavi z letom 2010 zvišala za 5,3 %</w:t>
      </w:r>
      <w:r w:rsidR="005A7044" w:rsidRPr="00BF7E57">
        <w:rPr>
          <w:rFonts w:ascii="Arial" w:eastAsia="Calibri" w:hAnsi="Arial" w:cs="Arial"/>
          <w:sz w:val="20"/>
          <w:szCs w:val="20"/>
        </w:rPr>
        <w:t xml:space="preserve"> (</w:t>
      </w:r>
      <w:r w:rsidR="000A074F" w:rsidRPr="00BF7E57">
        <w:rPr>
          <w:rFonts w:ascii="Arial" w:eastAsia="Calibri" w:hAnsi="Arial" w:cs="Arial"/>
          <w:sz w:val="20"/>
          <w:szCs w:val="20"/>
        </w:rPr>
        <w:fldChar w:fldCharType="begin"/>
      </w:r>
      <w:r w:rsidR="000A074F" w:rsidRPr="00BF7E57">
        <w:rPr>
          <w:rFonts w:ascii="Arial" w:eastAsia="Calibri" w:hAnsi="Arial" w:cs="Arial"/>
          <w:sz w:val="20"/>
          <w:szCs w:val="20"/>
        </w:rPr>
        <w:instrText xml:space="preserve"> REF _Ref84929458 \h </w:instrText>
      </w:r>
      <w:r w:rsidR="000A074F" w:rsidRPr="00BF7E57">
        <w:rPr>
          <w:rFonts w:ascii="Arial" w:eastAsia="Calibri" w:hAnsi="Arial" w:cs="Arial"/>
          <w:sz w:val="20"/>
          <w:szCs w:val="20"/>
        </w:rPr>
      </w:r>
      <w:r w:rsidR="00BF7E57">
        <w:rPr>
          <w:rFonts w:ascii="Arial" w:eastAsia="Calibri" w:hAnsi="Arial" w:cs="Arial"/>
          <w:sz w:val="20"/>
          <w:szCs w:val="20"/>
        </w:rPr>
        <w:instrText xml:space="preserve"> \* MERGEFORMAT </w:instrText>
      </w:r>
      <w:r w:rsidR="000A074F" w:rsidRPr="00BF7E57">
        <w:rPr>
          <w:rFonts w:ascii="Arial" w:eastAsia="Calibri" w:hAnsi="Arial" w:cs="Arial"/>
          <w:sz w:val="20"/>
          <w:szCs w:val="20"/>
        </w:rPr>
        <w:fldChar w:fldCharType="separate"/>
      </w:r>
      <w:r w:rsidR="00236865" w:rsidRPr="00BF7E57">
        <w:t xml:space="preserve">Tabela </w:t>
      </w:r>
      <w:r w:rsidR="00236865">
        <w:rPr>
          <w:noProof/>
        </w:rPr>
        <w:t>35</w:t>
      </w:r>
      <w:r w:rsidR="000A074F" w:rsidRPr="00BF7E57">
        <w:rPr>
          <w:rFonts w:ascii="Arial" w:eastAsia="Calibri" w:hAnsi="Arial" w:cs="Arial"/>
          <w:sz w:val="20"/>
          <w:szCs w:val="20"/>
        </w:rPr>
        <w:fldChar w:fldCharType="end"/>
      </w:r>
      <w:r w:rsidR="005A7044" w:rsidRPr="00BF7E57">
        <w:rPr>
          <w:rFonts w:ascii="Arial" w:eastAsia="Calibri" w:hAnsi="Arial" w:cs="Arial"/>
          <w:sz w:val="20"/>
          <w:szCs w:val="20"/>
        </w:rPr>
        <w:t>)</w:t>
      </w:r>
      <w:r w:rsidRPr="00BF7E57">
        <w:rPr>
          <w:rFonts w:ascii="Arial" w:eastAsia="Calibri" w:hAnsi="Arial" w:cs="Arial"/>
          <w:sz w:val="20"/>
          <w:szCs w:val="20"/>
        </w:rPr>
        <w:t>. Raba energije v prehrambni industriji pa je v letu 2018 znašala 79,32 kToe in bila v primerjavi z letom 2010 višja za 7,8 %.</w:t>
      </w:r>
      <w:r w:rsidR="006A050F" w:rsidRPr="00BF7E57">
        <w:rPr>
          <w:rFonts w:ascii="Arial" w:eastAsia="Calibri" w:hAnsi="Arial" w:cs="Arial"/>
          <w:sz w:val="20"/>
          <w:szCs w:val="20"/>
        </w:rPr>
        <w:t xml:space="preserve"> </w:t>
      </w:r>
      <w:r w:rsidR="009C45C9" w:rsidRPr="00BF7E57">
        <w:rPr>
          <w:rFonts w:ascii="Arial" w:eastAsia="Calibri" w:hAnsi="Arial" w:cs="Arial"/>
          <w:sz w:val="20"/>
          <w:szCs w:val="20"/>
        </w:rPr>
        <w:t>(EK Data, 2020)</w:t>
      </w:r>
    </w:p>
    <w:p w14:paraId="0615E1C7" w14:textId="005CB0CD" w:rsidR="0008099E" w:rsidRPr="00BF7E57" w:rsidRDefault="0008099E" w:rsidP="00A5125A">
      <w:pPr>
        <w:pStyle w:val="Napis"/>
      </w:pPr>
      <w:bookmarkStart w:id="180" w:name="_Ref84929458"/>
      <w:bookmarkStart w:id="181" w:name="_Toc86826473"/>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35</w:t>
      </w:r>
      <w:r w:rsidR="00A30B83" w:rsidRPr="00BF7E57">
        <w:rPr>
          <w:noProof/>
        </w:rPr>
        <w:fldChar w:fldCharType="end"/>
      </w:r>
      <w:bookmarkEnd w:id="180"/>
      <w:r w:rsidRPr="00BF7E57">
        <w:t>: Raba energije v kmetijstvu, gozdarstvu in živilski industriji</w:t>
      </w:r>
      <w:bookmarkEnd w:id="181"/>
    </w:p>
    <w:p w14:paraId="66C9B648" w14:textId="4189BF7D" w:rsidR="009E0216" w:rsidRPr="00BF7E57" w:rsidRDefault="009E0216" w:rsidP="00A5125A">
      <w:pPr>
        <w:pStyle w:val="Napis"/>
      </w:pPr>
    </w:p>
    <w:tbl>
      <w:tblPr>
        <w:tblW w:w="9062" w:type="dxa"/>
        <w:tblLayout w:type="fixed"/>
        <w:tblCellMar>
          <w:left w:w="0" w:type="dxa"/>
          <w:right w:w="0" w:type="dxa"/>
        </w:tblCellMar>
        <w:tblLook w:val="04A0" w:firstRow="1" w:lastRow="0" w:firstColumn="1" w:lastColumn="0" w:noHBand="0" w:noVBand="1"/>
      </w:tblPr>
      <w:tblGrid>
        <w:gridCol w:w="2972"/>
        <w:gridCol w:w="676"/>
        <w:gridCol w:w="677"/>
        <w:gridCol w:w="677"/>
        <w:gridCol w:w="676"/>
        <w:gridCol w:w="677"/>
        <w:gridCol w:w="677"/>
        <w:gridCol w:w="676"/>
        <w:gridCol w:w="677"/>
        <w:gridCol w:w="677"/>
      </w:tblGrid>
      <w:tr w:rsidR="009E0216" w:rsidRPr="00BF7E57" w14:paraId="07EB68C5" w14:textId="77777777" w:rsidTr="00E77D01">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362DCBE" w14:textId="77777777" w:rsidR="009E0216" w:rsidRPr="00BF7E57" w:rsidRDefault="009E0216" w:rsidP="00EA73AB">
            <w:pPr>
              <w:spacing w:before="60" w:after="0" w:line="312" w:lineRule="auto"/>
              <w:jc w:val="both"/>
              <w:rPr>
                <w:rFonts w:ascii="Arial" w:hAnsi="Arial" w:cs="Arial"/>
                <w:color w:val="000000"/>
                <w:sz w:val="20"/>
                <w:szCs w:val="20"/>
              </w:rPr>
            </w:pP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2BB5723"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2010</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480ACC0E"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2011</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14315F7"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2012</w:t>
            </w: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5AE9F9C"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2013</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772E1FAD"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2014</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3F82214A"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2015</w:t>
            </w: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7E43EE05"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2016</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0F0F235D"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2017</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52CC6FD7"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2018</w:t>
            </w:r>
          </w:p>
        </w:tc>
      </w:tr>
      <w:tr w:rsidR="009E0216" w:rsidRPr="00BF7E57" w14:paraId="41882FF1" w14:textId="77777777" w:rsidTr="008B69F6">
        <w:trPr>
          <w:trHeight w:val="73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1F02FD" w14:textId="77777777" w:rsidR="009E0216" w:rsidRPr="00BF7E57" w:rsidRDefault="009E0216" w:rsidP="008B69F6">
            <w:pPr>
              <w:spacing w:before="60" w:after="0" w:line="312" w:lineRule="auto"/>
              <w:rPr>
                <w:rFonts w:ascii="Arial" w:hAnsi="Arial" w:cs="Arial"/>
                <w:color w:val="000000"/>
                <w:sz w:val="20"/>
                <w:szCs w:val="20"/>
              </w:rPr>
            </w:pPr>
            <w:r w:rsidRPr="00BF7E57">
              <w:rPr>
                <w:rFonts w:ascii="Arial" w:hAnsi="Arial" w:cs="Arial"/>
                <w:color w:val="000000"/>
                <w:sz w:val="20"/>
                <w:szCs w:val="20"/>
              </w:rPr>
              <w:t>Neposredna raba energije v kmetijstvu/gozdarstvu na ha KZU (kg ekvivalenta nafte na KZU)</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2914E"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40,21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D3EAC"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39,59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9FE1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41,13</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57547"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40,56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0CBC2"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43,54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5965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43,00</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53850"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42,52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221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42,16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E9BB4"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42,34</w:t>
            </w:r>
          </w:p>
        </w:tc>
      </w:tr>
      <w:tr w:rsidR="009E0216" w:rsidRPr="00BF7E57" w14:paraId="24C4D007" w14:textId="77777777" w:rsidTr="008B69F6">
        <w:trPr>
          <w:trHeight w:val="49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A40B71" w14:textId="77777777" w:rsidR="009E0216" w:rsidRPr="00BF7E57" w:rsidRDefault="009E0216" w:rsidP="008B69F6">
            <w:pPr>
              <w:spacing w:before="60" w:after="0" w:line="312" w:lineRule="auto"/>
              <w:rPr>
                <w:rFonts w:ascii="Arial" w:hAnsi="Arial" w:cs="Arial"/>
                <w:color w:val="000000"/>
                <w:sz w:val="20"/>
                <w:szCs w:val="20"/>
              </w:rPr>
            </w:pPr>
            <w:r w:rsidRPr="00BF7E57">
              <w:rPr>
                <w:rFonts w:ascii="Arial" w:hAnsi="Arial" w:cs="Arial"/>
                <w:color w:val="000000"/>
                <w:sz w:val="20"/>
                <w:szCs w:val="20"/>
              </w:rPr>
              <w:lastRenderedPageBreak/>
              <w:t>Neposredna raba energije v kmetijstvu/gozdarstvu skupaj (kToe)</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7AE30"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69,54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253DC"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67,51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F265"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71,01</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ACD82"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70,00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AAC45"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75,29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FCE2C"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74,17</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56F88"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73,38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B6DB"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72,92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7D28A"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73,07</w:t>
            </w:r>
          </w:p>
        </w:tc>
      </w:tr>
      <w:tr w:rsidR="009E0216" w:rsidRPr="00BF7E57" w14:paraId="65045517" w14:textId="77777777" w:rsidTr="008B69F6">
        <w:trPr>
          <w:trHeight w:val="49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6D527E" w14:textId="77777777" w:rsidR="009E0216" w:rsidRPr="00BF7E57" w:rsidRDefault="009E0216" w:rsidP="008B69F6">
            <w:pPr>
              <w:spacing w:before="60" w:after="0" w:line="312" w:lineRule="auto"/>
              <w:rPr>
                <w:rFonts w:ascii="Arial" w:hAnsi="Arial" w:cs="Arial"/>
                <w:color w:val="000000"/>
                <w:sz w:val="20"/>
                <w:szCs w:val="20"/>
              </w:rPr>
            </w:pPr>
            <w:r w:rsidRPr="00BF7E57">
              <w:rPr>
                <w:rFonts w:ascii="Arial" w:hAnsi="Arial" w:cs="Arial"/>
                <w:color w:val="000000"/>
                <w:sz w:val="20"/>
                <w:szCs w:val="20"/>
              </w:rPr>
              <w:t>Neposredna raba energije v živiski industriji (kToe)</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27D38"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72,51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B831"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67,92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90A64"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61,63</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068F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62,60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558C"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72,81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9ADD4"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67,05</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E9347"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64,70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4EEE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66,48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DBACE"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79,32</w:t>
            </w:r>
          </w:p>
        </w:tc>
      </w:tr>
    </w:tbl>
    <w:p w14:paraId="72412EB1" w14:textId="72F32B06" w:rsidR="009E0216" w:rsidRPr="00BF7E57" w:rsidRDefault="009E0216" w:rsidP="00EA2E4C">
      <w:pPr>
        <w:spacing w:line="360" w:lineRule="auto"/>
        <w:jc w:val="both"/>
        <w:rPr>
          <w:rFonts w:ascii="Arial" w:eastAsia="Arial" w:hAnsi="Arial" w:cs="Arial"/>
          <w:sz w:val="20"/>
          <w:szCs w:val="20"/>
        </w:rPr>
      </w:pPr>
      <w:r w:rsidRPr="00BF7E57">
        <w:rPr>
          <w:rFonts w:ascii="Arial" w:hAnsi="Arial" w:cs="Arial"/>
          <w:color w:val="000000"/>
          <w:sz w:val="16"/>
          <w:szCs w:val="16"/>
          <w:lang w:eastAsia="sl-SI"/>
        </w:rPr>
        <w:t xml:space="preserve">Vir: </w:t>
      </w:r>
      <w:r w:rsidR="009C45C9" w:rsidRPr="00BF7E57">
        <w:rPr>
          <w:rFonts w:ascii="Arial" w:hAnsi="Arial" w:cs="Arial"/>
          <w:color w:val="000000"/>
          <w:sz w:val="16"/>
          <w:szCs w:val="16"/>
          <w:lang w:eastAsia="sl-SI"/>
        </w:rPr>
        <w:t>EK Data, 2020</w:t>
      </w:r>
    </w:p>
    <w:p w14:paraId="49A92640" w14:textId="24118615"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V Sloveniji zajema večji del energijske porabe v kmetijstvu plinsko olje za pogon kmetijskih strojev (56,2 %), sledi energija za proizvodnjo mineralnih dušikovih gnojil (36,4 %) in električna energija (4,4 %). Pri tem od leta 2012 poraba plinskega olja ostaja na približno enaki ravni oziroma je zaznati malenkosten trend zniževanja porabe in sicer se giba od približno 2.450 TJ/leto do 2.470 TJ/leto. V daljšem časovnem obdobju pa se je ta poraba nekoliko znižala in sicer leta 2000 je poraba plinskega olja znašala 2612 TJ v letu 2018 pa 2.449 TJ. Tudi skupna poraba energije za proizvodnjo dušikovih in fosforjevih gnojil v zadnjih letih ostaja konstantna in sicer približno 3,6 GJ na ha KZU, opazen pa je negativni trend na daljše časovno obdobje</w:t>
      </w:r>
      <w:r w:rsidR="005A7044" w:rsidRPr="00BF7E57">
        <w:rPr>
          <w:rFonts w:ascii="Arial" w:eastAsia="Arial" w:hAnsi="Arial" w:cs="Arial"/>
          <w:sz w:val="20"/>
          <w:szCs w:val="20"/>
        </w:rPr>
        <w:t xml:space="preserve"> (Slika </w:t>
      </w:r>
      <w:r w:rsidR="006A050F" w:rsidRPr="00BF7E57">
        <w:rPr>
          <w:rFonts w:ascii="Arial" w:eastAsia="Arial" w:hAnsi="Arial" w:cs="Arial"/>
          <w:sz w:val="20"/>
          <w:szCs w:val="20"/>
        </w:rPr>
        <w:t>38</w:t>
      </w:r>
      <w:r w:rsidR="005A7044" w:rsidRPr="00BF7E57">
        <w:rPr>
          <w:rFonts w:ascii="Arial" w:eastAsia="Arial" w:hAnsi="Arial" w:cs="Arial"/>
          <w:sz w:val="20"/>
          <w:szCs w:val="20"/>
        </w:rPr>
        <w:t>)</w:t>
      </w:r>
      <w:r w:rsidRPr="00BF7E57">
        <w:rPr>
          <w:rFonts w:ascii="Arial" w:eastAsia="Arial" w:hAnsi="Arial" w:cs="Arial"/>
          <w:sz w:val="20"/>
          <w:szCs w:val="20"/>
        </w:rPr>
        <w:t>.</w:t>
      </w:r>
    </w:p>
    <w:p w14:paraId="792D3917" w14:textId="77777777"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Pri primerjavi s povprečjem 28 evropskih držav je imela Slovenija v letu 2016 za 9,5 % večjo neposredno porabo energije na hektar kmetijskih zemljišč v uporabi in za 13,5 % manjšo posredno porabo energije v kmetijstvu.</w:t>
      </w:r>
    </w:p>
    <w:p w14:paraId="5741FA2E" w14:textId="6858FFE4" w:rsidR="003E038D" w:rsidRPr="00BF7E57" w:rsidRDefault="003E038D" w:rsidP="00A5125A">
      <w:pPr>
        <w:pStyle w:val="Napis"/>
      </w:pPr>
      <w:bookmarkStart w:id="182" w:name="_Toc86826431"/>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41</w:t>
      </w:r>
      <w:r w:rsidR="00A30B83" w:rsidRPr="00BF7E57">
        <w:rPr>
          <w:noProof/>
        </w:rPr>
        <w:fldChar w:fldCharType="end"/>
      </w:r>
      <w:r w:rsidRPr="00BF7E57">
        <w:t>: Poraba energije za proizvodnjo porabljenih dušikovih in fosforjevih gnojil (v GJ/ha KZU) in plinskega olja v kmetijstvu (v TJ/leto)</w:t>
      </w:r>
      <w:bookmarkEnd w:id="182"/>
    </w:p>
    <w:p w14:paraId="7116F9D4" w14:textId="75C6744C" w:rsidR="009E0216" w:rsidRPr="00BF7E57" w:rsidRDefault="009E0216" w:rsidP="007C53EF">
      <w:pPr>
        <w:spacing w:after="0" w:line="240" w:lineRule="auto"/>
        <w:jc w:val="both"/>
        <w:rPr>
          <w:rFonts w:ascii="Arial" w:eastAsia="Arial" w:hAnsi="Arial" w:cs="Arial"/>
          <w:sz w:val="20"/>
          <w:szCs w:val="20"/>
        </w:rPr>
      </w:pPr>
      <w:r w:rsidRPr="00BF7E57">
        <w:rPr>
          <w:rFonts w:ascii="Arial" w:hAnsi="Arial" w:cs="Arial"/>
          <w:noProof/>
          <w:sz w:val="20"/>
          <w:szCs w:val="20"/>
          <w:lang w:eastAsia="sl-SI"/>
        </w:rPr>
        <w:drawing>
          <wp:inline distT="0" distB="0" distL="0" distR="0" wp14:anchorId="5BF2D0E3" wp14:editId="0D4485C3">
            <wp:extent cx="5756744" cy="3379304"/>
            <wp:effectExtent l="0" t="0" r="15875" b="12065"/>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97B1E92" w14:textId="77777777" w:rsidR="009E0216" w:rsidRPr="00BF7E57" w:rsidRDefault="00083AB5" w:rsidP="00EA2E4C">
      <w:pPr>
        <w:spacing w:line="360" w:lineRule="auto"/>
        <w:jc w:val="both"/>
        <w:rPr>
          <w:rFonts w:ascii="Arial" w:eastAsia="Arial" w:hAnsi="Arial" w:cs="Arial"/>
          <w:sz w:val="16"/>
          <w:szCs w:val="16"/>
        </w:rPr>
      </w:pPr>
      <w:r w:rsidRPr="00BF7E57">
        <w:rPr>
          <w:rFonts w:ascii="Arial" w:eastAsia="Arial" w:hAnsi="Arial" w:cs="Arial"/>
          <w:sz w:val="16"/>
          <w:szCs w:val="16"/>
        </w:rPr>
        <w:t>Vir:</w:t>
      </w:r>
      <w:r w:rsidR="009C45C9" w:rsidRPr="00BF7E57">
        <w:rPr>
          <w:rFonts w:ascii="Arial" w:eastAsia="Arial" w:hAnsi="Arial" w:cs="Arial"/>
          <w:sz w:val="16"/>
          <w:szCs w:val="16"/>
        </w:rPr>
        <w:t xml:space="preserve"> </w:t>
      </w:r>
      <w:r w:rsidR="009E0216" w:rsidRPr="00BF7E57">
        <w:rPr>
          <w:rFonts w:ascii="Arial" w:eastAsia="Arial" w:hAnsi="Arial" w:cs="Arial"/>
          <w:sz w:val="16"/>
          <w:szCs w:val="16"/>
        </w:rPr>
        <w:t>SURS</w:t>
      </w:r>
      <w:r w:rsidR="009C45C9" w:rsidRPr="00BF7E57">
        <w:rPr>
          <w:rFonts w:ascii="Arial" w:eastAsia="Arial" w:hAnsi="Arial" w:cs="Arial"/>
          <w:sz w:val="16"/>
          <w:szCs w:val="16"/>
        </w:rPr>
        <w:t>, 2020</w:t>
      </w:r>
    </w:p>
    <w:p w14:paraId="235097E4" w14:textId="719DC8C3"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 xml:space="preserve">Na podlagi </w:t>
      </w:r>
      <w:hyperlink r:id="rId58" w:tgtFrame="_blank" w:history="1">
        <w:r w:rsidRPr="00BF7E57">
          <w:rPr>
            <w:rFonts w:ascii="Arial" w:eastAsia="Arial" w:hAnsi="Arial" w:cs="Arial"/>
            <w:sz w:val="20"/>
            <w:szCs w:val="20"/>
          </w:rPr>
          <w:t>Direktive 2009/28/ES Evropskega parlamenta in Sveta</w:t>
        </w:r>
      </w:hyperlink>
      <w:r w:rsidRPr="00BF7E57">
        <w:rPr>
          <w:rFonts w:ascii="Arial" w:eastAsia="Arial" w:hAnsi="Arial" w:cs="Arial"/>
          <w:sz w:val="20"/>
          <w:szCs w:val="20"/>
        </w:rPr>
        <w:t xml:space="preserve"> z dne 23. aprila 2009 o spodbujanju uporabe energije iz obnovljivih virov, spremembi in poznejši razveljavitvi direktiv 2001/77/ES in 2003/30/ES in Odločbe Komisije Evropske skupnosti št. C(2009) 5174 je morala vsaka država članica sprejeti </w:t>
      </w:r>
      <w:r w:rsidR="001B7F8A" w:rsidRPr="00BF7E57">
        <w:rPr>
          <w:rFonts w:ascii="Arial" w:hAnsi="Arial" w:cs="Arial"/>
          <w:sz w:val="20"/>
          <w:szCs w:val="20"/>
        </w:rPr>
        <w:t xml:space="preserve">Akcijski načrt za obnovljive vire energije </w:t>
      </w:r>
      <w:r w:rsidRPr="00BF7E57">
        <w:rPr>
          <w:rFonts w:ascii="Arial" w:eastAsia="Arial" w:hAnsi="Arial" w:cs="Arial"/>
          <w:sz w:val="20"/>
          <w:szCs w:val="20"/>
        </w:rPr>
        <w:t xml:space="preserve">za obdobje 2010–2020. V teh načrtih je potrebno </w:t>
      </w:r>
      <w:r w:rsidRPr="00BF7E57">
        <w:rPr>
          <w:rFonts w:ascii="Arial" w:eastAsia="Arial" w:hAnsi="Arial" w:cs="Arial"/>
          <w:sz w:val="20"/>
          <w:szCs w:val="20"/>
        </w:rPr>
        <w:lastRenderedPageBreak/>
        <w:t>določiti letne nacionalne cilje držav članic za deleže energije iz obnovljivih virov, porabljene v prometu, elektroenergetiki ter za ogrevanje in hlajenje v letu 2020 in predvidene ukrepe s katerimi bodo države članice dosegle predpisan cilj v letu 2020.</w:t>
      </w:r>
    </w:p>
    <w:p w14:paraId="65DFB8ED" w14:textId="77777777" w:rsidR="009E0216" w:rsidRPr="00BF7E57" w:rsidRDefault="009E0216" w:rsidP="00BE756C">
      <w:pPr>
        <w:spacing w:after="0" w:line="360" w:lineRule="auto"/>
        <w:jc w:val="both"/>
        <w:rPr>
          <w:rFonts w:ascii="Arial" w:eastAsia="Arial" w:hAnsi="Arial" w:cs="Arial"/>
          <w:sz w:val="20"/>
          <w:szCs w:val="20"/>
        </w:rPr>
      </w:pPr>
      <w:r w:rsidRPr="00BF7E57">
        <w:rPr>
          <w:rFonts w:ascii="Arial" w:eastAsia="Arial" w:hAnsi="Arial" w:cs="Arial"/>
          <w:sz w:val="20"/>
          <w:szCs w:val="20"/>
        </w:rPr>
        <w:t>Za Slovenijo je določeno, da mora do leta 2020 doseči najmanj 25 % delež obnovljivih virov energije (v nadaljevanju: OVE) v končni bruto rabi energije. Dodatno pa Direktiva 2009/28/ES določa, da se najmanj 10-odstotni cilj za OVE v prometu določi na enaki ravni za vsako državo članico. AN OVE obsega:</w:t>
      </w:r>
    </w:p>
    <w:p w14:paraId="52C657A7"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nacionalno politiko obnovljivih virov energije;</w:t>
      </w:r>
    </w:p>
    <w:p w14:paraId="1E1D8FAA"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pričakovano rabo bruto končne energije v obdobju 2010–2020;</w:t>
      </w:r>
    </w:p>
    <w:p w14:paraId="6F1D391B"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cilje in usmeritve glede OVE;</w:t>
      </w:r>
    </w:p>
    <w:p w14:paraId="4F24C488"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ukrepe za doseganje zavezujočih ciljnih deležev OVE,</w:t>
      </w:r>
    </w:p>
    <w:p w14:paraId="50947BD5"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ocene prispevka posamezne tehnologije k doseganju ciljnih deležev OVE in ocene stroškov izvedbe ukrepov, vplivov na okolje ter na ustvarjanje delovnih mest.</w:t>
      </w:r>
    </w:p>
    <w:p w14:paraId="49B7E5F8" w14:textId="20463A03"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Delež energije iz obnovljivih virov energije v bruto končni porabi energije v Sloveniji skozi obdobje 2008 do 2018 narašča, v letu 2018 je znašal 21,44 %. V zadnjih letih pa je opazen rahel padec oziroma stagnacija deleža energije iz obnovljivih virov</w:t>
      </w:r>
      <w:r w:rsidR="005A7044" w:rsidRPr="00BF7E57">
        <w:rPr>
          <w:rFonts w:ascii="Arial" w:eastAsia="Arial" w:hAnsi="Arial" w:cs="Arial"/>
          <w:sz w:val="20"/>
          <w:szCs w:val="20"/>
        </w:rPr>
        <w:t xml:space="preserve"> (</w:t>
      </w:r>
      <w:r w:rsidR="00E358F5" w:rsidRPr="00BF7E57">
        <w:rPr>
          <w:rFonts w:ascii="Arial" w:eastAsia="Arial" w:hAnsi="Arial" w:cs="Arial"/>
          <w:sz w:val="20"/>
          <w:szCs w:val="20"/>
        </w:rPr>
        <w:fldChar w:fldCharType="begin"/>
      </w:r>
      <w:r w:rsidR="00E358F5" w:rsidRPr="00BF7E57">
        <w:rPr>
          <w:rFonts w:ascii="Arial" w:eastAsia="Arial" w:hAnsi="Arial" w:cs="Arial"/>
          <w:sz w:val="20"/>
          <w:szCs w:val="20"/>
        </w:rPr>
        <w:instrText xml:space="preserve"> REF _Ref84929869 \h </w:instrText>
      </w:r>
      <w:r w:rsidR="00E358F5" w:rsidRPr="00BF7E57">
        <w:rPr>
          <w:rFonts w:ascii="Arial" w:eastAsia="Arial" w:hAnsi="Arial" w:cs="Arial"/>
          <w:sz w:val="20"/>
          <w:szCs w:val="20"/>
        </w:rPr>
      </w:r>
      <w:r w:rsidR="00BF7E57">
        <w:rPr>
          <w:rFonts w:ascii="Arial" w:eastAsia="Arial" w:hAnsi="Arial" w:cs="Arial"/>
          <w:sz w:val="20"/>
          <w:szCs w:val="20"/>
        </w:rPr>
        <w:instrText xml:space="preserve"> \* MERGEFORMAT </w:instrText>
      </w:r>
      <w:r w:rsidR="00E358F5" w:rsidRPr="00BF7E57">
        <w:rPr>
          <w:rFonts w:ascii="Arial" w:eastAsia="Arial" w:hAnsi="Arial" w:cs="Arial"/>
          <w:sz w:val="20"/>
          <w:szCs w:val="20"/>
        </w:rPr>
        <w:fldChar w:fldCharType="separate"/>
      </w:r>
      <w:r w:rsidR="00236865" w:rsidRPr="00BF7E57">
        <w:t xml:space="preserve">Slika </w:t>
      </w:r>
      <w:r w:rsidR="00236865">
        <w:rPr>
          <w:noProof/>
        </w:rPr>
        <w:t>42</w:t>
      </w:r>
      <w:r w:rsidR="00E358F5" w:rsidRPr="00BF7E57">
        <w:rPr>
          <w:rFonts w:ascii="Arial" w:eastAsia="Arial" w:hAnsi="Arial" w:cs="Arial"/>
          <w:sz w:val="20"/>
          <w:szCs w:val="20"/>
        </w:rPr>
        <w:fldChar w:fldCharType="end"/>
      </w:r>
      <w:r w:rsidR="005A7044" w:rsidRPr="00BF7E57">
        <w:rPr>
          <w:rFonts w:ascii="Arial" w:eastAsia="Arial" w:hAnsi="Arial" w:cs="Arial"/>
          <w:sz w:val="20"/>
          <w:szCs w:val="20"/>
        </w:rPr>
        <w:t>)</w:t>
      </w:r>
      <w:r w:rsidRPr="00BF7E57">
        <w:rPr>
          <w:rFonts w:ascii="Arial" w:eastAsia="Arial" w:hAnsi="Arial" w:cs="Arial"/>
          <w:sz w:val="20"/>
          <w:szCs w:val="20"/>
        </w:rPr>
        <w:t>.</w:t>
      </w:r>
    </w:p>
    <w:p w14:paraId="57790042" w14:textId="385A32A8" w:rsidR="003E038D" w:rsidRPr="00BF7E57" w:rsidRDefault="003E038D" w:rsidP="00A5125A">
      <w:pPr>
        <w:pStyle w:val="Napis"/>
      </w:pPr>
      <w:bookmarkStart w:id="183" w:name="_Ref84929869"/>
      <w:bookmarkStart w:id="184" w:name="_Toc86826432"/>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42</w:t>
      </w:r>
      <w:r w:rsidR="00A30B83" w:rsidRPr="00BF7E57">
        <w:rPr>
          <w:noProof/>
        </w:rPr>
        <w:fldChar w:fldCharType="end"/>
      </w:r>
      <w:bookmarkEnd w:id="183"/>
      <w:r w:rsidRPr="00BF7E57">
        <w:t>: Delež energije iz obnovljivih virov v bruto končni porabi energije (%)</w:t>
      </w:r>
      <w:bookmarkEnd w:id="184"/>
    </w:p>
    <w:p w14:paraId="2EFE41F9" w14:textId="3F8F59EA" w:rsidR="009E0216" w:rsidRPr="00BF7E57" w:rsidRDefault="009E0216" w:rsidP="00A5125A">
      <w:pPr>
        <w:pStyle w:val="Napis"/>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E0216" w:rsidRPr="00BF7E57" w14:paraId="05AD8881" w14:textId="77777777" w:rsidTr="00C0502F">
        <w:tc>
          <w:tcPr>
            <w:tcW w:w="9892" w:type="dxa"/>
          </w:tcPr>
          <w:p w14:paraId="6B35AFFE" w14:textId="77777777" w:rsidR="009E0216" w:rsidRPr="00BF7E57" w:rsidRDefault="009E0216" w:rsidP="007C53EF">
            <w:pPr>
              <w:jc w:val="both"/>
              <w:rPr>
                <w:rFonts w:ascii="Arial" w:hAnsi="Arial" w:cs="Arial"/>
                <w:sz w:val="20"/>
                <w:szCs w:val="20"/>
              </w:rPr>
            </w:pPr>
            <w:r w:rsidRPr="00BF7E57">
              <w:rPr>
                <w:rFonts w:ascii="Arial" w:hAnsi="Arial" w:cs="Arial"/>
                <w:noProof/>
                <w:sz w:val="20"/>
                <w:szCs w:val="20"/>
                <w:lang w:eastAsia="sl-SI"/>
              </w:rPr>
              <w:drawing>
                <wp:inline distT="0" distB="0" distL="0" distR="0" wp14:anchorId="18CC2F88" wp14:editId="6C4835E4">
                  <wp:extent cx="5534108" cy="2782956"/>
                  <wp:effectExtent l="0" t="0" r="9525" b="17780"/>
                  <wp:docPr id="1631865560" name="Grafikon 1631865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9E0216" w:rsidRPr="00BF7E57" w14:paraId="43DEF0E5" w14:textId="77777777" w:rsidTr="00C0502F">
        <w:tc>
          <w:tcPr>
            <w:tcW w:w="9892" w:type="dxa"/>
          </w:tcPr>
          <w:p w14:paraId="6D5A7F9F" w14:textId="77777777" w:rsidR="009E0216" w:rsidRPr="00BF7E57" w:rsidRDefault="009E0216" w:rsidP="00BE756C">
            <w:pPr>
              <w:spacing w:line="360" w:lineRule="auto"/>
              <w:jc w:val="both"/>
              <w:rPr>
                <w:rFonts w:ascii="Arial" w:hAnsi="Arial" w:cs="Arial"/>
                <w:b/>
                <w:sz w:val="16"/>
                <w:szCs w:val="16"/>
              </w:rPr>
            </w:pPr>
            <w:r w:rsidRPr="00BF7E57">
              <w:rPr>
                <w:rFonts w:ascii="Arial" w:hAnsi="Arial" w:cs="Arial"/>
                <w:sz w:val="16"/>
                <w:szCs w:val="16"/>
              </w:rPr>
              <w:t xml:space="preserve"> Vir: SURS</w:t>
            </w:r>
            <w:r w:rsidR="009C45C9" w:rsidRPr="00BF7E57">
              <w:rPr>
                <w:rFonts w:ascii="Arial" w:hAnsi="Arial" w:cs="Arial"/>
                <w:sz w:val="16"/>
                <w:szCs w:val="16"/>
              </w:rPr>
              <w:t>, 2020</w:t>
            </w:r>
          </w:p>
        </w:tc>
      </w:tr>
    </w:tbl>
    <w:p w14:paraId="6D400E67" w14:textId="79792A44"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 xml:space="preserve">V strukturi oskrbe z energijo so v letu 2018 prevladovali naftni proizvodi (33,3 %), delež jedrske energije je znašal 22,0 %, delež energije iz OVE (vključno s hidroenergijo) je znašal 17,7 %, delež premoga16,4 % in delež zemeljskega plina 10,6 %. </w:t>
      </w:r>
    </w:p>
    <w:p w14:paraId="3E324AFC" w14:textId="09019BE7" w:rsidR="003E038D" w:rsidRPr="00BF7E57" w:rsidRDefault="003E038D" w:rsidP="00A5125A">
      <w:pPr>
        <w:pStyle w:val="Napis"/>
      </w:pPr>
      <w:bookmarkStart w:id="185" w:name="_Toc86826433"/>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43</w:t>
      </w:r>
      <w:r w:rsidR="00A30B83" w:rsidRPr="00BF7E57">
        <w:rPr>
          <w:noProof/>
        </w:rPr>
        <w:fldChar w:fldCharType="end"/>
      </w:r>
      <w:r w:rsidRPr="00BF7E57">
        <w:t>: Raba obnovljivih virov energije</w:t>
      </w:r>
      <w:bookmarkEnd w:id="185"/>
    </w:p>
    <w:p w14:paraId="7D70C268" w14:textId="3A3116B1" w:rsidR="009E0216" w:rsidRPr="00BF7E57" w:rsidRDefault="00C01FEA" w:rsidP="00A5125A">
      <w:pPr>
        <w:pStyle w:val="Napis"/>
      </w:pPr>
      <w:r w:rsidRPr="00BF7E57">
        <w:t>Slika 4</w:t>
      </w:r>
      <w:r w:rsidR="00402774" w:rsidRPr="00BF7E57">
        <w:t>3</w:t>
      </w:r>
      <w:r w:rsidRPr="00BF7E57">
        <w:t>: Raba obnovljivih virov energije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gridCol w:w="36"/>
      </w:tblGrid>
      <w:tr w:rsidR="009E0216" w:rsidRPr="00BF7E57" w14:paraId="2A10EF5A" w14:textId="77777777" w:rsidTr="00C0502F">
        <w:tc>
          <w:tcPr>
            <w:tcW w:w="9966" w:type="dxa"/>
            <w:gridSpan w:val="2"/>
          </w:tcPr>
          <w:p w14:paraId="69DEF95A" w14:textId="36B5D89F" w:rsidR="009E0216" w:rsidRPr="00BF7E57" w:rsidRDefault="009E0216" w:rsidP="007C53EF">
            <w:pPr>
              <w:jc w:val="center"/>
              <w:rPr>
                <w:rFonts w:ascii="Arial" w:hAnsi="Arial" w:cs="Arial"/>
                <w:sz w:val="20"/>
                <w:szCs w:val="20"/>
              </w:rPr>
            </w:pPr>
            <w:r w:rsidRPr="00BF7E57">
              <w:rPr>
                <w:rFonts w:ascii="Arial" w:hAnsi="Arial" w:cs="Arial"/>
                <w:noProof/>
                <w:sz w:val="20"/>
                <w:szCs w:val="20"/>
                <w:lang w:eastAsia="sl-SI"/>
              </w:rPr>
              <w:drawing>
                <wp:inline distT="0" distB="0" distL="0" distR="0" wp14:anchorId="29486297" wp14:editId="147C79D6">
                  <wp:extent cx="5573033" cy="3554730"/>
                  <wp:effectExtent l="19050" t="19050" r="27940" b="26670"/>
                  <wp:docPr id="1631865565" name="Slika 163186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42892" cy="3599289"/>
                          </a:xfrm>
                          <a:prstGeom prst="rect">
                            <a:avLst/>
                          </a:prstGeom>
                          <a:ln w="1905">
                            <a:solidFill>
                              <a:schemeClr val="tx1"/>
                            </a:solidFill>
                          </a:ln>
                        </pic:spPr>
                      </pic:pic>
                    </a:graphicData>
                  </a:graphic>
                </wp:inline>
              </w:drawing>
            </w:r>
          </w:p>
        </w:tc>
      </w:tr>
      <w:tr w:rsidR="009E0216" w:rsidRPr="00BF7E57" w14:paraId="32F9382E" w14:textId="77777777" w:rsidTr="00C0502F">
        <w:trPr>
          <w:gridAfter w:val="1"/>
          <w:wAfter w:w="74" w:type="dxa"/>
        </w:trPr>
        <w:tc>
          <w:tcPr>
            <w:tcW w:w="9892" w:type="dxa"/>
          </w:tcPr>
          <w:p w14:paraId="66BB1A9F" w14:textId="77777777" w:rsidR="009E0216" w:rsidRPr="00BF7E57" w:rsidRDefault="009C45C9" w:rsidP="00EA2E4C">
            <w:pPr>
              <w:spacing w:line="360" w:lineRule="auto"/>
              <w:jc w:val="both"/>
              <w:rPr>
                <w:rFonts w:ascii="Arial" w:hAnsi="Arial" w:cs="Arial"/>
                <w:sz w:val="16"/>
                <w:szCs w:val="16"/>
              </w:rPr>
            </w:pPr>
            <w:r w:rsidRPr="00BF7E57">
              <w:rPr>
                <w:rFonts w:ascii="Arial" w:hAnsi="Arial" w:cs="Arial"/>
                <w:sz w:val="16"/>
                <w:szCs w:val="16"/>
              </w:rPr>
              <w:t>Vir: ARSO, 2017</w:t>
            </w:r>
          </w:p>
        </w:tc>
      </w:tr>
    </w:tbl>
    <w:p w14:paraId="1DECFE33" w14:textId="33751883"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Skupna količina domačih virov energije v Sloveniji v letu 2017 je bila 3,7 mio Toe, kar je za 2 % več kot v letu 2016. Povečala se je predvsem količina jedrske energije (za 10 %) ter geotermalne in sončne energije (za 2 %). Z domačimi viri energije je Slovenija v letu 2017 zadovoljila 52 % potreb po energiji.</w:t>
      </w:r>
    </w:p>
    <w:p w14:paraId="27E0BAED" w14:textId="58AE43CE"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V kmetijstvu je lahko proizvodnja biomase kot obnovljivega vira energije primarni namen (gozdarstvo) ali kot stranski proizvod (ostanki pridelkov ali gnoj). Proizvodnja OVE iz kmetijstva v Sloveniji je leta 2016 znašala 24 kToe, t.j. 2 % vse proizvodnje OVE</w:t>
      </w:r>
      <w:r w:rsidR="00763F76" w:rsidRPr="00BF7E57">
        <w:rPr>
          <w:rFonts w:ascii="Arial" w:eastAsia="Arial" w:hAnsi="Arial" w:cs="Arial"/>
          <w:sz w:val="20"/>
          <w:szCs w:val="20"/>
        </w:rPr>
        <w:t xml:space="preserve"> (</w:t>
      </w:r>
      <w:r w:rsidR="00E358F5" w:rsidRPr="00BF7E57">
        <w:rPr>
          <w:rFonts w:ascii="Arial" w:eastAsia="Arial" w:hAnsi="Arial" w:cs="Arial"/>
          <w:sz w:val="20"/>
          <w:szCs w:val="20"/>
        </w:rPr>
        <w:fldChar w:fldCharType="begin"/>
      </w:r>
      <w:r w:rsidR="00E358F5" w:rsidRPr="00BF7E57">
        <w:rPr>
          <w:rFonts w:ascii="Arial" w:eastAsia="Arial" w:hAnsi="Arial" w:cs="Arial"/>
          <w:sz w:val="20"/>
          <w:szCs w:val="20"/>
        </w:rPr>
        <w:instrText xml:space="preserve"> REF _Ref84929977 \h </w:instrText>
      </w:r>
      <w:r w:rsidR="00E358F5" w:rsidRPr="00BF7E57">
        <w:rPr>
          <w:rFonts w:ascii="Arial" w:eastAsia="Arial" w:hAnsi="Arial" w:cs="Arial"/>
          <w:sz w:val="20"/>
          <w:szCs w:val="20"/>
        </w:rPr>
      </w:r>
      <w:r w:rsidR="00BF7E57">
        <w:rPr>
          <w:rFonts w:ascii="Arial" w:eastAsia="Arial" w:hAnsi="Arial" w:cs="Arial"/>
          <w:sz w:val="20"/>
          <w:szCs w:val="20"/>
        </w:rPr>
        <w:instrText xml:space="preserve"> \* MERGEFORMAT </w:instrText>
      </w:r>
      <w:r w:rsidR="00E358F5" w:rsidRPr="00BF7E57">
        <w:rPr>
          <w:rFonts w:ascii="Arial" w:eastAsia="Arial" w:hAnsi="Arial" w:cs="Arial"/>
          <w:sz w:val="20"/>
          <w:szCs w:val="20"/>
        </w:rPr>
        <w:fldChar w:fldCharType="separate"/>
      </w:r>
      <w:r w:rsidR="00236865" w:rsidRPr="00BF7E57">
        <w:t xml:space="preserve">Tabela </w:t>
      </w:r>
      <w:r w:rsidR="00236865">
        <w:rPr>
          <w:noProof/>
        </w:rPr>
        <w:t>36</w:t>
      </w:r>
      <w:r w:rsidR="00E358F5" w:rsidRPr="00BF7E57">
        <w:rPr>
          <w:rFonts w:ascii="Arial" w:eastAsia="Arial" w:hAnsi="Arial" w:cs="Arial"/>
          <w:sz w:val="20"/>
          <w:szCs w:val="20"/>
        </w:rPr>
        <w:fldChar w:fldCharType="end"/>
      </w:r>
      <w:r w:rsidR="00763F76" w:rsidRPr="00BF7E57">
        <w:rPr>
          <w:rFonts w:ascii="Arial" w:eastAsia="Arial" w:hAnsi="Arial" w:cs="Arial"/>
          <w:sz w:val="20"/>
          <w:szCs w:val="20"/>
        </w:rPr>
        <w:t>)</w:t>
      </w:r>
      <w:r w:rsidRPr="00BF7E57">
        <w:rPr>
          <w:rFonts w:ascii="Arial" w:eastAsia="Arial" w:hAnsi="Arial" w:cs="Arial"/>
          <w:sz w:val="20"/>
          <w:szCs w:val="20"/>
        </w:rPr>
        <w:t>.</w:t>
      </w:r>
      <w:r w:rsidR="00F62C73" w:rsidRPr="00BF7E57">
        <w:rPr>
          <w:rFonts w:ascii="Arial" w:eastAsia="Arial" w:hAnsi="Arial" w:cs="Arial"/>
          <w:sz w:val="20"/>
          <w:szCs w:val="20"/>
        </w:rPr>
        <w:t xml:space="preserve"> (EK CAP Indicators, 2020)</w:t>
      </w:r>
      <w:r w:rsidRPr="00BF7E57">
        <w:rPr>
          <w:rFonts w:ascii="Arial" w:eastAsia="Arial" w:hAnsi="Arial" w:cs="Arial"/>
          <w:sz w:val="20"/>
          <w:szCs w:val="20"/>
        </w:rPr>
        <w:t xml:space="preserve"> Proizvodnja OVE na ha iz gozdarstva je v Sloveniji naraščala med leti 2000 in 2016 in je bila višja od povprečja EU. 55 % (609 kToe) vse proizvodnje OVE zavzema proizvodnja OVE iz gozdarstva, medtem ko v povprečju EU ta znaša 45 %. Uporaba OVE v kmetijstvu in gozdarstvu v Sloveniji je stabilna pri 4 %.</w:t>
      </w:r>
      <w:r w:rsidR="00F62C73" w:rsidRPr="00BF7E57">
        <w:rPr>
          <w:rFonts w:ascii="Arial" w:eastAsia="Arial" w:hAnsi="Arial" w:cs="Arial"/>
          <w:sz w:val="20"/>
          <w:szCs w:val="20"/>
        </w:rPr>
        <w:t xml:space="preserve"> (EK Factsheet, 2019)</w:t>
      </w:r>
    </w:p>
    <w:p w14:paraId="6588A740" w14:textId="41CF0EA6" w:rsidR="00B263CA" w:rsidRPr="00BF7E57" w:rsidRDefault="00B263CA" w:rsidP="00A5125A">
      <w:pPr>
        <w:pStyle w:val="Napis"/>
      </w:pPr>
      <w:bookmarkStart w:id="186" w:name="_Ref84929977"/>
      <w:bookmarkStart w:id="187" w:name="_Toc8682647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36</w:t>
      </w:r>
      <w:r w:rsidR="00A30B83" w:rsidRPr="00BF7E57">
        <w:rPr>
          <w:noProof/>
        </w:rPr>
        <w:fldChar w:fldCharType="end"/>
      </w:r>
      <w:bookmarkEnd w:id="186"/>
      <w:r w:rsidRPr="00BF7E57">
        <w:t>: Proizvodnja obnovljive energije v kmetijstvu in gozdarstvu</w:t>
      </w:r>
      <w:bookmarkEnd w:id="187"/>
    </w:p>
    <w:p w14:paraId="736FEC1D" w14:textId="44F3664E" w:rsidR="009E0216" w:rsidRPr="00BF7E57" w:rsidRDefault="009E0216" w:rsidP="00A5125A">
      <w:pPr>
        <w:pStyle w:val="Napis"/>
      </w:pPr>
    </w:p>
    <w:tbl>
      <w:tblPr>
        <w:tblW w:w="9930" w:type="dxa"/>
        <w:tblInd w:w="75" w:type="dxa"/>
        <w:tblLayout w:type="fixed"/>
        <w:tblCellMar>
          <w:left w:w="70" w:type="dxa"/>
          <w:right w:w="70" w:type="dxa"/>
        </w:tblCellMar>
        <w:tblLook w:val="04A0" w:firstRow="1" w:lastRow="0" w:firstColumn="1" w:lastColumn="0" w:noHBand="0" w:noVBand="1"/>
      </w:tblPr>
      <w:tblGrid>
        <w:gridCol w:w="2755"/>
        <w:gridCol w:w="845"/>
        <w:gridCol w:w="703"/>
        <w:gridCol w:w="703"/>
        <w:gridCol w:w="704"/>
        <w:gridCol w:w="703"/>
        <w:gridCol w:w="703"/>
        <w:gridCol w:w="704"/>
        <w:gridCol w:w="703"/>
        <w:gridCol w:w="703"/>
        <w:gridCol w:w="704"/>
      </w:tblGrid>
      <w:tr w:rsidR="008465F8" w:rsidRPr="00BF7E57" w14:paraId="54FC7CF8" w14:textId="185D0DC2" w:rsidTr="00E77D01">
        <w:trPr>
          <w:trHeight w:val="555"/>
        </w:trPr>
        <w:tc>
          <w:tcPr>
            <w:tcW w:w="275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416E73" w14:textId="61318A4C" w:rsidR="008465F8" w:rsidRPr="00BF7E57" w:rsidRDefault="008465F8" w:rsidP="00287066">
            <w:pPr>
              <w:spacing w:before="60" w:after="60" w:line="240" w:lineRule="auto"/>
              <w:rPr>
                <w:rFonts w:ascii="Arial" w:hAnsi="Arial" w:cs="Arial"/>
                <w:color w:val="000000"/>
                <w:sz w:val="18"/>
                <w:szCs w:val="18"/>
              </w:rPr>
            </w:pPr>
            <w:r w:rsidRPr="00BF7E57">
              <w:rPr>
                <w:rFonts w:ascii="Arial" w:hAnsi="Arial" w:cs="Arial"/>
                <w:color w:val="000000"/>
                <w:sz w:val="18"/>
                <w:szCs w:val="18"/>
              </w:rPr>
              <w:t>C.43 Proizvodnja obnovljive energije v kmetijstvu in gozdarstvu</w:t>
            </w:r>
          </w:p>
        </w:tc>
        <w:tc>
          <w:tcPr>
            <w:tcW w:w="845" w:type="dxa"/>
            <w:tcBorders>
              <w:top w:val="single" w:sz="4" w:space="0" w:color="auto"/>
              <w:left w:val="nil"/>
              <w:bottom w:val="single" w:sz="4" w:space="0" w:color="auto"/>
              <w:right w:val="single" w:sz="4" w:space="0" w:color="auto"/>
            </w:tcBorders>
            <w:shd w:val="clear" w:color="auto" w:fill="92D050"/>
            <w:noWrap/>
            <w:vAlign w:val="center"/>
            <w:hideMark/>
          </w:tcPr>
          <w:p w14:paraId="30371C8D"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2010</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4D4F20EB"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2011</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6FAEAD16"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2012</w:t>
            </w:r>
          </w:p>
        </w:tc>
        <w:tc>
          <w:tcPr>
            <w:tcW w:w="704" w:type="dxa"/>
            <w:tcBorders>
              <w:top w:val="single" w:sz="4" w:space="0" w:color="auto"/>
              <w:left w:val="nil"/>
              <w:bottom w:val="single" w:sz="4" w:space="0" w:color="auto"/>
              <w:right w:val="single" w:sz="4" w:space="0" w:color="auto"/>
            </w:tcBorders>
            <w:shd w:val="clear" w:color="auto" w:fill="92D050"/>
            <w:noWrap/>
            <w:vAlign w:val="center"/>
            <w:hideMark/>
          </w:tcPr>
          <w:p w14:paraId="1B331D68"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2013</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12FBCE5D"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2014</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6128865F"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2015</w:t>
            </w:r>
          </w:p>
        </w:tc>
        <w:tc>
          <w:tcPr>
            <w:tcW w:w="704" w:type="dxa"/>
            <w:tcBorders>
              <w:top w:val="single" w:sz="4" w:space="0" w:color="auto"/>
              <w:left w:val="nil"/>
              <w:bottom w:val="single" w:sz="4" w:space="0" w:color="auto"/>
              <w:right w:val="single" w:sz="4" w:space="0" w:color="auto"/>
            </w:tcBorders>
            <w:shd w:val="clear" w:color="auto" w:fill="92D050"/>
            <w:noWrap/>
            <w:vAlign w:val="center"/>
            <w:hideMark/>
          </w:tcPr>
          <w:p w14:paraId="6AB7DA61"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2016</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2A419C59"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2017</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3217C565"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2018</w:t>
            </w:r>
          </w:p>
        </w:tc>
        <w:tc>
          <w:tcPr>
            <w:tcW w:w="704" w:type="dxa"/>
            <w:tcBorders>
              <w:top w:val="single" w:sz="4" w:space="0" w:color="auto"/>
              <w:left w:val="nil"/>
              <w:bottom w:val="single" w:sz="4" w:space="0" w:color="auto"/>
              <w:right w:val="single" w:sz="4" w:space="0" w:color="auto"/>
            </w:tcBorders>
            <w:shd w:val="clear" w:color="auto" w:fill="92D050"/>
            <w:vAlign w:val="center"/>
          </w:tcPr>
          <w:p w14:paraId="44E58E8A" w14:textId="00A4458C"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2019</w:t>
            </w:r>
          </w:p>
        </w:tc>
      </w:tr>
      <w:tr w:rsidR="008465F8" w:rsidRPr="00BF7E57" w14:paraId="2116ED34" w14:textId="3AF4808B"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755328A8" w14:textId="77777777" w:rsidR="008465F8" w:rsidRPr="00BF7E57" w:rsidRDefault="008465F8" w:rsidP="00287066">
            <w:pPr>
              <w:spacing w:before="60" w:after="0" w:line="312" w:lineRule="auto"/>
              <w:rPr>
                <w:rFonts w:ascii="Arial" w:hAnsi="Arial" w:cs="Arial"/>
                <w:color w:val="000000"/>
                <w:sz w:val="18"/>
                <w:szCs w:val="18"/>
              </w:rPr>
            </w:pPr>
            <w:r w:rsidRPr="00BF7E57">
              <w:rPr>
                <w:rFonts w:ascii="Arial" w:hAnsi="Arial" w:cs="Arial"/>
                <w:color w:val="000000"/>
                <w:sz w:val="18"/>
                <w:szCs w:val="18"/>
              </w:rPr>
              <w:t>Proizvodnja obnovljive energije v kmetijstvu (kToe)</w:t>
            </w:r>
          </w:p>
        </w:tc>
        <w:tc>
          <w:tcPr>
            <w:tcW w:w="845" w:type="dxa"/>
            <w:tcBorders>
              <w:top w:val="nil"/>
              <w:left w:val="nil"/>
              <w:bottom w:val="single" w:sz="4" w:space="0" w:color="auto"/>
              <w:right w:val="single" w:sz="4" w:space="0" w:color="auto"/>
            </w:tcBorders>
            <w:shd w:val="clear" w:color="auto" w:fill="auto"/>
            <w:noWrap/>
            <w:vAlign w:val="bottom"/>
            <w:hideMark/>
          </w:tcPr>
          <w:p w14:paraId="124BAAD2" w14:textId="450A4382"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36,40</w:t>
            </w:r>
          </w:p>
        </w:tc>
        <w:tc>
          <w:tcPr>
            <w:tcW w:w="703" w:type="dxa"/>
            <w:tcBorders>
              <w:top w:val="nil"/>
              <w:left w:val="nil"/>
              <w:bottom w:val="single" w:sz="4" w:space="0" w:color="auto"/>
              <w:right w:val="single" w:sz="4" w:space="0" w:color="auto"/>
            </w:tcBorders>
            <w:shd w:val="clear" w:color="auto" w:fill="auto"/>
            <w:noWrap/>
            <w:vAlign w:val="bottom"/>
            <w:hideMark/>
          </w:tcPr>
          <w:p w14:paraId="7BE50271" w14:textId="6423718A"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26,55</w:t>
            </w:r>
          </w:p>
        </w:tc>
        <w:tc>
          <w:tcPr>
            <w:tcW w:w="703" w:type="dxa"/>
            <w:tcBorders>
              <w:top w:val="nil"/>
              <w:left w:val="nil"/>
              <w:bottom w:val="single" w:sz="4" w:space="0" w:color="auto"/>
              <w:right w:val="single" w:sz="4" w:space="0" w:color="auto"/>
            </w:tcBorders>
            <w:shd w:val="clear" w:color="auto" w:fill="auto"/>
            <w:noWrap/>
            <w:vAlign w:val="bottom"/>
            <w:hideMark/>
          </w:tcPr>
          <w:p w14:paraId="1B9BA62F" w14:textId="0D065F77"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29,14</w:t>
            </w:r>
          </w:p>
        </w:tc>
        <w:tc>
          <w:tcPr>
            <w:tcW w:w="704" w:type="dxa"/>
            <w:tcBorders>
              <w:top w:val="nil"/>
              <w:left w:val="nil"/>
              <w:bottom w:val="single" w:sz="4" w:space="0" w:color="auto"/>
              <w:right w:val="single" w:sz="4" w:space="0" w:color="auto"/>
            </w:tcBorders>
            <w:shd w:val="clear" w:color="auto" w:fill="auto"/>
            <w:noWrap/>
            <w:vAlign w:val="bottom"/>
            <w:hideMark/>
          </w:tcPr>
          <w:p w14:paraId="3D4319BD" w14:textId="488906B0"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26,30</w:t>
            </w:r>
          </w:p>
        </w:tc>
        <w:tc>
          <w:tcPr>
            <w:tcW w:w="703" w:type="dxa"/>
            <w:tcBorders>
              <w:top w:val="nil"/>
              <w:left w:val="nil"/>
              <w:bottom w:val="single" w:sz="4" w:space="0" w:color="auto"/>
              <w:right w:val="single" w:sz="4" w:space="0" w:color="auto"/>
            </w:tcBorders>
            <w:shd w:val="clear" w:color="auto" w:fill="auto"/>
            <w:noWrap/>
            <w:vAlign w:val="bottom"/>
            <w:hideMark/>
          </w:tcPr>
          <w:p w14:paraId="523F3822" w14:textId="4BD25917"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21,70</w:t>
            </w:r>
          </w:p>
        </w:tc>
        <w:tc>
          <w:tcPr>
            <w:tcW w:w="703" w:type="dxa"/>
            <w:tcBorders>
              <w:top w:val="nil"/>
              <w:left w:val="nil"/>
              <w:bottom w:val="single" w:sz="4" w:space="0" w:color="auto"/>
              <w:right w:val="single" w:sz="4" w:space="0" w:color="auto"/>
            </w:tcBorders>
            <w:shd w:val="clear" w:color="auto" w:fill="auto"/>
            <w:noWrap/>
            <w:vAlign w:val="bottom"/>
            <w:hideMark/>
          </w:tcPr>
          <w:p w14:paraId="5E594D56" w14:textId="72657846"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22,20</w:t>
            </w:r>
          </w:p>
        </w:tc>
        <w:tc>
          <w:tcPr>
            <w:tcW w:w="704" w:type="dxa"/>
            <w:tcBorders>
              <w:top w:val="nil"/>
              <w:left w:val="nil"/>
              <w:bottom w:val="single" w:sz="4" w:space="0" w:color="auto"/>
              <w:right w:val="single" w:sz="4" w:space="0" w:color="auto"/>
            </w:tcBorders>
            <w:shd w:val="clear" w:color="auto" w:fill="auto"/>
            <w:noWrap/>
            <w:vAlign w:val="bottom"/>
            <w:hideMark/>
          </w:tcPr>
          <w:p w14:paraId="22F8C60B" w14:textId="5FB0A850"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24,30</w:t>
            </w:r>
          </w:p>
        </w:tc>
        <w:tc>
          <w:tcPr>
            <w:tcW w:w="703" w:type="dxa"/>
            <w:tcBorders>
              <w:top w:val="nil"/>
              <w:left w:val="nil"/>
              <w:bottom w:val="single" w:sz="4" w:space="0" w:color="auto"/>
              <w:right w:val="single" w:sz="4" w:space="0" w:color="auto"/>
            </w:tcBorders>
            <w:shd w:val="clear" w:color="auto" w:fill="auto"/>
            <w:noWrap/>
            <w:vAlign w:val="bottom"/>
            <w:hideMark/>
          </w:tcPr>
          <w:p w14:paraId="3CD259C1" w14:textId="1735E08E"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21,80</w:t>
            </w:r>
          </w:p>
        </w:tc>
        <w:tc>
          <w:tcPr>
            <w:tcW w:w="703" w:type="dxa"/>
            <w:tcBorders>
              <w:top w:val="nil"/>
              <w:left w:val="nil"/>
              <w:bottom w:val="single" w:sz="4" w:space="0" w:color="auto"/>
              <w:right w:val="single" w:sz="4" w:space="0" w:color="auto"/>
            </w:tcBorders>
            <w:shd w:val="clear" w:color="auto" w:fill="auto"/>
            <w:noWrap/>
            <w:vAlign w:val="bottom"/>
            <w:hideMark/>
          </w:tcPr>
          <w:p w14:paraId="6CCA1F12" w14:textId="7D8F9C08"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20,40</w:t>
            </w:r>
          </w:p>
        </w:tc>
        <w:tc>
          <w:tcPr>
            <w:tcW w:w="704" w:type="dxa"/>
            <w:tcBorders>
              <w:top w:val="nil"/>
              <w:left w:val="nil"/>
              <w:bottom w:val="single" w:sz="4" w:space="0" w:color="auto"/>
              <w:right w:val="single" w:sz="4" w:space="0" w:color="auto"/>
            </w:tcBorders>
            <w:vAlign w:val="bottom"/>
          </w:tcPr>
          <w:p w14:paraId="50F41CA7" w14:textId="152F3F14"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19,50</w:t>
            </w:r>
          </w:p>
        </w:tc>
      </w:tr>
      <w:tr w:rsidR="008465F8" w:rsidRPr="00BF7E57" w14:paraId="6EC4ACF2" w14:textId="5DAD636D"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07969A84" w14:textId="77777777" w:rsidR="008465F8" w:rsidRPr="00BF7E57" w:rsidRDefault="008465F8" w:rsidP="00287066">
            <w:pPr>
              <w:spacing w:before="60" w:after="0" w:line="312" w:lineRule="auto"/>
              <w:rPr>
                <w:rFonts w:ascii="Arial" w:hAnsi="Arial" w:cs="Arial"/>
                <w:color w:val="000000"/>
                <w:sz w:val="18"/>
                <w:szCs w:val="18"/>
              </w:rPr>
            </w:pPr>
            <w:r w:rsidRPr="00BF7E57">
              <w:rPr>
                <w:rFonts w:ascii="Arial" w:hAnsi="Arial" w:cs="Arial"/>
                <w:color w:val="000000"/>
                <w:sz w:val="18"/>
                <w:szCs w:val="18"/>
              </w:rPr>
              <w:t>Proizvodnja obnovljive energije v gozdarstvu (kToe)</w:t>
            </w:r>
          </w:p>
        </w:tc>
        <w:tc>
          <w:tcPr>
            <w:tcW w:w="845" w:type="dxa"/>
            <w:tcBorders>
              <w:top w:val="nil"/>
              <w:left w:val="nil"/>
              <w:bottom w:val="single" w:sz="4" w:space="0" w:color="auto"/>
              <w:right w:val="single" w:sz="4" w:space="0" w:color="auto"/>
            </w:tcBorders>
            <w:shd w:val="clear" w:color="auto" w:fill="auto"/>
            <w:noWrap/>
            <w:vAlign w:val="bottom"/>
            <w:hideMark/>
          </w:tcPr>
          <w:p w14:paraId="37B27D64" w14:textId="08F452C0"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661,22</w:t>
            </w:r>
          </w:p>
        </w:tc>
        <w:tc>
          <w:tcPr>
            <w:tcW w:w="703" w:type="dxa"/>
            <w:tcBorders>
              <w:top w:val="nil"/>
              <w:left w:val="nil"/>
              <w:bottom w:val="single" w:sz="4" w:space="0" w:color="auto"/>
              <w:right w:val="single" w:sz="4" w:space="0" w:color="auto"/>
            </w:tcBorders>
            <w:shd w:val="clear" w:color="auto" w:fill="auto"/>
            <w:noWrap/>
            <w:vAlign w:val="bottom"/>
            <w:hideMark/>
          </w:tcPr>
          <w:p w14:paraId="55812B16" w14:textId="201734D7"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659,69</w:t>
            </w:r>
          </w:p>
        </w:tc>
        <w:tc>
          <w:tcPr>
            <w:tcW w:w="703" w:type="dxa"/>
            <w:tcBorders>
              <w:top w:val="nil"/>
              <w:left w:val="nil"/>
              <w:bottom w:val="single" w:sz="4" w:space="0" w:color="auto"/>
              <w:right w:val="single" w:sz="4" w:space="0" w:color="auto"/>
            </w:tcBorders>
            <w:shd w:val="clear" w:color="auto" w:fill="auto"/>
            <w:noWrap/>
            <w:vAlign w:val="bottom"/>
            <w:hideMark/>
          </w:tcPr>
          <w:p w14:paraId="575EC8F3" w14:textId="3552F293"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633,75</w:t>
            </w:r>
          </w:p>
        </w:tc>
        <w:tc>
          <w:tcPr>
            <w:tcW w:w="704" w:type="dxa"/>
            <w:tcBorders>
              <w:top w:val="nil"/>
              <w:left w:val="nil"/>
              <w:bottom w:val="single" w:sz="4" w:space="0" w:color="auto"/>
              <w:right w:val="single" w:sz="4" w:space="0" w:color="auto"/>
            </w:tcBorders>
            <w:shd w:val="clear" w:color="auto" w:fill="auto"/>
            <w:noWrap/>
            <w:vAlign w:val="bottom"/>
            <w:hideMark/>
          </w:tcPr>
          <w:p w14:paraId="6A5009F0" w14:textId="4A30BC68"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662,70</w:t>
            </w:r>
          </w:p>
        </w:tc>
        <w:tc>
          <w:tcPr>
            <w:tcW w:w="703" w:type="dxa"/>
            <w:tcBorders>
              <w:top w:val="nil"/>
              <w:left w:val="nil"/>
              <w:bottom w:val="single" w:sz="4" w:space="0" w:color="auto"/>
              <w:right w:val="single" w:sz="4" w:space="0" w:color="auto"/>
            </w:tcBorders>
            <w:shd w:val="clear" w:color="auto" w:fill="auto"/>
            <w:noWrap/>
            <w:vAlign w:val="bottom"/>
            <w:hideMark/>
          </w:tcPr>
          <w:p w14:paraId="1B9A191A" w14:textId="4AB8B4CD"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586,84</w:t>
            </w:r>
          </w:p>
        </w:tc>
        <w:tc>
          <w:tcPr>
            <w:tcW w:w="703" w:type="dxa"/>
            <w:tcBorders>
              <w:top w:val="nil"/>
              <w:left w:val="nil"/>
              <w:bottom w:val="single" w:sz="4" w:space="0" w:color="auto"/>
              <w:right w:val="single" w:sz="4" w:space="0" w:color="auto"/>
            </w:tcBorders>
            <w:shd w:val="clear" w:color="auto" w:fill="auto"/>
            <w:noWrap/>
            <w:vAlign w:val="bottom"/>
            <w:hideMark/>
          </w:tcPr>
          <w:p w14:paraId="01C1B6EB" w14:textId="2AFD0034"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649,58</w:t>
            </w:r>
          </w:p>
        </w:tc>
        <w:tc>
          <w:tcPr>
            <w:tcW w:w="704" w:type="dxa"/>
            <w:tcBorders>
              <w:top w:val="nil"/>
              <w:left w:val="nil"/>
              <w:bottom w:val="single" w:sz="4" w:space="0" w:color="auto"/>
              <w:right w:val="single" w:sz="4" w:space="0" w:color="auto"/>
            </w:tcBorders>
            <w:shd w:val="clear" w:color="auto" w:fill="auto"/>
            <w:noWrap/>
            <w:vAlign w:val="bottom"/>
            <w:hideMark/>
          </w:tcPr>
          <w:p w14:paraId="7F92F8E2" w14:textId="46FD9BAA"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650,23</w:t>
            </w:r>
          </w:p>
        </w:tc>
        <w:tc>
          <w:tcPr>
            <w:tcW w:w="703" w:type="dxa"/>
            <w:tcBorders>
              <w:top w:val="nil"/>
              <w:left w:val="nil"/>
              <w:bottom w:val="single" w:sz="4" w:space="0" w:color="auto"/>
              <w:right w:val="single" w:sz="4" w:space="0" w:color="auto"/>
            </w:tcBorders>
            <w:shd w:val="clear" w:color="auto" w:fill="auto"/>
            <w:noWrap/>
            <w:vAlign w:val="bottom"/>
            <w:hideMark/>
          </w:tcPr>
          <w:p w14:paraId="4462FA0D" w14:textId="0A499B42"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628,64</w:t>
            </w:r>
          </w:p>
        </w:tc>
        <w:tc>
          <w:tcPr>
            <w:tcW w:w="703" w:type="dxa"/>
            <w:tcBorders>
              <w:top w:val="nil"/>
              <w:left w:val="nil"/>
              <w:bottom w:val="single" w:sz="4" w:space="0" w:color="auto"/>
              <w:right w:val="single" w:sz="4" w:space="0" w:color="auto"/>
            </w:tcBorders>
            <w:shd w:val="clear" w:color="auto" w:fill="auto"/>
            <w:noWrap/>
            <w:vAlign w:val="bottom"/>
            <w:hideMark/>
          </w:tcPr>
          <w:p w14:paraId="241FB08C" w14:textId="44D5E5EE"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562,05</w:t>
            </w:r>
          </w:p>
        </w:tc>
        <w:tc>
          <w:tcPr>
            <w:tcW w:w="704" w:type="dxa"/>
            <w:tcBorders>
              <w:top w:val="nil"/>
              <w:left w:val="nil"/>
              <w:bottom w:val="single" w:sz="4" w:space="0" w:color="auto"/>
              <w:right w:val="single" w:sz="4" w:space="0" w:color="auto"/>
            </w:tcBorders>
            <w:vAlign w:val="bottom"/>
          </w:tcPr>
          <w:p w14:paraId="5FCC31D3" w14:textId="2F22C15C"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546,54</w:t>
            </w:r>
          </w:p>
        </w:tc>
      </w:tr>
      <w:tr w:rsidR="00906D41" w:rsidRPr="00BF7E57" w14:paraId="0C85DD0A" w14:textId="77777777"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tcPr>
          <w:p w14:paraId="389DAB58" w14:textId="07F31A52" w:rsidR="00906D41" w:rsidRPr="00BF7E57" w:rsidRDefault="00906D41" w:rsidP="00287066">
            <w:pPr>
              <w:spacing w:before="60" w:after="0" w:line="312" w:lineRule="auto"/>
              <w:rPr>
                <w:rFonts w:ascii="Arial" w:hAnsi="Arial" w:cs="Arial"/>
                <w:color w:val="000000"/>
                <w:sz w:val="18"/>
                <w:szCs w:val="18"/>
              </w:rPr>
            </w:pPr>
            <w:r w:rsidRPr="00BF7E57">
              <w:rPr>
                <w:rFonts w:ascii="Arial" w:hAnsi="Arial" w:cs="Arial"/>
                <w:color w:val="000000"/>
                <w:sz w:val="18"/>
                <w:szCs w:val="18"/>
              </w:rPr>
              <w:t>Proizvodnja obnovljive energije v kmetijstvu in  gozdarstvu skupaj (kToe)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13C314E1" w14:textId="5203B805"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697,62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4C146" w14:textId="73B76B35"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686,24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7637C" w14:textId="5E98D6D3"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662,89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069B6" w14:textId="28763F2F"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689,00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4208A" w14:textId="5B62C271"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608,54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13B88" w14:textId="76CA571E"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671,79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58B5F" w14:textId="4B7D1395"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674,53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0B9D7" w14:textId="1865145F"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650,44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65088" w14:textId="78CB40CC"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582,46 </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14:paraId="656C7308" w14:textId="6DD6DDBB"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566,05 </w:t>
            </w:r>
          </w:p>
        </w:tc>
      </w:tr>
      <w:tr w:rsidR="008465F8" w:rsidRPr="00BF7E57" w14:paraId="6024AB53" w14:textId="16D11A9C" w:rsidTr="00287066">
        <w:trPr>
          <w:trHeight w:val="300"/>
        </w:trPr>
        <w:tc>
          <w:tcPr>
            <w:tcW w:w="2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2A20F" w14:textId="7870111C" w:rsidR="008465F8" w:rsidRPr="00BF7E57" w:rsidRDefault="00606F49" w:rsidP="00606F49">
            <w:pPr>
              <w:spacing w:before="60" w:after="60" w:line="240" w:lineRule="auto"/>
              <w:rPr>
                <w:rFonts w:ascii="Arial" w:hAnsi="Arial" w:cs="Arial"/>
                <w:color w:val="000000"/>
                <w:sz w:val="18"/>
                <w:szCs w:val="18"/>
              </w:rPr>
            </w:pPr>
            <w:r w:rsidRPr="00BF7E57">
              <w:rPr>
                <w:rFonts w:ascii="Arial" w:hAnsi="Arial" w:cs="Arial"/>
                <w:color w:val="000000"/>
                <w:sz w:val="18"/>
                <w:szCs w:val="18"/>
              </w:rPr>
              <w:lastRenderedPageBreak/>
              <w:t>Celotna proizvodnja primarne energije iz obnovljivih virov energije</w:t>
            </w:r>
            <w:r w:rsidR="00906D41" w:rsidRPr="00BF7E57">
              <w:rPr>
                <w:rFonts w:ascii="Arial" w:hAnsi="Arial" w:cs="Arial"/>
                <w:color w:val="000000"/>
                <w:sz w:val="18"/>
                <w:szCs w:val="18"/>
              </w:rPr>
              <w:t xml:space="preserve"> (kToe)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2BC000A1" w14:textId="0BDBCED5"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726,72</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7FE4D888" w14:textId="512D5E1A"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719,96</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0953D484" w14:textId="71284456"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696,20</w:t>
            </w: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700C9036" w14:textId="5CD771DF"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724,47</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2D0553AA" w14:textId="7168E044"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650,5</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406777E6" w14:textId="63944E63"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716,81</w:t>
            </w: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5C6F95E8" w14:textId="7C29070C"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720,8</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3FD6DFF0" w14:textId="1F28FEDE"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702,45</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3159E14A" w14:textId="227BCEE9"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643,92</w:t>
            </w:r>
          </w:p>
        </w:tc>
        <w:tc>
          <w:tcPr>
            <w:tcW w:w="704" w:type="dxa"/>
            <w:tcBorders>
              <w:top w:val="single" w:sz="4" w:space="0" w:color="auto"/>
              <w:left w:val="nil"/>
              <w:bottom w:val="single" w:sz="4" w:space="0" w:color="auto"/>
              <w:right w:val="single" w:sz="4" w:space="0" w:color="auto"/>
            </w:tcBorders>
            <w:vAlign w:val="bottom"/>
          </w:tcPr>
          <w:p w14:paraId="6EF6A038" w14:textId="6D213E15"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630,78</w:t>
            </w:r>
          </w:p>
        </w:tc>
      </w:tr>
      <w:tr w:rsidR="00906D41" w:rsidRPr="00BF7E57" w14:paraId="18192F8A" w14:textId="77777777" w:rsidTr="00287066">
        <w:trPr>
          <w:trHeight w:val="300"/>
        </w:trPr>
        <w:tc>
          <w:tcPr>
            <w:tcW w:w="2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D58C6" w14:textId="4AFA13DA" w:rsidR="00906D41" w:rsidRPr="00BF7E57" w:rsidRDefault="00906D41" w:rsidP="00906D41">
            <w:pPr>
              <w:spacing w:before="60" w:after="60" w:line="240" w:lineRule="auto"/>
              <w:rPr>
                <w:rFonts w:ascii="Arial" w:hAnsi="Arial" w:cs="Arial"/>
                <w:color w:val="000000"/>
                <w:sz w:val="18"/>
                <w:szCs w:val="18"/>
              </w:rPr>
            </w:pPr>
            <w:r w:rsidRPr="00BF7E57">
              <w:rPr>
                <w:rFonts w:ascii="Arial" w:hAnsi="Arial" w:cs="Arial"/>
                <w:color w:val="000000"/>
                <w:sz w:val="18"/>
                <w:szCs w:val="18"/>
              </w:rPr>
              <w:t>Delež proizvodnje obnovljive energije v kmetijstvu in gozdarstvu glede na celotno proizvodnjo primarne energije iz obnovljivih virov energije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7E637466" w14:textId="792C1489"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96,0%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57067" w14:textId="2B1CD604"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95,3%</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6094A" w14:textId="0C4B0FE1"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95,2%</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F4EF9" w14:textId="36ACD599"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95,1%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5804C" w14:textId="1F8B2487"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93,6%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7B549" w14:textId="38050FA2"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93,7%</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2648C" w14:textId="3535835B"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93,6%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81D15" w14:textId="60FD1B2A"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92,6%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0A0C0" w14:textId="690803AE"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90,5%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14:paraId="58538B70" w14:textId="299818BF"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89,7%</w:t>
            </w:r>
          </w:p>
        </w:tc>
      </w:tr>
    </w:tbl>
    <w:p w14:paraId="58E507F6" w14:textId="456D8D90" w:rsidR="00F62C73" w:rsidRPr="00BF7E57" w:rsidRDefault="00F62C73" w:rsidP="00EA2E4C">
      <w:pPr>
        <w:spacing w:line="360" w:lineRule="auto"/>
        <w:jc w:val="both"/>
        <w:rPr>
          <w:rFonts w:ascii="Arial" w:eastAsia="Arial" w:hAnsi="Arial" w:cs="Arial"/>
          <w:sz w:val="16"/>
          <w:szCs w:val="16"/>
        </w:rPr>
      </w:pPr>
      <w:r w:rsidRPr="00BF7E57">
        <w:rPr>
          <w:rFonts w:ascii="Arial" w:eastAsia="Arial" w:hAnsi="Arial" w:cs="Arial"/>
          <w:sz w:val="16"/>
          <w:szCs w:val="16"/>
        </w:rPr>
        <w:t>Vir: EK CAP Indicators, 202</w:t>
      </w:r>
      <w:r w:rsidR="00906D41" w:rsidRPr="00BF7E57">
        <w:rPr>
          <w:rFonts w:ascii="Arial" w:eastAsia="Arial" w:hAnsi="Arial" w:cs="Arial"/>
          <w:sz w:val="16"/>
          <w:szCs w:val="16"/>
        </w:rPr>
        <w:t>1, SURS 2021</w:t>
      </w:r>
    </w:p>
    <w:p w14:paraId="25978BE6" w14:textId="49B43637" w:rsidR="003E038D" w:rsidRPr="00BF7E57" w:rsidRDefault="003E038D" w:rsidP="00A5125A">
      <w:pPr>
        <w:pStyle w:val="Napis"/>
      </w:pPr>
      <w:bookmarkStart w:id="188" w:name="_Toc51758570"/>
      <w:bookmarkStart w:id="189" w:name="_Toc86826434"/>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44</w:t>
      </w:r>
      <w:r w:rsidR="00A30B83" w:rsidRPr="00BF7E57">
        <w:rPr>
          <w:noProof/>
        </w:rPr>
        <w:fldChar w:fldCharType="end"/>
      </w:r>
      <w:r w:rsidRPr="00BF7E57">
        <w:t>: Proizvodnja obnovljivih virov energije iz kmetijstva in gozdarstva (Toe/1000 ha) in poraba obnovljivih virov energije v kmetijstvu in gozdarstvu (%)</w:t>
      </w:r>
      <w:bookmarkEnd w:id="189"/>
    </w:p>
    <w:bookmarkEnd w:id="188"/>
    <w:p w14:paraId="7A7C43B4" w14:textId="77777777" w:rsidR="009E0216" w:rsidRPr="00BF7E57" w:rsidRDefault="009E0216" w:rsidP="00BE756C">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7D0E08EF" wp14:editId="1E79C1B8">
            <wp:extent cx="5774673" cy="3116911"/>
            <wp:effectExtent l="0" t="0" r="0" b="7620"/>
            <wp:docPr id="1631865566" name="Slika 163186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97444" cy="3129202"/>
                    </a:xfrm>
                    <a:prstGeom prst="rect">
                      <a:avLst/>
                    </a:prstGeom>
                  </pic:spPr>
                </pic:pic>
              </a:graphicData>
            </a:graphic>
          </wp:inline>
        </w:drawing>
      </w:r>
    </w:p>
    <w:p w14:paraId="0C3E522B" w14:textId="77777777" w:rsidR="00B131E6" w:rsidRPr="00BF7E57" w:rsidRDefault="00C01FEA" w:rsidP="00EA2E4C">
      <w:pPr>
        <w:spacing w:line="360" w:lineRule="auto"/>
        <w:jc w:val="both"/>
        <w:rPr>
          <w:rFonts w:ascii="Arial" w:eastAsia="Arial" w:hAnsi="Arial" w:cs="Arial"/>
          <w:sz w:val="16"/>
          <w:szCs w:val="16"/>
        </w:rPr>
      </w:pPr>
      <w:r w:rsidRPr="00BF7E57">
        <w:rPr>
          <w:rFonts w:ascii="Arial" w:hAnsi="Arial" w:cs="Arial"/>
          <w:sz w:val="16"/>
          <w:szCs w:val="16"/>
        </w:rPr>
        <w:t xml:space="preserve">Vir: </w:t>
      </w:r>
      <w:r w:rsidR="00B131E6" w:rsidRPr="00BF7E57">
        <w:rPr>
          <w:rFonts w:ascii="Arial" w:eastAsia="Arial" w:hAnsi="Arial" w:cs="Arial"/>
          <w:sz w:val="16"/>
          <w:szCs w:val="16"/>
        </w:rPr>
        <w:t>EK Factsheet, 2019</w:t>
      </w:r>
    </w:p>
    <w:p w14:paraId="1970BBED" w14:textId="1697786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Strategija izkoriščanja biomase iz kmetijstva in gozdarstva v energetske namene MKGP obravnava rab</w:t>
      </w:r>
      <w:r w:rsidR="00E358F5" w:rsidRPr="00BF7E57">
        <w:rPr>
          <w:rFonts w:ascii="Arial" w:hAnsi="Arial" w:cs="Arial"/>
          <w:sz w:val="20"/>
          <w:szCs w:val="20"/>
        </w:rPr>
        <w:t>o</w:t>
      </w:r>
      <w:r w:rsidRPr="00BF7E57">
        <w:rPr>
          <w:rFonts w:ascii="Arial" w:hAnsi="Arial" w:cs="Arial"/>
          <w:sz w:val="20"/>
          <w:szCs w:val="20"/>
        </w:rPr>
        <w:t xml:space="preserve"> gozdne in kmetijske biomase za proizvodnjo toplotne in električne energije in pridelovanje oljnic za pridobivanje biodizla in pogonskih olj. Izhodišče strategije je, da je treba v največjem obsegu izkoristiti potencial za proizvodnjo energije iz kmetijske in gozdne biomase, ob tem pa upoštevati družbeno, gospodarsko in okoljsko sprejemljivost rabe omenjenih virov, s poudarkom na zavedanju, da je primarna naloga kmetijstva pridelava hrane, primarna vloga gozdarstva pa zagotavljanje surovine za izdelke iz lesa.</w:t>
      </w:r>
    </w:p>
    <w:p w14:paraId="14E622D4" w14:textId="1D0C0202" w:rsidR="009E0216" w:rsidRPr="00BF7E57" w:rsidRDefault="009E0216" w:rsidP="00BE756C">
      <w:pPr>
        <w:autoSpaceDE w:val="0"/>
        <w:autoSpaceDN w:val="0"/>
        <w:adjustRightInd w:val="0"/>
        <w:spacing w:before="200" w:after="0" w:line="360" w:lineRule="auto"/>
        <w:jc w:val="both"/>
        <w:rPr>
          <w:rFonts w:ascii="Arial" w:hAnsi="Arial" w:cs="Arial"/>
          <w:sz w:val="20"/>
          <w:szCs w:val="20"/>
        </w:rPr>
      </w:pPr>
      <w:r w:rsidRPr="00BF7E57">
        <w:rPr>
          <w:rFonts w:ascii="Arial" w:hAnsi="Arial" w:cs="Arial"/>
          <w:sz w:val="20"/>
          <w:szCs w:val="20"/>
        </w:rPr>
        <w:t>Stratešk</w:t>
      </w:r>
      <w:r w:rsidR="00E358F5" w:rsidRPr="00BF7E57">
        <w:rPr>
          <w:rFonts w:ascii="Arial" w:hAnsi="Arial" w:cs="Arial"/>
          <w:sz w:val="20"/>
          <w:szCs w:val="20"/>
        </w:rPr>
        <w:t>i</w:t>
      </w:r>
      <w:r w:rsidRPr="00BF7E57">
        <w:rPr>
          <w:rFonts w:ascii="Arial" w:hAnsi="Arial" w:cs="Arial"/>
          <w:sz w:val="20"/>
          <w:szCs w:val="20"/>
        </w:rPr>
        <w:t xml:space="preserve"> usmeritv</w:t>
      </w:r>
      <w:r w:rsidR="00E358F5" w:rsidRPr="00BF7E57">
        <w:rPr>
          <w:rFonts w:ascii="Arial" w:hAnsi="Arial" w:cs="Arial"/>
          <w:sz w:val="20"/>
          <w:szCs w:val="20"/>
        </w:rPr>
        <w:t>i</w:t>
      </w:r>
      <w:r w:rsidRPr="00BF7E57">
        <w:rPr>
          <w:rFonts w:ascii="Arial" w:hAnsi="Arial" w:cs="Arial"/>
          <w:sz w:val="20"/>
          <w:szCs w:val="20"/>
        </w:rPr>
        <w:t xml:space="preserve"> na področju rabe kmetijske in gozdne biomase v energetske namene </w:t>
      </w:r>
      <w:r w:rsidR="001B435D" w:rsidRPr="00BF7E57">
        <w:rPr>
          <w:rFonts w:ascii="Arial" w:hAnsi="Arial" w:cs="Arial"/>
          <w:sz w:val="20"/>
          <w:szCs w:val="20"/>
        </w:rPr>
        <w:t xml:space="preserve">sta </w:t>
      </w:r>
      <w:r w:rsidRPr="00BF7E57">
        <w:rPr>
          <w:rFonts w:ascii="Arial" w:hAnsi="Arial" w:cs="Arial"/>
          <w:sz w:val="20"/>
          <w:szCs w:val="20"/>
        </w:rPr>
        <w:t>naslednj</w:t>
      </w:r>
      <w:r w:rsidR="001B435D" w:rsidRPr="00BF7E57">
        <w:rPr>
          <w:rFonts w:ascii="Arial" w:hAnsi="Arial" w:cs="Arial"/>
          <w:sz w:val="20"/>
          <w:szCs w:val="20"/>
        </w:rPr>
        <w:t>i</w:t>
      </w:r>
      <w:r w:rsidRPr="00BF7E57">
        <w:rPr>
          <w:rFonts w:ascii="Arial" w:hAnsi="Arial" w:cs="Arial"/>
          <w:sz w:val="20"/>
          <w:szCs w:val="20"/>
        </w:rPr>
        <w:t>:</w:t>
      </w:r>
    </w:p>
    <w:p w14:paraId="5BD2ED8A" w14:textId="77777777" w:rsidR="009E0216" w:rsidRPr="00BF7E57" w:rsidRDefault="009E0216" w:rsidP="00A05198">
      <w:pPr>
        <w:pStyle w:val="Odstavekseznama"/>
        <w:numPr>
          <w:ilvl w:val="0"/>
          <w:numId w:val="42"/>
        </w:numPr>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Spodbujati izkoriščanje kmetijske in gozdne biomase v energetske namene na način, ki ne ogroža oskrbe prebivalstva s hrano in lesno-predelovalne industrije s potrebnimi lesnimi sortimenti.</w:t>
      </w:r>
    </w:p>
    <w:p w14:paraId="45EFAEC2" w14:textId="77777777" w:rsidR="009E0216" w:rsidRPr="00BF7E57" w:rsidRDefault="009E0216" w:rsidP="00A05198">
      <w:pPr>
        <w:pStyle w:val="Odstavekseznama"/>
        <w:numPr>
          <w:ilvl w:val="0"/>
          <w:numId w:val="42"/>
        </w:numPr>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Spodbujati izkoriščanje kmetijske in gozdne biomase v energetske namene na način, ki bo zmanjšal izpuste toplogrednih plinov, ki bo ohranjal pridelovalni potencial kmetijskih zemljišč in proizvodni potencial gozdov in ki, v primerjavi z obstoječimi kmetijskimi praksami, ne bo povečal negativnih učinkov na zdravje in počutje ljudi, na okolje in na naravo.</w:t>
      </w:r>
    </w:p>
    <w:p w14:paraId="17102A56"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lastRenderedPageBreak/>
        <w:t>Nove tehnologije in usmeritve k obnovljivim virom energije omogočajo izkoriščanje potenciala, ki je bil do sedaj neizkoriščen. Gre za do sedaj preslabo izkoriščen pridelovalni potencial strnišč, za skorajda neizkoriščen energetski potencial živinskih gnojil in za preslabo izkoriščen potencial lesne biomase. Priložnosti se nanašajo tako na primarni sektor kmetijstva in gozdarstva, kot na sektor proizvodnje električne energije, toplote in tekočih biogoriv. Proizvodnja energije ima lahko ugodne povratne učinke na kmetijstvo (npr. toplota za ogrevanje rastlinjakov, oljne pogače za krmljenje domačih živali itd.). Proizvodnja surovin in pridobivanje energije lahko ob pravilnih usmeritvah pomembno prispevata k ohranjanju in odpiranju novih delovnih mest na podeželju. To velja še posebej za gozdarski sektor, kjer se glede na neizkoriščen potencial predvideva precejšnje povečanje poseka lesa. Povečanje proizvodnje energije iz kmetijske in gozdne biomase bo prispevalo tudi k povečanju samooskrbe Slovenije z energijo in s tem zmanjšalo tveganje v primeru motenj pri dobavi energije.</w:t>
      </w:r>
    </w:p>
    <w:p w14:paraId="6234E142" w14:textId="1782F28A"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Pri virih biomase se upošteva etično načelo, da naj se biomasa prvenstveno uporablja za hrano ljudi, nato pa za krmo. Bioplin naj bo proizveden le iz ostankov, odpadkov in viškov, ki jih ni mogoče uporabiti za druge namene. Druga vrsta plina je biometan, ki je proizveden iz organskih snovi s procesi anaerobne presnove ali uplinjanja biomase. Naslednjo vrsto predstavlja sintetični obnovljivi biometan, ki se proizvaja iz vodika, pridobljenega z elektrolizo z uporabo (obnovljive) električne energije, in ogljikovega dioksida, ki se zajema pri organskih procesih ali iz zraka. Zadnji delež v omrežju predstavlja vodik, proizveden z elektrolizo z uporabo (obnovljive) električne energije. Poleg tega, da ima bioplin</w:t>
      </w:r>
      <w:r w:rsidR="00A74714" w:rsidRPr="00BF7E57">
        <w:rPr>
          <w:rFonts w:ascii="Arial" w:hAnsi="Arial" w:cs="Arial"/>
          <w:sz w:val="20"/>
          <w:szCs w:val="20"/>
        </w:rPr>
        <w:t xml:space="preserve"> (biometan)</w:t>
      </w:r>
      <w:r w:rsidRPr="00BF7E57">
        <w:rPr>
          <w:rFonts w:ascii="Arial" w:hAnsi="Arial" w:cs="Arial"/>
          <w:sz w:val="20"/>
          <w:szCs w:val="20"/>
        </w:rPr>
        <w:t xml:space="preserve"> pomembno vlogo v energetski oskrbi gospodinjstev in industrije ob prehodu v brezogljično družbo preko nadomeščanja tradicionalnega zemeljskega plina, predstavlja tudi okolju prijazno pogonsko sredstvo za uporabo v transportu na daljše razdalje. S povečevanjem deleža bioplina se hkrati pomembno dviguje delež obnovljivih virov energije v kmetijstvu.</w:t>
      </w:r>
    </w:p>
    <w:p w14:paraId="21B28DC6" w14:textId="0AC5BFC0"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Ocenjeni potencial gozdne biomase v bruto končni rabi energije za leto 2020 znaša 6.420 GWh, potencial kmetijske biomase pa 1.683 GWh. Oba vira skupaj predstavljata 51,5 % potreb po obnovljivih virih energije, ki jih za leto 2020 predvideva Akcijski načrt za obnovljive vire energije. Ocenjen gozdni potencial temelji na možnem poseku brez hlodovine, s tem da strategija upošteva načelo, da se tudi z okroglim lesom slabše kakovosti najprej pokrijejo potrebe lesnopredelovalne industrije. Lesne zaloge se v Sloveniji povečujejo in so v letu 2017 znašale 299 m</w:t>
      </w:r>
      <w:r w:rsidRPr="00BF7E57">
        <w:rPr>
          <w:rFonts w:ascii="Arial" w:hAnsi="Arial" w:cs="Arial"/>
          <w:sz w:val="20"/>
          <w:szCs w:val="20"/>
          <w:vertAlign w:val="superscript"/>
        </w:rPr>
        <w:t>3</w:t>
      </w:r>
      <w:r w:rsidRPr="00BF7E57">
        <w:rPr>
          <w:rFonts w:ascii="Arial" w:hAnsi="Arial" w:cs="Arial"/>
          <w:sz w:val="20"/>
          <w:szCs w:val="20"/>
        </w:rPr>
        <w:t>/ha (</w:t>
      </w:r>
      <w:r w:rsidR="008E6C7E" w:rsidRPr="00BF7E57">
        <w:rPr>
          <w:rFonts w:ascii="Arial" w:hAnsi="Arial" w:cs="Arial"/>
          <w:sz w:val="20"/>
          <w:szCs w:val="20"/>
        </w:rPr>
        <w:t xml:space="preserve">Tabela </w:t>
      </w:r>
      <w:r w:rsidR="006A050F" w:rsidRPr="00BF7E57">
        <w:rPr>
          <w:rFonts w:ascii="Arial" w:hAnsi="Arial" w:cs="Arial"/>
          <w:sz w:val="20"/>
          <w:szCs w:val="20"/>
        </w:rPr>
        <w:t>30</w:t>
      </w:r>
      <w:r w:rsidRPr="00BF7E57">
        <w:rPr>
          <w:rFonts w:ascii="Arial" w:hAnsi="Arial" w:cs="Arial"/>
          <w:sz w:val="20"/>
          <w:szCs w:val="20"/>
        </w:rPr>
        <w:t>).</w:t>
      </w:r>
    </w:p>
    <w:p w14:paraId="3B7CD5B7" w14:textId="2FAFF1CC" w:rsidR="00B263CA" w:rsidRPr="00BF7E57" w:rsidRDefault="00B263CA" w:rsidP="00A5125A">
      <w:pPr>
        <w:pStyle w:val="Napis"/>
      </w:pPr>
      <w:bookmarkStart w:id="190" w:name="_Ref29914104"/>
      <w:bookmarkStart w:id="191" w:name="_Toc8682647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37</w:t>
      </w:r>
      <w:r w:rsidR="00A30B83" w:rsidRPr="00BF7E57">
        <w:rPr>
          <w:noProof/>
        </w:rPr>
        <w:fldChar w:fldCharType="end"/>
      </w:r>
      <w:r w:rsidRPr="00BF7E57">
        <w:t>: Lesna zaloga (m3/ha) po letih</w:t>
      </w:r>
      <w:bookmarkEnd w:id="191"/>
    </w:p>
    <w:bookmarkEnd w:id="190"/>
    <w:p w14:paraId="59F5B4E0" w14:textId="6C64D5B7" w:rsidR="009E0216" w:rsidRPr="00BF7E57" w:rsidRDefault="009E0216" w:rsidP="00A5125A">
      <w:pPr>
        <w:pStyle w:val="Napis"/>
      </w:pPr>
    </w:p>
    <w:tbl>
      <w:tblPr>
        <w:tblW w:w="8660" w:type="dxa"/>
        <w:tblInd w:w="65" w:type="dxa"/>
        <w:tblCellMar>
          <w:left w:w="70" w:type="dxa"/>
          <w:right w:w="70" w:type="dxa"/>
        </w:tblCellMar>
        <w:tblLook w:val="04A0" w:firstRow="1" w:lastRow="0" w:firstColumn="1" w:lastColumn="0" w:noHBand="0" w:noVBand="1"/>
      </w:tblPr>
      <w:tblGrid>
        <w:gridCol w:w="2273"/>
        <w:gridCol w:w="585"/>
        <w:gridCol w:w="600"/>
        <w:gridCol w:w="600"/>
        <w:gridCol w:w="600"/>
        <w:gridCol w:w="600"/>
        <w:gridCol w:w="600"/>
        <w:gridCol w:w="600"/>
        <w:gridCol w:w="600"/>
        <w:gridCol w:w="600"/>
        <w:gridCol w:w="600"/>
        <w:gridCol w:w="600"/>
      </w:tblGrid>
      <w:tr w:rsidR="009E0216" w:rsidRPr="00BF7E57" w14:paraId="5794A4AE" w14:textId="77777777" w:rsidTr="00E77D01">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228EE4F"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387" w:type="dxa"/>
            <w:tcBorders>
              <w:top w:val="single" w:sz="4" w:space="0" w:color="auto"/>
              <w:left w:val="nil"/>
              <w:bottom w:val="single" w:sz="4" w:space="0" w:color="auto"/>
              <w:right w:val="single" w:sz="4" w:space="0" w:color="auto"/>
            </w:tcBorders>
            <w:shd w:val="clear" w:color="auto" w:fill="92D050"/>
            <w:noWrap/>
            <w:vAlign w:val="bottom"/>
            <w:hideMark/>
          </w:tcPr>
          <w:p w14:paraId="374B2CFC"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2008</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5A0982AE"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2009</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39E743D3"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2010</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7821BDBB"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2011</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178A519"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2012</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C6274CA"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2013</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782758DF"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2014</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18896E02"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2015</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6B4DF41A"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2016</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289A7E2F"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2017</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9E7AAEA"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2018</w:t>
            </w:r>
          </w:p>
        </w:tc>
      </w:tr>
      <w:tr w:rsidR="009E0216" w:rsidRPr="00BF7E57" w14:paraId="0C51601E" w14:textId="77777777" w:rsidTr="00C0502F">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14:paraId="7C7E8099"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b/>
                <w:color w:val="000000"/>
                <w:sz w:val="20"/>
                <w:szCs w:val="20"/>
                <w:lang w:eastAsia="sl-SI"/>
              </w:rPr>
              <w:t>Lesna zaloga (m3/ha</w:t>
            </w:r>
            <w:r w:rsidRPr="00BF7E57">
              <w:rPr>
                <w:rFonts w:ascii="Arial" w:hAnsi="Arial" w:cs="Arial"/>
                <w:color w:val="000000"/>
                <w:sz w:val="20"/>
                <w:szCs w:val="20"/>
                <w:lang w:eastAsia="sl-SI"/>
              </w:rPr>
              <w:t>)</w:t>
            </w:r>
          </w:p>
        </w:tc>
        <w:tc>
          <w:tcPr>
            <w:tcW w:w="387" w:type="dxa"/>
            <w:tcBorders>
              <w:top w:val="nil"/>
              <w:left w:val="nil"/>
              <w:bottom w:val="single" w:sz="4" w:space="0" w:color="auto"/>
              <w:right w:val="single" w:sz="4" w:space="0" w:color="auto"/>
            </w:tcBorders>
            <w:shd w:val="clear" w:color="auto" w:fill="auto"/>
            <w:noWrap/>
            <w:vAlign w:val="bottom"/>
            <w:hideMark/>
          </w:tcPr>
          <w:p w14:paraId="1C18622C"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272</w:t>
            </w:r>
          </w:p>
        </w:tc>
        <w:tc>
          <w:tcPr>
            <w:tcW w:w="600" w:type="dxa"/>
            <w:tcBorders>
              <w:top w:val="nil"/>
              <w:left w:val="nil"/>
              <w:bottom w:val="single" w:sz="4" w:space="0" w:color="auto"/>
              <w:right w:val="single" w:sz="4" w:space="0" w:color="auto"/>
            </w:tcBorders>
            <w:shd w:val="clear" w:color="auto" w:fill="auto"/>
            <w:noWrap/>
            <w:vAlign w:val="bottom"/>
            <w:hideMark/>
          </w:tcPr>
          <w:p w14:paraId="6E7AFDBC"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276</w:t>
            </w:r>
          </w:p>
        </w:tc>
        <w:tc>
          <w:tcPr>
            <w:tcW w:w="600" w:type="dxa"/>
            <w:tcBorders>
              <w:top w:val="nil"/>
              <w:left w:val="nil"/>
              <w:bottom w:val="single" w:sz="4" w:space="0" w:color="auto"/>
              <w:right w:val="single" w:sz="4" w:space="0" w:color="auto"/>
            </w:tcBorders>
            <w:shd w:val="clear" w:color="auto" w:fill="auto"/>
            <w:noWrap/>
            <w:vAlign w:val="bottom"/>
            <w:hideMark/>
          </w:tcPr>
          <w:p w14:paraId="7F6507A2"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279</w:t>
            </w:r>
          </w:p>
        </w:tc>
        <w:tc>
          <w:tcPr>
            <w:tcW w:w="600" w:type="dxa"/>
            <w:tcBorders>
              <w:top w:val="nil"/>
              <w:left w:val="nil"/>
              <w:bottom w:val="single" w:sz="4" w:space="0" w:color="auto"/>
              <w:right w:val="single" w:sz="4" w:space="0" w:color="auto"/>
            </w:tcBorders>
            <w:shd w:val="clear" w:color="auto" w:fill="auto"/>
            <w:noWrap/>
            <w:vAlign w:val="bottom"/>
            <w:hideMark/>
          </w:tcPr>
          <w:p w14:paraId="61E2D93F"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282</w:t>
            </w:r>
          </w:p>
        </w:tc>
        <w:tc>
          <w:tcPr>
            <w:tcW w:w="600" w:type="dxa"/>
            <w:tcBorders>
              <w:top w:val="nil"/>
              <w:left w:val="nil"/>
              <w:bottom w:val="single" w:sz="4" w:space="0" w:color="auto"/>
              <w:right w:val="single" w:sz="4" w:space="0" w:color="auto"/>
            </w:tcBorders>
            <w:shd w:val="clear" w:color="auto" w:fill="auto"/>
            <w:noWrap/>
            <w:vAlign w:val="bottom"/>
            <w:hideMark/>
          </w:tcPr>
          <w:p w14:paraId="56B5286B"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285</w:t>
            </w:r>
          </w:p>
        </w:tc>
        <w:tc>
          <w:tcPr>
            <w:tcW w:w="600" w:type="dxa"/>
            <w:tcBorders>
              <w:top w:val="nil"/>
              <w:left w:val="nil"/>
              <w:bottom w:val="single" w:sz="4" w:space="0" w:color="auto"/>
              <w:right w:val="single" w:sz="4" w:space="0" w:color="auto"/>
            </w:tcBorders>
            <w:shd w:val="clear" w:color="auto" w:fill="auto"/>
            <w:noWrap/>
            <w:vAlign w:val="bottom"/>
            <w:hideMark/>
          </w:tcPr>
          <w:p w14:paraId="7EDC653D"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289</w:t>
            </w:r>
          </w:p>
        </w:tc>
        <w:tc>
          <w:tcPr>
            <w:tcW w:w="600" w:type="dxa"/>
            <w:tcBorders>
              <w:top w:val="nil"/>
              <w:left w:val="nil"/>
              <w:bottom w:val="single" w:sz="4" w:space="0" w:color="auto"/>
              <w:right w:val="single" w:sz="4" w:space="0" w:color="auto"/>
            </w:tcBorders>
            <w:shd w:val="clear" w:color="auto" w:fill="auto"/>
            <w:noWrap/>
            <w:vAlign w:val="bottom"/>
            <w:hideMark/>
          </w:tcPr>
          <w:p w14:paraId="6824C33A"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293</w:t>
            </w:r>
          </w:p>
        </w:tc>
        <w:tc>
          <w:tcPr>
            <w:tcW w:w="600" w:type="dxa"/>
            <w:tcBorders>
              <w:top w:val="nil"/>
              <w:left w:val="nil"/>
              <w:bottom w:val="single" w:sz="4" w:space="0" w:color="auto"/>
              <w:right w:val="single" w:sz="4" w:space="0" w:color="auto"/>
            </w:tcBorders>
            <w:shd w:val="clear" w:color="auto" w:fill="auto"/>
            <w:noWrap/>
            <w:vAlign w:val="bottom"/>
            <w:hideMark/>
          </w:tcPr>
          <w:p w14:paraId="656281D4"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295</w:t>
            </w:r>
          </w:p>
        </w:tc>
        <w:tc>
          <w:tcPr>
            <w:tcW w:w="600" w:type="dxa"/>
            <w:tcBorders>
              <w:top w:val="nil"/>
              <w:left w:val="nil"/>
              <w:bottom w:val="single" w:sz="4" w:space="0" w:color="auto"/>
              <w:right w:val="single" w:sz="4" w:space="0" w:color="auto"/>
            </w:tcBorders>
            <w:shd w:val="clear" w:color="auto" w:fill="auto"/>
            <w:noWrap/>
            <w:vAlign w:val="bottom"/>
            <w:hideMark/>
          </w:tcPr>
          <w:p w14:paraId="0F1B823A"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296</w:t>
            </w:r>
          </w:p>
        </w:tc>
        <w:tc>
          <w:tcPr>
            <w:tcW w:w="600" w:type="dxa"/>
            <w:tcBorders>
              <w:top w:val="nil"/>
              <w:left w:val="nil"/>
              <w:bottom w:val="single" w:sz="4" w:space="0" w:color="auto"/>
              <w:right w:val="single" w:sz="4" w:space="0" w:color="auto"/>
            </w:tcBorders>
            <w:shd w:val="clear" w:color="auto" w:fill="auto"/>
            <w:noWrap/>
            <w:vAlign w:val="bottom"/>
            <w:hideMark/>
          </w:tcPr>
          <w:p w14:paraId="2D5FA73D"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299</w:t>
            </w:r>
          </w:p>
        </w:tc>
        <w:tc>
          <w:tcPr>
            <w:tcW w:w="600" w:type="dxa"/>
            <w:tcBorders>
              <w:top w:val="nil"/>
              <w:left w:val="nil"/>
              <w:bottom w:val="single" w:sz="4" w:space="0" w:color="auto"/>
              <w:right w:val="single" w:sz="4" w:space="0" w:color="auto"/>
            </w:tcBorders>
            <w:shd w:val="clear" w:color="auto" w:fill="auto"/>
            <w:noWrap/>
            <w:vAlign w:val="bottom"/>
            <w:hideMark/>
          </w:tcPr>
          <w:p w14:paraId="499FA387"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302</w:t>
            </w:r>
          </w:p>
        </w:tc>
      </w:tr>
    </w:tbl>
    <w:p w14:paraId="28E10BDB" w14:textId="1C33F7CC" w:rsidR="009E0216" w:rsidRPr="00BF7E57" w:rsidRDefault="009E0216" w:rsidP="00EA2E4C">
      <w:pPr>
        <w:spacing w:line="360" w:lineRule="auto"/>
        <w:jc w:val="both"/>
        <w:rPr>
          <w:rFonts w:ascii="Arial" w:hAnsi="Arial" w:cs="Arial"/>
          <w:iCs/>
          <w:sz w:val="16"/>
          <w:szCs w:val="16"/>
        </w:rPr>
      </w:pPr>
      <w:r w:rsidRPr="00BF7E57">
        <w:rPr>
          <w:rFonts w:ascii="Arial" w:hAnsi="Arial" w:cs="Arial"/>
          <w:iCs/>
          <w:sz w:val="16"/>
          <w:szCs w:val="16"/>
        </w:rPr>
        <w:t>Vir: SURS</w:t>
      </w:r>
      <w:r w:rsidR="001B435D" w:rsidRPr="00BF7E57">
        <w:rPr>
          <w:rFonts w:ascii="Arial" w:hAnsi="Arial" w:cs="Arial"/>
          <w:iCs/>
          <w:sz w:val="16"/>
          <w:szCs w:val="16"/>
        </w:rPr>
        <w:t xml:space="preserve"> Kazalniki, 2020</w:t>
      </w:r>
    </w:p>
    <w:p w14:paraId="5C90A9CC"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Lesna biomasa je nekontaminiran les, ki je lahko pridobljen iz gozda, kmetijskih in urbanih površin, ostankov lesno predelovalne industrije in odsluženega lesa. Les slabše kakovosti, ki nastaja kot stranski produkt (ostanek) pri primarni predelavi lesa v lesnopredelovalnih obratih (kemično neobdelan les), in lesni ostanki, ki nastajajo pri rednem gospodarjenju z gozdom (grmovje, vejevina, vrhači), ter okrogli les slabše kakovosti, nastopa na trgu kot energent za proizvodnjo toplotne in električne energije. Letno se v Sloveniji za toplotne energetske namene porabi </w:t>
      </w:r>
      <w:r w:rsidRPr="00BF7E57">
        <w:rPr>
          <w:rFonts w:ascii="Arial" w:hAnsi="Arial" w:cs="Arial"/>
          <w:bCs/>
          <w:sz w:val="20"/>
          <w:szCs w:val="20"/>
        </w:rPr>
        <w:t>1,3 milijona m</w:t>
      </w:r>
      <w:r w:rsidRPr="00BF7E57">
        <w:rPr>
          <w:rFonts w:ascii="Arial" w:hAnsi="Arial" w:cs="Arial"/>
          <w:bCs/>
          <w:sz w:val="20"/>
          <w:szCs w:val="20"/>
          <w:vertAlign w:val="superscript"/>
        </w:rPr>
        <w:t xml:space="preserve">3 </w:t>
      </w:r>
      <w:r w:rsidRPr="00BF7E57">
        <w:rPr>
          <w:rFonts w:ascii="Arial" w:hAnsi="Arial" w:cs="Arial"/>
          <w:bCs/>
          <w:sz w:val="20"/>
          <w:szCs w:val="20"/>
        </w:rPr>
        <w:t xml:space="preserve">lesa bruto (biomase), s katerim se </w:t>
      </w:r>
      <w:r w:rsidRPr="00BF7E57">
        <w:rPr>
          <w:rFonts w:ascii="Arial" w:hAnsi="Arial" w:cs="Arial"/>
          <w:bCs/>
          <w:sz w:val="20"/>
          <w:szCs w:val="20"/>
        </w:rPr>
        <w:lastRenderedPageBreak/>
        <w:t>proizvede 415 PJ toplotne energije (</w:t>
      </w:r>
      <w:r w:rsidRPr="00BF7E57">
        <w:rPr>
          <w:rFonts w:ascii="Arial" w:hAnsi="Arial" w:cs="Arial"/>
          <w:bCs/>
          <w:i/>
          <w:sz w:val="20"/>
          <w:szCs w:val="20"/>
        </w:rPr>
        <w:t>SURS</w:t>
      </w:r>
      <w:r w:rsidRPr="00BF7E57">
        <w:rPr>
          <w:rFonts w:ascii="Arial" w:hAnsi="Arial" w:cs="Arial"/>
          <w:bCs/>
          <w:sz w:val="20"/>
          <w:szCs w:val="20"/>
        </w:rPr>
        <w:t xml:space="preserve">). </w:t>
      </w:r>
      <w:r w:rsidRPr="00BF7E57">
        <w:rPr>
          <w:rFonts w:ascii="Arial" w:hAnsi="Arial" w:cs="Arial"/>
          <w:sz w:val="20"/>
          <w:szCs w:val="20"/>
        </w:rPr>
        <w:t>Proizvodnja OVE, ki izvirajo iz gozdarstva, je v letu 2016 znašala 608,5 kToe, kar je 90 kToe več kot v preteklem programskem obdobju 2007–2013 (</w:t>
      </w:r>
      <w:r w:rsidRPr="00BF7E57">
        <w:rPr>
          <w:rFonts w:ascii="Arial" w:hAnsi="Arial" w:cs="Arial"/>
          <w:i/>
          <w:sz w:val="20"/>
          <w:szCs w:val="20"/>
        </w:rPr>
        <w:t>EUROSTAT</w:t>
      </w:r>
      <w:r w:rsidRPr="00BF7E57">
        <w:rPr>
          <w:rFonts w:ascii="Arial" w:hAnsi="Arial" w:cs="Arial"/>
          <w:sz w:val="20"/>
          <w:szCs w:val="20"/>
        </w:rPr>
        <w:t xml:space="preserve">). Slednje je verjetno posledica večjega poseka zaradi žledoloma v letu 2014 ter namnožitve podlubnikov v letih 2015. Ti so povzročali škodo še v letu 2016, kar je pripomoglo k dostopnosti surovin za večjo proizvodnjo OVE v tekočem programskem obdobju 2014–2020. </w:t>
      </w:r>
    </w:p>
    <w:p w14:paraId="34CEDDC3" w14:textId="4B2A1F0B"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Dopolnilno dejavnost </w:t>
      </w:r>
      <w:r w:rsidR="00A74714" w:rsidRPr="00BF7E57">
        <w:rPr>
          <w:rFonts w:ascii="Arial" w:hAnsi="Arial" w:cs="Arial"/>
          <w:sz w:val="20"/>
          <w:szCs w:val="20"/>
        </w:rPr>
        <w:t>»p</w:t>
      </w:r>
      <w:r w:rsidRPr="00BF7E57">
        <w:rPr>
          <w:rFonts w:ascii="Arial" w:hAnsi="Arial" w:cs="Arial"/>
          <w:sz w:val="20"/>
          <w:szCs w:val="20"/>
        </w:rPr>
        <w:t>ridobivanje in prodaja energije iz obnovljivih virov</w:t>
      </w:r>
      <w:r w:rsidR="00A74714" w:rsidRPr="00BF7E57">
        <w:rPr>
          <w:rFonts w:ascii="Arial" w:hAnsi="Arial" w:cs="Arial"/>
          <w:sz w:val="20"/>
          <w:szCs w:val="20"/>
        </w:rPr>
        <w:t>«</w:t>
      </w:r>
      <w:r w:rsidRPr="00BF7E57">
        <w:rPr>
          <w:rFonts w:ascii="Arial" w:hAnsi="Arial" w:cs="Arial"/>
          <w:sz w:val="20"/>
          <w:szCs w:val="20"/>
        </w:rPr>
        <w:t xml:space="preserve"> ima v letu 2020 registriranih kar </w:t>
      </w:r>
      <w:r w:rsidR="007E0CD5" w:rsidRPr="00BF7E57">
        <w:rPr>
          <w:rFonts w:ascii="Arial" w:hAnsi="Arial" w:cs="Arial"/>
          <w:sz w:val="20"/>
          <w:szCs w:val="20"/>
        </w:rPr>
        <w:t>566 kmetij</w:t>
      </w:r>
      <w:r w:rsidR="00763F76" w:rsidRPr="00BF7E57">
        <w:rPr>
          <w:rFonts w:ascii="Arial" w:hAnsi="Arial" w:cs="Arial"/>
          <w:sz w:val="20"/>
          <w:szCs w:val="20"/>
        </w:rPr>
        <w:t xml:space="preserve"> (</w:t>
      </w:r>
      <w:r w:rsidR="00C279F4" w:rsidRPr="00BF7E57">
        <w:rPr>
          <w:rFonts w:ascii="Arial" w:hAnsi="Arial" w:cs="Arial"/>
          <w:sz w:val="20"/>
          <w:szCs w:val="20"/>
        </w:rPr>
        <w:fldChar w:fldCharType="begin"/>
      </w:r>
      <w:r w:rsidR="00C279F4" w:rsidRPr="00BF7E57">
        <w:rPr>
          <w:rFonts w:ascii="Arial" w:hAnsi="Arial" w:cs="Arial"/>
          <w:sz w:val="20"/>
          <w:szCs w:val="20"/>
        </w:rPr>
        <w:instrText xml:space="preserve"> REF _Ref84930577 \h </w:instrText>
      </w:r>
      <w:r w:rsidR="00C279F4" w:rsidRPr="00BF7E57">
        <w:rPr>
          <w:rFonts w:ascii="Arial" w:hAnsi="Arial" w:cs="Arial"/>
          <w:sz w:val="20"/>
          <w:szCs w:val="20"/>
        </w:rPr>
      </w:r>
      <w:r w:rsidR="00BF7E57">
        <w:rPr>
          <w:rFonts w:ascii="Arial" w:hAnsi="Arial" w:cs="Arial"/>
          <w:sz w:val="20"/>
          <w:szCs w:val="20"/>
        </w:rPr>
        <w:instrText xml:space="preserve"> \* MERGEFORMAT </w:instrText>
      </w:r>
      <w:r w:rsidR="00C279F4" w:rsidRPr="00BF7E57">
        <w:rPr>
          <w:rFonts w:ascii="Arial" w:hAnsi="Arial" w:cs="Arial"/>
          <w:sz w:val="20"/>
          <w:szCs w:val="20"/>
        </w:rPr>
        <w:fldChar w:fldCharType="separate"/>
      </w:r>
      <w:r w:rsidR="00236865" w:rsidRPr="00BF7E57">
        <w:t xml:space="preserve">Tabela </w:t>
      </w:r>
      <w:r w:rsidR="00236865">
        <w:rPr>
          <w:noProof/>
        </w:rPr>
        <w:t>38</w:t>
      </w:r>
      <w:r w:rsidR="00C279F4" w:rsidRPr="00BF7E57">
        <w:rPr>
          <w:rFonts w:ascii="Arial" w:hAnsi="Arial" w:cs="Arial"/>
          <w:sz w:val="20"/>
          <w:szCs w:val="20"/>
        </w:rPr>
        <w:fldChar w:fldCharType="end"/>
      </w:r>
      <w:r w:rsidR="00763F76" w:rsidRPr="00BF7E57">
        <w:rPr>
          <w:rFonts w:ascii="Arial" w:hAnsi="Arial" w:cs="Arial"/>
          <w:sz w:val="20"/>
          <w:szCs w:val="20"/>
        </w:rPr>
        <w:t>)</w:t>
      </w:r>
      <w:r w:rsidRPr="00BF7E57">
        <w:rPr>
          <w:rFonts w:ascii="Arial" w:hAnsi="Arial" w:cs="Arial"/>
          <w:sz w:val="20"/>
          <w:szCs w:val="20"/>
        </w:rPr>
        <w:t>. Od teh se s proizvodnjo in trženjem iz sončnega vira ukvarja 77,</w:t>
      </w:r>
      <w:r w:rsidR="007E0CD5" w:rsidRPr="00BF7E57">
        <w:rPr>
          <w:rFonts w:ascii="Arial" w:hAnsi="Arial" w:cs="Arial"/>
          <w:sz w:val="20"/>
          <w:szCs w:val="20"/>
        </w:rPr>
        <w:t>2</w:t>
      </w:r>
      <w:r w:rsidRPr="00BF7E57">
        <w:rPr>
          <w:rFonts w:ascii="Arial" w:hAnsi="Arial" w:cs="Arial"/>
          <w:sz w:val="20"/>
          <w:szCs w:val="20"/>
        </w:rPr>
        <w:t xml:space="preserve"> % </w:t>
      </w:r>
      <w:r w:rsidR="007E0CD5" w:rsidRPr="00BF7E57">
        <w:rPr>
          <w:rFonts w:ascii="Arial" w:hAnsi="Arial" w:cs="Arial"/>
          <w:sz w:val="20"/>
          <w:szCs w:val="20"/>
        </w:rPr>
        <w:t>kmetij</w:t>
      </w:r>
      <w:r w:rsidRPr="00BF7E57">
        <w:rPr>
          <w:rFonts w:ascii="Arial" w:hAnsi="Arial" w:cs="Arial"/>
          <w:sz w:val="20"/>
          <w:szCs w:val="20"/>
        </w:rPr>
        <w:t xml:space="preserve">, iz vodnega vira 15,0 % </w:t>
      </w:r>
      <w:r w:rsidR="007E0CD5" w:rsidRPr="00BF7E57">
        <w:rPr>
          <w:rFonts w:ascii="Arial" w:hAnsi="Arial" w:cs="Arial"/>
          <w:sz w:val="20"/>
          <w:szCs w:val="20"/>
        </w:rPr>
        <w:t xml:space="preserve">kmetij </w:t>
      </w:r>
      <w:r w:rsidRPr="00BF7E57">
        <w:rPr>
          <w:rFonts w:ascii="Arial" w:hAnsi="Arial" w:cs="Arial"/>
          <w:sz w:val="20"/>
          <w:szCs w:val="20"/>
        </w:rPr>
        <w:t>in lesne biomase 5,</w:t>
      </w:r>
      <w:r w:rsidR="007E0CD5" w:rsidRPr="00BF7E57">
        <w:rPr>
          <w:rFonts w:ascii="Arial" w:hAnsi="Arial" w:cs="Arial"/>
          <w:sz w:val="20"/>
          <w:szCs w:val="20"/>
        </w:rPr>
        <w:t>8</w:t>
      </w:r>
      <w:r w:rsidRPr="00BF7E57">
        <w:rPr>
          <w:rFonts w:ascii="Arial" w:hAnsi="Arial" w:cs="Arial"/>
          <w:sz w:val="20"/>
          <w:szCs w:val="20"/>
        </w:rPr>
        <w:t xml:space="preserve"> % </w:t>
      </w:r>
      <w:r w:rsidR="007E0CD5" w:rsidRPr="00BF7E57">
        <w:rPr>
          <w:rFonts w:ascii="Arial" w:hAnsi="Arial" w:cs="Arial"/>
          <w:sz w:val="20"/>
          <w:szCs w:val="20"/>
        </w:rPr>
        <w:t xml:space="preserve">kmetij </w:t>
      </w:r>
      <w:r w:rsidRPr="00BF7E57">
        <w:rPr>
          <w:rFonts w:ascii="Arial" w:hAnsi="Arial" w:cs="Arial"/>
          <w:sz w:val="20"/>
          <w:szCs w:val="20"/>
        </w:rPr>
        <w:t xml:space="preserve">in vetrnega vira 1,8 % </w:t>
      </w:r>
      <w:r w:rsidR="007E0CD5" w:rsidRPr="00BF7E57">
        <w:rPr>
          <w:rFonts w:ascii="Arial" w:hAnsi="Arial" w:cs="Arial"/>
          <w:sz w:val="20"/>
          <w:szCs w:val="20"/>
        </w:rPr>
        <w:t>kmetij</w:t>
      </w:r>
      <w:r w:rsidRPr="00BF7E57">
        <w:rPr>
          <w:rFonts w:ascii="Arial" w:hAnsi="Arial" w:cs="Arial"/>
          <w:sz w:val="20"/>
          <w:szCs w:val="20"/>
        </w:rPr>
        <w:t xml:space="preserve"> ter iz bioplina (uporabljena gnojevka, gnoj in drugi substrati) 0,2 % oziroma </w:t>
      </w:r>
      <w:r w:rsidR="007E0CD5" w:rsidRPr="00BF7E57">
        <w:rPr>
          <w:rFonts w:ascii="Arial" w:hAnsi="Arial" w:cs="Arial"/>
          <w:sz w:val="20"/>
          <w:szCs w:val="20"/>
        </w:rPr>
        <w:t>ena kmetija.</w:t>
      </w:r>
      <w:r w:rsidRPr="00BF7E57">
        <w:rPr>
          <w:rFonts w:ascii="Arial" w:hAnsi="Arial" w:cs="Arial"/>
          <w:sz w:val="20"/>
          <w:szCs w:val="20"/>
        </w:rPr>
        <w:t xml:space="preserve"> V primerjavi s predhodnimi leti število dopolnilnih dejavnosti, ki se nanašajo na proizvodnjo in prodajo energijo iz obnovljivih virov ostaja približno enako oziroma se malenkostno povečuje. (MKGP</w:t>
      </w:r>
      <w:r w:rsidR="001B435D" w:rsidRPr="00BF7E57">
        <w:rPr>
          <w:rFonts w:ascii="Arial" w:hAnsi="Arial" w:cs="Arial"/>
          <w:sz w:val="20"/>
          <w:szCs w:val="20"/>
        </w:rPr>
        <w:t>, 2020</w:t>
      </w:r>
      <w:r w:rsidRPr="00BF7E57">
        <w:rPr>
          <w:rFonts w:ascii="Arial" w:hAnsi="Arial" w:cs="Arial"/>
          <w:sz w:val="20"/>
          <w:szCs w:val="20"/>
        </w:rPr>
        <w:t>)</w:t>
      </w:r>
    </w:p>
    <w:p w14:paraId="654B4BE7" w14:textId="2F86A0EE" w:rsidR="00B263CA" w:rsidRPr="00BF7E57" w:rsidRDefault="00B263CA" w:rsidP="00A5125A">
      <w:pPr>
        <w:pStyle w:val="Napis"/>
      </w:pPr>
      <w:bookmarkStart w:id="192" w:name="_Ref84930577"/>
      <w:bookmarkStart w:id="193" w:name="_Toc8682647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38</w:t>
      </w:r>
      <w:r w:rsidR="00A30B83" w:rsidRPr="00BF7E57">
        <w:rPr>
          <w:noProof/>
        </w:rPr>
        <w:fldChar w:fldCharType="end"/>
      </w:r>
      <w:bookmarkEnd w:id="192"/>
      <w:r w:rsidRPr="00BF7E57">
        <w:t>: Število registriranih dopolnilnih dejavnosti po letih</w:t>
      </w:r>
      <w:bookmarkEnd w:id="193"/>
    </w:p>
    <w:p w14:paraId="7F1E55D5" w14:textId="5ADC25FC" w:rsidR="002D6764" w:rsidRPr="00BF7E57" w:rsidRDefault="002D6764" w:rsidP="00A5125A">
      <w:pPr>
        <w:pStyle w:val="Napis"/>
      </w:pPr>
    </w:p>
    <w:tbl>
      <w:tblPr>
        <w:tblW w:w="9012" w:type="dxa"/>
        <w:tblInd w:w="55" w:type="dxa"/>
        <w:tblLayout w:type="fixed"/>
        <w:tblCellMar>
          <w:left w:w="70" w:type="dxa"/>
          <w:right w:w="70" w:type="dxa"/>
        </w:tblCellMar>
        <w:tblLook w:val="04A0" w:firstRow="1" w:lastRow="0" w:firstColumn="1" w:lastColumn="0" w:noHBand="0" w:noVBand="1"/>
      </w:tblPr>
      <w:tblGrid>
        <w:gridCol w:w="4476"/>
        <w:gridCol w:w="907"/>
        <w:gridCol w:w="907"/>
        <w:gridCol w:w="907"/>
        <w:gridCol w:w="907"/>
        <w:gridCol w:w="908"/>
      </w:tblGrid>
      <w:tr w:rsidR="009E0216" w:rsidRPr="00BF7E57" w14:paraId="7BF1B4AD" w14:textId="77777777" w:rsidTr="00E77D01">
        <w:trPr>
          <w:trHeight w:val="345"/>
        </w:trPr>
        <w:tc>
          <w:tcPr>
            <w:tcW w:w="447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9CFBDF8" w14:textId="77777777" w:rsidR="009E0216" w:rsidRPr="00BF7E57" w:rsidRDefault="009E0216" w:rsidP="00DD34DF">
            <w:pPr>
              <w:keepNext/>
              <w:keepLines/>
              <w:spacing w:before="60"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Dopolnilna dejavnost</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1B7BB05"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2016</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08E862F"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2017</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36BE8AF9"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2018</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6E63A63"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2019</w:t>
            </w:r>
          </w:p>
        </w:tc>
        <w:tc>
          <w:tcPr>
            <w:tcW w:w="908" w:type="dxa"/>
            <w:tcBorders>
              <w:top w:val="single" w:sz="4" w:space="0" w:color="auto"/>
              <w:left w:val="nil"/>
              <w:bottom w:val="single" w:sz="4" w:space="0" w:color="auto"/>
              <w:right w:val="single" w:sz="4" w:space="0" w:color="auto"/>
            </w:tcBorders>
            <w:shd w:val="clear" w:color="auto" w:fill="92D050"/>
            <w:noWrap/>
            <w:vAlign w:val="bottom"/>
            <w:hideMark/>
          </w:tcPr>
          <w:p w14:paraId="095AD032"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2020</w:t>
            </w:r>
          </w:p>
        </w:tc>
      </w:tr>
      <w:tr w:rsidR="009E0216" w:rsidRPr="00BF7E57" w14:paraId="38DC2131" w14:textId="77777777" w:rsidTr="009D2C9D">
        <w:trPr>
          <w:trHeight w:val="33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02AD38A1" w14:textId="77777777" w:rsidR="009E0216" w:rsidRPr="00BF7E57" w:rsidRDefault="009E0216" w:rsidP="00DD34DF">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Proizvodnja in prodaja energije iz lesne biomase </w:t>
            </w:r>
          </w:p>
        </w:tc>
        <w:tc>
          <w:tcPr>
            <w:tcW w:w="907" w:type="dxa"/>
            <w:tcBorders>
              <w:top w:val="nil"/>
              <w:left w:val="nil"/>
              <w:bottom w:val="single" w:sz="4" w:space="0" w:color="auto"/>
              <w:right w:val="single" w:sz="4" w:space="0" w:color="auto"/>
            </w:tcBorders>
            <w:shd w:val="clear" w:color="auto" w:fill="auto"/>
            <w:noWrap/>
            <w:vAlign w:val="bottom"/>
            <w:hideMark/>
          </w:tcPr>
          <w:p w14:paraId="4A621BA1"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30CAD099"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6FB157A5"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017C3B86"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33</w:t>
            </w:r>
          </w:p>
        </w:tc>
        <w:tc>
          <w:tcPr>
            <w:tcW w:w="908" w:type="dxa"/>
            <w:tcBorders>
              <w:top w:val="nil"/>
              <w:left w:val="nil"/>
              <w:bottom w:val="single" w:sz="4" w:space="0" w:color="auto"/>
              <w:right w:val="single" w:sz="4" w:space="0" w:color="auto"/>
            </w:tcBorders>
            <w:shd w:val="clear" w:color="auto" w:fill="auto"/>
            <w:noWrap/>
            <w:vAlign w:val="bottom"/>
            <w:hideMark/>
          </w:tcPr>
          <w:p w14:paraId="16042A6C" w14:textId="145D429A" w:rsidR="009E0216" w:rsidRPr="00BF7E57" w:rsidRDefault="007E0CD5"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33</w:t>
            </w:r>
          </w:p>
        </w:tc>
      </w:tr>
      <w:tr w:rsidR="009E0216" w:rsidRPr="00BF7E57" w14:paraId="2AD8A2DA" w14:textId="77777777" w:rsidTr="009D2C9D">
        <w:trPr>
          <w:trHeight w:val="60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6FF21D5E" w14:textId="77777777" w:rsidR="009E0216" w:rsidRPr="00BF7E57" w:rsidRDefault="009E0216" w:rsidP="00DD34DF">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Proizvodnja in prodaja energije iz gnoja, gnojevke in gnojnice ter rastlinskega substrata </w:t>
            </w:r>
          </w:p>
        </w:tc>
        <w:tc>
          <w:tcPr>
            <w:tcW w:w="907" w:type="dxa"/>
            <w:tcBorders>
              <w:top w:val="nil"/>
              <w:left w:val="nil"/>
              <w:bottom w:val="single" w:sz="4" w:space="0" w:color="auto"/>
              <w:right w:val="single" w:sz="4" w:space="0" w:color="auto"/>
            </w:tcBorders>
            <w:shd w:val="clear" w:color="auto" w:fill="auto"/>
            <w:noWrap/>
            <w:vAlign w:val="bottom"/>
            <w:hideMark/>
          </w:tcPr>
          <w:p w14:paraId="365D8919"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3D6157ED"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5A7702C0"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22B16FEB"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c>
          <w:tcPr>
            <w:tcW w:w="908" w:type="dxa"/>
            <w:tcBorders>
              <w:top w:val="nil"/>
              <w:left w:val="nil"/>
              <w:bottom w:val="single" w:sz="4" w:space="0" w:color="auto"/>
              <w:right w:val="single" w:sz="4" w:space="0" w:color="auto"/>
            </w:tcBorders>
            <w:shd w:val="clear" w:color="auto" w:fill="auto"/>
            <w:noWrap/>
            <w:vAlign w:val="bottom"/>
            <w:hideMark/>
          </w:tcPr>
          <w:p w14:paraId="0C1F60FE"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r>
      <w:tr w:rsidR="009E0216" w:rsidRPr="00BF7E57" w14:paraId="5381C114"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53EC4FF9" w14:textId="77777777" w:rsidR="009E0216" w:rsidRPr="00BF7E57" w:rsidRDefault="009E0216" w:rsidP="00DD34DF">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Proizvodnja in prodaja energije iz sončnega vira</w:t>
            </w:r>
          </w:p>
        </w:tc>
        <w:tc>
          <w:tcPr>
            <w:tcW w:w="907" w:type="dxa"/>
            <w:tcBorders>
              <w:top w:val="nil"/>
              <w:left w:val="nil"/>
              <w:bottom w:val="single" w:sz="4" w:space="0" w:color="auto"/>
              <w:right w:val="single" w:sz="4" w:space="0" w:color="auto"/>
            </w:tcBorders>
            <w:shd w:val="clear" w:color="auto" w:fill="auto"/>
            <w:noWrap/>
            <w:vAlign w:val="bottom"/>
            <w:hideMark/>
          </w:tcPr>
          <w:p w14:paraId="2BC4E7F0"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415</w:t>
            </w:r>
          </w:p>
        </w:tc>
        <w:tc>
          <w:tcPr>
            <w:tcW w:w="907" w:type="dxa"/>
            <w:tcBorders>
              <w:top w:val="nil"/>
              <w:left w:val="nil"/>
              <w:bottom w:val="single" w:sz="4" w:space="0" w:color="auto"/>
              <w:right w:val="single" w:sz="4" w:space="0" w:color="auto"/>
            </w:tcBorders>
            <w:shd w:val="clear" w:color="auto" w:fill="auto"/>
            <w:noWrap/>
            <w:vAlign w:val="bottom"/>
            <w:hideMark/>
          </w:tcPr>
          <w:p w14:paraId="3C02ABEB"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426</w:t>
            </w:r>
          </w:p>
        </w:tc>
        <w:tc>
          <w:tcPr>
            <w:tcW w:w="907" w:type="dxa"/>
            <w:tcBorders>
              <w:top w:val="nil"/>
              <w:left w:val="nil"/>
              <w:bottom w:val="single" w:sz="4" w:space="0" w:color="auto"/>
              <w:right w:val="single" w:sz="4" w:space="0" w:color="auto"/>
            </w:tcBorders>
            <w:shd w:val="clear" w:color="auto" w:fill="auto"/>
            <w:noWrap/>
            <w:vAlign w:val="bottom"/>
            <w:hideMark/>
          </w:tcPr>
          <w:p w14:paraId="4D8A2605"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428</w:t>
            </w:r>
          </w:p>
        </w:tc>
        <w:tc>
          <w:tcPr>
            <w:tcW w:w="907" w:type="dxa"/>
            <w:tcBorders>
              <w:top w:val="nil"/>
              <w:left w:val="nil"/>
              <w:bottom w:val="single" w:sz="4" w:space="0" w:color="auto"/>
              <w:right w:val="single" w:sz="4" w:space="0" w:color="auto"/>
            </w:tcBorders>
            <w:shd w:val="clear" w:color="auto" w:fill="auto"/>
            <w:noWrap/>
            <w:vAlign w:val="bottom"/>
            <w:hideMark/>
          </w:tcPr>
          <w:p w14:paraId="47E16AE1"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430</w:t>
            </w:r>
          </w:p>
        </w:tc>
        <w:tc>
          <w:tcPr>
            <w:tcW w:w="908" w:type="dxa"/>
            <w:tcBorders>
              <w:top w:val="nil"/>
              <w:left w:val="nil"/>
              <w:bottom w:val="single" w:sz="4" w:space="0" w:color="auto"/>
              <w:right w:val="single" w:sz="4" w:space="0" w:color="auto"/>
            </w:tcBorders>
            <w:shd w:val="clear" w:color="auto" w:fill="auto"/>
            <w:noWrap/>
            <w:vAlign w:val="bottom"/>
            <w:hideMark/>
          </w:tcPr>
          <w:p w14:paraId="2DCE0425" w14:textId="43BB7257" w:rsidR="009E0216" w:rsidRPr="00BF7E57" w:rsidRDefault="007E0CD5"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437</w:t>
            </w:r>
          </w:p>
        </w:tc>
      </w:tr>
      <w:tr w:rsidR="009E0216" w:rsidRPr="00BF7E57" w14:paraId="3CDD0A26"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33D8FA9A"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Proizvodnja in prodaja energije iz vodnega vira </w:t>
            </w:r>
          </w:p>
        </w:tc>
        <w:tc>
          <w:tcPr>
            <w:tcW w:w="907" w:type="dxa"/>
            <w:tcBorders>
              <w:top w:val="nil"/>
              <w:left w:val="nil"/>
              <w:bottom w:val="single" w:sz="4" w:space="0" w:color="auto"/>
              <w:right w:val="single" w:sz="4" w:space="0" w:color="auto"/>
            </w:tcBorders>
            <w:shd w:val="clear" w:color="auto" w:fill="auto"/>
            <w:noWrap/>
            <w:vAlign w:val="bottom"/>
            <w:hideMark/>
          </w:tcPr>
          <w:p w14:paraId="2612B3B9"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74</w:t>
            </w:r>
          </w:p>
        </w:tc>
        <w:tc>
          <w:tcPr>
            <w:tcW w:w="907" w:type="dxa"/>
            <w:tcBorders>
              <w:top w:val="nil"/>
              <w:left w:val="nil"/>
              <w:bottom w:val="single" w:sz="4" w:space="0" w:color="auto"/>
              <w:right w:val="single" w:sz="4" w:space="0" w:color="auto"/>
            </w:tcBorders>
            <w:shd w:val="clear" w:color="auto" w:fill="auto"/>
            <w:noWrap/>
            <w:vAlign w:val="bottom"/>
            <w:hideMark/>
          </w:tcPr>
          <w:p w14:paraId="36858884"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79</w:t>
            </w:r>
          </w:p>
        </w:tc>
        <w:tc>
          <w:tcPr>
            <w:tcW w:w="907" w:type="dxa"/>
            <w:tcBorders>
              <w:top w:val="nil"/>
              <w:left w:val="nil"/>
              <w:bottom w:val="single" w:sz="4" w:space="0" w:color="auto"/>
              <w:right w:val="single" w:sz="4" w:space="0" w:color="auto"/>
            </w:tcBorders>
            <w:shd w:val="clear" w:color="auto" w:fill="auto"/>
            <w:noWrap/>
            <w:vAlign w:val="bottom"/>
            <w:hideMark/>
          </w:tcPr>
          <w:p w14:paraId="3BD2EE4B"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83</w:t>
            </w:r>
          </w:p>
        </w:tc>
        <w:tc>
          <w:tcPr>
            <w:tcW w:w="907" w:type="dxa"/>
            <w:tcBorders>
              <w:top w:val="nil"/>
              <w:left w:val="nil"/>
              <w:bottom w:val="single" w:sz="4" w:space="0" w:color="auto"/>
              <w:right w:val="single" w:sz="4" w:space="0" w:color="auto"/>
            </w:tcBorders>
            <w:shd w:val="clear" w:color="auto" w:fill="auto"/>
            <w:noWrap/>
            <w:vAlign w:val="bottom"/>
            <w:hideMark/>
          </w:tcPr>
          <w:p w14:paraId="260C91E2"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84</w:t>
            </w:r>
          </w:p>
        </w:tc>
        <w:tc>
          <w:tcPr>
            <w:tcW w:w="908" w:type="dxa"/>
            <w:tcBorders>
              <w:top w:val="nil"/>
              <w:left w:val="nil"/>
              <w:bottom w:val="single" w:sz="4" w:space="0" w:color="auto"/>
              <w:right w:val="single" w:sz="4" w:space="0" w:color="auto"/>
            </w:tcBorders>
            <w:shd w:val="clear" w:color="auto" w:fill="auto"/>
            <w:noWrap/>
            <w:vAlign w:val="bottom"/>
            <w:hideMark/>
          </w:tcPr>
          <w:p w14:paraId="4B454E63" w14:textId="65186B41" w:rsidR="009E0216" w:rsidRPr="00BF7E57" w:rsidRDefault="007E0CD5"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85</w:t>
            </w:r>
          </w:p>
        </w:tc>
      </w:tr>
      <w:tr w:rsidR="009E0216" w:rsidRPr="00BF7E57" w14:paraId="736966D7"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06DB3A03"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Proizvodnja in prodaja energije iz vetrnega vira </w:t>
            </w:r>
          </w:p>
        </w:tc>
        <w:tc>
          <w:tcPr>
            <w:tcW w:w="907" w:type="dxa"/>
            <w:tcBorders>
              <w:top w:val="nil"/>
              <w:left w:val="nil"/>
              <w:bottom w:val="single" w:sz="4" w:space="0" w:color="auto"/>
              <w:right w:val="single" w:sz="4" w:space="0" w:color="auto"/>
            </w:tcBorders>
            <w:shd w:val="clear" w:color="auto" w:fill="auto"/>
            <w:noWrap/>
            <w:vAlign w:val="bottom"/>
            <w:hideMark/>
          </w:tcPr>
          <w:p w14:paraId="234D2F47"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631B7462"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2F4CB948"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2D6CC54A"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10</w:t>
            </w:r>
          </w:p>
        </w:tc>
        <w:tc>
          <w:tcPr>
            <w:tcW w:w="908" w:type="dxa"/>
            <w:tcBorders>
              <w:top w:val="nil"/>
              <w:left w:val="nil"/>
              <w:bottom w:val="single" w:sz="4" w:space="0" w:color="auto"/>
              <w:right w:val="single" w:sz="4" w:space="0" w:color="auto"/>
            </w:tcBorders>
            <w:shd w:val="clear" w:color="auto" w:fill="auto"/>
            <w:noWrap/>
            <w:vAlign w:val="bottom"/>
            <w:hideMark/>
          </w:tcPr>
          <w:p w14:paraId="40D98252"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10</w:t>
            </w:r>
          </w:p>
        </w:tc>
      </w:tr>
      <w:tr w:rsidR="009E0216" w:rsidRPr="00BF7E57" w14:paraId="47EDA2CD" w14:textId="77777777" w:rsidTr="009D2C9D">
        <w:trPr>
          <w:trHeight w:val="30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2D9B4B41" w14:textId="77777777" w:rsidR="009E0216" w:rsidRPr="00BF7E57" w:rsidRDefault="009E0216" w:rsidP="00250D58">
            <w:pPr>
              <w:spacing w:before="60"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Skupaj</w:t>
            </w:r>
          </w:p>
        </w:tc>
        <w:tc>
          <w:tcPr>
            <w:tcW w:w="907" w:type="dxa"/>
            <w:tcBorders>
              <w:top w:val="nil"/>
              <w:left w:val="nil"/>
              <w:bottom w:val="single" w:sz="4" w:space="0" w:color="auto"/>
              <w:right w:val="single" w:sz="4" w:space="0" w:color="auto"/>
            </w:tcBorders>
            <w:shd w:val="clear" w:color="auto" w:fill="auto"/>
            <w:noWrap/>
            <w:vAlign w:val="bottom"/>
            <w:hideMark/>
          </w:tcPr>
          <w:p w14:paraId="39A2CDE9" w14:textId="77777777" w:rsidR="009E0216" w:rsidRPr="00BF7E57" w:rsidRDefault="009E0216"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534</w:t>
            </w:r>
          </w:p>
        </w:tc>
        <w:tc>
          <w:tcPr>
            <w:tcW w:w="907" w:type="dxa"/>
            <w:tcBorders>
              <w:top w:val="nil"/>
              <w:left w:val="nil"/>
              <w:bottom w:val="single" w:sz="4" w:space="0" w:color="auto"/>
              <w:right w:val="single" w:sz="4" w:space="0" w:color="auto"/>
            </w:tcBorders>
            <w:shd w:val="clear" w:color="auto" w:fill="auto"/>
            <w:noWrap/>
            <w:vAlign w:val="bottom"/>
            <w:hideMark/>
          </w:tcPr>
          <w:p w14:paraId="35C2408E" w14:textId="77777777" w:rsidR="009E0216" w:rsidRPr="00BF7E57" w:rsidRDefault="009E0216"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550</w:t>
            </w:r>
          </w:p>
        </w:tc>
        <w:tc>
          <w:tcPr>
            <w:tcW w:w="907" w:type="dxa"/>
            <w:tcBorders>
              <w:top w:val="nil"/>
              <w:left w:val="nil"/>
              <w:bottom w:val="single" w:sz="4" w:space="0" w:color="auto"/>
              <w:right w:val="single" w:sz="4" w:space="0" w:color="auto"/>
            </w:tcBorders>
            <w:shd w:val="clear" w:color="auto" w:fill="auto"/>
            <w:noWrap/>
            <w:vAlign w:val="bottom"/>
            <w:hideMark/>
          </w:tcPr>
          <w:p w14:paraId="78336A6A" w14:textId="77777777" w:rsidR="009E0216" w:rsidRPr="00BF7E57" w:rsidRDefault="009E0216"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556</w:t>
            </w:r>
          </w:p>
        </w:tc>
        <w:tc>
          <w:tcPr>
            <w:tcW w:w="907" w:type="dxa"/>
            <w:tcBorders>
              <w:top w:val="nil"/>
              <w:left w:val="nil"/>
              <w:bottom w:val="single" w:sz="4" w:space="0" w:color="auto"/>
              <w:right w:val="single" w:sz="4" w:space="0" w:color="auto"/>
            </w:tcBorders>
            <w:shd w:val="clear" w:color="auto" w:fill="auto"/>
            <w:noWrap/>
            <w:vAlign w:val="bottom"/>
            <w:hideMark/>
          </w:tcPr>
          <w:p w14:paraId="678654C0" w14:textId="77777777" w:rsidR="009E0216" w:rsidRPr="00BF7E57" w:rsidRDefault="009E0216"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558</w:t>
            </w:r>
          </w:p>
        </w:tc>
        <w:tc>
          <w:tcPr>
            <w:tcW w:w="908" w:type="dxa"/>
            <w:tcBorders>
              <w:top w:val="nil"/>
              <w:left w:val="nil"/>
              <w:bottom w:val="single" w:sz="4" w:space="0" w:color="auto"/>
              <w:right w:val="single" w:sz="4" w:space="0" w:color="auto"/>
            </w:tcBorders>
            <w:shd w:val="clear" w:color="auto" w:fill="auto"/>
            <w:noWrap/>
            <w:vAlign w:val="bottom"/>
            <w:hideMark/>
          </w:tcPr>
          <w:p w14:paraId="276E277D" w14:textId="16A4EFB7" w:rsidR="009E0216" w:rsidRPr="00BF7E57" w:rsidRDefault="007E0CD5"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566</w:t>
            </w:r>
          </w:p>
        </w:tc>
      </w:tr>
    </w:tbl>
    <w:p w14:paraId="028B7BC0" w14:textId="77777777" w:rsidR="009E0216" w:rsidRPr="00BF7E57" w:rsidRDefault="002D6764" w:rsidP="00EA2E4C">
      <w:pPr>
        <w:spacing w:line="360" w:lineRule="auto"/>
        <w:jc w:val="both"/>
        <w:rPr>
          <w:rFonts w:ascii="Arial" w:hAnsi="Arial" w:cs="Arial"/>
          <w:sz w:val="16"/>
          <w:szCs w:val="16"/>
        </w:rPr>
      </w:pPr>
      <w:r w:rsidRPr="00BF7E57">
        <w:rPr>
          <w:rFonts w:ascii="Arial" w:hAnsi="Arial" w:cs="Arial"/>
          <w:sz w:val="16"/>
          <w:szCs w:val="16"/>
        </w:rPr>
        <w:t>Vir: MKGP, 2020</w:t>
      </w:r>
    </w:p>
    <w:p w14:paraId="3C173018" w14:textId="4AAA2C35"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Glavni obnovljivi vir energije, ki ga proizvedejo </w:t>
      </w:r>
      <w:r w:rsidR="007E0CD5" w:rsidRPr="00BF7E57">
        <w:rPr>
          <w:rFonts w:ascii="Arial" w:hAnsi="Arial" w:cs="Arial"/>
          <w:sz w:val="20"/>
          <w:szCs w:val="20"/>
        </w:rPr>
        <w:t>kmetije</w:t>
      </w:r>
      <w:r w:rsidRPr="00BF7E57">
        <w:rPr>
          <w:rFonts w:ascii="Arial" w:hAnsi="Arial" w:cs="Arial"/>
          <w:sz w:val="20"/>
          <w:szCs w:val="20"/>
        </w:rPr>
        <w:t xml:space="preserve"> je tako sončna energija. Proizvodnja obnovljivih virov energije, ki izvirajo iz kmetijstva, je v letu 2015 znašala 24 kToe, kar je nekoliko manj kot v preteklem programskem obdobju 2007–2013 (v letu 2013: 26,6 kToe)</w:t>
      </w:r>
      <w:r w:rsidR="001B435D" w:rsidRPr="00BF7E57">
        <w:rPr>
          <w:rFonts w:ascii="Arial" w:hAnsi="Arial" w:cs="Arial"/>
          <w:sz w:val="20"/>
          <w:szCs w:val="20"/>
        </w:rPr>
        <w:t xml:space="preserve"> (</w:t>
      </w:r>
      <w:r w:rsidR="001B435D" w:rsidRPr="00BF7E57">
        <w:t>EK CAP Indicators, 2020).</w:t>
      </w:r>
    </w:p>
    <w:p w14:paraId="7CDD79EF" w14:textId="02E4204A" w:rsidR="009E0216" w:rsidRPr="00BF7E57" w:rsidRDefault="009E0216" w:rsidP="00EA2E4C">
      <w:pPr>
        <w:spacing w:line="360" w:lineRule="auto"/>
        <w:jc w:val="both"/>
        <w:rPr>
          <w:rFonts w:ascii="Arial" w:eastAsia="Calibri" w:hAnsi="Arial" w:cs="Arial"/>
          <w:sz w:val="20"/>
          <w:szCs w:val="20"/>
        </w:rPr>
      </w:pPr>
      <w:r w:rsidRPr="00BF7E57">
        <w:rPr>
          <w:rFonts w:ascii="Arial" w:eastAsia="Calibri" w:hAnsi="Arial" w:cs="Arial"/>
          <w:sz w:val="20"/>
          <w:szCs w:val="20"/>
        </w:rPr>
        <w:t xml:space="preserve">V tekočem programskem obdobju je bilo do konca leta 2019 za naložbe v KMG, odobrenih 13 vlog, kjer se prevladujoč namen naložbe navezuje na OVE. Višina odobrenih sredstev je znašala 2.151.203 </w:t>
      </w:r>
      <w:r w:rsidR="00FF2A8E" w:rsidRPr="00BF7E57">
        <w:rPr>
          <w:rFonts w:ascii="Arial" w:eastAsia="Calibri" w:hAnsi="Arial" w:cs="Arial"/>
          <w:sz w:val="20"/>
          <w:szCs w:val="20"/>
        </w:rPr>
        <w:t>EUR</w:t>
      </w:r>
      <w:r w:rsidRPr="00BF7E57">
        <w:rPr>
          <w:rFonts w:ascii="Arial" w:eastAsia="Calibri" w:hAnsi="Arial" w:cs="Arial"/>
          <w:sz w:val="20"/>
          <w:szCs w:val="20"/>
        </w:rPr>
        <w:t>.</w:t>
      </w:r>
    </w:p>
    <w:p w14:paraId="4A5F5BD6" w14:textId="5FC739A3" w:rsidR="00B263CA" w:rsidRPr="00BF7E57" w:rsidRDefault="00B263CA" w:rsidP="001B7F8A">
      <w:pPr>
        <w:pStyle w:val="Napis"/>
      </w:pPr>
      <w:bookmarkStart w:id="194" w:name="_Ref29914204"/>
      <w:bookmarkStart w:id="195" w:name="_Toc86826477"/>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39</w:t>
      </w:r>
      <w:r w:rsidR="00A30B83" w:rsidRPr="00BF7E57">
        <w:rPr>
          <w:noProof/>
        </w:rPr>
        <w:fldChar w:fldCharType="end"/>
      </w:r>
      <w:r w:rsidRPr="00BF7E57">
        <w:t>: Naložbe v KMG iz PRP 2014–2020</w:t>
      </w:r>
      <w:bookmarkEnd w:id="195"/>
    </w:p>
    <w:bookmarkEnd w:id="194"/>
    <w:p w14:paraId="579BB252" w14:textId="7CC608D6" w:rsidR="009E0216" w:rsidRPr="00BF7E57" w:rsidRDefault="009E0216" w:rsidP="001B7F8A">
      <w:pPr>
        <w:pStyle w:val="Napis"/>
      </w:pPr>
    </w:p>
    <w:tbl>
      <w:tblPr>
        <w:tblW w:w="0" w:type="auto"/>
        <w:tblLayout w:type="fixed"/>
        <w:tblCellMar>
          <w:left w:w="30" w:type="dxa"/>
          <w:right w:w="30" w:type="dxa"/>
        </w:tblCellMar>
        <w:tblLook w:val="00A0" w:firstRow="1" w:lastRow="0" w:firstColumn="1" w:lastColumn="0" w:noHBand="0" w:noVBand="0"/>
      </w:tblPr>
      <w:tblGrid>
        <w:gridCol w:w="4850"/>
        <w:gridCol w:w="1701"/>
        <w:gridCol w:w="2372"/>
      </w:tblGrid>
      <w:tr w:rsidR="009E0216" w:rsidRPr="00BF7E57" w14:paraId="7050895D" w14:textId="77777777" w:rsidTr="00E77D01">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92D050"/>
          </w:tcPr>
          <w:p w14:paraId="0B14CE3B" w14:textId="77777777" w:rsidR="009E0216" w:rsidRPr="00BF7E57" w:rsidRDefault="009E0216" w:rsidP="00F1211D">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Prevladujoča vrsta naložbe</w:t>
            </w:r>
          </w:p>
        </w:tc>
        <w:tc>
          <w:tcPr>
            <w:tcW w:w="1701" w:type="dxa"/>
            <w:tcBorders>
              <w:top w:val="single" w:sz="6" w:space="0" w:color="000000"/>
              <w:left w:val="single" w:sz="6" w:space="0" w:color="000000"/>
              <w:bottom w:val="single" w:sz="6" w:space="0" w:color="000000"/>
              <w:right w:val="single" w:sz="6" w:space="0" w:color="000000"/>
            </w:tcBorders>
            <w:shd w:val="clear" w:color="auto" w:fill="92D050"/>
          </w:tcPr>
          <w:p w14:paraId="38386A20" w14:textId="77777777" w:rsidR="009E0216" w:rsidRPr="00BF7E57" w:rsidRDefault="009E0216">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Št. odobrenih vlog</w:t>
            </w:r>
          </w:p>
        </w:tc>
        <w:tc>
          <w:tcPr>
            <w:tcW w:w="2372" w:type="dxa"/>
            <w:tcBorders>
              <w:top w:val="single" w:sz="6" w:space="0" w:color="000000"/>
              <w:left w:val="single" w:sz="6" w:space="0" w:color="000000"/>
              <w:bottom w:val="single" w:sz="6" w:space="0" w:color="000000"/>
              <w:right w:val="single" w:sz="6" w:space="0" w:color="000000"/>
            </w:tcBorders>
            <w:shd w:val="clear" w:color="auto" w:fill="92D050"/>
          </w:tcPr>
          <w:p w14:paraId="674C2C68" w14:textId="77777777" w:rsidR="009E0216" w:rsidRPr="00BF7E57" w:rsidRDefault="009E0216">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Odobrena sredstva (EUR)</w:t>
            </w:r>
          </w:p>
        </w:tc>
      </w:tr>
      <w:tr w:rsidR="009E0216" w:rsidRPr="00BF7E57" w14:paraId="0E5D8BE4"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5CB2B117" w14:textId="77777777" w:rsidR="009E0216" w:rsidRPr="00BF7E57" w:rsidRDefault="009E0216" w:rsidP="00DD34DF">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Stroški naložb, namenjenih učinkoviti rabi energije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E40A662" w14:textId="77777777" w:rsidR="009E0216" w:rsidRPr="00BF7E57"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5</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213BCE14" w14:textId="77777777" w:rsidR="009E0216" w:rsidRPr="00BF7E57"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772.944</w:t>
            </w:r>
          </w:p>
        </w:tc>
      </w:tr>
      <w:tr w:rsidR="009E0216" w:rsidRPr="00BF7E57" w14:paraId="59D8B976"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35CC6D44" w14:textId="77777777" w:rsidR="009E0216" w:rsidRPr="00BF7E57" w:rsidRDefault="009E0216" w:rsidP="00DD34DF">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Stroški pridobivanja energije iz obnovljivih virov  na kmetijskih gospodarstvih</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E888F75" w14:textId="77777777" w:rsidR="009E0216" w:rsidRPr="00BF7E57"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6</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57F47FD3" w14:textId="77777777" w:rsidR="009E0216" w:rsidRPr="00BF7E57"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930.216</w:t>
            </w:r>
          </w:p>
        </w:tc>
      </w:tr>
      <w:tr w:rsidR="009E0216" w:rsidRPr="00BF7E57" w14:paraId="7ACB7629"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6A4FCEB6" w14:textId="77777777" w:rsidR="009E0216" w:rsidRPr="00BF7E57" w:rsidRDefault="009E0216" w:rsidP="00250D58">
            <w:pPr>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Pridobivanje energije iz biomase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2BA1D12" w14:textId="77777777" w:rsidR="009E0216" w:rsidRPr="00BF7E57" w:rsidRDefault="009E0216" w:rsidP="009D2C9D">
            <w:pPr>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2</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08FA062C" w14:textId="77777777" w:rsidR="009E0216" w:rsidRPr="00BF7E57" w:rsidRDefault="009E0216" w:rsidP="009D2C9D">
            <w:pPr>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448.044</w:t>
            </w:r>
          </w:p>
        </w:tc>
      </w:tr>
      <w:tr w:rsidR="009E0216" w:rsidRPr="00BF7E57" w14:paraId="70F8C1BA"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6A80FB3A" w14:textId="77777777" w:rsidR="009E0216" w:rsidRPr="00BF7E57" w:rsidRDefault="009E0216" w:rsidP="00250D58">
            <w:pPr>
              <w:autoSpaceDE w:val="0"/>
              <w:autoSpaceDN w:val="0"/>
              <w:adjustRightInd w:val="0"/>
              <w:spacing w:before="60" w:after="0" w:line="312" w:lineRule="auto"/>
              <w:jc w:val="both"/>
              <w:rPr>
                <w:rFonts w:ascii="Arial" w:hAnsi="Arial" w:cs="Arial"/>
                <w:b/>
                <w:bCs/>
                <w:color w:val="000000"/>
                <w:sz w:val="20"/>
                <w:szCs w:val="20"/>
              </w:rPr>
            </w:pPr>
            <w:r w:rsidRPr="00BF7E57">
              <w:rPr>
                <w:rFonts w:ascii="Arial" w:hAnsi="Arial" w:cs="Arial"/>
                <w:b/>
                <w:bCs/>
                <w:color w:val="000000"/>
                <w:sz w:val="20"/>
                <w:szCs w:val="20"/>
              </w:rPr>
              <w:t>Skupaj</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132D57B" w14:textId="77777777" w:rsidR="009E0216" w:rsidRPr="00BF7E57" w:rsidRDefault="009E0216" w:rsidP="009D2C9D">
            <w:pPr>
              <w:autoSpaceDE w:val="0"/>
              <w:autoSpaceDN w:val="0"/>
              <w:adjustRightInd w:val="0"/>
              <w:spacing w:before="60" w:after="0" w:line="312" w:lineRule="auto"/>
              <w:jc w:val="right"/>
              <w:rPr>
                <w:rFonts w:ascii="Arial" w:hAnsi="Arial" w:cs="Arial"/>
                <w:b/>
                <w:bCs/>
                <w:color w:val="000000"/>
                <w:sz w:val="20"/>
                <w:szCs w:val="20"/>
              </w:rPr>
            </w:pPr>
            <w:r w:rsidRPr="00BF7E57">
              <w:rPr>
                <w:rFonts w:ascii="Arial" w:hAnsi="Arial" w:cs="Arial"/>
                <w:b/>
                <w:bCs/>
                <w:color w:val="000000"/>
                <w:sz w:val="20"/>
                <w:szCs w:val="20"/>
              </w:rPr>
              <w:t>13</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4634C1B9" w14:textId="77777777" w:rsidR="009E0216" w:rsidRPr="00BF7E57" w:rsidRDefault="009E0216" w:rsidP="009D2C9D">
            <w:pPr>
              <w:autoSpaceDE w:val="0"/>
              <w:autoSpaceDN w:val="0"/>
              <w:adjustRightInd w:val="0"/>
              <w:spacing w:before="60" w:after="0" w:line="312" w:lineRule="auto"/>
              <w:jc w:val="right"/>
              <w:rPr>
                <w:rFonts w:ascii="Arial" w:hAnsi="Arial" w:cs="Arial"/>
                <w:b/>
                <w:bCs/>
                <w:color w:val="000000"/>
                <w:sz w:val="20"/>
                <w:szCs w:val="20"/>
              </w:rPr>
            </w:pPr>
            <w:r w:rsidRPr="00BF7E57">
              <w:rPr>
                <w:rFonts w:ascii="Arial" w:hAnsi="Arial" w:cs="Arial"/>
                <w:b/>
                <w:bCs/>
                <w:color w:val="000000"/>
                <w:sz w:val="20"/>
                <w:szCs w:val="20"/>
              </w:rPr>
              <w:t>2.151.203</w:t>
            </w:r>
          </w:p>
        </w:tc>
      </w:tr>
    </w:tbl>
    <w:p w14:paraId="122CEF83" w14:textId="77777777" w:rsidR="009E0216" w:rsidRPr="00BF7E57" w:rsidRDefault="002D6764" w:rsidP="008D32AC">
      <w:pPr>
        <w:pStyle w:val="1"/>
        <w:rPr>
          <w:sz w:val="16"/>
        </w:rPr>
      </w:pPr>
      <w:bookmarkStart w:id="196" w:name="_Toc51758571"/>
      <w:r w:rsidRPr="00BF7E57">
        <w:rPr>
          <w:sz w:val="16"/>
        </w:rPr>
        <w:t>Vir: MKGP, 2020</w:t>
      </w:r>
      <w:bookmarkEnd w:id="196"/>
    </w:p>
    <w:p w14:paraId="60ED40A4" w14:textId="77777777" w:rsidR="009E0216" w:rsidRPr="00BF7E57" w:rsidRDefault="009E0216" w:rsidP="00EA2E4C">
      <w:pPr>
        <w:spacing w:line="360" w:lineRule="auto"/>
        <w:jc w:val="both"/>
        <w:rPr>
          <w:rFonts w:ascii="Arial" w:hAnsi="Arial" w:cs="Arial"/>
          <w:sz w:val="20"/>
          <w:szCs w:val="20"/>
        </w:rPr>
      </w:pPr>
    </w:p>
    <w:p w14:paraId="08D5BB6F" w14:textId="7986C20D" w:rsidR="009E0216" w:rsidRPr="00BF7E57" w:rsidRDefault="009E0216" w:rsidP="00BE756C">
      <w:pPr>
        <w:pStyle w:val="Naslov2"/>
        <w:spacing w:after="200" w:line="360" w:lineRule="auto"/>
        <w:jc w:val="both"/>
        <w:rPr>
          <w:rFonts w:ascii="Arial" w:hAnsi="Arial" w:cs="Arial"/>
          <w:color w:val="auto"/>
          <w:sz w:val="24"/>
          <w:szCs w:val="24"/>
        </w:rPr>
      </w:pPr>
      <w:bookmarkStart w:id="197" w:name="_Toc86826382"/>
      <w:r w:rsidRPr="00BF7E57">
        <w:rPr>
          <w:rFonts w:ascii="Arial" w:hAnsi="Arial" w:cs="Arial"/>
          <w:color w:val="auto"/>
          <w:sz w:val="24"/>
          <w:szCs w:val="24"/>
        </w:rPr>
        <w:lastRenderedPageBreak/>
        <w:t>3.</w:t>
      </w:r>
      <w:r w:rsidR="006A050F" w:rsidRPr="00BF7E57">
        <w:rPr>
          <w:rFonts w:ascii="Arial" w:hAnsi="Arial" w:cs="Arial"/>
          <w:color w:val="auto"/>
          <w:sz w:val="24"/>
          <w:szCs w:val="24"/>
        </w:rPr>
        <w:t>5</w:t>
      </w:r>
      <w:r w:rsidRPr="00BF7E57">
        <w:rPr>
          <w:rFonts w:ascii="Arial" w:hAnsi="Arial" w:cs="Arial"/>
          <w:color w:val="auto"/>
          <w:sz w:val="24"/>
          <w:szCs w:val="24"/>
        </w:rPr>
        <w:t xml:space="preserve"> KLJUČNE UGOTOVITVE</w:t>
      </w:r>
      <w:bookmarkEnd w:id="197"/>
    </w:p>
    <w:p w14:paraId="2196D01D" w14:textId="1CF1508C" w:rsidR="00152F0B" w:rsidRPr="00BF7E57" w:rsidRDefault="009E0216" w:rsidP="00152F0B">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Gospodarski kazalniki s</w:t>
      </w:r>
      <w:r w:rsidR="00BE7A23" w:rsidRPr="00BF7E57">
        <w:rPr>
          <w:rFonts w:ascii="Arial" w:hAnsi="Arial" w:cs="Arial"/>
          <w:b/>
          <w:color w:val="auto"/>
          <w:sz w:val="20"/>
          <w:szCs w:val="20"/>
          <w:lang w:val="sl-SI"/>
        </w:rPr>
        <w:t>o se</w:t>
      </w:r>
      <w:r w:rsidRPr="00BF7E57">
        <w:rPr>
          <w:rFonts w:ascii="Arial" w:hAnsi="Arial" w:cs="Arial"/>
          <w:b/>
          <w:color w:val="auto"/>
          <w:sz w:val="20"/>
          <w:szCs w:val="20"/>
          <w:lang w:val="sl-SI"/>
        </w:rPr>
        <w:t xml:space="preserve"> po letu 2013 izboljš</w:t>
      </w:r>
      <w:r w:rsidR="00BE7A23" w:rsidRPr="00BF7E57">
        <w:rPr>
          <w:rFonts w:ascii="Arial" w:hAnsi="Arial" w:cs="Arial"/>
          <w:b/>
          <w:color w:val="auto"/>
          <w:sz w:val="20"/>
          <w:szCs w:val="20"/>
          <w:lang w:val="sl-SI"/>
        </w:rPr>
        <w:t>evali</w:t>
      </w:r>
      <w:r w:rsidRPr="00BF7E57">
        <w:rPr>
          <w:rFonts w:ascii="Arial" w:hAnsi="Arial" w:cs="Arial"/>
          <w:color w:val="auto"/>
          <w:sz w:val="20"/>
          <w:szCs w:val="20"/>
          <w:lang w:val="sl-SI"/>
        </w:rPr>
        <w:t xml:space="preserve">. Bruto domači proizvod se je v Sloveniji leta 2018 šesto leto zapored povečal (45.755 mio EUR), njegova rast, ki se je začela umirjati leta 2018, pa se je opazno upočasnila. </w:t>
      </w:r>
      <w:r w:rsidR="00152F0B" w:rsidRPr="00BF7E57">
        <w:rPr>
          <w:rFonts w:ascii="Arial" w:hAnsi="Arial" w:cs="Arial"/>
          <w:color w:val="auto"/>
          <w:sz w:val="20"/>
          <w:szCs w:val="20"/>
          <w:lang w:val="sl-SI"/>
        </w:rPr>
        <w:t xml:space="preserve">BDP se je v drugem četrtletju 2021 ponovno povečal glede na pretekla leta. K rasti BDP v drugem četrtletju 2021 so največ prispevale končna potrošnja gospodinjstev in bruto investicije. BDP na prebivalca v letu 2020 je bil 22.312 EUR. </w:t>
      </w:r>
    </w:p>
    <w:p w14:paraId="0DE60E71" w14:textId="77C4A0A2"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color w:val="auto"/>
          <w:sz w:val="20"/>
          <w:szCs w:val="20"/>
          <w:lang w:val="sl-SI"/>
        </w:rPr>
        <w:t>.Stopnja zaposlenosti je v Sloveniji vsa leta nad povprečjem EU, med tem ko je produktivnost dela ostala nizka (leta 2018: 82 % povprečja EU).</w:t>
      </w:r>
      <w:r w:rsidR="00BE7A23" w:rsidRPr="00BF7E57">
        <w:rPr>
          <w:rFonts w:ascii="Arial" w:hAnsi="Arial" w:cs="Arial"/>
          <w:color w:val="auto"/>
          <w:sz w:val="20"/>
          <w:szCs w:val="20"/>
          <w:lang w:val="sl-SI"/>
        </w:rPr>
        <w:t xml:space="preserve"> Ohlajanje gospodarstva v letu 2019 in koronakriza v letu 2020 sta povzročila močan padec gospodarske aktivnosti, kar je zelo vplivalo na padec zaposlenosti in povečanje brezposelnosti, še posebej med mladimi.</w:t>
      </w:r>
    </w:p>
    <w:p w14:paraId="4DC4CC9B" w14:textId="66C855E7"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Obstajajo regionalne razlike po gospodarski razvitosti</w:t>
      </w:r>
      <w:r w:rsidRPr="00BF7E57">
        <w:rPr>
          <w:rFonts w:ascii="Arial" w:hAnsi="Arial" w:cs="Arial"/>
          <w:color w:val="auto"/>
          <w:sz w:val="20"/>
          <w:szCs w:val="20"/>
          <w:lang w:val="sl-SI"/>
        </w:rPr>
        <w:t>. Najvišji BDP na prebivalca ima osrednjeslovenska regija, ki je leta 2018 za več kot 40 % presegala slovensko povprečje. Regija ima največ delovnih mest in posledično veliko delovnih migracij, kar ji viša BDP na prebivalca. Slovensko povprečje po BDP na prebivalca presega le še obalno-kraška regija. Najnižji BDP pa imajo zasavska, pomurska in primorsko-notranjska regija.</w:t>
      </w:r>
    </w:p>
    <w:p w14:paraId="6DFD2410" w14:textId="4D204F28" w:rsidR="00152F0B" w:rsidRPr="00BF7E57" w:rsidRDefault="009E0216" w:rsidP="00152F0B">
      <w:pPr>
        <w:pStyle w:val="Default"/>
        <w:numPr>
          <w:ilvl w:val="0"/>
          <w:numId w:val="40"/>
        </w:numPr>
        <w:spacing w:before="200" w:after="200" w:line="360" w:lineRule="auto"/>
        <w:ind w:left="714" w:hanging="357"/>
        <w:jc w:val="both"/>
        <w:rPr>
          <w:rFonts w:ascii="Arial" w:hAnsi="Arial" w:cs="Arial"/>
          <w:sz w:val="20"/>
          <w:szCs w:val="20"/>
        </w:rPr>
      </w:pPr>
      <w:r w:rsidRPr="00BF7E57">
        <w:rPr>
          <w:rFonts w:ascii="Arial" w:hAnsi="Arial" w:cs="Arial"/>
          <w:b/>
          <w:color w:val="auto"/>
          <w:sz w:val="20"/>
          <w:szCs w:val="20"/>
          <w:lang w:val="sl-SI"/>
        </w:rPr>
        <w:t>V Sloveniji se je stopnja zaposlenosti od leta 2014-2019 ponovno povečevala</w:t>
      </w:r>
      <w:r w:rsidRPr="00BF7E57">
        <w:rPr>
          <w:rFonts w:ascii="Arial" w:hAnsi="Arial" w:cs="Arial"/>
          <w:color w:val="auto"/>
          <w:sz w:val="20"/>
          <w:szCs w:val="20"/>
          <w:lang w:val="sl-SI"/>
        </w:rPr>
        <w:t xml:space="preserve"> in je leta 2019 dosegla najvišjo stopnjo v zadnjih desetih letih (71,8 %), kar je višje od povprečja članic EU-27. </w:t>
      </w:r>
      <w:r w:rsidRPr="00BF7E57">
        <w:rPr>
          <w:rFonts w:ascii="Arial" w:hAnsi="Arial" w:cs="Arial"/>
          <w:b/>
          <w:color w:val="auto"/>
          <w:sz w:val="20"/>
          <w:szCs w:val="20"/>
          <w:lang w:val="sl-SI"/>
        </w:rPr>
        <w:t>Stopnja anketne brezposelnosti se je po letu 2013 pet let zniževala</w:t>
      </w:r>
      <w:r w:rsidRPr="00BF7E57">
        <w:rPr>
          <w:rFonts w:ascii="Arial" w:hAnsi="Arial" w:cs="Arial"/>
          <w:color w:val="auto"/>
          <w:sz w:val="20"/>
          <w:szCs w:val="20"/>
          <w:lang w:val="sl-SI"/>
        </w:rPr>
        <w:t xml:space="preserve"> in v let</w:t>
      </w:r>
      <w:r w:rsidR="00C279F4" w:rsidRPr="00BF7E57">
        <w:rPr>
          <w:rFonts w:ascii="Arial" w:hAnsi="Arial" w:cs="Arial"/>
          <w:color w:val="auto"/>
          <w:sz w:val="20"/>
          <w:szCs w:val="20"/>
          <w:lang w:val="sl-SI"/>
        </w:rPr>
        <w:t>u</w:t>
      </w:r>
      <w:r w:rsidRPr="00BF7E57">
        <w:rPr>
          <w:rFonts w:ascii="Arial" w:hAnsi="Arial" w:cs="Arial"/>
          <w:color w:val="auto"/>
          <w:sz w:val="20"/>
          <w:szCs w:val="20"/>
          <w:lang w:val="sl-SI"/>
        </w:rPr>
        <w:t xml:space="preserve"> 2018 dosegla že 5,1 %, </w:t>
      </w:r>
      <w:r w:rsidR="00152F0B" w:rsidRPr="00BF7E57">
        <w:rPr>
          <w:rFonts w:ascii="Arial" w:hAnsi="Arial" w:cs="Arial"/>
          <w:sz w:val="20"/>
          <w:szCs w:val="20"/>
        </w:rPr>
        <w:t xml:space="preserve">2. četrtletju 2021 pa 4,3-odstotna. </w:t>
      </w:r>
      <w:r w:rsidR="00116DD0" w:rsidRPr="00BF7E57">
        <w:rPr>
          <w:rFonts w:ascii="Arial" w:hAnsi="Arial" w:cs="Arial"/>
          <w:color w:val="auto"/>
          <w:sz w:val="20"/>
          <w:szCs w:val="20"/>
          <w:lang w:val="sl-SI"/>
        </w:rPr>
        <w:t>%</w:t>
      </w:r>
      <w:r w:rsidRPr="00BF7E57">
        <w:rPr>
          <w:rFonts w:ascii="Arial" w:hAnsi="Arial" w:cs="Arial"/>
          <w:color w:val="auto"/>
          <w:sz w:val="20"/>
          <w:szCs w:val="20"/>
          <w:lang w:val="sl-SI"/>
        </w:rPr>
        <w:t xml:space="preserve">. </w:t>
      </w:r>
      <w:r w:rsidRPr="00BF7E57">
        <w:rPr>
          <w:rFonts w:ascii="Arial" w:hAnsi="Arial" w:cs="Arial"/>
          <w:b/>
          <w:color w:val="auto"/>
          <w:sz w:val="20"/>
          <w:szCs w:val="20"/>
          <w:lang w:val="sl-SI"/>
        </w:rPr>
        <w:t>Največ brezposelnih je med mladimi do 29 let</w:t>
      </w:r>
      <w:r w:rsidR="00C279F4" w:rsidRPr="00BF7E57">
        <w:rPr>
          <w:rFonts w:ascii="Arial" w:hAnsi="Arial" w:cs="Arial"/>
          <w:b/>
          <w:color w:val="auto"/>
          <w:sz w:val="20"/>
          <w:szCs w:val="20"/>
          <w:lang w:val="sl-SI"/>
        </w:rPr>
        <w:t xml:space="preserve"> </w:t>
      </w:r>
      <w:r w:rsidRPr="00BF7E57">
        <w:rPr>
          <w:rFonts w:ascii="Arial" w:hAnsi="Arial" w:cs="Arial"/>
          <w:color w:val="auto"/>
          <w:sz w:val="20"/>
          <w:szCs w:val="20"/>
          <w:lang w:val="sl-SI"/>
        </w:rPr>
        <w:t xml:space="preserve">in </w:t>
      </w:r>
      <w:r w:rsidRPr="00BF7E57">
        <w:rPr>
          <w:rFonts w:ascii="Arial" w:hAnsi="Arial" w:cs="Arial"/>
          <w:b/>
          <w:color w:val="auto"/>
          <w:sz w:val="20"/>
          <w:szCs w:val="20"/>
          <w:lang w:val="sl-SI"/>
        </w:rPr>
        <w:t>starejšimi nad 60 let</w:t>
      </w:r>
      <w:r w:rsidR="00C279F4" w:rsidRPr="00BF7E57">
        <w:rPr>
          <w:rFonts w:ascii="Arial" w:hAnsi="Arial" w:cs="Arial"/>
          <w:b/>
          <w:color w:val="auto"/>
          <w:sz w:val="20"/>
          <w:szCs w:val="20"/>
          <w:lang w:val="sl-SI"/>
        </w:rPr>
        <w:t xml:space="preserve">. </w:t>
      </w:r>
      <w:r w:rsidRPr="00BF7E57">
        <w:rPr>
          <w:rFonts w:ascii="Arial" w:hAnsi="Arial" w:cs="Arial"/>
          <w:color w:val="auto"/>
          <w:sz w:val="20"/>
          <w:szCs w:val="20"/>
          <w:lang w:val="sl-SI"/>
        </w:rPr>
        <w:t>Za mlade so značilne izgube zaposlitev za določen čas, starejši pa kot trajno presežni delavci</w:t>
      </w:r>
      <w:r w:rsidR="00152F0B" w:rsidRPr="00BF7E57">
        <w:rPr>
          <w:rFonts w:ascii="Arial" w:hAnsi="Arial" w:cs="Arial"/>
          <w:color w:val="auto"/>
          <w:sz w:val="20"/>
          <w:szCs w:val="20"/>
          <w:lang w:val="sl-SI"/>
        </w:rPr>
        <w:t>, glede na spol je več brezposelnih žensk, glede na starost starejši od 50 let, glede na izobrazbo pa manj izobraženi. Je pa med novimi brezposelnimi največ iskalcev prve zaposlitve in zaposlenih za določen čas, med katerimi je veliko mladih, ter brezposelnih zaradi stečajev podjetij.</w:t>
      </w:r>
    </w:p>
    <w:p w14:paraId="62F4F491" w14:textId="07D63EF9"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V marcu 2020 je bila v Sloveniji razglašena epidemija koronavirusne bolezni, ki je prinesla negativne učinke na gospodarski in socialni položaj</w:t>
      </w:r>
      <w:r w:rsidRPr="00BF7E57">
        <w:rPr>
          <w:rFonts w:ascii="Arial" w:hAnsi="Arial" w:cs="Arial"/>
          <w:color w:val="auto"/>
          <w:sz w:val="20"/>
          <w:szCs w:val="20"/>
          <w:lang w:val="sl-SI"/>
        </w:rPr>
        <w:t>. Razmere kot posledica nujnih zaščitnih ukrepov že močno vplivajo na zmanjšanje gospodarske aktivnosti in pomanjkljivo urejena nekatera področja, kot so: velik delež prekarnih zaposlitev, sistemska neurejenost dolgotrajne oskrbe, čakalne dobe v zdravstvu, pomanjkanje digitalnih spretnosti prebivalstva, administrativne ovire in do</w:t>
      </w:r>
      <w:r w:rsidR="003371E9" w:rsidRPr="00BF7E57">
        <w:rPr>
          <w:rFonts w:ascii="Arial" w:hAnsi="Arial" w:cs="Arial"/>
          <w:color w:val="auto"/>
          <w:sz w:val="20"/>
          <w:szCs w:val="20"/>
          <w:lang w:val="sl-SI"/>
        </w:rPr>
        <w:t>lgotrajnost nekaterih postopkov</w:t>
      </w:r>
      <w:r w:rsidRPr="00BF7E57">
        <w:rPr>
          <w:rFonts w:ascii="Arial" w:hAnsi="Arial" w:cs="Arial"/>
          <w:color w:val="auto"/>
          <w:sz w:val="20"/>
          <w:szCs w:val="20"/>
          <w:lang w:val="sl-SI"/>
        </w:rPr>
        <w:t>.</w:t>
      </w:r>
    </w:p>
    <w:p w14:paraId="6D172FD8" w14:textId="076B2D3A" w:rsidR="00330975" w:rsidRPr="00BF7E57" w:rsidRDefault="009E0216" w:rsidP="00330975">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Število podjet</w:t>
      </w:r>
      <w:r w:rsidR="00632F08" w:rsidRPr="00BF7E57">
        <w:rPr>
          <w:rFonts w:ascii="Arial" w:hAnsi="Arial" w:cs="Arial"/>
          <w:b/>
          <w:color w:val="auto"/>
          <w:sz w:val="20"/>
          <w:szCs w:val="20"/>
          <w:lang w:val="sl-SI"/>
        </w:rPr>
        <w:t>j</w:t>
      </w:r>
      <w:r w:rsidRPr="00BF7E57">
        <w:rPr>
          <w:rFonts w:ascii="Arial" w:hAnsi="Arial" w:cs="Arial"/>
          <w:b/>
          <w:color w:val="auto"/>
          <w:sz w:val="20"/>
          <w:szCs w:val="20"/>
          <w:lang w:val="sl-SI"/>
        </w:rPr>
        <w:t>ih se je v zadnjih desetih letih povečalo za tretjino</w:t>
      </w:r>
      <w:r w:rsidRPr="00BF7E57">
        <w:rPr>
          <w:rFonts w:ascii="Arial" w:hAnsi="Arial" w:cs="Arial"/>
          <w:color w:val="auto"/>
          <w:sz w:val="20"/>
          <w:szCs w:val="20"/>
          <w:lang w:val="sl-SI"/>
        </w:rPr>
        <w:t>. Število podjetij na podeželju se je od leta 2008 do 2018 povečalo za 32 %.</w:t>
      </w:r>
      <w:r w:rsidR="00330975" w:rsidRPr="00BF7E57">
        <w:rPr>
          <w:rFonts w:ascii="Arial" w:hAnsi="Arial" w:cs="Arial"/>
          <w:color w:val="auto"/>
          <w:sz w:val="20"/>
          <w:szCs w:val="20"/>
          <w:lang w:val="sl-SI"/>
        </w:rPr>
        <w:t xml:space="preserve"> </w:t>
      </w:r>
      <w:r w:rsidR="00330975" w:rsidRPr="00BF7E57">
        <w:rPr>
          <w:rFonts w:ascii="Arial" w:hAnsi="Arial" w:cs="Arial"/>
          <w:sz w:val="20"/>
          <w:szCs w:val="20"/>
          <w:lang w:val="sl-SI"/>
        </w:rPr>
        <w:t xml:space="preserve">Leta 2019 jih je bilo v Sloveniji 205.139, na podeželju 104.733, povprečno na občino v Sloveniji 968 oziroma 534 v občinah na podeželju. </w:t>
      </w:r>
    </w:p>
    <w:p w14:paraId="30EEBCCE" w14:textId="1084A975" w:rsidR="009E0216" w:rsidRPr="00BF7E57" w:rsidRDefault="009E0216" w:rsidP="00A05198">
      <w:pPr>
        <w:pStyle w:val="Default"/>
        <w:numPr>
          <w:ilvl w:val="0"/>
          <w:numId w:val="40"/>
        </w:numPr>
        <w:spacing w:before="200" w:after="200" w:line="360" w:lineRule="auto"/>
        <w:ind w:left="714" w:hanging="357"/>
        <w:jc w:val="both"/>
        <w:rPr>
          <w:rFonts w:ascii="Arial" w:hAnsi="Arial" w:cs="Arial"/>
          <w:b/>
          <w:color w:val="auto"/>
          <w:sz w:val="20"/>
          <w:szCs w:val="20"/>
          <w:lang w:val="sl-SI"/>
        </w:rPr>
      </w:pPr>
      <w:r w:rsidRPr="00BF7E57">
        <w:rPr>
          <w:rFonts w:ascii="Arial" w:hAnsi="Arial" w:cs="Arial"/>
          <w:b/>
          <w:color w:val="auto"/>
          <w:sz w:val="20"/>
          <w:szCs w:val="20"/>
          <w:lang w:val="sl-SI"/>
        </w:rPr>
        <w:t>Povprečna bruto plača v Sloveniji</w:t>
      </w:r>
      <w:r w:rsidRPr="00BF7E57">
        <w:rPr>
          <w:rFonts w:ascii="Arial" w:hAnsi="Arial" w:cs="Arial"/>
          <w:color w:val="auto"/>
          <w:sz w:val="20"/>
          <w:szCs w:val="20"/>
          <w:lang w:val="sl-SI"/>
        </w:rPr>
        <w:t xml:space="preserve"> leta 2019 je bila na zaposlenega 1.754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Na </w:t>
      </w:r>
      <w:r w:rsidRPr="00BF7E57">
        <w:rPr>
          <w:rFonts w:ascii="Arial" w:hAnsi="Arial" w:cs="Arial"/>
          <w:b/>
          <w:color w:val="auto"/>
          <w:sz w:val="20"/>
          <w:szCs w:val="20"/>
          <w:lang w:val="sl-SI"/>
        </w:rPr>
        <w:t>podeželju je bila nižja</w:t>
      </w:r>
      <w:r w:rsidRPr="00BF7E57">
        <w:rPr>
          <w:rFonts w:ascii="Arial" w:hAnsi="Arial" w:cs="Arial"/>
          <w:color w:val="auto"/>
          <w:sz w:val="20"/>
          <w:szCs w:val="20"/>
          <w:lang w:val="sl-SI"/>
        </w:rPr>
        <w:t xml:space="preserve"> za 12 % in znašala 1.534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w:t>
      </w:r>
      <w:r w:rsidRPr="00BF7E57">
        <w:rPr>
          <w:rFonts w:ascii="Arial" w:hAnsi="Arial" w:cs="Arial"/>
          <w:b/>
          <w:color w:val="auto"/>
          <w:sz w:val="20"/>
          <w:szCs w:val="20"/>
          <w:lang w:val="sl-SI"/>
        </w:rPr>
        <w:t>Stopnja delavne aktivnosti je od leta 2015 na podeželju nižja kot v povprečju Slovenije.</w:t>
      </w:r>
    </w:p>
    <w:p w14:paraId="51CDF8E9" w14:textId="60530C01"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lastRenderedPageBreak/>
        <w:t>Na podeželju so v povprečju manjša podjetja z manj prihodki.</w:t>
      </w:r>
      <w:r w:rsidRPr="00BF7E57">
        <w:rPr>
          <w:rFonts w:ascii="Arial" w:hAnsi="Arial" w:cs="Arial"/>
          <w:color w:val="auto"/>
          <w:sz w:val="20"/>
          <w:szCs w:val="20"/>
          <w:lang w:val="sl-SI"/>
        </w:rPr>
        <w:t xml:space="preserve"> Povprečna velikost podjetja leta 2018 je bila 4,6 zaposlenega na podjetje, </w:t>
      </w:r>
      <w:r w:rsidRPr="00BF7E57">
        <w:rPr>
          <w:rFonts w:ascii="Arial" w:hAnsi="Arial" w:cs="Arial"/>
          <w:b/>
          <w:color w:val="auto"/>
          <w:sz w:val="20"/>
          <w:szCs w:val="20"/>
          <w:lang w:val="sl-SI"/>
        </w:rPr>
        <w:t>na podeželju pa so imela podjetja v povprečju 3,4 zaposlenega na podjetje</w:t>
      </w:r>
      <w:r w:rsidRPr="00BF7E57">
        <w:rPr>
          <w:rFonts w:ascii="Arial" w:hAnsi="Arial" w:cs="Arial"/>
          <w:color w:val="auto"/>
          <w:sz w:val="20"/>
          <w:szCs w:val="20"/>
          <w:lang w:val="sl-SI"/>
        </w:rPr>
        <w:t xml:space="preserve">. Podjetja na podeželju so skupaj ustvarila 40.773 milijonov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prihodka, kar pa predstavlja le 34,8 % vseh prihodkov podjetij v Sloveniji. Povprečni prihodek na podjetje je bil leta 2018 v Sloveniji 584.694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na podeželju pa 398.938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kar prestavlja manj kot 70 % dohodka podjetij v Sloveniji in samo 51 % prihodka na podjetje v mestih.</w:t>
      </w:r>
    </w:p>
    <w:p w14:paraId="65D2E6D2" w14:textId="77777777"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Na podeželju je v primerjavi s celotno Slovenijo v podjetjih manj investicij v osnovna sredstva</w:t>
      </w:r>
      <w:r w:rsidRPr="00BF7E57">
        <w:rPr>
          <w:rFonts w:ascii="Arial" w:hAnsi="Arial" w:cs="Arial"/>
          <w:color w:val="auto"/>
          <w:sz w:val="20"/>
          <w:szCs w:val="20"/>
          <w:lang w:val="sl-SI"/>
        </w:rPr>
        <w:t xml:space="preserve"> (v letu 2018 40 %), z leti pa se znižujejo investicije tako v opredmetena kot v neopredmetena osnovna sredstva).</w:t>
      </w:r>
    </w:p>
    <w:p w14:paraId="66EE00DF" w14:textId="77777777"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sz w:val="20"/>
          <w:szCs w:val="20"/>
          <w:lang w:val="sl-SI"/>
        </w:rPr>
        <w:t>Počasen napredek na področju človeškega kapitala za digitalizacijo</w:t>
      </w:r>
      <w:r w:rsidRPr="00BF7E57">
        <w:rPr>
          <w:rFonts w:ascii="Arial" w:hAnsi="Arial" w:cs="Arial"/>
          <w:sz w:val="20"/>
          <w:szCs w:val="20"/>
          <w:lang w:val="sl-SI"/>
        </w:rPr>
        <w:t xml:space="preserve"> pomeni oviro pri digitalni preobrazbi podjetniškega in javnega sektorja.</w:t>
      </w:r>
    </w:p>
    <w:p w14:paraId="35CEBD31" w14:textId="57544F1A" w:rsidR="00DD34DF" w:rsidRPr="00BF7E57" w:rsidRDefault="00DD34DF"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Število registriranih nekmetijskih dopolnilnih dejavnosti se iz leta v leto povečuje</w:t>
      </w:r>
      <w:r w:rsidR="009E7C94" w:rsidRPr="00BF7E57">
        <w:rPr>
          <w:rFonts w:ascii="Arial" w:hAnsi="Arial" w:cs="Arial"/>
          <w:color w:val="auto"/>
          <w:sz w:val="20"/>
          <w:szCs w:val="20"/>
          <w:lang w:val="sl-SI"/>
        </w:rPr>
        <w:t>,</w:t>
      </w:r>
      <w:r w:rsidRPr="00BF7E57">
        <w:rPr>
          <w:rFonts w:ascii="Arial" w:hAnsi="Arial" w:cs="Arial"/>
          <w:color w:val="auto"/>
          <w:sz w:val="20"/>
          <w:szCs w:val="20"/>
          <w:lang w:val="sl-SI"/>
        </w:rPr>
        <w:t xml:space="preserve"> </w:t>
      </w:r>
      <w:r w:rsidR="009E7C94" w:rsidRPr="00BF7E57">
        <w:rPr>
          <w:rFonts w:ascii="Arial" w:hAnsi="Arial" w:cs="Arial"/>
          <w:color w:val="auto"/>
          <w:sz w:val="20"/>
          <w:szCs w:val="20"/>
          <w:lang w:val="sl-SI"/>
        </w:rPr>
        <w:t>v letu 2020 je bilo tako registriranih 6.578 nekmetijskih dopolnilnih dejavnosti</w:t>
      </w:r>
      <w:r w:rsidRPr="00BF7E57">
        <w:rPr>
          <w:rFonts w:ascii="Arial" w:hAnsi="Arial" w:cs="Arial"/>
          <w:color w:val="auto"/>
          <w:sz w:val="20"/>
          <w:szCs w:val="20"/>
          <w:lang w:val="sl-SI"/>
        </w:rPr>
        <w:t xml:space="preserve"> </w:t>
      </w:r>
      <w:r w:rsidR="009E7C94" w:rsidRPr="00BF7E57">
        <w:rPr>
          <w:rFonts w:ascii="Arial" w:hAnsi="Arial" w:cs="Arial"/>
          <w:color w:val="auto"/>
          <w:sz w:val="20"/>
          <w:szCs w:val="20"/>
          <w:lang w:val="sl-SI"/>
        </w:rPr>
        <w:t xml:space="preserve">oziroma  za </w:t>
      </w:r>
      <w:r w:rsidR="009E7C94" w:rsidRPr="00BF7E57">
        <w:rPr>
          <w:rFonts w:ascii="Arial" w:hAnsi="Arial" w:cs="Arial"/>
          <w:sz w:val="20"/>
          <w:szCs w:val="20"/>
          <w:lang w:val="sl-SI"/>
        </w:rPr>
        <w:t xml:space="preserve">1.652 oziroma 33,5 % več kot </w:t>
      </w:r>
      <w:r w:rsidR="009E7C94" w:rsidRPr="00BF7E57">
        <w:rPr>
          <w:rFonts w:ascii="Arial" w:hAnsi="Arial" w:cs="Arial"/>
          <w:color w:val="auto"/>
          <w:sz w:val="20"/>
          <w:szCs w:val="20"/>
          <w:lang w:val="sl-SI"/>
        </w:rPr>
        <w:t>leta 2016.</w:t>
      </w:r>
    </w:p>
    <w:p w14:paraId="586B80D2" w14:textId="315FEC1F" w:rsidR="009E7C94" w:rsidRPr="00BF7E57" w:rsidRDefault="009E7C94"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Število kmetij, ki svojo primarno kmetijsko dejavnost dopolnjujejo z eno ali več nekmetijskimi dopolnilnimi dejavnostmi se povečuje</w:t>
      </w:r>
      <w:r w:rsidR="0072136F" w:rsidRPr="00BF7E57">
        <w:rPr>
          <w:rFonts w:ascii="Arial" w:hAnsi="Arial" w:cs="Arial"/>
          <w:color w:val="auto"/>
          <w:sz w:val="20"/>
          <w:szCs w:val="20"/>
          <w:lang w:val="sl-SI"/>
        </w:rPr>
        <w:t>. V letu 2020 je bilo takih kmetij 2.739 kar pomeni 815 kmetij oziroma 19,8 % več kmetij kot leta 2016. Povečuje se tudi povprečno število nekmetijskih dopolnilnih dejavnosti na kmetijo, ta je v letu 2020 znašal 2,4.</w:t>
      </w:r>
    </w:p>
    <w:p w14:paraId="47F23D80" w14:textId="59E7EBDA" w:rsidR="0072136F" w:rsidRPr="00BF7E57" w:rsidRDefault="00F1211D"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sz w:val="20"/>
          <w:szCs w:val="20"/>
          <w:lang w:val="sl-SI"/>
        </w:rPr>
        <w:t xml:space="preserve">V letu 2020 je </w:t>
      </w:r>
      <w:r w:rsidRPr="00BF7E57">
        <w:rPr>
          <w:rFonts w:ascii="Arial" w:hAnsi="Arial" w:cs="Arial"/>
          <w:b/>
          <w:sz w:val="20"/>
          <w:szCs w:val="20"/>
          <w:lang w:val="sl-SI"/>
        </w:rPr>
        <w:t>n</w:t>
      </w:r>
      <w:r w:rsidR="0072136F" w:rsidRPr="00BF7E57">
        <w:rPr>
          <w:rFonts w:ascii="Arial" w:hAnsi="Arial" w:cs="Arial"/>
          <w:b/>
          <w:sz w:val="20"/>
          <w:szCs w:val="20"/>
          <w:lang w:val="sl-SI"/>
        </w:rPr>
        <w:t>ajveč</w:t>
      </w:r>
      <w:r w:rsidR="00DF5799" w:rsidRPr="00BF7E57">
        <w:rPr>
          <w:rFonts w:ascii="Arial" w:hAnsi="Arial" w:cs="Arial"/>
          <w:b/>
          <w:sz w:val="20"/>
          <w:szCs w:val="20"/>
          <w:lang w:val="sl-SI"/>
        </w:rPr>
        <w:t xml:space="preserve"> nekmetijskih</w:t>
      </w:r>
      <w:r w:rsidR="0072136F" w:rsidRPr="00BF7E57">
        <w:rPr>
          <w:rFonts w:ascii="Arial" w:hAnsi="Arial" w:cs="Arial"/>
          <w:sz w:val="20"/>
          <w:szCs w:val="20"/>
          <w:lang w:val="sl-SI"/>
        </w:rPr>
        <w:t>, to je 1.811</w:t>
      </w:r>
      <w:r w:rsidR="00DF5799" w:rsidRPr="00BF7E57">
        <w:rPr>
          <w:rFonts w:ascii="Arial" w:hAnsi="Arial" w:cs="Arial"/>
          <w:sz w:val="20"/>
          <w:szCs w:val="20"/>
          <w:lang w:val="sl-SI"/>
        </w:rPr>
        <w:t>,</w:t>
      </w:r>
      <w:r w:rsidR="0072136F" w:rsidRPr="00BF7E57">
        <w:rPr>
          <w:rFonts w:ascii="Arial" w:hAnsi="Arial" w:cs="Arial"/>
          <w:sz w:val="20"/>
          <w:szCs w:val="20"/>
          <w:lang w:val="sl-SI"/>
        </w:rPr>
        <w:t xml:space="preserve"> </w:t>
      </w:r>
      <w:r w:rsidR="0072136F" w:rsidRPr="00BF7E57">
        <w:rPr>
          <w:rFonts w:ascii="Arial" w:hAnsi="Arial" w:cs="Arial"/>
          <w:b/>
          <w:sz w:val="20"/>
          <w:szCs w:val="20"/>
          <w:lang w:val="sl-SI"/>
        </w:rPr>
        <w:t>dopolnilnih dejavnosti povezanih s turizmom</w:t>
      </w:r>
      <w:r w:rsidR="0072136F" w:rsidRPr="00BF7E57">
        <w:rPr>
          <w:rFonts w:ascii="Arial" w:hAnsi="Arial" w:cs="Arial"/>
          <w:sz w:val="20"/>
          <w:szCs w:val="20"/>
          <w:lang w:val="sl-SI"/>
        </w:rPr>
        <w:t>,</w:t>
      </w:r>
      <w:r w:rsidRPr="00BF7E57">
        <w:rPr>
          <w:rFonts w:ascii="Arial" w:hAnsi="Arial" w:cs="Arial"/>
          <w:sz w:val="20"/>
          <w:szCs w:val="20"/>
          <w:lang w:val="sl-SI"/>
        </w:rPr>
        <w:t xml:space="preserve"> od tega</w:t>
      </w:r>
      <w:r w:rsidR="0072136F" w:rsidRPr="00BF7E57">
        <w:rPr>
          <w:rFonts w:ascii="Arial" w:hAnsi="Arial" w:cs="Arial"/>
          <w:sz w:val="20"/>
          <w:szCs w:val="20"/>
          <w:lang w:val="sl-SI"/>
        </w:rPr>
        <w:t xml:space="preserve"> se</w:t>
      </w:r>
      <w:r w:rsidR="00C279F4" w:rsidRPr="00BF7E57">
        <w:rPr>
          <w:rFonts w:ascii="Arial" w:hAnsi="Arial" w:cs="Arial"/>
          <w:sz w:val="20"/>
          <w:szCs w:val="20"/>
          <w:lang w:val="sl-SI"/>
        </w:rPr>
        <w:t xml:space="preserve"> pri</w:t>
      </w:r>
      <w:r w:rsidR="0072136F" w:rsidRPr="00BF7E57">
        <w:rPr>
          <w:rFonts w:ascii="Arial" w:hAnsi="Arial" w:cs="Arial"/>
          <w:sz w:val="20"/>
          <w:szCs w:val="20"/>
          <w:lang w:val="sl-SI"/>
        </w:rPr>
        <w:t xml:space="preserve"> 1.202 </w:t>
      </w:r>
      <w:r w:rsidRPr="00BF7E57">
        <w:rPr>
          <w:rFonts w:ascii="Arial" w:hAnsi="Arial" w:cs="Arial"/>
          <w:sz w:val="20"/>
          <w:szCs w:val="20"/>
          <w:lang w:val="sl-SI"/>
        </w:rPr>
        <w:t>opravlja</w:t>
      </w:r>
      <w:r w:rsidR="0072136F" w:rsidRPr="00BF7E57">
        <w:rPr>
          <w:rFonts w:ascii="Arial" w:hAnsi="Arial" w:cs="Arial"/>
          <w:sz w:val="20"/>
          <w:szCs w:val="20"/>
          <w:lang w:val="sl-SI"/>
        </w:rPr>
        <w:t xml:space="preserve"> kot dopolnilna dejavnost turizem, ki je gostinska dejavnost ter</w:t>
      </w:r>
      <w:r w:rsidR="00C279F4" w:rsidRPr="00BF7E57">
        <w:rPr>
          <w:rFonts w:ascii="Arial" w:hAnsi="Arial" w:cs="Arial"/>
          <w:sz w:val="20"/>
          <w:szCs w:val="20"/>
          <w:lang w:val="sl-SI"/>
        </w:rPr>
        <w:t xml:space="preserve"> pri</w:t>
      </w:r>
      <w:r w:rsidR="0072136F" w:rsidRPr="00BF7E57">
        <w:rPr>
          <w:rFonts w:ascii="Arial" w:hAnsi="Arial" w:cs="Arial"/>
          <w:sz w:val="20"/>
          <w:szCs w:val="20"/>
          <w:lang w:val="sl-SI"/>
        </w:rPr>
        <w:t xml:space="preserve"> 669 kot dopolnilna dejavnost turizem na kmetiji, ki ni gostinska dejavnost.</w:t>
      </w:r>
      <w:r w:rsidRPr="00BF7E57">
        <w:rPr>
          <w:rFonts w:ascii="Arial" w:hAnsi="Arial" w:cs="Arial"/>
          <w:sz w:val="20"/>
          <w:szCs w:val="20"/>
          <w:lang w:val="sl-SI"/>
        </w:rPr>
        <w:t xml:space="preserve"> Med vsemi nekmetijskimi dopolnilnimi dejavnostmi na kmetiji je v letu 2020 največkrat registrirana dopolnilna dejavnost »turistična kmetija z nastanitvijo« in sicer 578</w:t>
      </w:r>
      <w:r w:rsidR="00C279F4" w:rsidRPr="00BF7E57">
        <w:rPr>
          <w:rFonts w:ascii="Arial" w:hAnsi="Arial" w:cs="Arial"/>
          <w:sz w:val="20"/>
          <w:szCs w:val="20"/>
          <w:lang w:val="sl-SI"/>
        </w:rPr>
        <w:t>-</w:t>
      </w:r>
      <w:r w:rsidRPr="00BF7E57">
        <w:rPr>
          <w:rFonts w:ascii="Arial" w:hAnsi="Arial" w:cs="Arial"/>
          <w:sz w:val="20"/>
          <w:szCs w:val="20"/>
          <w:lang w:val="sl-SI"/>
        </w:rPr>
        <w:t>krat, druga največkrat registrirana pa je »izletniška kmetija« in sicer 484</w:t>
      </w:r>
      <w:r w:rsidR="00C279F4" w:rsidRPr="00BF7E57">
        <w:rPr>
          <w:rFonts w:ascii="Arial" w:hAnsi="Arial" w:cs="Arial"/>
          <w:sz w:val="20"/>
          <w:szCs w:val="20"/>
          <w:lang w:val="sl-SI"/>
        </w:rPr>
        <w:t>-</w:t>
      </w:r>
      <w:r w:rsidRPr="00BF7E57">
        <w:rPr>
          <w:rFonts w:ascii="Arial" w:hAnsi="Arial" w:cs="Arial"/>
          <w:sz w:val="20"/>
          <w:szCs w:val="20"/>
          <w:lang w:val="sl-SI"/>
        </w:rPr>
        <w:t>krat.</w:t>
      </w:r>
    </w:p>
    <w:p w14:paraId="53A44B25" w14:textId="6233B032" w:rsidR="009E0216" w:rsidRPr="00BF7E57" w:rsidRDefault="009E0216" w:rsidP="0072136F">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Turizem na podeželju je na nacionalni ravni uvrščen med deset vodilnih turističnih produktov v Sloveniji</w:t>
      </w:r>
      <w:r w:rsidRPr="00BF7E57">
        <w:rPr>
          <w:rFonts w:ascii="Arial" w:hAnsi="Arial" w:cs="Arial"/>
          <w:color w:val="auto"/>
          <w:sz w:val="20"/>
          <w:szCs w:val="20"/>
          <w:lang w:val="sl-SI"/>
        </w:rPr>
        <w:t xml:space="preserve">. Turizem v Sloveniji je v zadnjih letih hitro rastoča gospodarska panoga Po nočitvah turistov glede na število prebivalcev je Slovenija nad povprečjem držav članic EU-27, kar kaže na pomen turizma v Sloveniji. V Sloveniji je bila večina prenočitev turistov v letu 2018 na podeželju. Turizem na podeželju temelji na ponudbi turističnih kmetij, manjših ponudnikov in zidanic ter na </w:t>
      </w:r>
      <w:r w:rsidR="00FC16F5" w:rsidRPr="00BF7E57">
        <w:rPr>
          <w:rFonts w:ascii="Arial" w:hAnsi="Arial" w:cs="Arial"/>
          <w:color w:val="auto"/>
          <w:sz w:val="20"/>
          <w:szCs w:val="20"/>
          <w:lang w:val="sl-SI"/>
        </w:rPr>
        <w:t xml:space="preserve">pristnih </w:t>
      </w:r>
      <w:r w:rsidRPr="00BF7E57">
        <w:rPr>
          <w:rFonts w:ascii="Arial" w:hAnsi="Arial" w:cs="Arial"/>
          <w:color w:val="auto"/>
          <w:sz w:val="20"/>
          <w:szCs w:val="20"/>
          <w:lang w:val="sl-SI"/>
        </w:rPr>
        <w:t xml:space="preserve">doživetjih podeželja in je pomemben pospeševalec kmetijske proizvodnje, visokokakovostne </w:t>
      </w:r>
      <w:r w:rsidR="00FC16F5" w:rsidRPr="00BF7E57">
        <w:rPr>
          <w:rFonts w:ascii="Arial" w:hAnsi="Arial" w:cs="Arial"/>
          <w:color w:val="auto"/>
          <w:sz w:val="20"/>
          <w:szCs w:val="20"/>
          <w:lang w:val="sl-SI"/>
        </w:rPr>
        <w:t xml:space="preserve">pristne </w:t>
      </w:r>
      <w:r w:rsidRPr="00BF7E57">
        <w:rPr>
          <w:rFonts w:ascii="Arial" w:hAnsi="Arial" w:cs="Arial"/>
          <w:color w:val="auto"/>
          <w:sz w:val="20"/>
          <w:szCs w:val="20"/>
          <w:lang w:val="sl-SI"/>
        </w:rPr>
        <w:t>kulinarike,</w:t>
      </w:r>
      <w:r w:rsidR="00FC16F5" w:rsidRPr="00BF7E57">
        <w:rPr>
          <w:rFonts w:ascii="Arial" w:hAnsi="Arial" w:cs="Arial"/>
          <w:color w:val="auto"/>
          <w:sz w:val="20"/>
          <w:szCs w:val="20"/>
          <w:lang w:val="sl-SI"/>
        </w:rPr>
        <w:t xml:space="preserve"> vinarstva,</w:t>
      </w:r>
      <w:r w:rsidRPr="00BF7E57">
        <w:rPr>
          <w:rFonts w:ascii="Arial" w:hAnsi="Arial" w:cs="Arial"/>
          <w:color w:val="auto"/>
          <w:sz w:val="20"/>
          <w:szCs w:val="20"/>
          <w:lang w:val="sl-SI"/>
        </w:rPr>
        <w:t xml:space="preserve"> </w:t>
      </w:r>
      <w:r w:rsidR="00FC16F5" w:rsidRPr="00BF7E57">
        <w:rPr>
          <w:rFonts w:ascii="Arial" w:hAnsi="Arial" w:cs="Arial"/>
          <w:color w:val="auto"/>
          <w:sz w:val="20"/>
          <w:szCs w:val="20"/>
          <w:lang w:val="sl-SI"/>
        </w:rPr>
        <w:t xml:space="preserve">izvirne </w:t>
      </w:r>
      <w:r w:rsidRPr="00BF7E57">
        <w:rPr>
          <w:rFonts w:ascii="Arial" w:hAnsi="Arial" w:cs="Arial"/>
          <w:color w:val="auto"/>
          <w:sz w:val="20"/>
          <w:szCs w:val="20"/>
          <w:lang w:val="sl-SI"/>
        </w:rPr>
        <w:t xml:space="preserve">nastanitvene ponudbe in številnih doživetij v stiku z naravo, kulturo in ljudmi. </w:t>
      </w:r>
      <w:r w:rsidR="00680CD5" w:rsidRPr="00BF7E57">
        <w:rPr>
          <w:rFonts w:ascii="Arial" w:hAnsi="Arial" w:cs="Arial"/>
          <w:color w:val="auto"/>
          <w:sz w:val="20"/>
          <w:szCs w:val="20"/>
          <w:lang w:val="sl-SI"/>
        </w:rPr>
        <w:t xml:space="preserve">Na turizem </w:t>
      </w:r>
      <w:r w:rsidR="00C279F4" w:rsidRPr="00BF7E57">
        <w:rPr>
          <w:rFonts w:ascii="Arial" w:hAnsi="Arial" w:cs="Arial"/>
          <w:color w:val="auto"/>
          <w:sz w:val="20"/>
          <w:szCs w:val="20"/>
          <w:lang w:val="sl-SI"/>
        </w:rPr>
        <w:t>j</w:t>
      </w:r>
      <w:r w:rsidR="00680CD5" w:rsidRPr="00BF7E57">
        <w:rPr>
          <w:rFonts w:ascii="Arial" w:hAnsi="Arial" w:cs="Arial"/>
          <w:color w:val="auto"/>
          <w:sz w:val="20"/>
          <w:szCs w:val="20"/>
          <w:lang w:val="sl-SI"/>
        </w:rPr>
        <w:t xml:space="preserve">e leta 2020 sicer močno vplivala razglasitev epidemije in spremljajoči ukrepi, zaradi česar je bilo do konca avgusta za polovico manj prihodov turistov in za </w:t>
      </w:r>
      <w:r w:rsidR="005A3B16" w:rsidRPr="00BF7E57">
        <w:rPr>
          <w:rFonts w:ascii="Arial" w:hAnsi="Arial" w:cs="Arial"/>
          <w:color w:val="auto"/>
          <w:sz w:val="20"/>
          <w:szCs w:val="20"/>
          <w:lang w:val="sl-SI"/>
        </w:rPr>
        <w:t>40 %</w:t>
      </w:r>
      <w:r w:rsidR="00680CD5" w:rsidRPr="00BF7E57">
        <w:rPr>
          <w:rFonts w:ascii="Arial" w:hAnsi="Arial" w:cs="Arial"/>
          <w:color w:val="auto"/>
          <w:sz w:val="20"/>
          <w:szCs w:val="20"/>
          <w:lang w:val="sl-SI"/>
        </w:rPr>
        <w:t xml:space="preserve"> manj prenočitev gostov.</w:t>
      </w:r>
    </w:p>
    <w:p w14:paraId="60E3A601" w14:textId="2BB73840" w:rsidR="009E0216" w:rsidRPr="00BF7E57" w:rsidRDefault="009E0216" w:rsidP="00A05198">
      <w:pPr>
        <w:pStyle w:val="ZPpregtevilke"/>
        <w:numPr>
          <w:ilvl w:val="0"/>
          <w:numId w:val="37"/>
        </w:numPr>
        <w:spacing w:before="200" w:after="200" w:line="360" w:lineRule="auto"/>
        <w:ind w:left="714" w:hanging="357"/>
        <w:jc w:val="both"/>
        <w:rPr>
          <w:sz w:val="20"/>
          <w:szCs w:val="20"/>
        </w:rPr>
      </w:pPr>
      <w:r w:rsidRPr="00BF7E57">
        <w:rPr>
          <w:b/>
          <w:sz w:val="20"/>
          <w:szCs w:val="20"/>
        </w:rPr>
        <w:lastRenderedPageBreak/>
        <w:t>Slovenija ima le 13 bioplinarn</w:t>
      </w:r>
      <w:r w:rsidRPr="00BF7E57">
        <w:rPr>
          <w:sz w:val="20"/>
          <w:szCs w:val="20"/>
        </w:rPr>
        <w:t xml:space="preserve"> na 1 mio prebivalcev kar jo uvršča v spodnjo polovico EU držav.</w:t>
      </w:r>
      <w:r w:rsidR="00F1211D" w:rsidRPr="00BF7E57">
        <w:rPr>
          <w:sz w:val="20"/>
          <w:szCs w:val="20"/>
        </w:rPr>
        <w:t xml:space="preserve"> Le ena kmetija ima registrirano dopolnilno dejavnost »</w:t>
      </w:r>
      <w:r w:rsidR="00F1211D" w:rsidRPr="00BF7E57">
        <w:rPr>
          <w:color w:val="000000"/>
          <w:sz w:val="20"/>
          <w:szCs w:val="20"/>
        </w:rPr>
        <w:t>Proizvodnja in prodaja energije iz gnoja, gnojevke in gnojnice ter rastlinskega substrata«.</w:t>
      </w:r>
    </w:p>
    <w:p w14:paraId="18644CDB" w14:textId="677960A5" w:rsidR="009E0216" w:rsidRPr="00BF7E57" w:rsidRDefault="009E0216" w:rsidP="00A05198">
      <w:pPr>
        <w:pStyle w:val="ZPpregtevilke"/>
        <w:numPr>
          <w:ilvl w:val="0"/>
          <w:numId w:val="37"/>
        </w:numPr>
        <w:spacing w:before="200" w:after="200" w:line="360" w:lineRule="auto"/>
        <w:ind w:left="714" w:hanging="357"/>
        <w:jc w:val="both"/>
        <w:rPr>
          <w:sz w:val="20"/>
          <w:szCs w:val="20"/>
        </w:rPr>
      </w:pPr>
      <w:r w:rsidRPr="00BF7E57">
        <w:rPr>
          <w:b/>
          <w:sz w:val="20"/>
          <w:szCs w:val="20"/>
        </w:rPr>
        <w:t>Glede na ocenjen potencial biomase iz kmetijstva in gozdarstva ta predstavlja velik</w:t>
      </w:r>
      <w:r w:rsidR="00B63CEA" w:rsidRPr="00BF7E57">
        <w:rPr>
          <w:b/>
          <w:sz w:val="20"/>
          <w:szCs w:val="20"/>
        </w:rPr>
        <w:t>,</w:t>
      </w:r>
      <w:r w:rsidRPr="00BF7E57">
        <w:rPr>
          <w:b/>
          <w:sz w:val="20"/>
          <w:szCs w:val="20"/>
        </w:rPr>
        <w:t xml:space="preserve"> vendar ne dovolj izkoriščen vir</w:t>
      </w:r>
      <w:r w:rsidRPr="00BF7E57">
        <w:rPr>
          <w:sz w:val="20"/>
          <w:szCs w:val="20"/>
        </w:rPr>
        <w:t xml:space="preserve"> za pokrivanje potreb po obnovljivih virih energije.</w:t>
      </w:r>
    </w:p>
    <w:p w14:paraId="5AE534E4" w14:textId="305F7648"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color w:val="auto"/>
          <w:sz w:val="20"/>
          <w:szCs w:val="20"/>
          <w:lang w:val="sl-SI"/>
        </w:rPr>
        <w:t>Bruto dodana vrednost na zaposlenega na področju biogospodarstva občutno zaostaja za povprečjem EU.</w:t>
      </w:r>
    </w:p>
    <w:p w14:paraId="594965BF" w14:textId="77777777" w:rsidR="00DC6E28" w:rsidRPr="00BF7E57" w:rsidRDefault="00DC6E28" w:rsidP="00DC6E28">
      <w:pPr>
        <w:pStyle w:val="Default"/>
        <w:spacing w:before="200" w:after="200" w:line="360" w:lineRule="auto"/>
        <w:ind w:left="714"/>
        <w:jc w:val="both"/>
        <w:rPr>
          <w:rFonts w:ascii="Arial" w:hAnsi="Arial" w:cs="Arial"/>
          <w:color w:val="auto"/>
          <w:sz w:val="20"/>
          <w:szCs w:val="20"/>
          <w:lang w:val="sl-SI"/>
        </w:rPr>
      </w:pPr>
    </w:p>
    <w:p w14:paraId="56B9BEF7" w14:textId="6D974C99" w:rsidR="009E0216" w:rsidRPr="00BF7E57" w:rsidRDefault="005D1C85"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198" w:name="_Toc24541842"/>
      <w:bookmarkStart w:id="199" w:name="_Toc86826383"/>
      <w:r w:rsidRPr="00BF7E57">
        <w:rPr>
          <w:rFonts w:ascii="Arial" w:hAnsi="Arial" w:cs="Arial"/>
          <w:color w:val="auto"/>
          <w:sz w:val="24"/>
          <w:szCs w:val="24"/>
        </w:rPr>
        <w:t xml:space="preserve">4 </w:t>
      </w:r>
      <w:r w:rsidR="009E0216" w:rsidRPr="00BF7E57">
        <w:rPr>
          <w:rFonts w:ascii="Arial" w:hAnsi="Arial" w:cs="Arial"/>
          <w:color w:val="auto"/>
          <w:sz w:val="24"/>
          <w:szCs w:val="24"/>
        </w:rPr>
        <w:t>TRAJNOSTNO GOZDARSTVO</w:t>
      </w:r>
      <w:bookmarkEnd w:id="199"/>
    </w:p>
    <w:p w14:paraId="5FCDD6D4" w14:textId="77777777" w:rsidR="009E0216" w:rsidRPr="00BF7E57" w:rsidRDefault="009E0216" w:rsidP="00EA2E4C">
      <w:pPr>
        <w:pStyle w:val="tevilnatoka"/>
        <w:numPr>
          <w:ilvl w:val="0"/>
          <w:numId w:val="0"/>
        </w:numPr>
        <w:spacing w:line="360" w:lineRule="auto"/>
        <w:ind w:left="425" w:hanging="425"/>
        <w:rPr>
          <w:sz w:val="20"/>
          <w:szCs w:val="20"/>
        </w:rPr>
      </w:pPr>
      <w:r w:rsidRPr="00BF7E57">
        <w:rPr>
          <w:sz w:val="20"/>
          <w:szCs w:val="20"/>
        </w:rPr>
        <w:t>Gozdarstvo se bo naslavljalo v okviru specifičnega cilja 2.</w:t>
      </w:r>
    </w:p>
    <w:p w14:paraId="76B7688A" w14:textId="77777777" w:rsidR="009E0216" w:rsidRPr="00BF7E57" w:rsidRDefault="009E0216" w:rsidP="00BE756C">
      <w:pPr>
        <w:pStyle w:val="tevilnatoka"/>
        <w:numPr>
          <w:ilvl w:val="0"/>
          <w:numId w:val="0"/>
        </w:numPr>
        <w:spacing w:before="200" w:after="200" w:line="360" w:lineRule="auto"/>
        <w:ind w:left="425" w:hanging="425"/>
        <w:rPr>
          <w:sz w:val="20"/>
          <w:szCs w:val="20"/>
        </w:rPr>
      </w:pPr>
    </w:p>
    <w:p w14:paraId="2CA7AAEB" w14:textId="6AD717BF" w:rsidR="009E0216" w:rsidRPr="00BF7E57" w:rsidRDefault="005D1C85"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200" w:name="_Toc86826384"/>
      <w:r w:rsidRPr="00BF7E57">
        <w:rPr>
          <w:rFonts w:ascii="Arial" w:hAnsi="Arial" w:cs="Arial"/>
          <w:color w:val="auto"/>
          <w:sz w:val="24"/>
          <w:szCs w:val="24"/>
        </w:rPr>
        <w:t xml:space="preserve">5 </w:t>
      </w:r>
      <w:r w:rsidR="009E0216" w:rsidRPr="00BF7E57">
        <w:rPr>
          <w:rFonts w:ascii="Arial" w:hAnsi="Arial" w:cs="Arial"/>
          <w:color w:val="auto"/>
          <w:sz w:val="24"/>
          <w:szCs w:val="24"/>
        </w:rPr>
        <w:t>DOSEDANJE IZKUŠNJE</w:t>
      </w:r>
      <w:bookmarkEnd w:id="198"/>
      <w:bookmarkEnd w:id="200"/>
      <w:r w:rsidR="009E0216" w:rsidRPr="00BF7E57">
        <w:rPr>
          <w:rFonts w:ascii="Arial" w:hAnsi="Arial" w:cs="Arial"/>
          <w:color w:val="auto"/>
          <w:sz w:val="24"/>
          <w:szCs w:val="24"/>
        </w:rPr>
        <w:t xml:space="preserve"> </w:t>
      </w:r>
    </w:p>
    <w:p w14:paraId="49D62BB5" w14:textId="0B665A7A" w:rsidR="009E0216" w:rsidRPr="00BF7E57" w:rsidRDefault="003E4A64" w:rsidP="008D32AC">
      <w:pPr>
        <w:pStyle w:val="tevilnatoka11Nova"/>
        <w:keepNext/>
        <w:numPr>
          <w:ilvl w:val="0"/>
          <w:numId w:val="0"/>
        </w:numPr>
        <w:tabs>
          <w:tab w:val="clear" w:pos="4297"/>
        </w:tabs>
        <w:spacing w:before="200" w:after="200" w:line="360" w:lineRule="auto"/>
        <w:outlineLvl w:val="1"/>
        <w:rPr>
          <w:b/>
          <w:sz w:val="24"/>
          <w:szCs w:val="24"/>
        </w:rPr>
      </w:pPr>
      <w:bookmarkStart w:id="201" w:name="_Toc86826385"/>
      <w:r w:rsidRPr="00BF7E57">
        <w:rPr>
          <w:b/>
          <w:sz w:val="24"/>
          <w:szCs w:val="24"/>
        </w:rPr>
        <w:t xml:space="preserve">5.1 </w:t>
      </w:r>
      <w:r w:rsidR="009E0216" w:rsidRPr="00BF7E57">
        <w:rPr>
          <w:b/>
          <w:sz w:val="24"/>
          <w:szCs w:val="24"/>
        </w:rPr>
        <w:t>Analiza izvajanja ukrepov, povezanih s spodbujanjem razvoja podjetij in podjetništva na podeželskih območjih ter podpore v internet</w:t>
      </w:r>
      <w:bookmarkEnd w:id="201"/>
    </w:p>
    <w:p w14:paraId="122720AC" w14:textId="3760D2D0" w:rsidR="009E0216" w:rsidRPr="00BF7E57" w:rsidRDefault="009E0216" w:rsidP="00BE756C">
      <w:pPr>
        <w:keepNext/>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V programskem obdobju 2007-2013 </w:t>
      </w:r>
      <w:r w:rsidR="00643D4D" w:rsidRPr="00BF7E57">
        <w:rPr>
          <w:rFonts w:ascii="Arial" w:hAnsi="Arial" w:cs="Arial"/>
          <w:sz w:val="20"/>
          <w:szCs w:val="20"/>
        </w:rPr>
        <w:t xml:space="preserve">so se </w:t>
      </w:r>
      <w:r w:rsidRPr="00BF7E57">
        <w:rPr>
          <w:rFonts w:ascii="Arial" w:hAnsi="Arial" w:cs="Arial"/>
          <w:sz w:val="20"/>
          <w:szCs w:val="20"/>
        </w:rPr>
        <w:t xml:space="preserve">spodbude v podjetništvo na podeželju podpirale v okviru Ukrepa 311 Diverzifikacija v nekmetijske dejavnosti in Ukrepa 312 Podpora ustanavljanju in razvoju mikropodjetij. </w:t>
      </w:r>
    </w:p>
    <w:p w14:paraId="021D1D90"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V obdobju izvajanja ukrepa 311 Diverzifikacija v nekmetijske dejavnosti je bilo v programskem obdobju 2007–2013 podprtih 315 projektov, pri čemer je bilo povprečno izplačilo na projekt 90.329 EUR, skupna vrednost naložbe na projekt pa 217.810 EUR. Največ izplačanih sredstev je bilo za naložbe v turizem in gostinsko dejavnost na kmetijah (59 %) in naložbe v rabo obnovljivih virov energije (25 %), kjer je bil največji del sredstev namenjen izgradnji in postavitvi sončnih elektrarn (64 %) ter naložbam v povezavi z lesno biomaso (26 %). Glede na status so prevladovale fizične osebe z dopolnilno dejavnostjo na kmetiji (66 %), sledijo fizične osebe samostojni podjetniki (26 %) ter gospodarske družbe. Povprečna starost vlagatelja fizične osebe je bila 42 let. </w:t>
      </w:r>
    </w:p>
    <w:p w14:paraId="3203BDD5" w14:textId="7B30CC7B"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V okviru izvajanja ukrepa 312 Podpora ustanavljanju in razvoju mikropodjetij je bilo v programskem obdobju 2007–2013 podprtih 454 vlog. Povprečno je bilo na vlogo izplačanih 105.622 EUR. Glede na status vlagatelja so prevladovale gospodarske družbe (53 %) in fizične osebe samostojni podjetniki (46 %). Glede na naložbe je bilo največ izplačanih sredstev namenjenih vlagateljem, ki se ukvarjajo s proizvodnjo kovinskih izdelkov (23 %), z gostinstvom in turizmom (21 %), proizvodnjo pohištva (16 %) ter obdelavo in predelavo lesa (9 %). Glede na vrsto naložbe je bilo največ podprtih projektov vezanih na nakup strojev in opreme (67 %) ter gradnjo in obnovo objektov (23 %). V okviru podprtih naložb iz naslova tega ukrepa je bilo skupaj ustvarjenih 757 novih delovnih mest, BDV na zaposlenega pa se je </w:t>
      </w:r>
      <w:r w:rsidRPr="00BF7E57">
        <w:rPr>
          <w:rFonts w:ascii="Arial" w:hAnsi="Arial" w:cs="Arial"/>
          <w:sz w:val="20"/>
          <w:szCs w:val="20"/>
        </w:rPr>
        <w:lastRenderedPageBreak/>
        <w:t xml:space="preserve">povečala za 2.391 EUR. Ciljna vrednost dodatnega nacionalnega kazalnika učinka je bila do konca leta 2015 podpreti 140 turističnih projektov, dejansko pa je bilo podprtih 76 turističnih projektov, kar predstavlja 54 % ciljne vrednosti. Ukrep naj bi preko naložb v gostinske nastanitvene dejavnosti posredno prispeval tudi k povečanju števila turistov, in sicer za 20 %. Na podlagi podatkov iz prejetih poročil je bil pri podprtih naložbah v gostinstvo in turizem izračunan indeks 190, kar pomeni, da je predviden cilj presežen. </w:t>
      </w:r>
    </w:p>
    <w:p w14:paraId="549667C7"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V programskem obdobju PRP 2007-2013 je bilo podprtih skupno 239 vlog v dejavnosti: Turizem in gostinstvo, v skupni vrednosti 26,88 mio EUR.</w:t>
      </w:r>
    </w:p>
    <w:p w14:paraId="02B8D49F" w14:textId="6F4EF8A4" w:rsidR="00B263CA" w:rsidRPr="00BF7E57" w:rsidRDefault="00B263CA" w:rsidP="00A5125A">
      <w:pPr>
        <w:pStyle w:val="Napis"/>
      </w:pPr>
      <w:bookmarkStart w:id="202" w:name="_Toc86826478"/>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40</w:t>
      </w:r>
      <w:r w:rsidR="00A30B83" w:rsidRPr="00BF7E57">
        <w:rPr>
          <w:noProof/>
        </w:rPr>
        <w:fldChar w:fldCharType="end"/>
      </w:r>
      <w:r w:rsidRPr="00BF7E57">
        <w:t>: Podpore v okviru PRP 2007–2013 na področju turizma in gostinstva</w:t>
      </w:r>
      <w:bookmarkEnd w:id="202"/>
    </w:p>
    <w:p w14:paraId="1AE3548C" w14:textId="1061E348" w:rsidR="009E0216" w:rsidRPr="00BF7E57" w:rsidRDefault="009E0216" w:rsidP="00A5125A">
      <w:pPr>
        <w:pStyle w:val="Napis"/>
      </w:pPr>
    </w:p>
    <w:tbl>
      <w:tblPr>
        <w:tblW w:w="8856" w:type="dxa"/>
        <w:tblInd w:w="70" w:type="dxa"/>
        <w:tblLayout w:type="fixed"/>
        <w:tblCellMar>
          <w:left w:w="70" w:type="dxa"/>
          <w:right w:w="70" w:type="dxa"/>
        </w:tblCellMar>
        <w:tblLook w:val="04A0" w:firstRow="1" w:lastRow="0" w:firstColumn="1" w:lastColumn="0" w:noHBand="0" w:noVBand="1"/>
      </w:tblPr>
      <w:tblGrid>
        <w:gridCol w:w="2200"/>
        <w:gridCol w:w="2218"/>
        <w:gridCol w:w="2219"/>
        <w:gridCol w:w="2219"/>
      </w:tblGrid>
      <w:tr w:rsidR="009D2C9D" w:rsidRPr="00BF7E57" w14:paraId="5E5F8995" w14:textId="77777777" w:rsidTr="00E77D01">
        <w:trPr>
          <w:trHeight w:val="1020"/>
        </w:trPr>
        <w:tc>
          <w:tcPr>
            <w:tcW w:w="2200"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FB5B2C7" w14:textId="7F1A1A25" w:rsidR="00AD14FB" w:rsidRPr="00BF7E57" w:rsidRDefault="00AD14FB" w:rsidP="009D2C9D">
            <w:pPr>
              <w:keepNext/>
              <w:keepLines/>
              <w:spacing w:before="60" w:after="60" w:line="240" w:lineRule="auto"/>
              <w:rPr>
                <w:rFonts w:ascii="Arial" w:eastAsia="Times New Roman" w:hAnsi="Arial" w:cs="Arial"/>
                <w:lang w:eastAsia="sl-SI"/>
              </w:rPr>
            </w:pPr>
            <w:r w:rsidRPr="00BF7E57">
              <w:rPr>
                <w:rFonts w:ascii="Arial" w:eastAsia="Times New Roman" w:hAnsi="Arial" w:cs="Arial"/>
                <w:lang w:eastAsia="sl-SI"/>
              </w:rPr>
              <w:t> </w:t>
            </w:r>
          </w:p>
        </w:tc>
        <w:tc>
          <w:tcPr>
            <w:tcW w:w="2218" w:type="dxa"/>
            <w:tcBorders>
              <w:top w:val="single" w:sz="4" w:space="0" w:color="auto"/>
              <w:left w:val="nil"/>
              <w:bottom w:val="single" w:sz="4" w:space="0" w:color="auto"/>
              <w:right w:val="single" w:sz="4" w:space="0" w:color="auto"/>
            </w:tcBorders>
            <w:shd w:val="clear" w:color="auto" w:fill="92D050"/>
            <w:vAlign w:val="center"/>
            <w:hideMark/>
          </w:tcPr>
          <w:p w14:paraId="68983E3A" w14:textId="0CB39A71" w:rsidR="00AD14FB" w:rsidRPr="00BF7E57" w:rsidRDefault="00AD14FB" w:rsidP="009D2C9D">
            <w:pPr>
              <w:keepNext/>
              <w:keepLines/>
              <w:spacing w:before="60" w:after="60" w:line="240" w:lineRule="auto"/>
              <w:jc w:val="center"/>
              <w:rPr>
                <w:rFonts w:ascii="Arial" w:eastAsia="Times New Roman" w:hAnsi="Arial" w:cs="Arial"/>
                <w:b/>
                <w:sz w:val="20"/>
                <w:szCs w:val="20"/>
                <w:lang w:eastAsia="sl-SI"/>
              </w:rPr>
            </w:pPr>
            <w:r w:rsidRPr="00BF7E57">
              <w:rPr>
                <w:rFonts w:ascii="Arial" w:eastAsia="Times New Roman" w:hAnsi="Arial" w:cs="Arial"/>
                <w:b/>
                <w:sz w:val="20"/>
                <w:szCs w:val="20"/>
                <w:lang w:eastAsia="sl-SI"/>
              </w:rPr>
              <w:t xml:space="preserve">311 </w:t>
            </w:r>
            <w:r w:rsidR="003E4A64" w:rsidRPr="00BF7E57">
              <w:rPr>
                <w:rFonts w:ascii="Arial" w:eastAsia="Times New Roman" w:hAnsi="Arial" w:cs="Arial"/>
                <w:b/>
                <w:sz w:val="20"/>
                <w:szCs w:val="20"/>
                <w:lang w:eastAsia="sl-SI"/>
              </w:rPr>
              <w:t>–</w:t>
            </w:r>
            <w:r w:rsidRPr="00BF7E57">
              <w:rPr>
                <w:rFonts w:ascii="Arial" w:eastAsia="Times New Roman" w:hAnsi="Arial" w:cs="Arial"/>
                <w:b/>
                <w:sz w:val="20"/>
                <w:szCs w:val="20"/>
                <w:lang w:eastAsia="sl-SI"/>
              </w:rPr>
              <w:t xml:space="preserve"> Diverzifikacija v nekmetijske dejavnosti</w:t>
            </w:r>
          </w:p>
        </w:tc>
        <w:tc>
          <w:tcPr>
            <w:tcW w:w="2219" w:type="dxa"/>
            <w:tcBorders>
              <w:top w:val="single" w:sz="4" w:space="0" w:color="auto"/>
              <w:left w:val="nil"/>
              <w:bottom w:val="single" w:sz="4" w:space="0" w:color="auto"/>
              <w:right w:val="single" w:sz="4" w:space="0" w:color="auto"/>
            </w:tcBorders>
            <w:shd w:val="clear" w:color="auto" w:fill="92D050"/>
            <w:vAlign w:val="center"/>
            <w:hideMark/>
          </w:tcPr>
          <w:p w14:paraId="33983148" w14:textId="55A36E50" w:rsidR="00AD14FB" w:rsidRPr="00BF7E57" w:rsidRDefault="00AD14FB" w:rsidP="009D2C9D">
            <w:pPr>
              <w:keepNext/>
              <w:keepLines/>
              <w:spacing w:before="60" w:after="60" w:line="240" w:lineRule="auto"/>
              <w:jc w:val="center"/>
              <w:rPr>
                <w:rFonts w:ascii="Arial" w:eastAsia="Times New Roman" w:hAnsi="Arial" w:cs="Arial"/>
                <w:b/>
                <w:sz w:val="20"/>
                <w:szCs w:val="20"/>
                <w:lang w:eastAsia="sl-SI"/>
              </w:rPr>
            </w:pPr>
            <w:r w:rsidRPr="00BF7E57">
              <w:rPr>
                <w:rFonts w:ascii="Arial" w:eastAsia="Times New Roman" w:hAnsi="Arial" w:cs="Arial"/>
                <w:b/>
                <w:sz w:val="20"/>
                <w:szCs w:val="20"/>
                <w:lang w:eastAsia="sl-SI"/>
              </w:rPr>
              <w:t xml:space="preserve">312 </w:t>
            </w:r>
            <w:r w:rsidR="003E4A64" w:rsidRPr="00BF7E57">
              <w:rPr>
                <w:rFonts w:ascii="Arial" w:eastAsia="Times New Roman" w:hAnsi="Arial" w:cs="Arial"/>
                <w:b/>
                <w:sz w:val="20"/>
                <w:szCs w:val="20"/>
                <w:lang w:eastAsia="sl-SI"/>
              </w:rPr>
              <w:t>–</w:t>
            </w:r>
            <w:r w:rsidRPr="00BF7E57">
              <w:rPr>
                <w:rFonts w:ascii="Arial" w:eastAsia="Times New Roman" w:hAnsi="Arial" w:cs="Arial"/>
                <w:b/>
                <w:sz w:val="20"/>
                <w:szCs w:val="20"/>
                <w:lang w:eastAsia="sl-SI"/>
              </w:rPr>
              <w:t xml:space="preserve"> Podpora ustanavljanju in razvoju mikropodjeti</w:t>
            </w:r>
            <w:r w:rsidR="003E4A64" w:rsidRPr="00BF7E57">
              <w:rPr>
                <w:rFonts w:ascii="Arial" w:eastAsia="Times New Roman" w:hAnsi="Arial" w:cs="Arial"/>
                <w:b/>
                <w:sz w:val="20"/>
                <w:szCs w:val="20"/>
                <w:lang w:eastAsia="sl-SI"/>
              </w:rPr>
              <w:t>j</w:t>
            </w:r>
          </w:p>
        </w:tc>
        <w:tc>
          <w:tcPr>
            <w:tcW w:w="2219" w:type="dxa"/>
            <w:tcBorders>
              <w:top w:val="single" w:sz="4" w:space="0" w:color="auto"/>
              <w:left w:val="nil"/>
              <w:bottom w:val="single" w:sz="4" w:space="0" w:color="auto"/>
              <w:right w:val="single" w:sz="4" w:space="0" w:color="auto"/>
            </w:tcBorders>
            <w:shd w:val="clear" w:color="auto" w:fill="92D050"/>
            <w:vAlign w:val="center"/>
            <w:hideMark/>
          </w:tcPr>
          <w:p w14:paraId="70A75472" w14:textId="77777777" w:rsidR="00AD14FB" w:rsidRPr="00BF7E57" w:rsidRDefault="00AD14FB" w:rsidP="009D2C9D">
            <w:pPr>
              <w:keepNext/>
              <w:keepLines/>
              <w:spacing w:before="60" w:after="60" w:line="240" w:lineRule="auto"/>
              <w:jc w:val="center"/>
              <w:rPr>
                <w:rFonts w:ascii="Arial" w:eastAsia="Times New Roman" w:hAnsi="Arial" w:cs="Arial"/>
                <w:b/>
                <w:sz w:val="20"/>
                <w:szCs w:val="20"/>
                <w:lang w:eastAsia="sl-SI"/>
              </w:rPr>
            </w:pPr>
            <w:r w:rsidRPr="00BF7E57">
              <w:rPr>
                <w:rFonts w:ascii="Arial" w:eastAsia="Times New Roman" w:hAnsi="Arial" w:cs="Arial"/>
                <w:b/>
                <w:sz w:val="20"/>
                <w:szCs w:val="20"/>
                <w:lang w:eastAsia="sl-SI"/>
              </w:rPr>
              <w:t>SKUPAJ</w:t>
            </w:r>
          </w:p>
        </w:tc>
      </w:tr>
      <w:tr w:rsidR="009D2C9D" w:rsidRPr="00BF7E57" w14:paraId="79361DAA"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22DEFD3" w14:textId="77777777"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Št. prejetih vlog</w:t>
            </w:r>
          </w:p>
        </w:tc>
        <w:tc>
          <w:tcPr>
            <w:tcW w:w="2218" w:type="dxa"/>
            <w:tcBorders>
              <w:top w:val="nil"/>
              <w:left w:val="nil"/>
              <w:bottom w:val="single" w:sz="4" w:space="0" w:color="auto"/>
              <w:right w:val="single" w:sz="4" w:space="0" w:color="auto"/>
            </w:tcBorders>
            <w:shd w:val="clear" w:color="auto" w:fill="auto"/>
            <w:noWrap/>
            <w:vAlign w:val="center"/>
            <w:hideMark/>
          </w:tcPr>
          <w:p w14:paraId="07562B33"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311</w:t>
            </w:r>
          </w:p>
        </w:tc>
        <w:tc>
          <w:tcPr>
            <w:tcW w:w="2219" w:type="dxa"/>
            <w:tcBorders>
              <w:top w:val="nil"/>
              <w:left w:val="nil"/>
              <w:bottom w:val="single" w:sz="4" w:space="0" w:color="auto"/>
              <w:right w:val="single" w:sz="4" w:space="0" w:color="auto"/>
            </w:tcBorders>
            <w:shd w:val="clear" w:color="auto" w:fill="auto"/>
            <w:noWrap/>
            <w:vAlign w:val="center"/>
            <w:hideMark/>
          </w:tcPr>
          <w:p w14:paraId="0FC40A30"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213</w:t>
            </w:r>
          </w:p>
        </w:tc>
        <w:tc>
          <w:tcPr>
            <w:tcW w:w="2219" w:type="dxa"/>
            <w:tcBorders>
              <w:top w:val="nil"/>
              <w:left w:val="nil"/>
              <w:bottom w:val="single" w:sz="4" w:space="0" w:color="auto"/>
              <w:right w:val="single" w:sz="4" w:space="0" w:color="auto"/>
            </w:tcBorders>
            <w:shd w:val="clear" w:color="auto" w:fill="auto"/>
            <w:noWrap/>
            <w:vAlign w:val="center"/>
            <w:hideMark/>
          </w:tcPr>
          <w:p w14:paraId="6EC791ED"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524</w:t>
            </w:r>
          </w:p>
        </w:tc>
      </w:tr>
      <w:tr w:rsidR="009D2C9D" w:rsidRPr="00BF7E57" w14:paraId="6156D35F"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C1D0A9B" w14:textId="77777777"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Št. odobrenih vlog</w:t>
            </w:r>
          </w:p>
        </w:tc>
        <w:tc>
          <w:tcPr>
            <w:tcW w:w="2218" w:type="dxa"/>
            <w:tcBorders>
              <w:top w:val="nil"/>
              <w:left w:val="nil"/>
              <w:bottom w:val="single" w:sz="4" w:space="0" w:color="auto"/>
              <w:right w:val="single" w:sz="4" w:space="0" w:color="auto"/>
            </w:tcBorders>
            <w:shd w:val="clear" w:color="auto" w:fill="auto"/>
            <w:noWrap/>
            <w:vAlign w:val="center"/>
            <w:hideMark/>
          </w:tcPr>
          <w:p w14:paraId="712C9BEC"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174</w:t>
            </w:r>
          </w:p>
        </w:tc>
        <w:tc>
          <w:tcPr>
            <w:tcW w:w="2219" w:type="dxa"/>
            <w:tcBorders>
              <w:top w:val="nil"/>
              <w:left w:val="nil"/>
              <w:bottom w:val="single" w:sz="4" w:space="0" w:color="auto"/>
              <w:right w:val="single" w:sz="4" w:space="0" w:color="auto"/>
            </w:tcBorders>
            <w:shd w:val="clear" w:color="auto" w:fill="auto"/>
            <w:noWrap/>
            <w:vAlign w:val="center"/>
            <w:hideMark/>
          </w:tcPr>
          <w:p w14:paraId="57668EBD"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81</w:t>
            </w:r>
          </w:p>
        </w:tc>
        <w:tc>
          <w:tcPr>
            <w:tcW w:w="2219" w:type="dxa"/>
            <w:tcBorders>
              <w:top w:val="nil"/>
              <w:left w:val="nil"/>
              <w:bottom w:val="single" w:sz="4" w:space="0" w:color="auto"/>
              <w:right w:val="single" w:sz="4" w:space="0" w:color="auto"/>
            </w:tcBorders>
            <w:shd w:val="clear" w:color="auto" w:fill="auto"/>
            <w:noWrap/>
            <w:vAlign w:val="center"/>
            <w:hideMark/>
          </w:tcPr>
          <w:p w14:paraId="147ED8FB"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255</w:t>
            </w:r>
          </w:p>
        </w:tc>
      </w:tr>
      <w:tr w:rsidR="009D2C9D" w:rsidRPr="00BF7E57" w14:paraId="731014F3"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AF7DA92" w14:textId="77777777"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Delež odobrenih vlog po vrsti naložb</w:t>
            </w:r>
          </w:p>
        </w:tc>
        <w:tc>
          <w:tcPr>
            <w:tcW w:w="2218" w:type="dxa"/>
            <w:tcBorders>
              <w:top w:val="nil"/>
              <w:left w:val="nil"/>
              <w:bottom w:val="single" w:sz="4" w:space="0" w:color="auto"/>
              <w:right w:val="single" w:sz="4" w:space="0" w:color="auto"/>
            </w:tcBorders>
            <w:shd w:val="clear" w:color="auto" w:fill="auto"/>
            <w:noWrap/>
            <w:vAlign w:val="center"/>
            <w:hideMark/>
          </w:tcPr>
          <w:p w14:paraId="718904ED"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52,70%</w:t>
            </w:r>
          </w:p>
        </w:tc>
        <w:tc>
          <w:tcPr>
            <w:tcW w:w="2219" w:type="dxa"/>
            <w:tcBorders>
              <w:top w:val="nil"/>
              <w:left w:val="nil"/>
              <w:bottom w:val="single" w:sz="4" w:space="0" w:color="auto"/>
              <w:right w:val="single" w:sz="4" w:space="0" w:color="auto"/>
            </w:tcBorders>
            <w:shd w:val="clear" w:color="auto" w:fill="auto"/>
            <w:noWrap/>
            <w:vAlign w:val="center"/>
            <w:hideMark/>
          </w:tcPr>
          <w:p w14:paraId="308EFBE6"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17,10%</w:t>
            </w:r>
          </w:p>
        </w:tc>
        <w:tc>
          <w:tcPr>
            <w:tcW w:w="2219" w:type="dxa"/>
            <w:tcBorders>
              <w:top w:val="nil"/>
              <w:left w:val="nil"/>
              <w:bottom w:val="single" w:sz="4" w:space="0" w:color="auto"/>
              <w:right w:val="single" w:sz="4" w:space="0" w:color="auto"/>
            </w:tcBorders>
            <w:shd w:val="clear" w:color="auto" w:fill="auto"/>
            <w:noWrap/>
            <w:vAlign w:val="center"/>
            <w:hideMark/>
          </w:tcPr>
          <w:p w14:paraId="78626D82"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48,70%</w:t>
            </w:r>
          </w:p>
        </w:tc>
      </w:tr>
      <w:tr w:rsidR="009D2C9D" w:rsidRPr="00BF7E57" w14:paraId="0E6339DF"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B00B0E1" w14:textId="135943FD"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Znesek odobrenih sredstev</w:t>
            </w:r>
            <w:r w:rsidR="00262352" w:rsidRPr="00BF7E57">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748E724A"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19.540.615</w:t>
            </w:r>
          </w:p>
        </w:tc>
        <w:tc>
          <w:tcPr>
            <w:tcW w:w="2219" w:type="dxa"/>
            <w:tcBorders>
              <w:top w:val="nil"/>
              <w:left w:val="nil"/>
              <w:bottom w:val="single" w:sz="4" w:space="0" w:color="auto"/>
              <w:right w:val="single" w:sz="4" w:space="0" w:color="auto"/>
            </w:tcBorders>
            <w:shd w:val="clear" w:color="auto" w:fill="auto"/>
            <w:noWrap/>
            <w:vAlign w:val="center"/>
            <w:hideMark/>
          </w:tcPr>
          <w:p w14:paraId="17C376D3"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11.279.104</w:t>
            </w:r>
          </w:p>
        </w:tc>
        <w:tc>
          <w:tcPr>
            <w:tcW w:w="2219" w:type="dxa"/>
            <w:tcBorders>
              <w:top w:val="nil"/>
              <w:left w:val="nil"/>
              <w:bottom w:val="single" w:sz="4" w:space="0" w:color="auto"/>
              <w:right w:val="single" w:sz="4" w:space="0" w:color="auto"/>
            </w:tcBorders>
            <w:shd w:val="clear" w:color="auto" w:fill="auto"/>
            <w:noWrap/>
            <w:vAlign w:val="center"/>
            <w:hideMark/>
          </w:tcPr>
          <w:p w14:paraId="40B22C88"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30.819.719</w:t>
            </w:r>
          </w:p>
        </w:tc>
      </w:tr>
      <w:tr w:rsidR="009D2C9D" w:rsidRPr="00BF7E57" w14:paraId="7D95840D"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FAFD909" w14:textId="015213E4"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Celotna vrednost naložb</w:t>
            </w:r>
            <w:r w:rsidR="00262352" w:rsidRPr="00BF7E57">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6825EA82"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46.935.073</w:t>
            </w:r>
          </w:p>
        </w:tc>
        <w:tc>
          <w:tcPr>
            <w:tcW w:w="2219" w:type="dxa"/>
            <w:tcBorders>
              <w:top w:val="nil"/>
              <w:left w:val="nil"/>
              <w:bottom w:val="single" w:sz="4" w:space="0" w:color="auto"/>
              <w:right w:val="single" w:sz="4" w:space="0" w:color="auto"/>
            </w:tcBorders>
            <w:shd w:val="clear" w:color="auto" w:fill="auto"/>
            <w:noWrap/>
            <w:vAlign w:val="center"/>
            <w:hideMark/>
          </w:tcPr>
          <w:p w14:paraId="11A27EEE"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28.294.282</w:t>
            </w:r>
          </w:p>
        </w:tc>
        <w:tc>
          <w:tcPr>
            <w:tcW w:w="2219" w:type="dxa"/>
            <w:tcBorders>
              <w:top w:val="nil"/>
              <w:left w:val="nil"/>
              <w:bottom w:val="single" w:sz="4" w:space="0" w:color="auto"/>
              <w:right w:val="single" w:sz="4" w:space="0" w:color="auto"/>
            </w:tcBorders>
            <w:shd w:val="clear" w:color="auto" w:fill="auto"/>
            <w:noWrap/>
            <w:vAlign w:val="center"/>
            <w:hideMark/>
          </w:tcPr>
          <w:p w14:paraId="21EC340C"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75.229.355</w:t>
            </w:r>
          </w:p>
        </w:tc>
      </w:tr>
      <w:tr w:rsidR="009D2C9D" w:rsidRPr="00BF7E57" w14:paraId="117955C9"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BF7E2CD" w14:textId="4B6E3B97"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Višina odobrenih sredstev /vlogo</w:t>
            </w:r>
            <w:r w:rsidR="00262352" w:rsidRPr="00BF7E57">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1FC4CAE2"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112.302</w:t>
            </w:r>
          </w:p>
        </w:tc>
        <w:tc>
          <w:tcPr>
            <w:tcW w:w="2219" w:type="dxa"/>
            <w:tcBorders>
              <w:top w:val="nil"/>
              <w:left w:val="nil"/>
              <w:bottom w:val="single" w:sz="4" w:space="0" w:color="auto"/>
              <w:right w:val="single" w:sz="4" w:space="0" w:color="auto"/>
            </w:tcBorders>
            <w:shd w:val="clear" w:color="auto" w:fill="auto"/>
            <w:noWrap/>
            <w:vAlign w:val="center"/>
            <w:hideMark/>
          </w:tcPr>
          <w:p w14:paraId="5BA8160B"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139.248</w:t>
            </w:r>
          </w:p>
        </w:tc>
        <w:tc>
          <w:tcPr>
            <w:tcW w:w="2219" w:type="dxa"/>
            <w:tcBorders>
              <w:top w:val="nil"/>
              <w:left w:val="nil"/>
              <w:bottom w:val="single" w:sz="4" w:space="0" w:color="auto"/>
              <w:right w:val="single" w:sz="4" w:space="0" w:color="auto"/>
            </w:tcBorders>
            <w:shd w:val="clear" w:color="auto" w:fill="auto"/>
            <w:noWrap/>
            <w:vAlign w:val="center"/>
            <w:hideMark/>
          </w:tcPr>
          <w:p w14:paraId="5A628AF2"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251.550</w:t>
            </w:r>
          </w:p>
        </w:tc>
      </w:tr>
      <w:tr w:rsidR="009D2C9D" w:rsidRPr="00BF7E57" w14:paraId="7F52F710"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6DCBAC3" w14:textId="77777777" w:rsidR="00AD14FB" w:rsidRPr="00BF7E57" w:rsidRDefault="00AD14FB" w:rsidP="009D2C9D">
            <w:pPr>
              <w:keepNext/>
              <w:keepLines/>
              <w:spacing w:before="60" w:after="60" w:line="240" w:lineRule="auto"/>
              <w:rPr>
                <w:rFonts w:ascii="Arial" w:eastAsia="Times New Roman" w:hAnsi="Arial" w:cs="Arial"/>
                <w:b/>
                <w:sz w:val="20"/>
                <w:szCs w:val="20"/>
                <w:lang w:eastAsia="sl-SI"/>
              </w:rPr>
            </w:pPr>
            <w:r w:rsidRPr="00BF7E57">
              <w:rPr>
                <w:rFonts w:ascii="Arial" w:eastAsia="Times New Roman" w:hAnsi="Arial" w:cs="Arial"/>
                <w:b/>
                <w:sz w:val="20"/>
                <w:szCs w:val="20"/>
                <w:lang w:eastAsia="sl-SI"/>
              </w:rPr>
              <w:t>Št. izplačanih vlog</w:t>
            </w:r>
          </w:p>
        </w:tc>
        <w:tc>
          <w:tcPr>
            <w:tcW w:w="2218" w:type="dxa"/>
            <w:tcBorders>
              <w:top w:val="nil"/>
              <w:left w:val="nil"/>
              <w:bottom w:val="single" w:sz="4" w:space="0" w:color="auto"/>
              <w:right w:val="single" w:sz="4" w:space="0" w:color="auto"/>
            </w:tcBorders>
            <w:shd w:val="clear" w:color="auto" w:fill="auto"/>
            <w:noWrap/>
            <w:vAlign w:val="center"/>
            <w:hideMark/>
          </w:tcPr>
          <w:p w14:paraId="0CF5B444"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163</w:t>
            </w:r>
          </w:p>
        </w:tc>
        <w:tc>
          <w:tcPr>
            <w:tcW w:w="2219" w:type="dxa"/>
            <w:tcBorders>
              <w:top w:val="nil"/>
              <w:left w:val="nil"/>
              <w:bottom w:val="single" w:sz="4" w:space="0" w:color="auto"/>
              <w:right w:val="single" w:sz="4" w:space="0" w:color="auto"/>
            </w:tcBorders>
            <w:shd w:val="clear" w:color="auto" w:fill="auto"/>
            <w:noWrap/>
            <w:vAlign w:val="center"/>
            <w:hideMark/>
          </w:tcPr>
          <w:p w14:paraId="49115E0F"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76</w:t>
            </w:r>
          </w:p>
        </w:tc>
        <w:tc>
          <w:tcPr>
            <w:tcW w:w="2219" w:type="dxa"/>
            <w:tcBorders>
              <w:top w:val="nil"/>
              <w:left w:val="nil"/>
              <w:bottom w:val="single" w:sz="4" w:space="0" w:color="auto"/>
              <w:right w:val="single" w:sz="4" w:space="0" w:color="auto"/>
            </w:tcBorders>
            <w:shd w:val="clear" w:color="auto" w:fill="auto"/>
            <w:noWrap/>
            <w:vAlign w:val="center"/>
            <w:hideMark/>
          </w:tcPr>
          <w:p w14:paraId="3A52389F"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239</w:t>
            </w:r>
          </w:p>
        </w:tc>
      </w:tr>
      <w:tr w:rsidR="009D2C9D" w:rsidRPr="00BF7E57" w14:paraId="408288BA"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CDD0FB5" w14:textId="7E549206" w:rsidR="00AD14FB" w:rsidRPr="00BF7E57" w:rsidRDefault="00AD14FB" w:rsidP="009D2C9D">
            <w:pPr>
              <w:keepNext/>
              <w:keepLines/>
              <w:spacing w:before="60" w:after="60" w:line="240" w:lineRule="auto"/>
              <w:rPr>
                <w:rFonts w:ascii="Arial" w:eastAsia="Times New Roman" w:hAnsi="Arial" w:cs="Arial"/>
                <w:b/>
                <w:sz w:val="20"/>
                <w:szCs w:val="20"/>
                <w:lang w:eastAsia="sl-SI"/>
              </w:rPr>
            </w:pPr>
            <w:r w:rsidRPr="00BF7E57">
              <w:rPr>
                <w:rFonts w:ascii="Arial" w:eastAsia="Times New Roman" w:hAnsi="Arial" w:cs="Arial"/>
                <w:b/>
                <w:sz w:val="20"/>
                <w:szCs w:val="20"/>
                <w:lang w:eastAsia="sl-SI"/>
              </w:rPr>
              <w:t>Izplačano</w:t>
            </w:r>
            <w:r w:rsidR="00262352" w:rsidRPr="00BF7E57">
              <w:rPr>
                <w:rFonts w:ascii="Arial" w:eastAsia="Times New Roman" w:hAnsi="Arial" w:cs="Arial"/>
                <w:b/>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37B06600"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16.793.762</w:t>
            </w:r>
          </w:p>
        </w:tc>
        <w:tc>
          <w:tcPr>
            <w:tcW w:w="2219" w:type="dxa"/>
            <w:tcBorders>
              <w:top w:val="nil"/>
              <w:left w:val="nil"/>
              <w:bottom w:val="single" w:sz="4" w:space="0" w:color="auto"/>
              <w:right w:val="single" w:sz="4" w:space="0" w:color="auto"/>
            </w:tcBorders>
            <w:shd w:val="clear" w:color="auto" w:fill="auto"/>
            <w:noWrap/>
            <w:vAlign w:val="center"/>
            <w:hideMark/>
          </w:tcPr>
          <w:p w14:paraId="0545E046"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10.088.739</w:t>
            </w:r>
          </w:p>
        </w:tc>
        <w:tc>
          <w:tcPr>
            <w:tcW w:w="2219" w:type="dxa"/>
            <w:tcBorders>
              <w:top w:val="nil"/>
              <w:left w:val="nil"/>
              <w:bottom w:val="single" w:sz="4" w:space="0" w:color="auto"/>
              <w:right w:val="single" w:sz="4" w:space="0" w:color="auto"/>
            </w:tcBorders>
            <w:shd w:val="clear" w:color="auto" w:fill="auto"/>
            <w:noWrap/>
            <w:vAlign w:val="center"/>
            <w:hideMark/>
          </w:tcPr>
          <w:p w14:paraId="64B9A1D6"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26.882.501</w:t>
            </w:r>
          </w:p>
        </w:tc>
      </w:tr>
    </w:tbl>
    <w:p w14:paraId="12F8A6EF" w14:textId="77777777" w:rsidR="009E0216" w:rsidRPr="00BF7E57" w:rsidRDefault="002D6764" w:rsidP="00A417A4">
      <w:pPr>
        <w:pStyle w:val="Default"/>
        <w:keepNext/>
        <w:spacing w:line="360" w:lineRule="auto"/>
        <w:jc w:val="both"/>
        <w:rPr>
          <w:rFonts w:ascii="Arial" w:hAnsi="Arial" w:cs="Arial"/>
          <w:sz w:val="16"/>
          <w:szCs w:val="16"/>
          <w:lang w:val="sl-SI"/>
        </w:rPr>
      </w:pPr>
      <w:r w:rsidRPr="00BF7E57">
        <w:rPr>
          <w:rFonts w:ascii="Arial" w:hAnsi="Arial" w:cs="Arial"/>
          <w:sz w:val="16"/>
          <w:szCs w:val="16"/>
          <w:lang w:val="sl-SI"/>
        </w:rPr>
        <w:t>Vir: MKGP</w:t>
      </w:r>
      <w:r w:rsidR="001B435D" w:rsidRPr="00BF7E57">
        <w:rPr>
          <w:rFonts w:ascii="Arial" w:hAnsi="Arial" w:cs="Arial"/>
          <w:sz w:val="16"/>
          <w:szCs w:val="16"/>
          <w:lang w:val="sl-SI"/>
        </w:rPr>
        <w:t>, 2020</w:t>
      </w:r>
    </w:p>
    <w:p w14:paraId="439EB99D" w14:textId="77777777" w:rsidR="00262352" w:rsidRPr="00BF7E57" w:rsidRDefault="00262352" w:rsidP="00262352">
      <w:pPr>
        <w:spacing w:before="200" w:line="360" w:lineRule="auto"/>
        <w:jc w:val="both"/>
        <w:rPr>
          <w:rFonts w:ascii="Arial" w:hAnsi="Arial" w:cs="Arial"/>
          <w:sz w:val="20"/>
          <w:szCs w:val="20"/>
        </w:rPr>
      </w:pPr>
      <w:r w:rsidRPr="00BF7E57">
        <w:rPr>
          <w:rFonts w:ascii="Arial" w:hAnsi="Arial" w:cs="Arial"/>
          <w:sz w:val="20"/>
          <w:szCs w:val="20"/>
        </w:rPr>
        <w:t>V programskem obdobju 2014-2020 se nekmetijske dejavnosti na podeželju podpira preko podukrepa 6.4 – Podpora za naložbe v vzpostavitev in razvoj nekmetijskih dejavnosti. Objavljena sta bila dva javna razpisa,  upravičencem pa je namenjenih skupaj 30.000.000,00 EUR. Podpora je namenjena številnim različnim dejavnostim od trgovine, turizma, storitvenim dejavnostim, dodajanje vrednosti lesu, predelovalnim dejavnostim, itd. V okviru podpore pa so upravičene naložbe v ureditev in vzdrževanje objektov, nakupu, namestitvi oziroma vgradnji opreme, strojev in naprav. Upravičenci na podukrepu so tako nosilci nekmetijskih dopolnilnih dejavnosti na kmetijah, samostojni podjetniki, gospodarske družbe, zavodi ali zadruge. Na 1. javnem razpisu je bilo skupaj prejetih 253 vlog v skupni vrednosti zaprošenih sredstev 29.187.975 EUR. Od tega je bilo odobrenih 127 vlog v skupni vrednosti 14.977.239,48 EUR. Največji delež vlog (43 %) na 1. javnem razpisu je bilo s področja povezanega s turizmom in gostinstvom, drugo najbolj zastopano področje pa je bilo področje povezano z lesarskimi oziroma mizarskimi dejavnostmi in sicer je bilo takih vlog nekaj več kot 18 %. 2. javni razpis je bil objavljen 2. 10. 2021, vloge pa se bodo lahko vložile do sredine decembra 2021.</w:t>
      </w:r>
    </w:p>
    <w:p w14:paraId="61C1CA23" w14:textId="6A4452AF" w:rsidR="003865D9" w:rsidRPr="00BF7E57" w:rsidRDefault="003865D9" w:rsidP="00BE756C">
      <w:pPr>
        <w:spacing w:before="200" w:line="360" w:lineRule="auto"/>
        <w:jc w:val="both"/>
        <w:rPr>
          <w:rFonts w:ascii="Arial" w:hAnsi="Arial" w:cs="Arial"/>
          <w:sz w:val="20"/>
          <w:szCs w:val="20"/>
        </w:rPr>
      </w:pPr>
      <w:r w:rsidRPr="00BF7E57">
        <w:rPr>
          <w:rFonts w:ascii="Arial" w:hAnsi="Arial" w:cs="Arial"/>
          <w:sz w:val="20"/>
          <w:szCs w:val="20"/>
        </w:rPr>
        <w:lastRenderedPageBreak/>
        <w:t>Glede povezljivosti se je Slovenija v preteklih letih uvrščala nad povprečje EU, a postopno izgubljala prednost. Pri pokritosti z visokozmogljivimi širokopasovnimi povezavami se je spoprijemala z vrzeljo med mestnimi in podeželskimi območji. Nekoliko spodbudnejši so bili v preteklih letih premiki na področju digitalnih javnih storitev.</w:t>
      </w:r>
    </w:p>
    <w:p w14:paraId="04D2FAB6" w14:textId="209176C8"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programskem obdobju 2007-2013 se je širokopasovno infrastrukturo podpiralo v okviru PRP 2007-2013 preko ukrepa 321 – Osnovne storitve za gospodarstvo in podeželsko prebivalstvo, ki je bil v PRP 2007-2013 dodan s 3. spremembo v letu 2009. Ukrep je bil namenjen lokalnemu prebivalstvu v naseljih, ki nimajo statusa mesta po sklepu Državnega zbora Republike Slovenije ali sklepu Vlade Republike Slovenije. Kot upravičenec je nastopala lokalna skupnost ali več lokalnih skupnosti skupaj. Upravičencem je bilo na začetku namenjenih 4,6 mio EUR, ki pa so se z 8. spremembo PRP 2007-2013 znižala na 3.6 mio EUR. V okviru ukrep</w:t>
      </w:r>
      <w:r w:rsidR="00DF10A1" w:rsidRPr="00BF7E57">
        <w:rPr>
          <w:rFonts w:ascii="Arial" w:hAnsi="Arial" w:cs="Arial"/>
          <w:sz w:val="20"/>
          <w:szCs w:val="20"/>
        </w:rPr>
        <w:t>a</w:t>
      </w:r>
      <w:r w:rsidRPr="00BF7E57">
        <w:rPr>
          <w:rFonts w:ascii="Arial" w:hAnsi="Arial" w:cs="Arial"/>
          <w:sz w:val="20"/>
          <w:szCs w:val="20"/>
        </w:rPr>
        <w:t xml:space="preserve"> so bili podprti trije projekti, zato je bil ukrep v celoti izveden, saj so bile ciljne vrednosti dosežene.</w:t>
      </w:r>
    </w:p>
    <w:p w14:paraId="247CDD9F" w14:textId="3CC0D488" w:rsidR="00262352" w:rsidRPr="00BF7E57" w:rsidRDefault="00262352" w:rsidP="00BE756C">
      <w:pPr>
        <w:autoSpaceDE w:val="0"/>
        <w:autoSpaceDN w:val="0"/>
        <w:adjustRightInd w:val="0"/>
        <w:spacing w:before="200" w:line="360" w:lineRule="auto"/>
        <w:jc w:val="both"/>
        <w:rPr>
          <w:rFonts w:ascii="Arial" w:hAnsi="Arial" w:cs="Arial"/>
          <w:color w:val="000000"/>
          <w:sz w:val="20"/>
          <w:szCs w:val="20"/>
        </w:rPr>
      </w:pPr>
      <w:r w:rsidRPr="00BF7E57">
        <w:rPr>
          <w:rFonts w:ascii="Arial" w:hAnsi="Arial" w:cs="Arial"/>
          <w:color w:val="000000"/>
          <w:sz w:val="20"/>
          <w:szCs w:val="20"/>
        </w:rPr>
        <w:t xml:space="preserve">V programskem obdobju 2014-2020 se širokopasovno infrastrukturo podpira v okviru PRP 2014–2020 preko podukrepa 7.3 – Podpora za širokopasovno infrastrukturo, vključno z njeno vzpostavitvijo, izboljšanjem in razširitvijo, pasivno širokopasovno infrastrukturo ter zagotavljanje dostopa do širokopasovnega interneta in rešitev v zvezi z e-upravo. </w:t>
      </w:r>
    </w:p>
    <w:p w14:paraId="2CE8D808" w14:textId="68C2B6A1" w:rsidR="009E0216" w:rsidRPr="00BF7E57" w:rsidRDefault="00262352" w:rsidP="00BE756C">
      <w:pPr>
        <w:autoSpaceDE w:val="0"/>
        <w:autoSpaceDN w:val="0"/>
        <w:adjustRightInd w:val="0"/>
        <w:spacing w:before="200" w:line="360" w:lineRule="auto"/>
        <w:jc w:val="both"/>
        <w:rPr>
          <w:rFonts w:ascii="Arial" w:hAnsi="Arial" w:cs="Arial"/>
          <w:color w:val="000000"/>
          <w:sz w:val="20"/>
          <w:szCs w:val="20"/>
        </w:rPr>
      </w:pPr>
      <w:r w:rsidRPr="00BF7E57">
        <w:rPr>
          <w:rFonts w:ascii="Arial" w:hAnsi="Arial" w:cs="Arial"/>
          <w:color w:val="000000"/>
          <w:sz w:val="20"/>
          <w:szCs w:val="20"/>
        </w:rPr>
        <w:t>V dogovoru o razmejitvi med sofinanciranjem območij belih lis med MKGP, S</w:t>
      </w:r>
      <w:r w:rsidR="001B7F8A" w:rsidRPr="00BF7E57">
        <w:rPr>
          <w:rFonts w:ascii="Arial" w:hAnsi="Arial" w:cs="Arial"/>
          <w:color w:val="000000"/>
          <w:sz w:val="20"/>
          <w:szCs w:val="20"/>
        </w:rPr>
        <w:t>lužbo Vlade za razvoj in evropsko kohezijsko politiko</w:t>
      </w:r>
      <w:r w:rsidRPr="00BF7E57">
        <w:rPr>
          <w:rFonts w:ascii="Arial" w:hAnsi="Arial" w:cs="Arial"/>
          <w:color w:val="000000"/>
          <w:sz w:val="20"/>
          <w:szCs w:val="20"/>
        </w:rPr>
        <w:t xml:space="preserve"> in M</w:t>
      </w:r>
      <w:r w:rsidR="001B7F8A" w:rsidRPr="00BF7E57">
        <w:rPr>
          <w:rFonts w:ascii="Arial" w:hAnsi="Arial" w:cs="Arial"/>
          <w:color w:val="000000"/>
          <w:sz w:val="20"/>
          <w:szCs w:val="20"/>
        </w:rPr>
        <w:t>inistrstvom za javno upravo</w:t>
      </w:r>
      <w:r w:rsidRPr="00BF7E57">
        <w:rPr>
          <w:rFonts w:ascii="Arial" w:hAnsi="Arial" w:cs="Arial"/>
          <w:color w:val="000000"/>
          <w:sz w:val="20"/>
          <w:szCs w:val="20"/>
        </w:rPr>
        <w:t xml:space="preserve"> je bilo določeno, da se v okviru PRP 2014–2020 sofinancirajo naložbe v vzpostavitev širokopasovne infrastrukture v naseljih z manj kot 5.000 prebivalci v koroški, podravski in pomurski statistični regiji. </w:t>
      </w:r>
      <w:r w:rsidR="009E0216" w:rsidRPr="00BF7E57">
        <w:rPr>
          <w:rFonts w:ascii="Arial" w:hAnsi="Arial" w:cs="Arial"/>
          <w:color w:val="000000"/>
          <w:sz w:val="20"/>
          <w:szCs w:val="20"/>
        </w:rPr>
        <w:t>Namen podpore je sofinanciranje gradnje širokopasovnih omrežij naslednje generacije kot odprtih komunikacijskih omrežij s ciljem omogočiti belim lisam dostop do širokopasovnih omrežij naslednje generacije s prenosno hitrostjo najmanj 100 Mb/s in dostop do elektronskih komunikacijskih storitev po teh omrežjih</w:t>
      </w:r>
      <w:r w:rsidRPr="00BF7E57">
        <w:rPr>
          <w:rFonts w:ascii="Arial" w:hAnsi="Arial" w:cs="Arial"/>
          <w:color w:val="000000"/>
          <w:sz w:val="20"/>
          <w:szCs w:val="20"/>
        </w:rPr>
        <w:t>.</w:t>
      </w:r>
      <w:r w:rsidR="009E0216" w:rsidRPr="00BF7E57">
        <w:rPr>
          <w:rFonts w:ascii="Arial" w:hAnsi="Arial" w:cs="Arial"/>
          <w:color w:val="000000"/>
          <w:sz w:val="20"/>
          <w:szCs w:val="20"/>
        </w:rPr>
        <w:t xml:space="preserve"> </w:t>
      </w:r>
    </w:p>
    <w:p w14:paraId="10F37C6C" w14:textId="2C826B0B" w:rsidR="00262352" w:rsidRPr="00BF7E57" w:rsidRDefault="00262352" w:rsidP="00262352">
      <w:pPr>
        <w:spacing w:before="200" w:line="360" w:lineRule="auto"/>
        <w:jc w:val="both"/>
        <w:rPr>
          <w:rFonts w:ascii="Arial" w:hAnsi="Arial" w:cs="Arial"/>
          <w:color w:val="000000"/>
          <w:sz w:val="20"/>
          <w:szCs w:val="20"/>
        </w:rPr>
      </w:pPr>
      <w:r w:rsidRPr="00BF7E57">
        <w:rPr>
          <w:rFonts w:ascii="Arial" w:hAnsi="Arial" w:cs="Arial"/>
          <w:color w:val="000000"/>
          <w:sz w:val="20"/>
          <w:szCs w:val="20"/>
        </w:rPr>
        <w:t>Prvi javni razpis je bil objavljen 24. 1. 2020. Upravičencem je bilo namenjenih 9.043.200,00 EUR za sofinanciranje 7.536 belih lis. Izdani sta bili dve odločbi o pravici do sredstev. Za pomursko regijo je javna podpora znašala 1.632.925 evrov za pokritje</w:t>
      </w:r>
      <w:r w:rsidR="00DF10A1" w:rsidRPr="00BF7E57">
        <w:rPr>
          <w:rFonts w:ascii="Arial" w:hAnsi="Arial" w:cs="Arial"/>
          <w:color w:val="000000"/>
          <w:sz w:val="20"/>
          <w:szCs w:val="20"/>
        </w:rPr>
        <w:t xml:space="preserve"> </w:t>
      </w:r>
      <w:r w:rsidRPr="00BF7E57">
        <w:rPr>
          <w:rFonts w:ascii="Arial" w:hAnsi="Arial" w:cs="Arial"/>
          <w:color w:val="000000"/>
          <w:sz w:val="20"/>
          <w:szCs w:val="20"/>
        </w:rPr>
        <w:t>1.405 belih lis. Za podravsko regijo je za pokrit</w:t>
      </w:r>
      <w:r w:rsidR="00DF10A1" w:rsidRPr="00BF7E57">
        <w:rPr>
          <w:rFonts w:ascii="Arial" w:hAnsi="Arial" w:cs="Arial"/>
          <w:color w:val="000000"/>
          <w:sz w:val="20"/>
          <w:szCs w:val="20"/>
        </w:rPr>
        <w:t>j</w:t>
      </w:r>
      <w:r w:rsidRPr="00BF7E57">
        <w:rPr>
          <w:rFonts w:ascii="Arial" w:hAnsi="Arial" w:cs="Arial"/>
          <w:color w:val="000000"/>
          <w:sz w:val="20"/>
          <w:szCs w:val="20"/>
        </w:rPr>
        <w:t>e 3.748 belih lis javna podpora znašala 4.348.257,76 evrov. Za koroško regijo ni prispela noben</w:t>
      </w:r>
      <w:r w:rsidR="00DF10A1" w:rsidRPr="00BF7E57">
        <w:rPr>
          <w:rFonts w:ascii="Arial" w:hAnsi="Arial" w:cs="Arial"/>
          <w:color w:val="000000"/>
          <w:sz w:val="20"/>
          <w:szCs w:val="20"/>
        </w:rPr>
        <w:t>a</w:t>
      </w:r>
      <w:r w:rsidRPr="00BF7E57">
        <w:rPr>
          <w:rFonts w:ascii="Arial" w:hAnsi="Arial" w:cs="Arial"/>
          <w:color w:val="000000"/>
          <w:sz w:val="20"/>
          <w:szCs w:val="20"/>
        </w:rPr>
        <w:t xml:space="preserve"> vloga.</w:t>
      </w:r>
    </w:p>
    <w:p w14:paraId="67F8FFCB" w14:textId="70140632" w:rsidR="00262352" w:rsidRPr="00BF7E57" w:rsidRDefault="00262352" w:rsidP="00262352">
      <w:pPr>
        <w:spacing w:before="200" w:line="360" w:lineRule="auto"/>
        <w:jc w:val="both"/>
        <w:rPr>
          <w:rFonts w:ascii="Arial" w:hAnsi="Arial" w:cs="Arial"/>
          <w:color w:val="000000"/>
          <w:sz w:val="20"/>
          <w:szCs w:val="20"/>
        </w:rPr>
      </w:pPr>
      <w:r w:rsidRPr="00BF7E57">
        <w:rPr>
          <w:rFonts w:ascii="Arial" w:hAnsi="Arial" w:cs="Arial"/>
          <w:color w:val="000000"/>
          <w:sz w:val="20"/>
          <w:szCs w:val="20"/>
        </w:rPr>
        <w:t>Ker se je izkazalo, da je višina sredstev, potrebnih za izgradnjo širokopasovne infrastrukture zelo odvisna od zemljišča, kjer bo izvedena izgradnja</w:t>
      </w:r>
      <w:r w:rsidR="00DF10A1" w:rsidRPr="00BF7E57">
        <w:rPr>
          <w:rFonts w:ascii="Arial" w:hAnsi="Arial" w:cs="Arial"/>
          <w:color w:val="000000"/>
          <w:sz w:val="20"/>
          <w:szCs w:val="20"/>
        </w:rPr>
        <w:t>,</w:t>
      </w:r>
      <w:r w:rsidRPr="00BF7E57">
        <w:rPr>
          <w:rFonts w:ascii="Arial" w:hAnsi="Arial" w:cs="Arial"/>
          <w:color w:val="000000"/>
          <w:sz w:val="20"/>
          <w:szCs w:val="20"/>
        </w:rPr>
        <w:t xml:space="preserve"> in od gostote poseljenosti območja, so se z 10. spremembo Programa razvoja podeželja 2014–2020 dodala sredstva na ta podukrep in spremenila višina sofinanciranja na belo liso. </w:t>
      </w:r>
    </w:p>
    <w:p w14:paraId="5679F04D" w14:textId="77777777" w:rsidR="00262352" w:rsidRPr="00BF7E57" w:rsidRDefault="00262352" w:rsidP="00262352">
      <w:pPr>
        <w:spacing w:before="200" w:line="360" w:lineRule="auto"/>
        <w:jc w:val="both"/>
        <w:rPr>
          <w:rFonts w:ascii="Arial" w:hAnsi="Arial" w:cs="Arial"/>
          <w:color w:val="000000"/>
          <w:sz w:val="20"/>
          <w:szCs w:val="20"/>
        </w:rPr>
      </w:pPr>
      <w:r w:rsidRPr="00BF7E57">
        <w:rPr>
          <w:rFonts w:ascii="Arial" w:hAnsi="Arial" w:cs="Arial"/>
          <w:color w:val="000000"/>
          <w:sz w:val="20"/>
          <w:szCs w:val="20"/>
        </w:rPr>
        <w:t xml:space="preserve">S temi novimi pogoji sofinanciranja je bil objavljen drugi javni razpis 24. 6. 2021, v višini 7.386.800 evrov za pokritje preostalih 2.284 belih lis. </w:t>
      </w:r>
    </w:p>
    <w:p w14:paraId="3F9B34EA" w14:textId="1ED35946" w:rsidR="009E0216" w:rsidRPr="00BF7E57" w:rsidRDefault="003E4A64" w:rsidP="008D32AC">
      <w:pPr>
        <w:pStyle w:val="tevilnatoka11Nova"/>
        <w:numPr>
          <w:ilvl w:val="0"/>
          <w:numId w:val="0"/>
        </w:numPr>
        <w:tabs>
          <w:tab w:val="clear" w:pos="4297"/>
        </w:tabs>
        <w:spacing w:line="360" w:lineRule="auto"/>
        <w:outlineLvl w:val="1"/>
        <w:rPr>
          <w:b/>
          <w:sz w:val="24"/>
          <w:szCs w:val="24"/>
        </w:rPr>
      </w:pPr>
      <w:bookmarkStart w:id="203" w:name="_Toc86826386"/>
      <w:r w:rsidRPr="00BF7E57">
        <w:rPr>
          <w:b/>
          <w:sz w:val="24"/>
          <w:szCs w:val="24"/>
        </w:rPr>
        <w:t xml:space="preserve">5.2 </w:t>
      </w:r>
      <w:r w:rsidR="009E0216" w:rsidRPr="00BF7E57">
        <w:rPr>
          <w:b/>
          <w:sz w:val="24"/>
          <w:szCs w:val="24"/>
        </w:rPr>
        <w:t>Analiza izvajanja ukrepov, povezanih z obnovo in razvojem vasi ter kulturno dediščino</w:t>
      </w:r>
      <w:bookmarkEnd w:id="203"/>
    </w:p>
    <w:p w14:paraId="6CB353EE" w14:textId="557DC838"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lastRenderedPageBreak/>
        <w:t>V programskem obdobju 2007–2013 sta vsebine kulturne dediščine v okviru Programa razvoja podeželja 2007-2013 podpirala ukrepa Ukrep 322 Obnova in razvoj vasi in Ukrep 323 Ohranjanje in izboljševanje dediščine podeželja. Preko ukrepa 322 so se skozi 257 projektov urejala vaška jedra, površine za skupne namene in potrebe podeželskih naselij, infrastruktura in povezave v naseljih ter obnavljale in gradile večnamenske zgradbe skupnega pomena za medgeneracijsko druženje, kulturno-umetniško, športno in drugo prostočasno dejavnost lokalnega prebivalstva na podeželju. Podpore za obnovo in razvoj vasi izboljšujejo kakovost življenja v podeželskih območjih in tako prispevajo k privlačnosti vaškega okolja, kot bivanjskega prostora, in potenciala za razvoj drugih dejavnosti, še posebej turizma. Zlasti v letih 2012 in 2013 se je močno povečal interes vlagateljev za javne razpise iz naslova tega ukrepa, žal pa je bilo na zadnjih razpisih</w:t>
      </w:r>
      <w:r w:rsidR="00472F36" w:rsidRPr="00BF7E57">
        <w:rPr>
          <w:rFonts w:ascii="Arial" w:hAnsi="Arial" w:cs="Arial"/>
          <w:sz w:val="20"/>
          <w:szCs w:val="20"/>
        </w:rPr>
        <w:t>,</w:t>
      </w:r>
      <w:r w:rsidRPr="00BF7E57">
        <w:rPr>
          <w:rFonts w:ascii="Arial" w:hAnsi="Arial" w:cs="Arial"/>
          <w:sz w:val="20"/>
          <w:szCs w:val="20"/>
        </w:rPr>
        <w:t xml:space="preserve"> zaradi omejene višine razpoložljivih sredstev, več kot polovica vlog zavrnjenih.</w:t>
      </w:r>
    </w:p>
    <w:p w14:paraId="36A7C17B"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Preko ukrepa 323 so se financirale naložbe kot so obnova kulturne in etnološke dediščine na podeželju, muzeji na prostem in prostori za postavitev razstav stalnih zbirk etnološke dediščine, ekomuzeji, podpore za nepremično kulturno dediščino na podeželju, ki je spomenik, spomeniško območje, ureditev in izgradnja tematskih poti, ki povezujejo naravne vrednote in nepremično dediščino, in druge naložbe. Izvedenih je bilo 150 projektov.</w:t>
      </w:r>
    </w:p>
    <w:p w14:paraId="5CB65470"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okviru ukrepov 322 in 323 je bilo skupno obnovljenih 144 objektov, 80 objektov ima lastnosti kulturnega spomenika in so razglašeni v skladu z Zakonom o varstvu kulturne dediščine, ostali objekti imajo lastnosti kulturne dediščine in so ustrezno pravno varovani v občinskih aktih (Hostnik, 2015).</w:t>
      </w:r>
    </w:p>
    <w:p w14:paraId="0EBE28B2" w14:textId="7AAAC0D8" w:rsidR="003E038D" w:rsidRPr="00BF7E57" w:rsidRDefault="003E038D" w:rsidP="001B7F8A">
      <w:pPr>
        <w:pStyle w:val="Napis"/>
      </w:pPr>
      <w:bookmarkStart w:id="204" w:name="_Toc47082385"/>
      <w:bookmarkStart w:id="205" w:name="_Toc47092626"/>
      <w:bookmarkStart w:id="206" w:name="_Toc86826435"/>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45</w:t>
      </w:r>
      <w:r w:rsidR="00A30B83" w:rsidRPr="00BF7E57">
        <w:rPr>
          <w:noProof/>
        </w:rPr>
        <w:fldChar w:fldCharType="end"/>
      </w:r>
      <w:r w:rsidRPr="00BF7E57">
        <w:t>: Obnovljeni objekti v okviru ukrepov 322 in 323 po tipu objekta</w:t>
      </w:r>
      <w:bookmarkEnd w:id="206"/>
    </w:p>
    <w:bookmarkEnd w:id="204"/>
    <w:bookmarkEnd w:id="205"/>
    <w:p w14:paraId="7041E203" w14:textId="32C5E39F" w:rsidR="009E0216" w:rsidRPr="00BF7E57" w:rsidRDefault="009E0216" w:rsidP="00BE756C">
      <w:pPr>
        <w:spacing w:after="0" w:line="360" w:lineRule="auto"/>
        <w:ind w:left="482" w:firstLine="482"/>
        <w:jc w:val="both"/>
        <w:rPr>
          <w:rFonts w:ascii="Arial" w:hAnsi="Arial" w:cs="Arial"/>
          <w:sz w:val="20"/>
          <w:szCs w:val="20"/>
        </w:rPr>
      </w:pPr>
      <w:r w:rsidRPr="00BF7E57">
        <w:rPr>
          <w:rFonts w:ascii="Arial" w:hAnsi="Arial" w:cs="Arial"/>
          <w:noProof/>
          <w:sz w:val="20"/>
          <w:szCs w:val="20"/>
          <w:lang w:eastAsia="sl-SI"/>
        </w:rPr>
        <w:drawing>
          <wp:inline distT="0" distB="0" distL="0" distR="0" wp14:anchorId="48BB1226" wp14:editId="2B7D21A2">
            <wp:extent cx="3510951" cy="2971718"/>
            <wp:effectExtent l="19050" t="19050" r="13335" b="19685"/>
            <wp:docPr id="1631865557" name="Slika 163186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431" t="27575" r="59160" b="18121"/>
                    <a:stretch/>
                  </pic:blipFill>
                  <pic:spPr bwMode="auto">
                    <a:xfrm>
                      <a:off x="0" y="0"/>
                      <a:ext cx="3536429" cy="2993283"/>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A8878FD" w14:textId="77777777" w:rsidR="009E0216" w:rsidRPr="00BF7E57" w:rsidRDefault="00763F76" w:rsidP="00EA2E4C">
      <w:pPr>
        <w:spacing w:line="360" w:lineRule="auto"/>
        <w:jc w:val="both"/>
        <w:rPr>
          <w:rFonts w:ascii="Arial" w:hAnsi="Arial" w:cs="Arial"/>
          <w:sz w:val="16"/>
          <w:szCs w:val="16"/>
        </w:rPr>
      </w:pPr>
      <w:r w:rsidRPr="00BF7E57">
        <w:rPr>
          <w:rFonts w:ascii="Arial" w:hAnsi="Arial" w:cs="Arial"/>
          <w:sz w:val="16"/>
          <w:szCs w:val="16"/>
        </w:rPr>
        <w:t>Vir: Hostnik, 2015</w:t>
      </w:r>
    </w:p>
    <w:p w14:paraId="1E263FF7" w14:textId="1AAD02C0" w:rsidR="003E038D" w:rsidRPr="00BF7E57" w:rsidRDefault="003E038D" w:rsidP="001B7F8A">
      <w:pPr>
        <w:pStyle w:val="Napis"/>
      </w:pPr>
      <w:bookmarkStart w:id="207" w:name="_Toc47082386"/>
      <w:bookmarkStart w:id="208" w:name="_Toc47092627"/>
      <w:bookmarkStart w:id="209" w:name="_Toc86826436"/>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46</w:t>
      </w:r>
      <w:r w:rsidR="00A30B83" w:rsidRPr="00BF7E57">
        <w:rPr>
          <w:noProof/>
        </w:rPr>
        <w:fldChar w:fldCharType="end"/>
      </w:r>
      <w:r w:rsidRPr="00BF7E57">
        <w:t>: Lokacija obnovljenih objektov v okviru ukrepov 322 in 322</w:t>
      </w:r>
      <w:bookmarkEnd w:id="209"/>
    </w:p>
    <w:bookmarkEnd w:id="207"/>
    <w:bookmarkEnd w:id="208"/>
    <w:p w14:paraId="5442AF1D" w14:textId="1B4117A2" w:rsidR="009E0216" w:rsidRPr="00BF7E57" w:rsidRDefault="00250D58" w:rsidP="00EA2E4C">
      <w:pPr>
        <w:spacing w:line="360" w:lineRule="auto"/>
        <w:jc w:val="both"/>
        <w:rPr>
          <w:rFonts w:ascii="Arial" w:hAnsi="Arial" w:cs="Arial"/>
          <w:sz w:val="16"/>
          <w:szCs w:val="16"/>
        </w:rPr>
      </w:pPr>
      <w:r w:rsidRPr="00BF7E57">
        <w:rPr>
          <w:rFonts w:ascii="Arial" w:eastAsia="Times New Roman" w:hAnsi="Arial" w:cs="Arial"/>
          <w:noProof/>
          <w:sz w:val="20"/>
          <w:szCs w:val="20"/>
          <w:lang w:eastAsia="sl-SI"/>
        </w:rPr>
        <w:drawing>
          <wp:inline distT="0" distB="0" distL="0" distR="0" wp14:anchorId="088F62F2" wp14:editId="57B59C4F">
            <wp:extent cx="5674202" cy="4206240"/>
            <wp:effectExtent l="0" t="0" r="317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77345" cy="4208570"/>
                    </a:xfrm>
                    <a:prstGeom prst="rect">
                      <a:avLst/>
                    </a:prstGeom>
                  </pic:spPr>
                </pic:pic>
              </a:graphicData>
            </a:graphic>
          </wp:inline>
        </w:drawing>
      </w:r>
      <w:r w:rsidR="00763F76" w:rsidRPr="00BF7E57">
        <w:rPr>
          <w:rFonts w:ascii="Arial" w:hAnsi="Arial" w:cs="Arial"/>
          <w:sz w:val="16"/>
          <w:szCs w:val="16"/>
        </w:rPr>
        <w:t>Vir: Hostnik, 2015</w:t>
      </w:r>
    </w:p>
    <w:p w14:paraId="26F55AB7" w14:textId="262AEDA8" w:rsidR="00AE0A93" w:rsidRPr="00BF7E57" w:rsidRDefault="009E0216" w:rsidP="00250D58">
      <w:pPr>
        <w:spacing w:line="360" w:lineRule="auto"/>
        <w:jc w:val="both"/>
        <w:rPr>
          <w:rFonts w:ascii="Arial" w:hAnsi="Arial" w:cs="Arial"/>
          <w:sz w:val="20"/>
          <w:szCs w:val="20"/>
        </w:rPr>
      </w:pPr>
      <w:r w:rsidRPr="00BF7E57">
        <w:rPr>
          <w:rFonts w:ascii="Arial" w:hAnsi="Arial" w:cs="Arial"/>
          <w:sz w:val="20"/>
          <w:szCs w:val="20"/>
        </w:rPr>
        <w:t>V programskem</w:t>
      </w:r>
      <w:r w:rsidR="003B0A1C" w:rsidRPr="00BF7E57">
        <w:rPr>
          <w:rFonts w:ascii="Arial" w:hAnsi="Arial" w:cs="Arial"/>
          <w:sz w:val="20"/>
          <w:szCs w:val="20"/>
        </w:rPr>
        <w:t xml:space="preserve"> </w:t>
      </w:r>
      <w:r w:rsidRPr="00BF7E57">
        <w:rPr>
          <w:rFonts w:ascii="Arial" w:hAnsi="Arial" w:cs="Arial"/>
          <w:sz w:val="20"/>
          <w:szCs w:val="20"/>
        </w:rPr>
        <w:t xml:space="preserve">obdobju </w:t>
      </w:r>
      <w:r w:rsidR="003B0A1C" w:rsidRPr="00BF7E57">
        <w:rPr>
          <w:rFonts w:ascii="Arial" w:hAnsi="Arial" w:cs="Arial"/>
          <w:sz w:val="20"/>
          <w:szCs w:val="20"/>
        </w:rPr>
        <w:t xml:space="preserve">2014–2020 </w:t>
      </w:r>
      <w:r w:rsidRPr="00BF7E57">
        <w:rPr>
          <w:rFonts w:ascii="Arial" w:hAnsi="Arial" w:cs="Arial"/>
          <w:sz w:val="20"/>
          <w:szCs w:val="20"/>
        </w:rPr>
        <w:t>tovrstnih ukrepov ni, zato se vsebine obnove kulturne dediščine pokrivajo v okviru ukrepa LEADER.</w:t>
      </w:r>
    </w:p>
    <w:p w14:paraId="2DA5DB8C" w14:textId="506ACAC1" w:rsidR="009E0216" w:rsidRPr="00BF7E57" w:rsidRDefault="003E4A64" w:rsidP="003E4A64">
      <w:pPr>
        <w:pStyle w:val="tevilnatoka11Nova"/>
        <w:numPr>
          <w:ilvl w:val="0"/>
          <w:numId w:val="0"/>
        </w:numPr>
        <w:tabs>
          <w:tab w:val="clear" w:pos="4297"/>
        </w:tabs>
        <w:spacing w:before="200" w:after="200" w:line="360" w:lineRule="auto"/>
        <w:outlineLvl w:val="1"/>
        <w:rPr>
          <w:b/>
          <w:sz w:val="24"/>
          <w:szCs w:val="24"/>
        </w:rPr>
      </w:pPr>
      <w:bookmarkStart w:id="210" w:name="_Toc86826387"/>
      <w:r w:rsidRPr="00BF7E57">
        <w:rPr>
          <w:b/>
          <w:sz w:val="24"/>
          <w:szCs w:val="24"/>
        </w:rPr>
        <w:t xml:space="preserve">5.3 </w:t>
      </w:r>
      <w:r w:rsidR="009E0216" w:rsidRPr="00BF7E57">
        <w:rPr>
          <w:b/>
          <w:sz w:val="24"/>
          <w:szCs w:val="24"/>
        </w:rPr>
        <w:t>Izvajanje pristopa, ki ga vodi skupnost (ukrep LEADER)</w:t>
      </w:r>
      <w:bookmarkEnd w:id="210"/>
    </w:p>
    <w:p w14:paraId="2B08393E"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Pristop LEADER se je v programskem obdobju 2007–2013 v Sloveniji izvajal prvič. Ukrep LEADER je izvajalo 33 lokalnih akcijskih skupin, ki so pokrivale 95 % ozemlja RS in 94 % prebivalcev podeželja, vključenih je bilo 199 občin. V kombinaciji z ukrepi tretje osi, zlasti z ukrepoma namenjenima obnovi in razvoju vasi ter ohranjanju in izboljševanju dediščine na podeželju, je bilo na lokalni ravni izvedenih veliko manjših projektov, ki so za lokalno okolje prinesli veliko pozitivnih sprememb. Za projekte po pristopu »od spodaj navzgor« je bilo v obdobju 2007–2013 izplačanih 30.731.434 EUR. Največji delež izplačanih sredstev je bil namenjen izvajanju lokalnih razvojnih strategij (83 %), sledilo je vodenje lokalnih akcijskih skupin (16 %), najmanjši del pa je bil namenjen spodbujanju medregijskega in čezmejnega sodelovanja (1 %). </w:t>
      </w:r>
    </w:p>
    <w:p w14:paraId="7588D756" w14:textId="14324C74"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Skupaj je bilo podprtih 1.455 projektov, izvedenih pa 1.406 projektov. Delež projektov, ki </w:t>
      </w:r>
      <w:r w:rsidR="00E020CE" w:rsidRPr="00BF7E57">
        <w:rPr>
          <w:rFonts w:ascii="Arial" w:hAnsi="Arial" w:cs="Arial"/>
          <w:sz w:val="20"/>
          <w:szCs w:val="20"/>
        </w:rPr>
        <w:t>je vključeval</w:t>
      </w:r>
      <w:r w:rsidRPr="00BF7E57">
        <w:rPr>
          <w:rFonts w:ascii="Arial" w:hAnsi="Arial" w:cs="Arial"/>
          <w:sz w:val="20"/>
          <w:szCs w:val="20"/>
        </w:rPr>
        <w:t xml:space="preserve"> naložbo, gradnjo ali nakup opreme, je bil 61 %, ob tem pa je bil povprečen znesek odobrenih sredstev na projekt za 1,34–krat višji kot za 'neinvesticijske' projekte. Povprečen odobren znesek na projekt je bil 22.128 EUR (najnižji je bil 1.346,23 EUR, najvišji pa 329.651 EUR). Člani LAS so tudi občine, Regionalno razvojne agencije (RRA) ter druge razvojne agencije, kar se je odražalo v večjih, bolj </w:t>
      </w:r>
      <w:r w:rsidRPr="00BF7E57">
        <w:rPr>
          <w:rFonts w:ascii="Arial" w:hAnsi="Arial" w:cs="Arial"/>
          <w:sz w:val="20"/>
          <w:szCs w:val="20"/>
        </w:rPr>
        <w:lastRenderedPageBreak/>
        <w:t xml:space="preserve">investicijsko usmerjenih projektih pri tistih LAS, kjer so bile med nosilci projektov tudi občine in razvojne agencije. V takih primerih je bilo manj priložnosti za izvajanje projektov, ki bi krepili usposobljenost deležnikov. V okviru izvajanja ukrepa LEADER je bilo ustvarjenih tudi 71 novih delovnih mest (največji delež v turizmu in izobraževanju, nekaj pa tudi v podjetništvu in področju obnove in razvoju vasi). </w:t>
      </w:r>
    </w:p>
    <w:p w14:paraId="1DB9F9F4"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Večina projektov je bilo zastavljenih širše, interdisciplinarno. Analiza projektov izvedenih v okviru ukrepa LEADER 2007–2013 kaže, da je bil največji delež projektov glede na vsebinsko opredelitev v turizmu (33%), nato v izobraževanju (20%), sledi obnova in razvoj vasi (19%), kulturna dediščina (10%), v manjših deležih pa družba in sociala (4%), od 2 do 3 % pa študije in analize stanja, kmetijstvo, gozdarstvo in prehrana, podjetništvo na podeželju, digitalizacija na podeželju in varstvo okolja ter drugi projekti. Le pri redkih projektih se je razvilo partnerstvo, ki je prevzelo rezultate projekta in nadaljevalo z delom.</w:t>
      </w:r>
    </w:p>
    <w:p w14:paraId="02B6B4ED" w14:textId="77777777"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 xml:space="preserve">Na podlagi analize projektov v okviru LEADER 2007–2013 izhaja, da sta bila 2 % vseh izvedenih projektov povezana s podjetništvom na podeželju. V okviru ukrepa LEADER se preko Strategij lokalnega razvoja (SLR) zasleduje tematsko področje ukrepanja ustvarjanje delovnih mest. V okviru tega se zasledujejo cilji strategij, kot so spodbuditi razvoj podjetniške kulture, izkoristiti potenciale na območjih LAS za razvoj podjetništva, spodbujanje povezovanja med lokalnimi razvojnimi deležniki na podeželju, ustvarjanje novih delovnim mest idr. </w:t>
      </w:r>
    </w:p>
    <w:p w14:paraId="36478CD0"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V okviru PRP 2007–2013 je bilo ustvarjenih preko 400 novih delovnih mest v sektorju kmetijstva in živilstva, preko 700 delovnih mest v podjetništvu na podeželju in več kot 70 novih delovnih mest v okviru projektov lokalnega razvoja LEADER.</w:t>
      </w:r>
    </w:p>
    <w:p w14:paraId="71F1E18D" w14:textId="0F09AA45"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Problem je netrajnost projektov (operacij), kot na primer obstoj delovnih mest po ko</w:t>
      </w:r>
      <w:r w:rsidR="003B0A1C" w:rsidRPr="00BF7E57">
        <w:rPr>
          <w:rFonts w:ascii="Arial" w:hAnsi="Arial" w:cs="Arial"/>
          <w:sz w:val="20"/>
          <w:szCs w:val="20"/>
        </w:rPr>
        <w:t>n</w:t>
      </w:r>
      <w:r w:rsidRPr="00BF7E57">
        <w:rPr>
          <w:rFonts w:ascii="Arial" w:hAnsi="Arial" w:cs="Arial"/>
          <w:sz w:val="20"/>
          <w:szCs w:val="20"/>
        </w:rPr>
        <w:t>čanem projektu ali da se po zaključku projektov zaradi pomanjkanj</w:t>
      </w:r>
      <w:r w:rsidR="00C902BF" w:rsidRPr="00BF7E57">
        <w:rPr>
          <w:rFonts w:ascii="Arial" w:hAnsi="Arial" w:cs="Arial"/>
          <w:sz w:val="20"/>
          <w:szCs w:val="20"/>
        </w:rPr>
        <w:t>a</w:t>
      </w:r>
      <w:r w:rsidRPr="00BF7E57">
        <w:rPr>
          <w:rFonts w:ascii="Arial" w:hAnsi="Arial" w:cs="Arial"/>
          <w:sz w:val="20"/>
          <w:szCs w:val="20"/>
        </w:rPr>
        <w:t xml:space="preserve"> drugih finančnih sredstev s projekti ne nadaljuje več.</w:t>
      </w:r>
    </w:p>
    <w:p w14:paraId="6766D4D5" w14:textId="5774C932"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V programskem obdobju 2014–2020 se pristop LEADER izvaja kot del skupnega pristopa lokalni razvoj, ki ga vodi skupnost (kratica CLLD), ki omogoča izvedbo celovitih</w:t>
      </w:r>
      <w:r w:rsidR="00C902BF" w:rsidRPr="00BF7E57">
        <w:rPr>
          <w:rFonts w:ascii="Arial" w:hAnsi="Arial" w:cs="Arial"/>
          <w:sz w:val="20"/>
          <w:szCs w:val="20"/>
        </w:rPr>
        <w:t xml:space="preserve"> operacij, ki</w:t>
      </w:r>
      <w:r w:rsidR="001B7F8A" w:rsidRPr="00BF7E57">
        <w:rPr>
          <w:rFonts w:ascii="Arial" w:hAnsi="Arial" w:cs="Arial"/>
          <w:sz w:val="20"/>
          <w:szCs w:val="20"/>
        </w:rPr>
        <w:t xml:space="preserve"> </w:t>
      </w:r>
      <w:r w:rsidRPr="00BF7E57">
        <w:rPr>
          <w:rFonts w:ascii="Arial" w:hAnsi="Arial" w:cs="Arial"/>
          <w:sz w:val="20"/>
          <w:szCs w:val="20"/>
        </w:rPr>
        <w:t xml:space="preserve">niso strogo omejene na podeželska območja, ampak vključujejo tudi ribiška in urbana naselja. Skupno je za CLLD namenjenih 101,5 mio EUR (od tega 56,3 iz EKSRP, 37,5 mio EUR iz Evropskega sklada za regionalni razvoj in 7,7 mio EUR iz Evropskega sklada za pomorstvo in ribištvo). </w:t>
      </w:r>
    </w:p>
    <w:p w14:paraId="6EFFDDE5" w14:textId="740C3592"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V okviru PRP 2014–2020 je bilo potrjenih 37 lokalnih akcijskih skupin, ki so s </w:t>
      </w:r>
      <w:r w:rsidR="001B7F8A" w:rsidRPr="00BF7E57">
        <w:rPr>
          <w:rFonts w:ascii="Arial" w:hAnsi="Arial" w:cs="Arial"/>
          <w:sz w:val="20"/>
          <w:szCs w:val="20"/>
        </w:rPr>
        <w:t>strategijami lokalnega razvoja</w:t>
      </w:r>
      <w:r w:rsidRPr="00BF7E57">
        <w:rPr>
          <w:rFonts w:ascii="Arial" w:hAnsi="Arial" w:cs="Arial"/>
          <w:sz w:val="20"/>
          <w:szCs w:val="20"/>
        </w:rPr>
        <w:t xml:space="preserve"> pokrile celotno območje RS in torej 100 % prebivalcev podeželja</w:t>
      </w:r>
      <w:r w:rsidR="00763F76" w:rsidRPr="00BF7E57">
        <w:rPr>
          <w:rFonts w:ascii="Arial" w:hAnsi="Arial" w:cs="Arial"/>
          <w:sz w:val="20"/>
          <w:szCs w:val="20"/>
        </w:rPr>
        <w:t xml:space="preserve"> (Slika 4</w:t>
      </w:r>
      <w:r w:rsidR="00C20667" w:rsidRPr="00BF7E57">
        <w:rPr>
          <w:rFonts w:ascii="Arial" w:hAnsi="Arial" w:cs="Arial"/>
          <w:sz w:val="20"/>
          <w:szCs w:val="20"/>
        </w:rPr>
        <w:t>7</w:t>
      </w:r>
      <w:r w:rsidR="00763F76" w:rsidRPr="00BF7E57">
        <w:rPr>
          <w:rFonts w:ascii="Arial" w:hAnsi="Arial" w:cs="Arial"/>
          <w:sz w:val="20"/>
          <w:szCs w:val="20"/>
        </w:rPr>
        <w:t>)</w:t>
      </w:r>
      <w:r w:rsidRPr="00BF7E57">
        <w:rPr>
          <w:rFonts w:ascii="Arial" w:hAnsi="Arial" w:cs="Arial"/>
          <w:sz w:val="20"/>
          <w:szCs w:val="20"/>
        </w:rPr>
        <w:t xml:space="preserve">. Za programsko območje LEADER je tako kot že v programskem obdobju 2007–2013 opredeljena celotna Slovenija, razen naselij z več kot 10.000 prebivalci, tako da obsega 1.420.504 prebivalcev Slovenije. </w:t>
      </w:r>
    </w:p>
    <w:p w14:paraId="68F09752"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Med vsemi LAS-i je kar 19 vodilnih partnerjev, ki so RRA in druge razvojne agencije (v prejšnjem programskem obdobju 18), ostali vodilni partnerji pa so društva, zadruge, zavodi, občina (podobno v prejšnjem programskem obdobju). </w:t>
      </w:r>
    </w:p>
    <w:p w14:paraId="395688E9" w14:textId="1C198B33" w:rsidR="0078036A" w:rsidRPr="00BF7E57" w:rsidRDefault="0078036A" w:rsidP="001B7F8A">
      <w:pPr>
        <w:pStyle w:val="Napis"/>
      </w:pPr>
      <w:bookmarkStart w:id="211" w:name="_Toc47082387"/>
      <w:bookmarkStart w:id="212" w:name="_Toc47092628"/>
      <w:bookmarkStart w:id="213" w:name="_Toc86826437"/>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47</w:t>
      </w:r>
      <w:r w:rsidR="00A30B83" w:rsidRPr="00BF7E57">
        <w:rPr>
          <w:noProof/>
        </w:rPr>
        <w:fldChar w:fldCharType="end"/>
      </w:r>
      <w:r w:rsidRPr="00BF7E57">
        <w:t>: Lokalne akcijske skupine v Sloveniji 2014-2020</w:t>
      </w:r>
      <w:bookmarkEnd w:id="213"/>
    </w:p>
    <w:bookmarkEnd w:id="211"/>
    <w:bookmarkEnd w:id="212"/>
    <w:p w14:paraId="2E122331" w14:textId="229A0578" w:rsidR="009E0216" w:rsidRPr="00BF7E57" w:rsidRDefault="009E0216" w:rsidP="00E51189">
      <w:pPr>
        <w:keepNext/>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0AB49F38" wp14:editId="4807B9B7">
            <wp:extent cx="5771692" cy="4002688"/>
            <wp:effectExtent l="0" t="0" r="63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2014-2020_1.jpg"/>
                    <pic:cNvPicPr/>
                  </pic:nvPicPr>
                  <pic:blipFill rotWithShape="1">
                    <a:blip r:embed="rId64" cstate="print">
                      <a:extLst>
                        <a:ext uri="{28A0092B-C50C-407E-A947-70E740481C1C}">
                          <a14:useLocalDpi xmlns:a14="http://schemas.microsoft.com/office/drawing/2010/main" val="0"/>
                        </a:ext>
                      </a:extLst>
                    </a:blip>
                    <a:srcRect l="2166" t="3779" r="2277" b="2590"/>
                    <a:stretch/>
                  </pic:blipFill>
                  <pic:spPr bwMode="auto">
                    <a:xfrm>
                      <a:off x="0" y="0"/>
                      <a:ext cx="5785276" cy="4012109"/>
                    </a:xfrm>
                    <a:prstGeom prst="rect">
                      <a:avLst/>
                    </a:prstGeom>
                    <a:ln>
                      <a:noFill/>
                    </a:ln>
                    <a:extLst>
                      <a:ext uri="{53640926-AAD7-44D8-BBD7-CCE9431645EC}">
                        <a14:shadowObscured xmlns:a14="http://schemas.microsoft.com/office/drawing/2010/main"/>
                      </a:ext>
                    </a:extLst>
                  </pic:spPr>
                </pic:pic>
              </a:graphicData>
            </a:graphic>
          </wp:inline>
        </w:drawing>
      </w:r>
    </w:p>
    <w:p w14:paraId="2A276A15" w14:textId="77777777" w:rsidR="00E51189" w:rsidRPr="00BF7E57" w:rsidRDefault="00E51189" w:rsidP="00E51189">
      <w:pPr>
        <w:keepNext/>
        <w:spacing w:line="360" w:lineRule="auto"/>
        <w:jc w:val="both"/>
        <w:rPr>
          <w:rFonts w:ascii="Arial" w:hAnsi="Arial" w:cs="Arial"/>
          <w:sz w:val="16"/>
          <w:szCs w:val="16"/>
        </w:rPr>
      </w:pPr>
      <w:r w:rsidRPr="00BF7E57">
        <w:rPr>
          <w:rFonts w:ascii="Arial" w:hAnsi="Arial" w:cs="Arial"/>
          <w:sz w:val="16"/>
          <w:szCs w:val="16"/>
        </w:rPr>
        <w:t>Vir: MKGP</w:t>
      </w:r>
    </w:p>
    <w:p w14:paraId="08DCE02D" w14:textId="08BF65AF" w:rsidR="009E0216" w:rsidRPr="00BF7E57" w:rsidRDefault="009E0216" w:rsidP="000F179D">
      <w:pPr>
        <w:shd w:val="clear" w:color="auto" w:fill="FFFFFF"/>
        <w:spacing w:after="0" w:line="360" w:lineRule="auto"/>
        <w:jc w:val="both"/>
        <w:rPr>
          <w:rFonts w:ascii="Arial" w:hAnsi="Arial" w:cs="Arial"/>
          <w:sz w:val="20"/>
          <w:szCs w:val="20"/>
        </w:rPr>
      </w:pPr>
      <w:r w:rsidRPr="00BF7E57">
        <w:rPr>
          <w:rFonts w:ascii="Arial" w:hAnsi="Arial" w:cs="Arial"/>
          <w:sz w:val="20"/>
          <w:szCs w:val="20"/>
        </w:rPr>
        <w:t>V programskem obdobju 2014–2020 se ukrep LEADER izvaja preko štirih podukrepov:</w:t>
      </w:r>
    </w:p>
    <w:p w14:paraId="1C90DBDE" w14:textId="77777777" w:rsidR="009E0216" w:rsidRPr="00BF7E57" w:rsidRDefault="009E0216" w:rsidP="000F179D">
      <w:pPr>
        <w:numPr>
          <w:ilvl w:val="0"/>
          <w:numId w:val="30"/>
        </w:numPr>
        <w:shd w:val="clear" w:color="auto" w:fill="FFFFFF"/>
        <w:spacing w:after="100" w:afterAutospacing="1" w:line="360" w:lineRule="auto"/>
        <w:ind w:left="714" w:hanging="357"/>
        <w:jc w:val="both"/>
        <w:rPr>
          <w:rFonts w:ascii="Arial" w:hAnsi="Arial" w:cs="Arial"/>
          <w:sz w:val="20"/>
          <w:szCs w:val="20"/>
        </w:rPr>
      </w:pPr>
      <w:r w:rsidRPr="00BF7E57">
        <w:rPr>
          <w:rFonts w:ascii="Arial" w:hAnsi="Arial" w:cs="Arial"/>
          <w:sz w:val="20"/>
          <w:szCs w:val="20"/>
        </w:rPr>
        <w:t>Pripravljalna podpora (podukrep 19.1),</w:t>
      </w:r>
    </w:p>
    <w:p w14:paraId="7C4F8BFE" w14:textId="77777777" w:rsidR="009E0216" w:rsidRPr="00BF7E57"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BF7E57">
        <w:rPr>
          <w:rFonts w:ascii="Arial" w:hAnsi="Arial" w:cs="Arial"/>
          <w:sz w:val="20"/>
          <w:szCs w:val="20"/>
        </w:rPr>
        <w:t>Podpora za izvajanje operacij v okviru strategije lokalnega razvoja, ki ga vodi skupnost (podukrep 19.2),</w:t>
      </w:r>
    </w:p>
    <w:p w14:paraId="12BA7FE5" w14:textId="77777777" w:rsidR="009E0216" w:rsidRPr="00BF7E57"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BF7E57">
        <w:rPr>
          <w:rFonts w:ascii="Arial" w:hAnsi="Arial" w:cs="Arial"/>
          <w:sz w:val="20"/>
          <w:szCs w:val="20"/>
        </w:rPr>
        <w:t>Priprava in izvajanje dejavnosti sodelovanja lokalne akcijske skupine (podukrep 19.3),</w:t>
      </w:r>
    </w:p>
    <w:p w14:paraId="17C927F8" w14:textId="77777777" w:rsidR="009E0216" w:rsidRPr="00BF7E57"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BF7E57">
        <w:rPr>
          <w:rFonts w:ascii="Arial" w:hAnsi="Arial" w:cs="Arial"/>
          <w:sz w:val="20"/>
          <w:szCs w:val="20"/>
        </w:rPr>
        <w:t>Podpora za tekoče stroške in stroške animacije (podukrep 19.4).</w:t>
      </w:r>
    </w:p>
    <w:p w14:paraId="1A815130" w14:textId="75F3D1B1" w:rsidR="000B0213" w:rsidRPr="00BF7E57" w:rsidRDefault="000B0213" w:rsidP="000F179D">
      <w:pPr>
        <w:spacing w:before="240" w:after="240"/>
        <w:jc w:val="both"/>
        <w:rPr>
          <w:rFonts w:ascii="Arial" w:hAnsi="Arial" w:cs="Arial"/>
          <w:sz w:val="20"/>
          <w:szCs w:val="20"/>
        </w:rPr>
      </w:pPr>
      <w:r w:rsidRPr="00BF7E57">
        <w:rPr>
          <w:rFonts w:ascii="Arial" w:hAnsi="Arial" w:cs="Arial"/>
          <w:sz w:val="20"/>
          <w:szCs w:val="20"/>
        </w:rPr>
        <w:t>V programskem obdobju 2014–2020 je ukrepu LEADER namenjenih 56.365.614,45 € sredstev.</w:t>
      </w:r>
    </w:p>
    <w:p w14:paraId="6E145A14" w14:textId="77777777" w:rsidR="000B0213" w:rsidRPr="00BF7E57" w:rsidRDefault="000B0213" w:rsidP="000F179D">
      <w:pPr>
        <w:jc w:val="both"/>
        <w:rPr>
          <w:rFonts w:ascii="Arial" w:hAnsi="Arial" w:cs="Arial"/>
          <w:sz w:val="20"/>
          <w:szCs w:val="20"/>
        </w:rPr>
      </w:pPr>
      <w:r w:rsidRPr="00BF7E57">
        <w:rPr>
          <w:rFonts w:ascii="Arial" w:hAnsi="Arial" w:cs="Arial"/>
          <w:sz w:val="20"/>
          <w:szCs w:val="20"/>
        </w:rPr>
        <w:t xml:space="preserve">Za ukrepa LEADER je bilo do konca leta 2020 odobrenih 76,7 % razpoložljivih sredstev za ta ukrep (43.236.480,40 €, od tega v letu 2020 10.328.018,57 €). Izplačanih je bilo 35,6 % razpoložljivih sredstev za ukrep LEADER (20.044.453,06 €, od tega v letu 2020 10.271.093,98 €). </w:t>
      </w:r>
    </w:p>
    <w:p w14:paraId="2DBC98B3" w14:textId="77777777" w:rsidR="009E0216" w:rsidRPr="00BF7E57" w:rsidRDefault="009E0216" w:rsidP="000F179D">
      <w:pPr>
        <w:spacing w:line="360" w:lineRule="auto"/>
        <w:jc w:val="both"/>
        <w:rPr>
          <w:rFonts w:ascii="Arial" w:hAnsi="Arial" w:cs="Arial"/>
          <w:sz w:val="20"/>
          <w:szCs w:val="20"/>
        </w:rPr>
      </w:pPr>
      <w:r w:rsidRPr="00BF7E57">
        <w:rPr>
          <w:rFonts w:ascii="Arial" w:hAnsi="Arial" w:cs="Arial"/>
          <w:sz w:val="20"/>
          <w:szCs w:val="20"/>
        </w:rPr>
        <w:t xml:space="preserve">Za podukrep 19.1 Pripravljalna podpora je bilo 37 LAS-om za pripravo SLR v obliki pavšalnega zneska izplačanih 401.662,50 EUR. Obrazec za SLR je bil predpisan, tako da se je omejilo število strani. </w:t>
      </w:r>
    </w:p>
    <w:p w14:paraId="67E6DBC7" w14:textId="032237AC" w:rsidR="009E0216" w:rsidRPr="00BF7E57" w:rsidRDefault="009E0216" w:rsidP="000F179D">
      <w:pPr>
        <w:spacing w:line="360" w:lineRule="auto"/>
        <w:jc w:val="both"/>
        <w:rPr>
          <w:rFonts w:ascii="Arial" w:hAnsi="Arial" w:cs="Arial"/>
          <w:sz w:val="20"/>
          <w:szCs w:val="20"/>
        </w:rPr>
      </w:pPr>
      <w:r w:rsidRPr="00BF7E57">
        <w:rPr>
          <w:rFonts w:ascii="Arial" w:hAnsi="Arial" w:cs="Arial"/>
          <w:sz w:val="20"/>
          <w:szCs w:val="20"/>
        </w:rPr>
        <w:t>Projekti se izvajajo preko po</w:t>
      </w:r>
      <w:r w:rsidR="00D37137" w:rsidRPr="00BF7E57">
        <w:rPr>
          <w:rFonts w:ascii="Arial" w:hAnsi="Arial" w:cs="Arial"/>
          <w:sz w:val="20"/>
          <w:szCs w:val="20"/>
        </w:rPr>
        <w:t>d</w:t>
      </w:r>
      <w:r w:rsidRPr="00BF7E57">
        <w:rPr>
          <w:rFonts w:ascii="Arial" w:hAnsi="Arial" w:cs="Arial"/>
          <w:sz w:val="20"/>
          <w:szCs w:val="20"/>
        </w:rPr>
        <w:t>ukrepa Podpora za izvajanje operacij v okviru strategij lokalnega razvoja, ki ga vodi skupnost ter podukrepa Priprava in izvajanje dejavnosti sodelovanja lokalne akcijske skupine (projekti sodelovanja).</w:t>
      </w:r>
    </w:p>
    <w:p w14:paraId="1E8A4DF1" w14:textId="77777777"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Za podukrep 19.2 Podpora za izvajanje operacij v okviru strategije lokalnega razvoja, ki ga vodi skupnost je iz EKSRP skupaj na voljo 37.608.109,45 EUR sredstev ter dodatnih 5,7 mio EUR iz naslova rezerve za uspešnost. Upravičenci pri tem podukrepu so LAS ter fizične in pravne osebe.</w:t>
      </w:r>
    </w:p>
    <w:p w14:paraId="3ADCD890"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lastRenderedPageBreak/>
        <w:t>Postopek za izbor projektov poteka 2-fazno. Najprej LAS objavi javni poziv za izbor operacij, nato pa operacije za sklad EKSRP potrdi plačilna agencija.</w:t>
      </w:r>
    </w:p>
    <w:p w14:paraId="2A0E262D" w14:textId="77777777" w:rsidR="000B0213" w:rsidRPr="00BF7E57" w:rsidRDefault="000B0213" w:rsidP="00C20667">
      <w:pPr>
        <w:spacing w:before="200" w:line="360" w:lineRule="auto"/>
        <w:jc w:val="both"/>
        <w:rPr>
          <w:rFonts w:ascii="Arial" w:hAnsi="Arial" w:cs="Arial"/>
          <w:sz w:val="20"/>
          <w:szCs w:val="20"/>
        </w:rPr>
      </w:pPr>
      <w:r w:rsidRPr="00BF7E57">
        <w:rPr>
          <w:rFonts w:ascii="Arial" w:hAnsi="Arial" w:cs="Arial"/>
          <w:sz w:val="20"/>
          <w:szCs w:val="20"/>
        </w:rPr>
        <w:t>Do konca leta 2020 je bilo skupaj za podukrep 19.2  Podpora za izvajanje operacij v okviru strategije lokalnega razvoja, ki ga vodi skupnost odobrenih 547 vlog oz. 66,0 % razpoložljivih sredstev (24.830.324,58 €, od tega v letu 2020 7.302.052,05 € in 149 vlog). Izplačanih je bilo skupaj 314 vlog oz. 30,1 % razpoložljivih sredstev za ta podukrep (11.324.302,90 € od tega v letu 2020 6.187.582,80 € in 166 vlog).</w:t>
      </w:r>
    </w:p>
    <w:p w14:paraId="0FD77FFC" w14:textId="005EB308" w:rsidR="00C01ABD" w:rsidRPr="00BF7E57" w:rsidRDefault="00C01ABD" w:rsidP="00C20667">
      <w:pPr>
        <w:spacing w:before="200" w:line="360" w:lineRule="auto"/>
        <w:jc w:val="both"/>
        <w:rPr>
          <w:rFonts w:ascii="Arial" w:hAnsi="Arial" w:cs="Arial"/>
          <w:sz w:val="20"/>
          <w:szCs w:val="20"/>
        </w:rPr>
      </w:pPr>
      <w:r w:rsidRPr="00BF7E57">
        <w:rPr>
          <w:rFonts w:ascii="Arial" w:hAnsi="Arial" w:cs="Arial"/>
          <w:sz w:val="20"/>
          <w:szCs w:val="20"/>
        </w:rPr>
        <w:t>Največ operacij je vključenih v tematsko področje ukrepanja Razvoj osnovnih storitev, sledi Ustvarjanje delovnih mest, sledi tematsko področje ukrepanja Varstvo okolja in ohranjanje narave</w:t>
      </w:r>
      <w:r w:rsidR="00C902BF" w:rsidRPr="00BF7E57">
        <w:rPr>
          <w:rFonts w:ascii="Arial" w:hAnsi="Arial" w:cs="Arial"/>
          <w:sz w:val="20"/>
          <w:szCs w:val="20"/>
        </w:rPr>
        <w:t>,</w:t>
      </w:r>
      <w:r w:rsidRPr="00BF7E57">
        <w:rPr>
          <w:rFonts w:ascii="Arial" w:hAnsi="Arial" w:cs="Arial"/>
          <w:sz w:val="20"/>
          <w:szCs w:val="20"/>
        </w:rPr>
        <w:t xml:space="preserve"> najmanj </w:t>
      </w:r>
      <w:r w:rsidR="00C902BF" w:rsidRPr="00BF7E57">
        <w:rPr>
          <w:rFonts w:ascii="Arial" w:hAnsi="Arial" w:cs="Arial"/>
          <w:sz w:val="20"/>
          <w:szCs w:val="20"/>
        </w:rPr>
        <w:t xml:space="preserve">operacij je vključenih v tematsko področje ukrepanja </w:t>
      </w:r>
      <w:r w:rsidRPr="00BF7E57">
        <w:rPr>
          <w:rFonts w:ascii="Arial" w:hAnsi="Arial" w:cs="Arial"/>
          <w:sz w:val="20"/>
          <w:szCs w:val="20"/>
        </w:rPr>
        <w:t>Večja vključenost mladih, žensk in drugih ranljivih skupin (projekti so večinoma vključeni v več tematskih področij).</w:t>
      </w:r>
    </w:p>
    <w:p w14:paraId="5955A9D5" w14:textId="71E9FEB3" w:rsidR="00C01ABD" w:rsidRPr="00BF7E57" w:rsidRDefault="00C01ABD" w:rsidP="00C01ABD">
      <w:pPr>
        <w:spacing w:before="200" w:line="360" w:lineRule="auto"/>
        <w:jc w:val="both"/>
        <w:rPr>
          <w:rFonts w:ascii="Arial" w:hAnsi="Arial" w:cs="Arial"/>
          <w:sz w:val="20"/>
          <w:szCs w:val="20"/>
        </w:rPr>
      </w:pPr>
      <w:r w:rsidRPr="00BF7E57">
        <w:rPr>
          <w:rFonts w:ascii="Arial" w:hAnsi="Arial" w:cs="Arial"/>
          <w:sz w:val="20"/>
          <w:szCs w:val="20"/>
        </w:rPr>
        <w:t>Največ odobrenih projektov (operacij) in odobrenih sredstev je bilo v podravski regiji (27 % projektov, 17 % sredstev), sledita jugovzhodna Slovenija (12 % projektov, 15 % odobrenih sredstev) in pomurska statistična regija (12 % projektov in 11 % odobrenih sredstev). Visok delež odobrenih sredstev imata še savinjska in gorenjska statistična regija (po 10 %). Najmanj odobrenih vlog imajo posavska, obalno – kraška in koroška statistična regija. Najmanjši delež odobrenih sredstev pa obalno – kraška in koroška regija. Največ izplačanih projektov je bilo prav tako v podravski regiji (18 %) in jugovzhodni Sloveniji (14 %), najmanj pa v obalno-kraški (1 %) in osrednjeslovenski statistični regiji (3 %).</w:t>
      </w:r>
    </w:p>
    <w:p w14:paraId="46612E90" w14:textId="77777777" w:rsidR="00C01ABD" w:rsidRPr="00BF7E57" w:rsidRDefault="00C01ABD" w:rsidP="00C01ABD">
      <w:pPr>
        <w:spacing w:before="200" w:line="360" w:lineRule="auto"/>
        <w:jc w:val="both"/>
        <w:rPr>
          <w:rFonts w:ascii="Arial" w:hAnsi="Arial" w:cs="Arial"/>
          <w:sz w:val="20"/>
          <w:szCs w:val="20"/>
        </w:rPr>
      </w:pPr>
      <w:r w:rsidRPr="00BF7E57">
        <w:rPr>
          <w:rFonts w:ascii="Arial" w:hAnsi="Arial" w:cs="Arial"/>
          <w:sz w:val="20"/>
          <w:szCs w:val="20"/>
        </w:rPr>
        <w:t xml:space="preserve">Glede na status upravičenca okoli 40 % vseh upravičencev predstavlja javni sektor (občine in javni zavodi). Največji delež odobrenih sredstev po statusu upravičencev ima javni sektor (občine, javni zavodi), ki predstavljajo okoli 60 % vseh odobrenih sredstev. Med upravičenci je največ občin (24 % vseh upravičencev in 43 % vseh odobrenih sredstev). Glede na upravičence sledijo društva (22,5 %), javni zavodi (19 %) in gospodarske družbe (15 %). Upravičence predstavljajo tudi samostojni podjetniki (5,4 %), kmetije (5,7 % predstavljajo skupno kmetije, kmetije z registrirano dopolnilno dejavnostjo, nosilci kmetij, ki se ukvarjajo s predelavo ali trženjem) in zasebni zavodi (4,7 %). Najmanj upravičencev predstavljajo lastniki gozdov, fizične osebe in verske skupnosti, javna podjetja idr. To kaže, da predstavniki civilne družbe v manjši meri prijavljajo operacije, ker s težavo zagotovijo potreben delež sofinanciranja, pestijo jih likvidnostne težave ipd. </w:t>
      </w:r>
    </w:p>
    <w:p w14:paraId="5B645448" w14:textId="4DCBE662" w:rsidR="009E0216"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sz w:val="20"/>
          <w:szCs w:val="20"/>
          <w:lang w:val="sl-SI"/>
        </w:rPr>
        <w:t xml:space="preserve">Število zaključenih operacij v prvi polovici programskega obdobja je manjše, ker se nekatere operacije izvajajo v več fazah. Največji delež projektov je odobren v kohezijski regiji Vhodne Slovenije. V povprečju je bilo za eno operacijo odobrenih </w:t>
      </w:r>
      <w:r w:rsidR="006308B6" w:rsidRPr="00BF7E57">
        <w:rPr>
          <w:rFonts w:ascii="Arial" w:hAnsi="Arial" w:cs="Arial"/>
          <w:sz w:val="20"/>
          <w:szCs w:val="20"/>
          <w:lang w:val="sl-SI"/>
        </w:rPr>
        <w:t>okoli</w:t>
      </w:r>
      <w:r w:rsidRPr="00BF7E57">
        <w:rPr>
          <w:rFonts w:ascii="Arial" w:hAnsi="Arial" w:cs="Arial"/>
          <w:sz w:val="20"/>
          <w:szCs w:val="20"/>
          <w:lang w:val="sl-SI"/>
        </w:rPr>
        <w:t xml:space="preserve"> 4</w:t>
      </w:r>
      <w:r w:rsidR="006308B6" w:rsidRPr="00BF7E57">
        <w:rPr>
          <w:rFonts w:ascii="Arial" w:hAnsi="Arial" w:cs="Arial"/>
          <w:sz w:val="20"/>
          <w:szCs w:val="20"/>
          <w:lang w:val="sl-SI"/>
        </w:rPr>
        <w:t>5.500</w:t>
      </w:r>
      <w:r w:rsidRPr="00BF7E57">
        <w:rPr>
          <w:rFonts w:ascii="Arial" w:hAnsi="Arial" w:cs="Arial"/>
          <w:sz w:val="20"/>
          <w:szCs w:val="20"/>
          <w:lang w:val="sl-SI"/>
        </w:rPr>
        <w:t xml:space="preserve"> EUR javnih sredstev</w:t>
      </w:r>
      <w:r w:rsidR="008B4BD7" w:rsidRPr="00BF7E57">
        <w:rPr>
          <w:rFonts w:ascii="Arial" w:hAnsi="Arial" w:cs="Arial"/>
          <w:sz w:val="20"/>
          <w:szCs w:val="20"/>
          <w:lang w:val="sl-SI"/>
        </w:rPr>
        <w:t>.</w:t>
      </w:r>
      <w:r w:rsidRPr="00BF7E57">
        <w:rPr>
          <w:rFonts w:ascii="Arial" w:hAnsi="Arial" w:cs="Arial"/>
          <w:sz w:val="20"/>
          <w:szCs w:val="20"/>
          <w:lang w:val="sl-SI"/>
        </w:rPr>
        <w:t>. Stopnja sofinanciranja v povprečju znaša 63 %. Najnižje vrednosti operacij so v vrednosti 4.000 do 5.000 EUR, z odobrenimi sredstvi okoli 3.000 EUR. Najvišje vrednosti operacij so v vrednosti okoli 525.000 EUR, z odobrenimi sredstvi v višini do 300.000 EUR.</w:t>
      </w:r>
    </w:p>
    <w:p w14:paraId="01166664" w14:textId="608EB275" w:rsidR="008B4BD7" w:rsidRPr="00BF7E57" w:rsidRDefault="008B4BD7" w:rsidP="00BE756C">
      <w:pPr>
        <w:pStyle w:val="Default"/>
        <w:spacing w:before="200" w:after="200" w:line="360" w:lineRule="auto"/>
        <w:jc w:val="both"/>
        <w:rPr>
          <w:lang w:val="sl-SI"/>
        </w:rPr>
      </w:pPr>
      <w:r w:rsidRPr="00BF7E57">
        <w:rPr>
          <w:rFonts w:ascii="Arial" w:hAnsi="Arial" w:cs="Arial"/>
          <w:sz w:val="20"/>
          <w:szCs w:val="20"/>
          <w:lang w:val="sl-SI"/>
        </w:rPr>
        <w:t xml:space="preserve">Največji delež stroškov v operacijah predstavljajo stroški materiala, naložb in storitev (okoli 70%), sledijo stroški dela (18 %) in splošni stroški (10 %). Za izvedbo projektov in vključevanja predvsem manjših </w:t>
      </w:r>
      <w:r w:rsidRPr="00BF7E57">
        <w:rPr>
          <w:rFonts w:ascii="Arial" w:hAnsi="Arial" w:cs="Arial"/>
          <w:sz w:val="20"/>
          <w:szCs w:val="20"/>
          <w:lang w:val="sl-SI"/>
        </w:rPr>
        <w:lastRenderedPageBreak/>
        <w:t xml:space="preserve">posameznih partnerjev projektov je pomemben prispevek v naravi (lastno delo, material ali zemljišče), ki predstavlja okoli 2,3 % vseh upravičenih strokov projektov.  </w:t>
      </w:r>
    </w:p>
    <w:p w14:paraId="21AD1B1C" w14:textId="77777777" w:rsidR="000B0213" w:rsidRPr="00BF7E57" w:rsidRDefault="000B0213" w:rsidP="000B0213">
      <w:pPr>
        <w:spacing w:before="200" w:after="0" w:line="360" w:lineRule="auto"/>
        <w:jc w:val="both"/>
        <w:rPr>
          <w:rFonts w:ascii="Arial" w:hAnsi="Arial" w:cs="Arial"/>
          <w:b/>
          <w:i/>
          <w:sz w:val="20"/>
          <w:szCs w:val="20"/>
        </w:rPr>
      </w:pPr>
      <w:r w:rsidRPr="00BF7E57">
        <w:rPr>
          <w:rFonts w:ascii="Arial" w:eastAsia="Times New Roman" w:hAnsi="Arial" w:cs="Arial"/>
          <w:color w:val="000000"/>
          <w:sz w:val="20"/>
          <w:szCs w:val="20"/>
          <w:lang w:eastAsia="en-GB"/>
        </w:rPr>
        <w:t>Vsebinska analiza projektov LEADER, potrjenih do 31. 12. 2020, kaže, da je okoli:</w:t>
      </w:r>
    </w:p>
    <w:p w14:paraId="08F5BCBE"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 xml:space="preserve">23,5 % projektov s področja turizma (lokalne blagovne znamke in turistični produkti, ureditev objektov in prostorov za turistični namen za različne ciljne skupine, tematske poti, kolesarske poti in poligoni, promocija lokalne kulinarike in znamenitosti in običajev, ureditev prenočitvenih kapacitet (apartmaji), postajališča za avtodome, ureditev muzejskih zbirk ipd.;  </w:t>
      </w:r>
    </w:p>
    <w:p w14:paraId="56568802"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 xml:space="preserve">19,1 % s področja obnove in razvoja vasi (ureditev javne infrastrukture, prostorov, objektov in zunanjih površin za izobraževanje, usposabljanje, vseživljenjsko učenje za različne ciljne skupine: lokalne prebivalce, otroke, starostnike, ranljive skupine, športnike, podjetnike), ureditev tržnic, igrišč, medgeneracijskih centrov, kolesarskih poti, učnih parkov, ureditev prostorov za pripravo lokalne hrane, promocijsko-degustacijskih centrov, kulturnih domov in prostorov, čebelnjakov ipd.;    </w:t>
      </w:r>
    </w:p>
    <w:p w14:paraId="50AC9D67"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 xml:space="preserve">15 % s področja kulturne dediščine (obnova kulturnih znamenitosti, objektov, obnova mlina, prireditve in storitve povezane z dediščino (Rimljani, furmanstvo, vojaška bolnica, dediščina vinarstva, lončarstvo, rokodelstvo, kmečki običaji), arheološke zbirke, muzejske zbirke, kozolci, stara hišna imena ipd., </w:t>
      </w:r>
    </w:p>
    <w:p w14:paraId="091F48BF" w14:textId="4C06F6AC"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12 % s področja kmetijstva, gozdarstva in prehrane: dopolnilne dejavnosti na kmetiji</w:t>
      </w:r>
      <w:r w:rsidR="00C902BF" w:rsidRPr="00BF7E57">
        <w:rPr>
          <w:rFonts w:ascii="Arial" w:hAnsi="Arial" w:cs="Arial"/>
          <w:sz w:val="20"/>
          <w:szCs w:val="20"/>
        </w:rPr>
        <w:t xml:space="preserve"> </w:t>
      </w:r>
      <w:r w:rsidRPr="00BF7E57">
        <w:rPr>
          <w:rFonts w:ascii="Arial" w:hAnsi="Arial" w:cs="Arial"/>
          <w:sz w:val="20"/>
          <w:szCs w:val="20"/>
        </w:rPr>
        <w:t xml:space="preserve">(jahanje, didaktične kmetije s prikazom dela na kmetiji za različne skupine, programi, storitve in produkti za povečanje lokalne samooskrbe ter kratke dobavne verige, vzpostavitev blagovnih znamk in trženje različnih proizvodov: lokalna hrana, sadjarstvo, vino, meso, zelenjava, seneno mleko ipd.), izobraževanja o pomenu ohranjanja kmetijskih površin, pilotni projekti s prikazom ohranjanja starih kultur, avtohtonih pasem, zeliščarstvo, hortikultura, projekti povezani s čebelarstvom in pomenom ohranjanja gozdov; </w:t>
      </w:r>
    </w:p>
    <w:p w14:paraId="10367013"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13 % s področja družbe in sociale (programi, prireditve in izobraževanja za lokalne prebivalce in ranljive skupine (mladi, ostareli, osebe s posebnimi potrebami) z različno tematiko: podjetništvo, zdrav življenjski slog, društvene dejavnosti, kino, sejmi, mobilni socialni servis ipd.;</w:t>
      </w:r>
    </w:p>
    <w:p w14:paraId="13765495"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9 % s področja varovanja okolja in naravnih virov energije ter varovanje podnebja (interpretacija narave: naravoslovne učne poti, informativne table, usmerjevalne table, programi o pomenu varovanja narave za različne ciljne skupine, varovanje in ohranitev naravnih habitatov: lokalnih mokrišč, obnova kali, ekoremediacija varovanje človeške ribice, projekti za ohranjanje vodnih virov, vzpostavitev javnih prevozov, parkirišč za zmanjšanje prometa; e-mobilnost, sončna elektrarna; varovanje vodnih virov);</w:t>
      </w:r>
    </w:p>
    <w:p w14:paraId="3D979D23"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4 % s področja podjetništva na podeželju (združevanje lokalnih produktov, mreženje, izobraževanje v šolah, oblikovanje blagovnih znamk na področju lesarstva, gozdarstva in drugih lokalnih virov, ustvarjanje podpornega okolja za podjetništvo na podeželju, izobraževanja, delavnice, programi za mlade in druge ranljive skupine, podpora socialnemu podjetništvu, razvoj novih proizvodov in produktov ipd.).</w:t>
      </w:r>
    </w:p>
    <w:p w14:paraId="03807817" w14:textId="3D41E403"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okviru podukrepa 19.2 je bilo do konca leta 20</w:t>
      </w:r>
      <w:r w:rsidR="000B0213" w:rsidRPr="00BF7E57">
        <w:rPr>
          <w:rFonts w:ascii="Arial" w:hAnsi="Arial" w:cs="Arial"/>
          <w:sz w:val="20"/>
          <w:szCs w:val="20"/>
        </w:rPr>
        <w:t>20</w:t>
      </w:r>
      <w:r w:rsidRPr="00BF7E57">
        <w:rPr>
          <w:rFonts w:ascii="Arial" w:hAnsi="Arial" w:cs="Arial"/>
          <w:sz w:val="20"/>
          <w:szCs w:val="20"/>
        </w:rPr>
        <w:t xml:space="preserve"> ustvarjenih </w:t>
      </w:r>
      <w:r w:rsidR="000B0213" w:rsidRPr="00BF7E57">
        <w:rPr>
          <w:rFonts w:ascii="Arial" w:hAnsi="Arial" w:cs="Arial"/>
          <w:sz w:val="20"/>
          <w:szCs w:val="20"/>
        </w:rPr>
        <w:t>72</w:t>
      </w:r>
      <w:r w:rsidRPr="00BF7E57">
        <w:rPr>
          <w:rFonts w:ascii="Arial" w:hAnsi="Arial" w:cs="Arial"/>
          <w:sz w:val="20"/>
          <w:szCs w:val="20"/>
        </w:rPr>
        <w:t xml:space="preserve"> delovnih mest na podeželju.</w:t>
      </w:r>
    </w:p>
    <w:p w14:paraId="03A0BEAD" w14:textId="3E304472" w:rsidR="0078036A" w:rsidRPr="00BF7E57" w:rsidRDefault="0078036A" w:rsidP="001B7F8A">
      <w:pPr>
        <w:pStyle w:val="Napis"/>
      </w:pPr>
      <w:bookmarkStart w:id="214" w:name="_Toc86826438"/>
      <w:r w:rsidRPr="00BF7E57">
        <w:lastRenderedPageBreak/>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48</w:t>
      </w:r>
      <w:r w:rsidR="00A30B83" w:rsidRPr="00BF7E57">
        <w:rPr>
          <w:noProof/>
        </w:rPr>
        <w:fldChar w:fldCharType="end"/>
      </w:r>
      <w:r w:rsidRPr="00BF7E57">
        <w:t>: Vsebinska analiza projektov LEADER za podukrep 19.2</w:t>
      </w:r>
      <w:bookmarkEnd w:id="214"/>
    </w:p>
    <w:p w14:paraId="391E5D57" w14:textId="527BD64B" w:rsidR="00BA524D" w:rsidRPr="00BF7E57" w:rsidRDefault="005630A2" w:rsidP="009D2C9D">
      <w:pPr>
        <w:spacing w:after="0" w:line="240" w:lineRule="auto"/>
        <w:jc w:val="both"/>
        <w:rPr>
          <w:rFonts w:ascii="Arial" w:hAnsi="Arial" w:cs="Arial"/>
          <w:sz w:val="16"/>
          <w:szCs w:val="16"/>
        </w:rPr>
      </w:pPr>
      <w:bookmarkStart w:id="215" w:name="_Toc47082388"/>
      <w:bookmarkStart w:id="216" w:name="_Toc47092629"/>
      <w:r w:rsidRPr="00BF7E57">
        <w:rPr>
          <w:noProof/>
          <w:lang w:eastAsia="sl-SI"/>
        </w:rPr>
        <w:drawing>
          <wp:inline distT="0" distB="0" distL="0" distR="0" wp14:anchorId="73D8EA83" wp14:editId="26C8219E">
            <wp:extent cx="5760720" cy="3555894"/>
            <wp:effectExtent l="0" t="0" r="11430" b="2603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BB092C3" w14:textId="77777777"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ARSKTRP, obdelava MKGP</w:t>
      </w:r>
      <w:bookmarkEnd w:id="215"/>
      <w:bookmarkEnd w:id="216"/>
    </w:p>
    <w:p w14:paraId="7FFB0C0B"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Vsebinsko so projekti zelo interdisciplinarni, kompleksni, z multiplikacijskimi učinki in se vsebinsko zelo prepletajo, zato je strogo vsebinsko ločitev zelo težko določiti. Kar 63 % vseh projektov, izvedenih ali odobrenih do konca leta 2019 vsebuje naložbe, 26 % delavnice, 18 % nove produkte, 16 % vključuje izobraževanje, 15% projektov storitve, ostali projekti pa druge aktivnosti (Analiza letnih poročil LAS za leto 2019, obdelava MKGP). Okoli 40 % vseh projektov se izvaja na območjih varovanje naravne in kulturne dediščine, saj so lokacije projektov na območju TNP, varovanih območjih narave in naravnih vrednost ter na lokacijah kulturne dediščine.</w:t>
      </w:r>
    </w:p>
    <w:p w14:paraId="5D09ED97"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Čeprav je najmanj opredelitev projektov iz tematskega področja ukrepanja Večja vključenost mladih, žensk in drugih ranljivih skupin, pa veliko projektov vključuje socialne vsebine, kot so medgeneracijsko sodelovanje, izobraževanje, podpora ranljivih skupin idr. Na podlagi izvedene ankete Društva za razvoj slovenskega podeželja je bilo do konca leta 2018 odobrenih skupaj 81 operacij s socialnimi vsebinami (skupaj vseh odobrenih operacij, na podlagi 23 vključenih LAS, je bilo 323), kar znaša približno 25 % vseh odobrenih operacij. V povprečju so na ravni LAS odobrili 3 operacije s socialno vsebino. Na podlagi meril LAS za izbor operacije več kot 50 % odobrenih operacij pri ocenjevanju prijave dosega maksimalno število točk pri socialnem kriteriju – vključevanje ranljivih skupin. </w:t>
      </w:r>
    </w:p>
    <w:p w14:paraId="60ECB3C3" w14:textId="3724DD9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okviru vrednotenja PRP 2014–2020 je bilo ugotovljeno, da je na podlagi odobrenih operacij LEADER</w:t>
      </w:r>
      <w:r w:rsidR="00C902BF" w:rsidRPr="00BF7E57">
        <w:rPr>
          <w:rFonts w:ascii="Arial" w:hAnsi="Arial" w:cs="Arial"/>
          <w:sz w:val="20"/>
          <w:szCs w:val="20"/>
        </w:rPr>
        <w:t>,</w:t>
      </w:r>
      <w:r w:rsidRPr="00BF7E57">
        <w:rPr>
          <w:rFonts w:ascii="Arial" w:hAnsi="Arial" w:cs="Arial"/>
          <w:sz w:val="20"/>
          <w:szCs w:val="20"/>
        </w:rPr>
        <w:t xml:space="preserve"> delež podeželskega prebivalstva, deležnega izboljšanih storitev oziroma infrastrukture</w:t>
      </w:r>
      <w:r w:rsidR="00675FF9" w:rsidRPr="00BF7E57">
        <w:rPr>
          <w:rFonts w:ascii="Arial" w:hAnsi="Arial" w:cs="Arial"/>
          <w:sz w:val="20"/>
          <w:szCs w:val="20"/>
        </w:rPr>
        <w:t>,</w:t>
      </w:r>
      <w:r w:rsidRPr="00BF7E57">
        <w:rPr>
          <w:rFonts w:ascii="Arial" w:hAnsi="Arial" w:cs="Arial"/>
          <w:sz w:val="20"/>
          <w:szCs w:val="20"/>
        </w:rPr>
        <w:t xml:space="preserve"> kar 51% prebivalstva. Vsebinska analiza projektov kaže, da gre za obnovo vasi, obnove objektov (kulturne dediščine in revitalizacijo opuščenih) in prostorov, investicije na javnih površinah in objektih ter nakup urbane opreme, nakup razne opreme za dejavnosti, rekreacijo ipd. Pogosto gre za </w:t>
      </w:r>
      <w:r w:rsidR="00675FF9" w:rsidRPr="00BF7E57">
        <w:rPr>
          <w:rFonts w:ascii="Arial" w:hAnsi="Arial" w:cs="Arial"/>
          <w:sz w:val="20"/>
          <w:szCs w:val="20"/>
        </w:rPr>
        <w:t>vsebine</w:t>
      </w:r>
      <w:r w:rsidRPr="00BF7E57">
        <w:rPr>
          <w:rFonts w:ascii="Arial" w:hAnsi="Arial" w:cs="Arial"/>
          <w:sz w:val="20"/>
          <w:szCs w:val="20"/>
        </w:rPr>
        <w:t xml:space="preserve">, ki </w:t>
      </w:r>
      <w:r w:rsidR="00675FF9" w:rsidRPr="00BF7E57">
        <w:rPr>
          <w:rFonts w:ascii="Arial" w:hAnsi="Arial" w:cs="Arial"/>
          <w:sz w:val="20"/>
          <w:szCs w:val="20"/>
        </w:rPr>
        <w:t xml:space="preserve">so </w:t>
      </w:r>
      <w:r w:rsidRPr="00BF7E57">
        <w:rPr>
          <w:rFonts w:ascii="Arial" w:hAnsi="Arial" w:cs="Arial"/>
          <w:sz w:val="20"/>
          <w:szCs w:val="20"/>
        </w:rPr>
        <w:t>bil</w:t>
      </w:r>
      <w:r w:rsidR="00675FF9" w:rsidRPr="00BF7E57">
        <w:rPr>
          <w:rFonts w:ascii="Arial" w:hAnsi="Arial" w:cs="Arial"/>
          <w:sz w:val="20"/>
          <w:szCs w:val="20"/>
        </w:rPr>
        <w:t>e</w:t>
      </w:r>
      <w:r w:rsidRPr="00BF7E57">
        <w:rPr>
          <w:rFonts w:ascii="Arial" w:hAnsi="Arial" w:cs="Arial"/>
          <w:sz w:val="20"/>
          <w:szCs w:val="20"/>
        </w:rPr>
        <w:t xml:space="preserve"> v </w:t>
      </w:r>
      <w:r w:rsidRPr="00BF7E57">
        <w:rPr>
          <w:rFonts w:ascii="Arial" w:hAnsi="Arial" w:cs="Arial"/>
          <w:sz w:val="20"/>
          <w:szCs w:val="20"/>
        </w:rPr>
        <w:lastRenderedPageBreak/>
        <w:t>prejšnjem programskem obdobju podprt</w:t>
      </w:r>
      <w:r w:rsidR="00675FF9" w:rsidRPr="00BF7E57">
        <w:rPr>
          <w:rFonts w:ascii="Arial" w:hAnsi="Arial" w:cs="Arial"/>
          <w:sz w:val="20"/>
          <w:szCs w:val="20"/>
        </w:rPr>
        <w:t>e</w:t>
      </w:r>
      <w:r w:rsidRPr="00BF7E57">
        <w:rPr>
          <w:rFonts w:ascii="Arial" w:hAnsi="Arial" w:cs="Arial"/>
          <w:sz w:val="20"/>
          <w:szCs w:val="20"/>
        </w:rPr>
        <w:t xml:space="preserve"> v okviru ukrepov namenjenih obnovi in razvoju vasi ter ohranjanju in izboljševanju dediščine na podeželju.</w:t>
      </w:r>
    </w:p>
    <w:p w14:paraId="73B92DFB" w14:textId="30F682CF"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Glede inovativnih operacij na ravni PRP 2014-2020 je bilo z vrednotenjem PRP ugotovljeno, da je na osnovi vsebinskega opisa operacij znotraj podukrepa 19.2 več kot tri četrtine (76,0 %) vseh inovativnih operacij na ravni PRP 2014-2020</w:t>
      </w:r>
      <w:r w:rsidR="003E4A64" w:rsidRPr="00BF7E57">
        <w:rPr>
          <w:rFonts w:ascii="Arial" w:hAnsi="Arial" w:cs="Arial"/>
          <w:color w:val="auto"/>
          <w:sz w:val="20"/>
          <w:szCs w:val="20"/>
          <w:lang w:val="sl-SI"/>
        </w:rPr>
        <w:t>.</w:t>
      </w:r>
    </w:p>
    <w:p w14:paraId="051072D3" w14:textId="0B11FDF4" w:rsidR="00206041"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sz w:val="20"/>
          <w:szCs w:val="20"/>
          <w:lang w:val="sl-SI"/>
        </w:rPr>
        <w:t xml:space="preserve">V okviru javnih pozivih lokalnih akcijskih skupin za izbor operacij, so nastali tudi projekti, ki se nanašajo na digitalne storitve v podjetništvu, turizmu, ohranjanju kulturne dediščine, kmetijstvu in lesarstvu. Upravičenci in ciljne skupine so različni: mladi, šolarji, starostniki in druge ranljive skupine, podjetniki, turisti idr. Gre za digitalne storitve, kot so nakup IKT, strojne opreme, mobilne aplikacije, izvedba multimedijev in video predstavitev idr. </w:t>
      </w:r>
    </w:p>
    <w:p w14:paraId="3865A6F1" w14:textId="0CD4B4DF" w:rsidR="00206041" w:rsidRPr="00BF7E57" w:rsidRDefault="004559FC" w:rsidP="00BE756C">
      <w:pPr>
        <w:autoSpaceDE w:val="0"/>
        <w:autoSpaceDN w:val="0"/>
        <w:adjustRightInd w:val="0"/>
        <w:spacing w:before="200" w:line="360" w:lineRule="auto"/>
        <w:jc w:val="both"/>
        <w:rPr>
          <w:rFonts w:ascii="Arial" w:eastAsia="Times New Roman" w:hAnsi="Arial" w:cs="Arial"/>
          <w:sz w:val="20"/>
          <w:szCs w:val="20"/>
          <w:lang w:eastAsia="en-GB"/>
        </w:rPr>
      </w:pPr>
      <w:r w:rsidRPr="00BF7E57">
        <w:rPr>
          <w:rFonts w:ascii="Arial" w:hAnsi="Arial" w:cs="Arial"/>
          <w:sz w:val="20"/>
          <w:szCs w:val="20"/>
        </w:rPr>
        <w:t>Dobre prakse projektov</w:t>
      </w:r>
      <w:r w:rsidR="000D77BE" w:rsidRPr="00BF7E57">
        <w:rPr>
          <w:rFonts w:ascii="Arial" w:hAnsi="Arial" w:cs="Arial"/>
          <w:sz w:val="20"/>
          <w:szCs w:val="20"/>
        </w:rPr>
        <w:t xml:space="preserve"> LEADER, v okviru podukrepa 19.2 in podukrepa 19.3, </w:t>
      </w:r>
      <w:r w:rsidR="00C902BF" w:rsidRPr="00BF7E57">
        <w:rPr>
          <w:rFonts w:ascii="Arial" w:hAnsi="Arial" w:cs="Arial"/>
          <w:sz w:val="20"/>
          <w:szCs w:val="20"/>
        </w:rPr>
        <w:t xml:space="preserve">se </w:t>
      </w:r>
      <w:r w:rsidR="000D77BE" w:rsidRPr="00BF7E57">
        <w:rPr>
          <w:rFonts w:ascii="Arial" w:hAnsi="Arial" w:cs="Arial"/>
          <w:sz w:val="20"/>
          <w:szCs w:val="20"/>
        </w:rPr>
        <w:t>kažejo tudi</w:t>
      </w:r>
      <w:r w:rsidRPr="00BF7E57">
        <w:rPr>
          <w:rFonts w:ascii="Arial" w:hAnsi="Arial" w:cs="Arial"/>
          <w:sz w:val="20"/>
          <w:szCs w:val="20"/>
        </w:rPr>
        <w:t xml:space="preserve"> pri povezovanju med različnimi deležniki v lokalnem območju ter </w:t>
      </w:r>
      <w:r w:rsidR="00C902BF" w:rsidRPr="00BF7E57">
        <w:rPr>
          <w:rFonts w:ascii="Arial" w:hAnsi="Arial" w:cs="Arial"/>
          <w:sz w:val="20"/>
          <w:szCs w:val="20"/>
        </w:rPr>
        <w:t xml:space="preserve">pri </w:t>
      </w:r>
      <w:r w:rsidRPr="00BF7E57">
        <w:rPr>
          <w:rFonts w:ascii="Arial" w:hAnsi="Arial" w:cs="Arial"/>
          <w:sz w:val="20"/>
          <w:szCs w:val="20"/>
        </w:rPr>
        <w:t>vlog</w:t>
      </w:r>
      <w:r w:rsidR="00C902BF" w:rsidRPr="00BF7E57">
        <w:rPr>
          <w:rFonts w:ascii="Arial" w:hAnsi="Arial" w:cs="Arial"/>
          <w:sz w:val="20"/>
          <w:szCs w:val="20"/>
        </w:rPr>
        <w:t>i</w:t>
      </w:r>
      <w:r w:rsidRPr="00BF7E57">
        <w:rPr>
          <w:rFonts w:ascii="Arial" w:hAnsi="Arial" w:cs="Arial"/>
          <w:sz w:val="20"/>
          <w:szCs w:val="20"/>
        </w:rPr>
        <w:t xml:space="preserve"> lokalnih akcijskih skupin pri tem povezovanju različnih sektorjev (npr. ekoloških kmetov z ostalimi sektorji (</w:t>
      </w:r>
      <w:r w:rsidRPr="00BF7E57">
        <w:rPr>
          <w:rFonts w:ascii="Arial" w:eastAsia="Times New Roman" w:hAnsi="Arial" w:cs="Arial"/>
          <w:color w:val="000000"/>
          <w:sz w:val="20"/>
          <w:szCs w:val="20"/>
          <w:lang w:eastAsia="en-GB"/>
        </w:rPr>
        <w:t>(javni – občine, javni zavodi, trgovine, turizem…</w:t>
      </w:r>
      <w:r w:rsidR="000D77BE" w:rsidRPr="00BF7E57">
        <w:rPr>
          <w:rFonts w:ascii="Arial" w:hAnsi="Arial" w:cs="Arial"/>
          <w:sz w:val="20"/>
          <w:szCs w:val="20"/>
        </w:rPr>
        <w:t>, spodbujanju lokalne samooskrbe, …). V okviru pristopa LEADER je bilo iz vseh treh skladov izvedenih skupno 44 projektov, pri čemer je bilo 11 projektov posodobitve, nadgradnje tržnic in prodajnih prostorov, razvoj lokalnih in kolektivnih blagovnih znamk (kot so »Okusi Rogle«, kolektivna blagovna znamka Dolina Soče, Dobrote Dolenjske, Jeruzalem Ormož.</w:t>
      </w:r>
      <w:r w:rsidR="00C902BF" w:rsidRPr="00BF7E57">
        <w:rPr>
          <w:rFonts w:ascii="Arial" w:hAnsi="Arial" w:cs="Arial"/>
          <w:sz w:val="20"/>
          <w:szCs w:val="20"/>
        </w:rPr>
        <w:t>)</w:t>
      </w:r>
      <w:r w:rsidR="000D77BE" w:rsidRPr="00BF7E57">
        <w:rPr>
          <w:rFonts w:ascii="Arial" w:hAnsi="Arial" w:cs="Arial"/>
          <w:sz w:val="20"/>
          <w:szCs w:val="20"/>
        </w:rPr>
        <w:t xml:space="preserve"> Vzpostavljenih je bilo 50 različnih verig, ki so povezale skupno 539 različnih ponudnikov. V okviru podukrepa 19.3 je prišlo do sodelovanja med različnimi LAS, prav tako pa partnerji iz drugih držav. Prav tako so zgledi iz drugih držav</w:t>
      </w:r>
      <w:r w:rsidR="00701C24" w:rsidRPr="00BF7E57">
        <w:rPr>
          <w:rFonts w:ascii="Arial" w:hAnsi="Arial" w:cs="Arial"/>
          <w:sz w:val="20"/>
          <w:szCs w:val="20"/>
        </w:rPr>
        <w:t xml:space="preserve"> (</w:t>
      </w:r>
      <w:r w:rsidR="00C902BF" w:rsidRPr="00BF7E57">
        <w:rPr>
          <w:rFonts w:ascii="Arial" w:hAnsi="Arial" w:cs="Arial"/>
          <w:sz w:val="20"/>
          <w:szCs w:val="20"/>
        </w:rPr>
        <w:t xml:space="preserve">npr. </w:t>
      </w:r>
      <w:r w:rsidR="00701C24" w:rsidRPr="00BF7E57">
        <w:rPr>
          <w:rFonts w:ascii="Arial" w:hAnsi="Arial" w:cs="Arial"/>
          <w:sz w:val="20"/>
          <w:szCs w:val="20"/>
        </w:rPr>
        <w:t>Avstrija</w:t>
      </w:r>
      <w:r w:rsidR="00C902BF" w:rsidRPr="00BF7E57">
        <w:rPr>
          <w:rFonts w:ascii="Arial" w:hAnsi="Arial" w:cs="Arial"/>
          <w:sz w:val="20"/>
          <w:szCs w:val="20"/>
        </w:rPr>
        <w:t xml:space="preserve"> </w:t>
      </w:r>
      <w:r w:rsidR="00701C24" w:rsidRPr="00BF7E57">
        <w:rPr>
          <w:rFonts w:ascii="Arial" w:hAnsi="Arial" w:cs="Arial"/>
          <w:sz w:val="20"/>
          <w:szCs w:val="20"/>
        </w:rPr>
        <w:t>)</w:t>
      </w:r>
      <w:r w:rsidR="000D77BE" w:rsidRPr="00BF7E57">
        <w:rPr>
          <w:rFonts w:ascii="Arial" w:hAnsi="Arial" w:cs="Arial"/>
          <w:sz w:val="20"/>
          <w:szCs w:val="20"/>
        </w:rPr>
        <w:t xml:space="preserve"> pri vlogi LEADER in LAS pri vzpostavitvi povezovanja (npr. v obliki ekoregij ipd.)</w:t>
      </w:r>
      <w:r w:rsidR="00C902BF" w:rsidRPr="00BF7E57">
        <w:rPr>
          <w:rFonts w:ascii="Arial" w:hAnsi="Arial" w:cs="Arial"/>
          <w:sz w:val="20"/>
          <w:szCs w:val="20"/>
        </w:rPr>
        <w:t>.</w:t>
      </w:r>
      <w:r w:rsidRPr="00BF7E57">
        <w:rPr>
          <w:rFonts w:ascii="Arial" w:hAnsi="Arial" w:cs="Arial"/>
          <w:sz w:val="20"/>
          <w:szCs w:val="20"/>
        </w:rPr>
        <w:t xml:space="preserve"> </w:t>
      </w:r>
      <w:r w:rsidR="00206041" w:rsidRPr="00BF7E57">
        <w:rPr>
          <w:rFonts w:ascii="Arial" w:eastAsia="Times New Roman" w:hAnsi="Arial" w:cs="Arial"/>
          <w:sz w:val="20"/>
          <w:szCs w:val="20"/>
          <w:lang w:eastAsia="en-GB"/>
        </w:rPr>
        <w:t xml:space="preserve">V programskem obdobju 2014–2020 je tudi večje zanimanje za projekte sodelovanja LAS. Za podukrep 19.3 Priprava in izvajanje dejavnosti sodelovanja lokalne akcijske skupine je skupaj na voljo 7 mio EUR sredstev, ki so bila razpisana v okviru 5 javnih razpisov. </w:t>
      </w:r>
    </w:p>
    <w:p w14:paraId="6A0A4BBF" w14:textId="7E96B470" w:rsidR="00206041" w:rsidRPr="00BF7E57" w:rsidRDefault="00206041" w:rsidP="00BE756C">
      <w:pPr>
        <w:autoSpaceDE w:val="0"/>
        <w:autoSpaceDN w:val="0"/>
        <w:adjustRightInd w:val="0"/>
        <w:spacing w:before="200" w:line="360" w:lineRule="auto"/>
        <w:jc w:val="both"/>
        <w:rPr>
          <w:rFonts w:ascii="Arial" w:hAnsi="Arial" w:cs="Arial"/>
          <w:sz w:val="20"/>
          <w:szCs w:val="20"/>
        </w:rPr>
      </w:pPr>
      <w:r w:rsidRPr="00BF7E57">
        <w:rPr>
          <w:rFonts w:ascii="Arial" w:eastAsia="Times New Roman" w:hAnsi="Arial" w:cs="Arial"/>
          <w:sz w:val="20"/>
          <w:szCs w:val="20"/>
          <w:lang w:eastAsia="en-GB"/>
        </w:rPr>
        <w:t xml:space="preserve">V okviru programskega obdobja 2014-2020 je </w:t>
      </w:r>
      <w:r w:rsidR="00675FF9" w:rsidRPr="00BF7E57">
        <w:rPr>
          <w:rFonts w:ascii="Arial" w:eastAsia="Times New Roman" w:hAnsi="Arial" w:cs="Arial"/>
          <w:sz w:val="20"/>
          <w:szCs w:val="20"/>
          <w:lang w:eastAsia="en-GB"/>
        </w:rPr>
        <w:t xml:space="preserve">v okviru podukrepa 19.3 </w:t>
      </w:r>
      <w:r w:rsidRPr="00BF7E57">
        <w:rPr>
          <w:rFonts w:ascii="Arial" w:eastAsia="Times New Roman" w:hAnsi="Arial" w:cs="Arial"/>
          <w:sz w:val="20"/>
          <w:szCs w:val="20"/>
          <w:lang w:eastAsia="en-GB"/>
        </w:rPr>
        <w:t>prispelo 239 vlog</w:t>
      </w:r>
      <w:r w:rsidR="00675FF9" w:rsidRPr="00BF7E57">
        <w:rPr>
          <w:rFonts w:ascii="Arial" w:eastAsia="Times New Roman" w:hAnsi="Arial" w:cs="Arial"/>
          <w:sz w:val="20"/>
          <w:szCs w:val="20"/>
          <w:lang w:eastAsia="en-GB"/>
        </w:rPr>
        <w:t>, od katerih je bilo o</w:t>
      </w:r>
      <w:r w:rsidRPr="00BF7E57">
        <w:rPr>
          <w:rFonts w:ascii="Arial" w:eastAsia="Times New Roman" w:hAnsi="Arial" w:cs="Arial"/>
          <w:sz w:val="20"/>
          <w:szCs w:val="20"/>
          <w:lang w:eastAsia="en-GB"/>
        </w:rPr>
        <w:t xml:space="preserve">dobrenih 111 vlog. 36 LAS je prijavilo 72 projektov sodelovanja. Odobrenih je bilo 28 projektov 34-im LAS. Največ operacij je s tematskega področja ukrepanja Razvoj osnovnih storitev, sledi tematsko področje ukrepanja Varstvo okolja in ohranjanje narave. </w:t>
      </w:r>
      <w:r w:rsidR="00675FF9" w:rsidRPr="00BF7E57">
        <w:rPr>
          <w:rFonts w:ascii="Arial" w:eastAsia="Times New Roman" w:hAnsi="Arial" w:cs="Arial"/>
          <w:sz w:val="20"/>
          <w:szCs w:val="20"/>
          <w:lang w:eastAsia="en-GB"/>
        </w:rPr>
        <w:t>Večinoma</w:t>
      </w:r>
      <w:r w:rsidRPr="00BF7E57">
        <w:rPr>
          <w:rFonts w:ascii="Arial" w:eastAsia="Times New Roman" w:hAnsi="Arial" w:cs="Arial"/>
          <w:sz w:val="20"/>
          <w:szCs w:val="20"/>
          <w:lang w:eastAsia="en-GB"/>
        </w:rPr>
        <w:t xml:space="preserve"> operacij je takšnih, v katere so vključeni 4 različni LAS (10 projektov). V 3 operacije je vključenih kar 6 različnih LAS, 1 projekt pa vključuje 8 LAS. Do 31. 7. 2020 je bilo zaključenih 8 projektov in izplačan</w:t>
      </w:r>
      <w:r w:rsidR="00E020CE" w:rsidRPr="00BF7E57">
        <w:rPr>
          <w:rFonts w:ascii="Arial" w:eastAsia="Times New Roman" w:hAnsi="Arial" w:cs="Arial"/>
          <w:sz w:val="20"/>
          <w:szCs w:val="20"/>
          <w:lang w:eastAsia="en-GB"/>
        </w:rPr>
        <w:t>ih 29 vlog v višini 1.895.889</w:t>
      </w:r>
      <w:r w:rsidRPr="00BF7E57">
        <w:rPr>
          <w:rFonts w:ascii="Arial" w:eastAsia="Times New Roman" w:hAnsi="Arial" w:cs="Arial"/>
          <w:sz w:val="20"/>
          <w:szCs w:val="20"/>
          <w:lang w:eastAsia="en-GB"/>
        </w:rPr>
        <w:t xml:space="preserve"> EUR. </w:t>
      </w:r>
      <w:r w:rsidR="008D375B" w:rsidRPr="00BF7E57">
        <w:rPr>
          <w:rFonts w:ascii="Arial" w:eastAsia="Times New Roman" w:hAnsi="Arial" w:cs="Arial"/>
          <w:sz w:val="20"/>
          <w:szCs w:val="20"/>
          <w:lang w:eastAsia="en-GB"/>
        </w:rPr>
        <w:t>Od skupno 28 odobrenih je bilo p</w:t>
      </w:r>
      <w:r w:rsidRPr="00BF7E57">
        <w:rPr>
          <w:rFonts w:ascii="Arial" w:eastAsia="Times New Roman" w:hAnsi="Arial" w:cs="Arial"/>
          <w:sz w:val="20"/>
          <w:szCs w:val="20"/>
          <w:lang w:eastAsia="en-GB"/>
        </w:rPr>
        <w:t xml:space="preserve">otrjenih </w:t>
      </w:r>
      <w:r w:rsidR="00763F76" w:rsidRPr="00BF7E57">
        <w:rPr>
          <w:rFonts w:ascii="Arial" w:eastAsia="Times New Roman" w:hAnsi="Arial" w:cs="Arial"/>
          <w:sz w:val="20"/>
          <w:szCs w:val="20"/>
          <w:lang w:eastAsia="en-GB"/>
        </w:rPr>
        <w:t>9</w:t>
      </w:r>
      <w:r w:rsidRPr="00BF7E57">
        <w:rPr>
          <w:rFonts w:ascii="Arial" w:eastAsia="Times New Roman" w:hAnsi="Arial" w:cs="Arial"/>
          <w:sz w:val="20"/>
          <w:szCs w:val="20"/>
          <w:lang w:eastAsia="en-GB"/>
        </w:rPr>
        <w:t xml:space="preserve"> mednarodnih projektov sodelovanja</w:t>
      </w:r>
      <w:r w:rsidR="003E4A64" w:rsidRPr="00BF7E57">
        <w:rPr>
          <w:rFonts w:ascii="Arial" w:eastAsia="Times New Roman" w:hAnsi="Arial" w:cs="Arial"/>
          <w:sz w:val="20"/>
          <w:szCs w:val="20"/>
          <w:lang w:eastAsia="en-GB"/>
        </w:rPr>
        <w:t xml:space="preserve">. </w:t>
      </w:r>
      <w:r w:rsidRPr="00BF7E57">
        <w:rPr>
          <w:rFonts w:ascii="Arial" w:eastAsia="Times New Roman" w:hAnsi="Arial" w:cs="Arial"/>
          <w:sz w:val="20"/>
          <w:szCs w:val="20"/>
          <w:lang w:eastAsia="en-GB"/>
        </w:rPr>
        <w:t>V programskem obdobju 2007</w:t>
      </w:r>
      <w:r w:rsidR="008D375B" w:rsidRPr="00BF7E57">
        <w:rPr>
          <w:rFonts w:ascii="Arial" w:eastAsia="Times New Roman" w:hAnsi="Arial" w:cs="Arial"/>
          <w:sz w:val="20"/>
          <w:szCs w:val="20"/>
          <w:lang w:eastAsia="en-GB"/>
        </w:rPr>
        <w:t>-20</w:t>
      </w:r>
      <w:r w:rsidRPr="00BF7E57">
        <w:rPr>
          <w:rFonts w:ascii="Arial" w:eastAsia="Times New Roman" w:hAnsi="Arial" w:cs="Arial"/>
          <w:sz w:val="20"/>
          <w:szCs w:val="20"/>
          <w:lang w:eastAsia="en-GB"/>
        </w:rPr>
        <w:t xml:space="preserve">13 je bilo le 8 projektov sodelovanja (4 </w:t>
      </w:r>
      <w:r w:rsidR="008D375B" w:rsidRPr="00BF7E57">
        <w:rPr>
          <w:rFonts w:ascii="Arial" w:eastAsia="Times New Roman" w:hAnsi="Arial" w:cs="Arial"/>
          <w:sz w:val="20"/>
          <w:szCs w:val="20"/>
          <w:lang w:eastAsia="en-GB"/>
        </w:rPr>
        <w:t xml:space="preserve">nacionalni </w:t>
      </w:r>
      <w:r w:rsidRPr="00BF7E57">
        <w:rPr>
          <w:rFonts w:ascii="Arial" w:eastAsia="Times New Roman" w:hAnsi="Arial" w:cs="Arial"/>
          <w:sz w:val="20"/>
          <w:szCs w:val="20"/>
          <w:lang w:eastAsia="en-GB"/>
        </w:rPr>
        <w:t>in 4 mednarodni).</w:t>
      </w:r>
    </w:p>
    <w:p w14:paraId="2808BE39" w14:textId="7FC5D96B"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Za </w:t>
      </w:r>
      <w:r w:rsidR="008D375B" w:rsidRPr="00BF7E57">
        <w:rPr>
          <w:rFonts w:ascii="Arial" w:hAnsi="Arial" w:cs="Arial"/>
          <w:sz w:val="20"/>
          <w:szCs w:val="20"/>
        </w:rPr>
        <w:t xml:space="preserve">priznavanje </w:t>
      </w:r>
      <w:r w:rsidRPr="00BF7E57">
        <w:rPr>
          <w:rFonts w:ascii="Arial" w:hAnsi="Arial" w:cs="Arial"/>
          <w:sz w:val="20"/>
          <w:szCs w:val="20"/>
        </w:rPr>
        <w:t>strošk</w:t>
      </w:r>
      <w:r w:rsidR="008D375B" w:rsidRPr="00BF7E57">
        <w:rPr>
          <w:rFonts w:ascii="Arial" w:hAnsi="Arial" w:cs="Arial"/>
          <w:sz w:val="20"/>
          <w:szCs w:val="20"/>
        </w:rPr>
        <w:t>ov</w:t>
      </w:r>
      <w:r w:rsidRPr="00BF7E57">
        <w:rPr>
          <w:rFonts w:ascii="Arial" w:hAnsi="Arial" w:cs="Arial"/>
          <w:sz w:val="20"/>
          <w:szCs w:val="20"/>
        </w:rPr>
        <w:t xml:space="preserve"> so uveljavljene nekatere oblike poenostavljenih oblik stroškov (stroški osebja se priznajo v obliki standardnega stroška na enoto, posredni stroški v obliki pavšalne stopnje). Vodilni partnerji imajo različen status: RRA, druge razvojne agencije, društva, občine idr.</w:t>
      </w:r>
    </w:p>
    <w:p w14:paraId="6432CC17" w14:textId="77777777" w:rsidR="009D2C9D" w:rsidRPr="00BF7E57" w:rsidRDefault="009D2C9D" w:rsidP="00BE756C">
      <w:pPr>
        <w:spacing w:before="200" w:line="360" w:lineRule="auto"/>
        <w:jc w:val="both"/>
        <w:rPr>
          <w:rFonts w:ascii="Arial" w:hAnsi="Arial" w:cs="Arial"/>
          <w:sz w:val="20"/>
          <w:szCs w:val="20"/>
        </w:rPr>
      </w:pPr>
    </w:p>
    <w:p w14:paraId="72765065" w14:textId="77777777" w:rsidR="009E0216" w:rsidRPr="00BF7E57" w:rsidRDefault="009E0216" w:rsidP="00BE756C">
      <w:pPr>
        <w:pStyle w:val="Naslov2"/>
        <w:spacing w:after="200" w:line="360" w:lineRule="auto"/>
        <w:jc w:val="both"/>
        <w:rPr>
          <w:rFonts w:ascii="Arial" w:eastAsia="Times New Roman" w:hAnsi="Arial" w:cs="Arial"/>
          <w:bCs w:val="0"/>
          <w:color w:val="auto"/>
          <w:sz w:val="24"/>
          <w:szCs w:val="24"/>
          <w:lang w:eastAsia="sl-SI"/>
        </w:rPr>
      </w:pPr>
      <w:bookmarkStart w:id="217" w:name="_Toc86826388"/>
      <w:r w:rsidRPr="00BF7E57">
        <w:rPr>
          <w:rFonts w:ascii="Arial" w:eastAsia="Times New Roman" w:hAnsi="Arial" w:cs="Arial"/>
          <w:bCs w:val="0"/>
          <w:color w:val="auto"/>
          <w:sz w:val="24"/>
          <w:szCs w:val="24"/>
          <w:lang w:eastAsia="sl-SI"/>
        </w:rPr>
        <w:lastRenderedPageBreak/>
        <w:t>5.4 Izvajanje CLLD v okviru Operativnega programa za izvajanje Evropske kohezijske politike 2014-2020</w:t>
      </w:r>
      <w:bookmarkEnd w:id="217"/>
    </w:p>
    <w:p w14:paraId="05ED3508" w14:textId="7CEF7E0B"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Pristop CLLD se v okviru Evropske kohezijske politike v ob</w:t>
      </w:r>
      <w:r w:rsidR="008D375B" w:rsidRPr="00BF7E57">
        <w:rPr>
          <w:rFonts w:ascii="Arial" w:hAnsi="Arial" w:cs="Arial"/>
          <w:sz w:val="20"/>
          <w:szCs w:val="20"/>
        </w:rPr>
        <w:t>d</w:t>
      </w:r>
      <w:r w:rsidRPr="00BF7E57">
        <w:rPr>
          <w:rFonts w:ascii="Arial" w:hAnsi="Arial" w:cs="Arial"/>
          <w:sz w:val="20"/>
          <w:szCs w:val="20"/>
        </w:rPr>
        <w:t>obju 2014–2020 izvaja v okviru prednostne naložbe 9.5 Vlaganja v okviru strategij lokalnega razvoja, ki ga vodi skupnost, ki je ena izmed prednostnih naložb v okviru  9. prednostne osi Socialna vključenost in zmanjševanje tveganja revščine. Ukrepi pri tej prednostni osi se izvajajo horizontalno za območje celotne Slovenije (zlasti nekateri sistemski ukrepi) in tudi ločeno, tako da so prilagojeni posebnim potrebam posamezne kohezijske regije in lokalne skupnosti. Med prednostnimi naložbami sta zagotovljeni povezava in komplementarnost ukrepov in dejavnosti, s čimer se želi doseči celostni pristop pri reševanju problema socialne izključenosti in tveganja revščine. Povezanost ukrepov in dejavnosti je poudarjena pri spodbujanju socialnega podjetništva, ukrepih za socialno aktivacijo ter pri razvoju in nadgradnji skupnostnih storitev, ki bodo sledili ukrepom za povečanje in nadgradnjo infrastrukture pri izvedbi deinstitucionalizacije. Tako se spodbuja udeležba socialnih podjetij pri izvajanju programov socialne aktivacije in predvsem pri zaposlovanju oseb. Obenem se socialnim podjetjem in drugim organizacijam z ukrepi zagotavlja področje delovanja v okviru novorazvitih in nadgrajenih skupnostnih storitev (Operativni program za izvajanje Evropske kohezijske politike v obdobju 2014–2020, 2015, v nadaljevanju: OP EKP).</w:t>
      </w:r>
    </w:p>
    <w:p w14:paraId="78183970" w14:textId="3DB6EAC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okviru prednostne osi 9 je bilo v celotnem obdobju izvajanja OP EKP (do konca junija 202</w:t>
      </w:r>
      <w:r w:rsidR="001F2250" w:rsidRPr="00BF7E57">
        <w:rPr>
          <w:rFonts w:ascii="Arial" w:hAnsi="Arial" w:cs="Arial"/>
          <w:sz w:val="20"/>
          <w:szCs w:val="20"/>
        </w:rPr>
        <w:t>1</w:t>
      </w:r>
      <w:r w:rsidRPr="00BF7E57">
        <w:rPr>
          <w:rFonts w:ascii="Arial" w:hAnsi="Arial" w:cs="Arial"/>
          <w:sz w:val="20"/>
          <w:szCs w:val="20"/>
        </w:rPr>
        <w:t xml:space="preserve">) izdanih 90 odločitev o podpori v skupni vrednosti 194,6 mio EUR sredstev EU, kar predstavlja 86 % razpoložljivih sredstev EU. Skupaj je bilo potrjenih 28 javnih razpisov, tri neposredne potrditve operacij za programe in 59 neposrednih potrditev operacij za projekte. </w:t>
      </w:r>
    </w:p>
    <w:p w14:paraId="3C12BD80" w14:textId="186EC8C0" w:rsidR="00B263CA" w:rsidRPr="00BF7E57" w:rsidRDefault="00B263CA" w:rsidP="001B7F8A">
      <w:pPr>
        <w:pStyle w:val="Napis"/>
      </w:pPr>
      <w:bookmarkStart w:id="218" w:name="_Toc47092645"/>
      <w:bookmarkStart w:id="219" w:name="_Toc86826479"/>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41</w:t>
      </w:r>
      <w:r w:rsidR="00A30B83" w:rsidRPr="00BF7E57">
        <w:rPr>
          <w:noProof/>
        </w:rPr>
        <w:fldChar w:fldCharType="end"/>
      </w:r>
      <w:r w:rsidRPr="00BF7E57">
        <w:t>: Poročilo o izvajanju Evropske kohezijske politike 2014–2020 za obdobje od januarja 2014 do konca junija 2021 – prednostna os 9</w:t>
      </w:r>
      <w:bookmarkEnd w:id="219"/>
    </w:p>
    <w:bookmarkEnd w:id="218"/>
    <w:p w14:paraId="54606D1B" w14:textId="5C37AA21" w:rsidR="009E0216" w:rsidRPr="00BF7E57" w:rsidRDefault="009E0216" w:rsidP="001B7F8A">
      <w:pPr>
        <w:pStyle w:val="Napis"/>
      </w:pPr>
    </w:p>
    <w:tbl>
      <w:tblPr>
        <w:tblW w:w="900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1"/>
        <w:gridCol w:w="1624"/>
        <w:gridCol w:w="501"/>
        <w:gridCol w:w="1535"/>
        <w:gridCol w:w="1446"/>
        <w:gridCol w:w="1280"/>
        <w:gridCol w:w="1405"/>
      </w:tblGrid>
      <w:tr w:rsidR="000F179D" w:rsidRPr="00BF7E57" w14:paraId="4035A096" w14:textId="77777777" w:rsidTr="00EF5E87">
        <w:trPr>
          <w:trHeight w:val="477"/>
        </w:trPr>
        <w:tc>
          <w:tcPr>
            <w:tcW w:w="3336" w:type="dxa"/>
            <w:gridSpan w:val="3"/>
            <w:shd w:val="clear" w:color="auto" w:fill="92D050"/>
            <w:vAlign w:val="center"/>
            <w:hideMark/>
          </w:tcPr>
          <w:p w14:paraId="580626C5" w14:textId="14271295" w:rsidR="003E4A64" w:rsidRPr="00BF7E57" w:rsidRDefault="001F2250" w:rsidP="000F179D">
            <w:pPr>
              <w:spacing w:before="60" w:after="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Razpoložljiva sredstva</w:t>
            </w:r>
            <w:r w:rsidR="003E4A64" w:rsidRPr="00BF7E57">
              <w:rPr>
                <w:rFonts w:ascii="Arial" w:hAnsi="Arial" w:cs="Arial"/>
                <w:b/>
                <w:bCs/>
                <w:color w:val="000000"/>
                <w:sz w:val="20"/>
                <w:szCs w:val="20"/>
                <w:lang w:eastAsia="sl-SI"/>
              </w:rPr>
              <w:t xml:space="preserve"> </w:t>
            </w:r>
          </w:p>
        </w:tc>
        <w:tc>
          <w:tcPr>
            <w:tcW w:w="1535" w:type="dxa"/>
            <w:shd w:val="clear" w:color="auto" w:fill="92D050"/>
            <w:vAlign w:val="center"/>
            <w:hideMark/>
          </w:tcPr>
          <w:p w14:paraId="7F0A3FE9" w14:textId="77777777" w:rsidR="003E4A64" w:rsidRPr="00BF7E57" w:rsidRDefault="003E4A64" w:rsidP="000F179D">
            <w:pPr>
              <w:spacing w:before="60" w:after="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Odločitve o podpori</w:t>
            </w:r>
          </w:p>
        </w:tc>
        <w:tc>
          <w:tcPr>
            <w:tcW w:w="1446" w:type="dxa"/>
            <w:shd w:val="clear" w:color="auto" w:fill="92D050"/>
            <w:vAlign w:val="center"/>
            <w:hideMark/>
          </w:tcPr>
          <w:p w14:paraId="4742C082" w14:textId="77777777" w:rsidR="003E4A64" w:rsidRPr="00BF7E57" w:rsidRDefault="003E4A64" w:rsidP="000F179D">
            <w:pPr>
              <w:spacing w:before="60" w:after="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Potrjene operacije</w:t>
            </w:r>
          </w:p>
        </w:tc>
        <w:tc>
          <w:tcPr>
            <w:tcW w:w="2685" w:type="dxa"/>
            <w:gridSpan w:val="2"/>
            <w:shd w:val="clear" w:color="auto" w:fill="92D050"/>
            <w:vAlign w:val="center"/>
            <w:hideMark/>
          </w:tcPr>
          <w:p w14:paraId="66E02699" w14:textId="77777777" w:rsidR="003E4A64" w:rsidRPr="00BF7E57" w:rsidRDefault="003E4A64" w:rsidP="000F179D">
            <w:pPr>
              <w:spacing w:before="60" w:after="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Izplačila iz državnega proračuna</w:t>
            </w:r>
          </w:p>
        </w:tc>
      </w:tr>
      <w:tr w:rsidR="000F179D" w:rsidRPr="00BF7E57" w14:paraId="2A6D8724" w14:textId="77777777" w:rsidTr="00EF5E87">
        <w:trPr>
          <w:trHeight w:val="452"/>
        </w:trPr>
        <w:tc>
          <w:tcPr>
            <w:tcW w:w="1211" w:type="dxa"/>
            <w:shd w:val="clear" w:color="auto" w:fill="auto"/>
            <w:vAlign w:val="center"/>
            <w:hideMark/>
          </w:tcPr>
          <w:p w14:paraId="645E6EA3"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 + SI</w:t>
            </w:r>
          </w:p>
        </w:tc>
        <w:tc>
          <w:tcPr>
            <w:tcW w:w="1624" w:type="dxa"/>
            <w:shd w:val="clear" w:color="auto" w:fill="auto"/>
            <w:vAlign w:val="center"/>
            <w:hideMark/>
          </w:tcPr>
          <w:p w14:paraId="15C73C62"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w:t>
            </w:r>
          </w:p>
        </w:tc>
        <w:tc>
          <w:tcPr>
            <w:tcW w:w="501" w:type="dxa"/>
            <w:shd w:val="clear" w:color="auto" w:fill="auto"/>
            <w:vAlign w:val="center"/>
            <w:hideMark/>
          </w:tcPr>
          <w:p w14:paraId="176434ED"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w:t>
            </w:r>
          </w:p>
        </w:tc>
        <w:tc>
          <w:tcPr>
            <w:tcW w:w="1535" w:type="dxa"/>
            <w:shd w:val="clear" w:color="auto" w:fill="auto"/>
            <w:vAlign w:val="center"/>
          </w:tcPr>
          <w:p w14:paraId="4EA636E2" w14:textId="1E77D154"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 (EUR)</w:t>
            </w:r>
          </w:p>
        </w:tc>
        <w:tc>
          <w:tcPr>
            <w:tcW w:w="1446" w:type="dxa"/>
            <w:shd w:val="clear" w:color="auto" w:fill="auto"/>
            <w:vAlign w:val="center"/>
            <w:hideMark/>
          </w:tcPr>
          <w:p w14:paraId="599448AD"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 (EUR)</w:t>
            </w:r>
          </w:p>
        </w:tc>
        <w:tc>
          <w:tcPr>
            <w:tcW w:w="1280" w:type="dxa"/>
            <w:shd w:val="clear" w:color="auto" w:fill="auto"/>
            <w:vAlign w:val="center"/>
            <w:hideMark/>
          </w:tcPr>
          <w:p w14:paraId="43DEBD73" w14:textId="05D1CAC8"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 (EUR)</w:t>
            </w:r>
          </w:p>
        </w:tc>
        <w:tc>
          <w:tcPr>
            <w:tcW w:w="1405" w:type="dxa"/>
            <w:shd w:val="clear" w:color="auto" w:fill="auto"/>
            <w:vAlign w:val="center"/>
            <w:hideMark/>
          </w:tcPr>
          <w:p w14:paraId="5316BD6B"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 dodeljenih</w:t>
            </w:r>
          </w:p>
        </w:tc>
      </w:tr>
      <w:tr w:rsidR="000F179D" w:rsidRPr="00BF7E57" w14:paraId="6637B48D" w14:textId="77777777" w:rsidTr="00EF5E87">
        <w:trPr>
          <w:trHeight w:val="416"/>
        </w:trPr>
        <w:tc>
          <w:tcPr>
            <w:tcW w:w="1211" w:type="dxa"/>
            <w:shd w:val="clear" w:color="auto" w:fill="auto"/>
            <w:noWrap/>
            <w:vAlign w:val="center"/>
            <w:hideMark/>
          </w:tcPr>
          <w:p w14:paraId="46E63EAE" w14:textId="77777777"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288.219.618</w:t>
            </w:r>
          </w:p>
        </w:tc>
        <w:tc>
          <w:tcPr>
            <w:tcW w:w="1624" w:type="dxa"/>
            <w:shd w:val="clear" w:color="auto" w:fill="auto"/>
            <w:noWrap/>
            <w:vAlign w:val="center"/>
            <w:hideMark/>
          </w:tcPr>
          <w:p w14:paraId="09FF6172" w14:textId="77777777"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230.575.691</w:t>
            </w:r>
          </w:p>
        </w:tc>
        <w:tc>
          <w:tcPr>
            <w:tcW w:w="501" w:type="dxa"/>
            <w:shd w:val="clear" w:color="auto" w:fill="auto"/>
            <w:noWrap/>
            <w:vAlign w:val="center"/>
            <w:hideMark/>
          </w:tcPr>
          <w:p w14:paraId="254A09CA" w14:textId="77777777"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80%</w:t>
            </w:r>
          </w:p>
        </w:tc>
        <w:tc>
          <w:tcPr>
            <w:tcW w:w="1535" w:type="dxa"/>
            <w:shd w:val="clear" w:color="auto" w:fill="auto"/>
            <w:noWrap/>
            <w:vAlign w:val="center"/>
          </w:tcPr>
          <w:p w14:paraId="1BA5C39A" w14:textId="0A99950E"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238.874.329</w:t>
            </w:r>
          </w:p>
        </w:tc>
        <w:tc>
          <w:tcPr>
            <w:tcW w:w="1446" w:type="dxa"/>
            <w:shd w:val="clear" w:color="auto" w:fill="auto"/>
            <w:noWrap/>
            <w:vAlign w:val="center"/>
            <w:hideMark/>
          </w:tcPr>
          <w:p w14:paraId="414D9907" w14:textId="765B4879"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239.290.135</w:t>
            </w:r>
          </w:p>
        </w:tc>
        <w:tc>
          <w:tcPr>
            <w:tcW w:w="1280" w:type="dxa"/>
            <w:shd w:val="clear" w:color="auto" w:fill="auto"/>
            <w:noWrap/>
            <w:vAlign w:val="center"/>
            <w:hideMark/>
          </w:tcPr>
          <w:p w14:paraId="37F45BD7" w14:textId="4DCF6C05"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123.598.288</w:t>
            </w:r>
          </w:p>
        </w:tc>
        <w:tc>
          <w:tcPr>
            <w:tcW w:w="1405" w:type="dxa"/>
            <w:shd w:val="clear" w:color="auto" w:fill="auto"/>
            <w:noWrap/>
            <w:vAlign w:val="center"/>
            <w:hideMark/>
          </w:tcPr>
          <w:p w14:paraId="3474218C" w14:textId="17FC594A"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44%</w:t>
            </w:r>
          </w:p>
        </w:tc>
      </w:tr>
    </w:tbl>
    <w:p w14:paraId="70D4510A" w14:textId="0FBF3902" w:rsidR="009E0216" w:rsidRPr="00BF7E57" w:rsidRDefault="009E0216" w:rsidP="00EA2E4C">
      <w:pPr>
        <w:spacing w:line="360" w:lineRule="auto"/>
        <w:jc w:val="both"/>
        <w:rPr>
          <w:rFonts w:ascii="Arial" w:eastAsia="Courier New" w:hAnsi="Arial" w:cs="Arial"/>
          <w:sz w:val="18"/>
          <w:szCs w:val="18"/>
          <w:lang w:bidi="sl-SI"/>
        </w:rPr>
      </w:pPr>
      <w:r w:rsidRPr="00BF7E57">
        <w:rPr>
          <w:rFonts w:ascii="Arial" w:eastAsia="Courier New" w:hAnsi="Arial" w:cs="Arial"/>
          <w:color w:val="000000"/>
          <w:sz w:val="18"/>
          <w:szCs w:val="18"/>
          <w:lang w:bidi="sl-SI"/>
        </w:rPr>
        <w:t>Vir</w:t>
      </w:r>
      <w:r w:rsidRPr="00BF7E57">
        <w:rPr>
          <w:rFonts w:ascii="Arial" w:eastAsia="Courier New" w:hAnsi="Arial" w:cs="Arial"/>
          <w:sz w:val="18"/>
          <w:szCs w:val="18"/>
          <w:lang w:bidi="sl-SI"/>
        </w:rPr>
        <w:t xml:space="preserve">: </w:t>
      </w:r>
      <w:r w:rsidRPr="00BF7E57">
        <w:rPr>
          <w:rFonts w:ascii="Arial" w:eastAsia="SimSun" w:hAnsi="Arial" w:cs="Arial"/>
          <w:bCs/>
          <w:sz w:val="18"/>
          <w:szCs w:val="18"/>
          <w:lang w:eastAsia="zh-CN"/>
        </w:rPr>
        <w:t>Poročilo o izvajanju Evropske kohezijske politike 2014–2020 za obdobje od januarja 2014 do konca junija 202</w:t>
      </w:r>
      <w:r w:rsidR="001B6E4E" w:rsidRPr="00BF7E57">
        <w:rPr>
          <w:rFonts w:ascii="Arial" w:eastAsia="SimSun" w:hAnsi="Arial" w:cs="Arial"/>
          <w:bCs/>
          <w:sz w:val="18"/>
          <w:szCs w:val="18"/>
          <w:lang w:eastAsia="zh-CN"/>
        </w:rPr>
        <w:t>1</w:t>
      </w:r>
    </w:p>
    <w:p w14:paraId="1C35D802" w14:textId="5EB544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18"/>
          <w:szCs w:val="18"/>
        </w:rPr>
        <w:t>V okviru OP EKP je CLLD za Evropski sklad za regionalni razvoj uvrščen v prednostno naložbo</w:t>
      </w:r>
      <w:r w:rsidRPr="00BF7E57">
        <w:rPr>
          <w:rFonts w:ascii="Arial" w:hAnsi="Arial" w:cs="Arial"/>
          <w:sz w:val="20"/>
          <w:szCs w:val="20"/>
        </w:rPr>
        <w:t xml:space="preserve"> 9.5 Vlaganje v okviru strategij lokalnega razvoja, ki ga vodi skupnosti (CLLD). Do 30. 6. 2020 je bilo v </w:t>
      </w:r>
      <w:r w:rsidR="008E6C7E" w:rsidRPr="00BF7E57">
        <w:rPr>
          <w:rFonts w:ascii="Arial" w:hAnsi="Arial" w:cs="Arial"/>
          <w:sz w:val="20"/>
          <w:szCs w:val="20"/>
        </w:rPr>
        <w:t>okviru</w:t>
      </w:r>
      <w:r w:rsidRPr="00BF7E57">
        <w:rPr>
          <w:rFonts w:ascii="Arial" w:hAnsi="Arial" w:cs="Arial"/>
          <w:sz w:val="20"/>
          <w:szCs w:val="20"/>
        </w:rPr>
        <w:t xml:space="preserve"> CLLD za sklad ESRR skupaj prejetih 368 vlog, potrjenih projektov pa 309 v vrednosti 15,9 mio EUR. Sklenjenih je 265 pogodb, 42 pogodb je v postopku podpisovanja. Skupaj je zaključenih 185 projektov. Skupaj je bilo do konca junija prejetih in potrjenih 16 vlog za dva projekta sodelovanja v vrednosti 0,32 mio EUR.</w:t>
      </w:r>
    </w:p>
    <w:p w14:paraId="60437C21" w14:textId="14FCB791" w:rsidR="0012253E" w:rsidRPr="00BF7E57" w:rsidRDefault="0012253E" w:rsidP="00BE756C">
      <w:pPr>
        <w:spacing w:before="200" w:line="360" w:lineRule="auto"/>
        <w:jc w:val="both"/>
        <w:rPr>
          <w:rFonts w:ascii="Arial" w:hAnsi="Arial" w:cs="Arial"/>
          <w:sz w:val="20"/>
          <w:szCs w:val="20"/>
        </w:rPr>
      </w:pPr>
      <w:r w:rsidRPr="00BF7E57">
        <w:rPr>
          <w:rFonts w:ascii="Arial" w:hAnsi="Arial" w:cs="Arial"/>
          <w:sz w:val="20"/>
          <w:szCs w:val="20"/>
        </w:rPr>
        <w:t>V razvoj podeželja v Sloveniji se vlaga tudi v okviru drugih prednostnih osi Evropske kohezijske politike 2014-2020. Izvajanje za celo RS po posameznih oseh je razvidno iz naslednje tabele.</w:t>
      </w:r>
    </w:p>
    <w:p w14:paraId="7A4A79B8" w14:textId="73AA6CDC" w:rsidR="00B263CA" w:rsidRPr="00BF7E57" w:rsidRDefault="00B263CA" w:rsidP="001B7F8A">
      <w:pPr>
        <w:pStyle w:val="Napis"/>
      </w:pPr>
      <w:bookmarkStart w:id="220" w:name="_Toc47092646"/>
      <w:bookmarkStart w:id="221" w:name="_Toc86826480"/>
      <w:r w:rsidRPr="00BF7E57">
        <w:lastRenderedPageBreak/>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42</w:t>
      </w:r>
      <w:r w:rsidR="00A30B83" w:rsidRPr="00BF7E57">
        <w:rPr>
          <w:noProof/>
        </w:rPr>
        <w:fldChar w:fldCharType="end"/>
      </w:r>
      <w:r w:rsidRPr="00BF7E57">
        <w:t>: Poročilo o izvajanju Evropske kohezijske politike 2014–2020 za obdobje od januarja 2014 do konca junija 2021 – prednostne osi</w:t>
      </w:r>
      <w:bookmarkEnd w:id="221"/>
    </w:p>
    <w:bookmarkEnd w:id="220"/>
    <w:p w14:paraId="728737EB" w14:textId="458E8B5D" w:rsidR="009E0216" w:rsidRPr="00BF7E57" w:rsidRDefault="009E0216" w:rsidP="001B7F8A">
      <w:pPr>
        <w:pStyle w:val="Napis"/>
      </w:pPr>
    </w:p>
    <w:tbl>
      <w:tblPr>
        <w:tblW w:w="9760" w:type="dxa"/>
        <w:tblInd w:w="-10" w:type="dxa"/>
        <w:tblCellMar>
          <w:left w:w="70" w:type="dxa"/>
          <w:right w:w="70" w:type="dxa"/>
        </w:tblCellMar>
        <w:tblLook w:val="04A0" w:firstRow="1" w:lastRow="0" w:firstColumn="1" w:lastColumn="0" w:noHBand="0" w:noVBand="1"/>
      </w:tblPr>
      <w:tblGrid>
        <w:gridCol w:w="2625"/>
        <w:gridCol w:w="2230"/>
        <w:gridCol w:w="1115"/>
        <w:gridCol w:w="1292"/>
        <w:gridCol w:w="1292"/>
        <w:gridCol w:w="1556"/>
      </w:tblGrid>
      <w:tr w:rsidR="0012253E" w:rsidRPr="00BF7E57" w14:paraId="6C750149" w14:textId="77777777" w:rsidTr="00E77D01">
        <w:trPr>
          <w:trHeight w:val="298"/>
        </w:trPr>
        <w:tc>
          <w:tcPr>
            <w:tcW w:w="2625"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6FCFCBAE"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OS</w:t>
            </w:r>
          </w:p>
        </w:tc>
        <w:tc>
          <w:tcPr>
            <w:tcW w:w="3345" w:type="dxa"/>
            <w:gridSpan w:val="2"/>
            <w:vMerge w:val="restart"/>
            <w:tcBorders>
              <w:top w:val="single" w:sz="8" w:space="0" w:color="auto"/>
              <w:left w:val="single" w:sz="8" w:space="0" w:color="auto"/>
              <w:bottom w:val="single" w:sz="8" w:space="0" w:color="000000"/>
              <w:right w:val="single" w:sz="8" w:space="0" w:color="000000"/>
            </w:tcBorders>
            <w:shd w:val="clear" w:color="auto" w:fill="92D050"/>
            <w:vAlign w:val="center"/>
            <w:hideMark/>
          </w:tcPr>
          <w:p w14:paraId="11C5C4A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Razpoložljiva sredstva*</w:t>
            </w:r>
          </w:p>
        </w:tc>
        <w:tc>
          <w:tcPr>
            <w:tcW w:w="1117" w:type="dxa"/>
            <w:tcBorders>
              <w:top w:val="single" w:sz="8" w:space="0" w:color="auto"/>
              <w:left w:val="nil"/>
              <w:bottom w:val="single" w:sz="8" w:space="0" w:color="auto"/>
              <w:right w:val="nil"/>
            </w:tcBorders>
            <w:shd w:val="clear" w:color="auto" w:fill="92D050"/>
            <w:vAlign w:val="center"/>
            <w:hideMark/>
          </w:tcPr>
          <w:p w14:paraId="6B15160C"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A</w:t>
            </w:r>
          </w:p>
        </w:tc>
        <w:tc>
          <w:tcPr>
            <w:tcW w:w="1117" w:type="dxa"/>
            <w:tcBorders>
              <w:top w:val="single" w:sz="8" w:space="0" w:color="auto"/>
              <w:left w:val="single" w:sz="8" w:space="0" w:color="000000"/>
              <w:bottom w:val="single" w:sz="8" w:space="0" w:color="auto"/>
              <w:right w:val="nil"/>
            </w:tcBorders>
            <w:shd w:val="clear" w:color="auto" w:fill="92D050"/>
            <w:vAlign w:val="center"/>
            <w:hideMark/>
          </w:tcPr>
          <w:p w14:paraId="22FBC81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B</w:t>
            </w:r>
          </w:p>
        </w:tc>
        <w:tc>
          <w:tcPr>
            <w:tcW w:w="1556" w:type="dxa"/>
            <w:tcBorders>
              <w:top w:val="single" w:sz="8" w:space="0" w:color="auto"/>
              <w:left w:val="single" w:sz="8" w:space="0" w:color="000000"/>
              <w:bottom w:val="single" w:sz="8" w:space="0" w:color="auto"/>
              <w:right w:val="nil"/>
            </w:tcBorders>
            <w:shd w:val="clear" w:color="auto" w:fill="92D050"/>
            <w:vAlign w:val="center"/>
            <w:hideMark/>
          </w:tcPr>
          <w:p w14:paraId="3037EC6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C</w:t>
            </w:r>
          </w:p>
        </w:tc>
      </w:tr>
      <w:tr w:rsidR="0012253E" w:rsidRPr="00BF7E57" w14:paraId="36253AE0" w14:textId="77777777" w:rsidTr="00E77D01">
        <w:trPr>
          <w:trHeight w:val="188"/>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5FBF2D8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3345" w:type="dxa"/>
            <w:gridSpan w:val="2"/>
            <w:vMerge/>
            <w:tcBorders>
              <w:top w:val="single" w:sz="8" w:space="0" w:color="auto"/>
              <w:left w:val="single" w:sz="8" w:space="0" w:color="auto"/>
              <w:bottom w:val="single" w:sz="8" w:space="0" w:color="000000"/>
              <w:right w:val="single" w:sz="8" w:space="0" w:color="000000"/>
            </w:tcBorders>
            <w:shd w:val="clear" w:color="auto" w:fill="92D050"/>
            <w:vAlign w:val="center"/>
            <w:hideMark/>
          </w:tcPr>
          <w:p w14:paraId="44417B9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tcBorders>
              <w:top w:val="nil"/>
              <w:left w:val="nil"/>
              <w:bottom w:val="single" w:sz="8" w:space="0" w:color="auto"/>
              <w:right w:val="nil"/>
            </w:tcBorders>
            <w:shd w:val="clear" w:color="auto" w:fill="92D050"/>
            <w:vAlign w:val="center"/>
            <w:hideMark/>
          </w:tcPr>
          <w:p w14:paraId="1F2E2B04"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Odločitve o podpori**</w:t>
            </w:r>
          </w:p>
        </w:tc>
        <w:tc>
          <w:tcPr>
            <w:tcW w:w="1117" w:type="dxa"/>
            <w:tcBorders>
              <w:top w:val="nil"/>
              <w:left w:val="single" w:sz="8" w:space="0" w:color="000000"/>
              <w:bottom w:val="single" w:sz="8" w:space="0" w:color="auto"/>
              <w:right w:val="nil"/>
            </w:tcBorders>
            <w:shd w:val="clear" w:color="auto" w:fill="92D050"/>
            <w:vAlign w:val="center"/>
            <w:hideMark/>
          </w:tcPr>
          <w:p w14:paraId="4934FAE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Potrjene operacije***</w:t>
            </w:r>
          </w:p>
        </w:tc>
        <w:tc>
          <w:tcPr>
            <w:tcW w:w="1556" w:type="dxa"/>
            <w:tcBorders>
              <w:top w:val="nil"/>
              <w:left w:val="single" w:sz="8" w:space="0" w:color="000000"/>
              <w:bottom w:val="single" w:sz="8" w:space="0" w:color="auto"/>
              <w:right w:val="nil"/>
            </w:tcBorders>
            <w:shd w:val="clear" w:color="auto" w:fill="92D050"/>
            <w:vAlign w:val="center"/>
            <w:hideMark/>
          </w:tcPr>
          <w:p w14:paraId="108AC14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Izplačila iz državnega proračuna****</w:t>
            </w:r>
          </w:p>
        </w:tc>
      </w:tr>
      <w:tr w:rsidR="0012253E" w:rsidRPr="00BF7E57" w14:paraId="707C96F7" w14:textId="77777777" w:rsidTr="00E77D01">
        <w:trPr>
          <w:trHeight w:val="509"/>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4D506FCD"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2230" w:type="dxa"/>
            <w:vMerge w:val="restart"/>
            <w:tcBorders>
              <w:top w:val="nil"/>
              <w:left w:val="single" w:sz="8" w:space="0" w:color="auto"/>
              <w:bottom w:val="single" w:sz="8" w:space="0" w:color="000000"/>
              <w:right w:val="single" w:sz="8" w:space="0" w:color="auto"/>
            </w:tcBorders>
            <w:shd w:val="clear" w:color="auto" w:fill="92D050"/>
            <w:vAlign w:val="center"/>
            <w:hideMark/>
          </w:tcPr>
          <w:p w14:paraId="21DDEFCE"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EU del (EUR)</w:t>
            </w:r>
          </w:p>
        </w:tc>
        <w:tc>
          <w:tcPr>
            <w:tcW w:w="1115" w:type="dxa"/>
            <w:vMerge w:val="restart"/>
            <w:tcBorders>
              <w:top w:val="nil"/>
              <w:left w:val="single" w:sz="8" w:space="0" w:color="auto"/>
              <w:bottom w:val="single" w:sz="8" w:space="0" w:color="000000"/>
              <w:right w:val="single" w:sz="8" w:space="0" w:color="auto"/>
            </w:tcBorders>
            <w:shd w:val="clear" w:color="auto" w:fill="92D050"/>
            <w:vAlign w:val="center"/>
            <w:hideMark/>
          </w:tcPr>
          <w:p w14:paraId="5A456DA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w:t>
            </w:r>
          </w:p>
        </w:tc>
        <w:tc>
          <w:tcPr>
            <w:tcW w:w="1117" w:type="dxa"/>
            <w:vMerge w:val="restart"/>
            <w:tcBorders>
              <w:top w:val="nil"/>
              <w:left w:val="single" w:sz="8" w:space="0" w:color="auto"/>
              <w:bottom w:val="single" w:sz="8" w:space="0" w:color="000000"/>
              <w:right w:val="single" w:sz="8" w:space="0" w:color="auto"/>
            </w:tcBorders>
            <w:shd w:val="clear" w:color="auto" w:fill="92D050"/>
            <w:vAlign w:val="center"/>
            <w:hideMark/>
          </w:tcPr>
          <w:p w14:paraId="348B916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EU del (EUR)</w:t>
            </w:r>
          </w:p>
        </w:tc>
        <w:tc>
          <w:tcPr>
            <w:tcW w:w="1117" w:type="dxa"/>
            <w:vMerge w:val="restart"/>
            <w:tcBorders>
              <w:top w:val="nil"/>
              <w:left w:val="single" w:sz="8" w:space="0" w:color="auto"/>
              <w:bottom w:val="single" w:sz="8" w:space="0" w:color="000000"/>
              <w:right w:val="single" w:sz="8" w:space="0" w:color="auto"/>
            </w:tcBorders>
            <w:shd w:val="clear" w:color="auto" w:fill="92D050"/>
            <w:vAlign w:val="center"/>
            <w:hideMark/>
          </w:tcPr>
          <w:p w14:paraId="6955128C"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EU del (EUR)</w:t>
            </w:r>
          </w:p>
        </w:tc>
        <w:tc>
          <w:tcPr>
            <w:tcW w:w="1556" w:type="dxa"/>
            <w:vMerge w:val="restart"/>
            <w:tcBorders>
              <w:top w:val="nil"/>
              <w:left w:val="single" w:sz="8" w:space="0" w:color="auto"/>
              <w:bottom w:val="single" w:sz="8" w:space="0" w:color="000000"/>
              <w:right w:val="single" w:sz="8" w:space="0" w:color="auto"/>
            </w:tcBorders>
            <w:shd w:val="clear" w:color="auto" w:fill="92D050"/>
            <w:vAlign w:val="center"/>
            <w:hideMark/>
          </w:tcPr>
          <w:p w14:paraId="7FB57CAB"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EU del (EUR)</w:t>
            </w:r>
          </w:p>
        </w:tc>
      </w:tr>
      <w:tr w:rsidR="0012253E" w:rsidRPr="00BF7E57" w14:paraId="369504B7" w14:textId="77777777" w:rsidTr="00E77D01">
        <w:trPr>
          <w:trHeight w:val="509"/>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76B882D4"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2230" w:type="dxa"/>
            <w:vMerge/>
            <w:tcBorders>
              <w:top w:val="nil"/>
              <w:left w:val="single" w:sz="8" w:space="0" w:color="auto"/>
              <w:bottom w:val="single" w:sz="8" w:space="0" w:color="000000"/>
              <w:right w:val="single" w:sz="8" w:space="0" w:color="auto"/>
            </w:tcBorders>
            <w:shd w:val="clear" w:color="auto" w:fill="92D050"/>
            <w:vAlign w:val="center"/>
            <w:hideMark/>
          </w:tcPr>
          <w:p w14:paraId="1F7FFE0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5" w:type="dxa"/>
            <w:vMerge/>
            <w:tcBorders>
              <w:top w:val="nil"/>
              <w:left w:val="single" w:sz="8" w:space="0" w:color="auto"/>
              <w:bottom w:val="single" w:sz="8" w:space="0" w:color="000000"/>
              <w:right w:val="single" w:sz="8" w:space="0" w:color="auto"/>
            </w:tcBorders>
            <w:shd w:val="clear" w:color="auto" w:fill="92D050"/>
            <w:vAlign w:val="center"/>
            <w:hideMark/>
          </w:tcPr>
          <w:p w14:paraId="0C40DB2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vMerge/>
            <w:tcBorders>
              <w:top w:val="nil"/>
              <w:left w:val="single" w:sz="8" w:space="0" w:color="auto"/>
              <w:bottom w:val="single" w:sz="8" w:space="0" w:color="000000"/>
              <w:right w:val="single" w:sz="8" w:space="0" w:color="auto"/>
            </w:tcBorders>
            <w:shd w:val="clear" w:color="auto" w:fill="92D050"/>
            <w:vAlign w:val="center"/>
            <w:hideMark/>
          </w:tcPr>
          <w:p w14:paraId="2F24897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vMerge/>
            <w:tcBorders>
              <w:top w:val="nil"/>
              <w:left w:val="single" w:sz="8" w:space="0" w:color="auto"/>
              <w:bottom w:val="single" w:sz="8" w:space="0" w:color="000000"/>
              <w:right w:val="single" w:sz="8" w:space="0" w:color="auto"/>
            </w:tcBorders>
            <w:shd w:val="clear" w:color="auto" w:fill="92D050"/>
            <w:vAlign w:val="center"/>
            <w:hideMark/>
          </w:tcPr>
          <w:p w14:paraId="27BA5E58"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556" w:type="dxa"/>
            <w:vMerge/>
            <w:tcBorders>
              <w:top w:val="nil"/>
              <w:left w:val="single" w:sz="8" w:space="0" w:color="auto"/>
              <w:bottom w:val="single" w:sz="8" w:space="0" w:color="000000"/>
              <w:right w:val="single" w:sz="8" w:space="0" w:color="auto"/>
            </w:tcBorders>
            <w:shd w:val="clear" w:color="auto" w:fill="92D050"/>
            <w:vAlign w:val="center"/>
            <w:hideMark/>
          </w:tcPr>
          <w:p w14:paraId="33C20DB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r>
      <w:tr w:rsidR="0012253E" w:rsidRPr="00BF7E57" w14:paraId="365C0F99" w14:textId="77777777" w:rsidTr="000F179D">
        <w:trPr>
          <w:trHeight w:val="573"/>
        </w:trPr>
        <w:tc>
          <w:tcPr>
            <w:tcW w:w="2625" w:type="dxa"/>
            <w:tcBorders>
              <w:top w:val="nil"/>
              <w:left w:val="single" w:sz="8" w:space="0" w:color="auto"/>
              <w:bottom w:val="nil"/>
              <w:right w:val="single" w:sz="8" w:space="0" w:color="auto"/>
            </w:tcBorders>
            <w:shd w:val="clear" w:color="auto" w:fill="auto"/>
            <w:vAlign w:val="center"/>
            <w:hideMark/>
          </w:tcPr>
          <w:p w14:paraId="0DE2B52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PO1 - Mednarodna konkurenčnost raziskav, inovacij in tehnološkega razvoja v skladu s pametno specializacijo za večjo konkurenčnost in ozelenitev gospodarstva</w:t>
            </w:r>
          </w:p>
        </w:tc>
        <w:tc>
          <w:tcPr>
            <w:tcW w:w="2230" w:type="dxa"/>
            <w:tcBorders>
              <w:top w:val="nil"/>
              <w:left w:val="nil"/>
              <w:bottom w:val="nil"/>
              <w:right w:val="single" w:sz="8" w:space="0" w:color="auto"/>
            </w:tcBorders>
            <w:shd w:val="clear" w:color="auto" w:fill="auto"/>
            <w:noWrap/>
            <w:vAlign w:val="center"/>
            <w:hideMark/>
          </w:tcPr>
          <w:p w14:paraId="4D4C5662"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498.286.850</w:t>
            </w:r>
          </w:p>
        </w:tc>
        <w:tc>
          <w:tcPr>
            <w:tcW w:w="1115" w:type="dxa"/>
            <w:tcBorders>
              <w:top w:val="nil"/>
              <w:left w:val="nil"/>
              <w:bottom w:val="nil"/>
              <w:right w:val="nil"/>
            </w:tcBorders>
            <w:shd w:val="clear" w:color="auto" w:fill="auto"/>
            <w:noWrap/>
            <w:vAlign w:val="center"/>
            <w:hideMark/>
          </w:tcPr>
          <w:p w14:paraId="049AD6C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432F5136"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502.525.681</w:t>
            </w:r>
          </w:p>
        </w:tc>
        <w:tc>
          <w:tcPr>
            <w:tcW w:w="1117" w:type="dxa"/>
            <w:tcBorders>
              <w:top w:val="nil"/>
              <w:left w:val="nil"/>
              <w:bottom w:val="single" w:sz="8" w:space="0" w:color="auto"/>
              <w:right w:val="single" w:sz="8" w:space="0" w:color="auto"/>
            </w:tcBorders>
            <w:shd w:val="clear" w:color="auto" w:fill="auto"/>
            <w:noWrap/>
            <w:vAlign w:val="center"/>
            <w:hideMark/>
          </w:tcPr>
          <w:p w14:paraId="094B5D3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470.728.626</w:t>
            </w:r>
          </w:p>
        </w:tc>
        <w:tc>
          <w:tcPr>
            <w:tcW w:w="1556" w:type="dxa"/>
            <w:tcBorders>
              <w:top w:val="nil"/>
              <w:left w:val="nil"/>
              <w:bottom w:val="single" w:sz="8" w:space="0" w:color="auto"/>
              <w:right w:val="single" w:sz="8" w:space="0" w:color="auto"/>
            </w:tcBorders>
            <w:shd w:val="clear" w:color="auto" w:fill="auto"/>
            <w:noWrap/>
            <w:vAlign w:val="center"/>
            <w:hideMark/>
          </w:tcPr>
          <w:p w14:paraId="2B42A26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281.506.125</w:t>
            </w:r>
          </w:p>
        </w:tc>
      </w:tr>
      <w:tr w:rsidR="0012253E" w:rsidRPr="00BF7E57" w14:paraId="0A323799"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F287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PO2 - Dostopnost IKT</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1A4F31F2"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42.988.982</w:t>
            </w:r>
          </w:p>
        </w:tc>
        <w:tc>
          <w:tcPr>
            <w:tcW w:w="1115" w:type="dxa"/>
            <w:tcBorders>
              <w:top w:val="single" w:sz="8" w:space="0" w:color="auto"/>
              <w:left w:val="nil"/>
              <w:bottom w:val="single" w:sz="8" w:space="0" w:color="auto"/>
              <w:right w:val="nil"/>
            </w:tcBorders>
            <w:shd w:val="clear" w:color="auto" w:fill="auto"/>
            <w:noWrap/>
            <w:vAlign w:val="center"/>
            <w:hideMark/>
          </w:tcPr>
          <w:p w14:paraId="6B3BE1E9"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3568F0B"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61.584.366</w:t>
            </w:r>
          </w:p>
        </w:tc>
        <w:tc>
          <w:tcPr>
            <w:tcW w:w="1117" w:type="dxa"/>
            <w:tcBorders>
              <w:top w:val="nil"/>
              <w:left w:val="nil"/>
              <w:bottom w:val="single" w:sz="8" w:space="0" w:color="auto"/>
              <w:right w:val="single" w:sz="8" w:space="0" w:color="auto"/>
            </w:tcBorders>
            <w:shd w:val="clear" w:color="auto" w:fill="auto"/>
            <w:noWrap/>
            <w:vAlign w:val="center"/>
            <w:hideMark/>
          </w:tcPr>
          <w:p w14:paraId="5ABA8C4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26.751.189</w:t>
            </w:r>
          </w:p>
        </w:tc>
        <w:tc>
          <w:tcPr>
            <w:tcW w:w="1556" w:type="dxa"/>
            <w:tcBorders>
              <w:top w:val="nil"/>
              <w:left w:val="nil"/>
              <w:bottom w:val="single" w:sz="8" w:space="0" w:color="auto"/>
              <w:right w:val="single" w:sz="8" w:space="0" w:color="auto"/>
            </w:tcBorders>
            <w:shd w:val="clear" w:color="auto" w:fill="auto"/>
            <w:noWrap/>
            <w:vAlign w:val="center"/>
            <w:hideMark/>
          </w:tcPr>
          <w:p w14:paraId="41A5A18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15.559.802</w:t>
            </w:r>
          </w:p>
        </w:tc>
      </w:tr>
      <w:tr w:rsidR="0012253E" w:rsidRPr="00BF7E57" w14:paraId="1D54CE7A"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438B989C"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PO3 - Podjetništvo</w:t>
            </w:r>
          </w:p>
        </w:tc>
        <w:tc>
          <w:tcPr>
            <w:tcW w:w="2230" w:type="dxa"/>
            <w:tcBorders>
              <w:top w:val="nil"/>
              <w:left w:val="nil"/>
              <w:bottom w:val="nil"/>
              <w:right w:val="single" w:sz="8" w:space="0" w:color="auto"/>
            </w:tcBorders>
            <w:shd w:val="clear" w:color="auto" w:fill="auto"/>
            <w:noWrap/>
            <w:vAlign w:val="center"/>
            <w:hideMark/>
          </w:tcPr>
          <w:p w14:paraId="5D6A8312"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427.385.857</w:t>
            </w:r>
          </w:p>
        </w:tc>
        <w:tc>
          <w:tcPr>
            <w:tcW w:w="1115" w:type="dxa"/>
            <w:tcBorders>
              <w:top w:val="nil"/>
              <w:left w:val="nil"/>
              <w:bottom w:val="nil"/>
              <w:right w:val="nil"/>
            </w:tcBorders>
            <w:shd w:val="clear" w:color="auto" w:fill="auto"/>
            <w:noWrap/>
            <w:vAlign w:val="center"/>
            <w:hideMark/>
          </w:tcPr>
          <w:p w14:paraId="5A3320A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73%</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679969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611.142.731</w:t>
            </w:r>
          </w:p>
        </w:tc>
        <w:tc>
          <w:tcPr>
            <w:tcW w:w="1117" w:type="dxa"/>
            <w:tcBorders>
              <w:top w:val="nil"/>
              <w:left w:val="nil"/>
              <w:bottom w:val="single" w:sz="8" w:space="0" w:color="auto"/>
              <w:right w:val="single" w:sz="8" w:space="0" w:color="auto"/>
            </w:tcBorders>
            <w:shd w:val="clear" w:color="auto" w:fill="auto"/>
            <w:noWrap/>
            <w:vAlign w:val="center"/>
            <w:hideMark/>
          </w:tcPr>
          <w:p w14:paraId="31920CF9"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506.554.455</w:t>
            </w:r>
          </w:p>
        </w:tc>
        <w:tc>
          <w:tcPr>
            <w:tcW w:w="1556" w:type="dxa"/>
            <w:tcBorders>
              <w:top w:val="nil"/>
              <w:left w:val="nil"/>
              <w:bottom w:val="single" w:sz="8" w:space="0" w:color="auto"/>
              <w:right w:val="single" w:sz="8" w:space="0" w:color="auto"/>
            </w:tcBorders>
            <w:shd w:val="clear" w:color="auto" w:fill="auto"/>
            <w:noWrap/>
            <w:vAlign w:val="center"/>
            <w:hideMark/>
          </w:tcPr>
          <w:p w14:paraId="4B086D4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302.308.780</w:t>
            </w:r>
          </w:p>
        </w:tc>
      </w:tr>
      <w:tr w:rsidR="0012253E" w:rsidRPr="00BF7E57" w14:paraId="6AEF89BE"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81F31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PO4 - Trajnostna raba energije</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6956975C"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304.640.000</w:t>
            </w:r>
          </w:p>
        </w:tc>
        <w:tc>
          <w:tcPr>
            <w:tcW w:w="1115" w:type="dxa"/>
            <w:tcBorders>
              <w:top w:val="single" w:sz="8" w:space="0" w:color="auto"/>
              <w:left w:val="nil"/>
              <w:bottom w:val="single" w:sz="8" w:space="0" w:color="auto"/>
              <w:right w:val="nil"/>
            </w:tcBorders>
            <w:shd w:val="clear" w:color="auto" w:fill="auto"/>
            <w:noWrap/>
            <w:vAlign w:val="center"/>
            <w:hideMark/>
          </w:tcPr>
          <w:p w14:paraId="39F98980"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84%</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351CCE9D"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235.558.136</w:t>
            </w:r>
          </w:p>
        </w:tc>
        <w:tc>
          <w:tcPr>
            <w:tcW w:w="1117" w:type="dxa"/>
            <w:tcBorders>
              <w:top w:val="nil"/>
              <w:left w:val="nil"/>
              <w:bottom w:val="single" w:sz="8" w:space="0" w:color="auto"/>
              <w:right w:val="single" w:sz="8" w:space="0" w:color="auto"/>
            </w:tcBorders>
            <w:shd w:val="clear" w:color="auto" w:fill="auto"/>
            <w:noWrap/>
            <w:vAlign w:val="center"/>
            <w:hideMark/>
          </w:tcPr>
          <w:p w14:paraId="2D2F321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165.816.749</w:t>
            </w:r>
          </w:p>
        </w:tc>
        <w:tc>
          <w:tcPr>
            <w:tcW w:w="1556" w:type="dxa"/>
            <w:tcBorders>
              <w:top w:val="nil"/>
              <w:left w:val="nil"/>
              <w:bottom w:val="single" w:sz="8" w:space="0" w:color="auto"/>
              <w:right w:val="single" w:sz="8" w:space="0" w:color="auto"/>
            </w:tcBorders>
            <w:shd w:val="clear" w:color="auto" w:fill="auto"/>
            <w:noWrap/>
            <w:vAlign w:val="center"/>
            <w:hideMark/>
          </w:tcPr>
          <w:p w14:paraId="06A10954"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103.954.345</w:t>
            </w:r>
          </w:p>
        </w:tc>
      </w:tr>
      <w:tr w:rsidR="0012253E" w:rsidRPr="00BF7E57" w14:paraId="27F22FE0"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0284410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PO7 - Prometna infrastruktura</w:t>
            </w:r>
          </w:p>
        </w:tc>
        <w:tc>
          <w:tcPr>
            <w:tcW w:w="2230" w:type="dxa"/>
            <w:tcBorders>
              <w:top w:val="nil"/>
              <w:left w:val="nil"/>
              <w:bottom w:val="nil"/>
              <w:right w:val="single" w:sz="8" w:space="0" w:color="auto"/>
            </w:tcBorders>
            <w:shd w:val="clear" w:color="auto" w:fill="auto"/>
            <w:noWrap/>
            <w:vAlign w:val="center"/>
            <w:hideMark/>
          </w:tcPr>
          <w:p w14:paraId="26BE63F5"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331.527.572</w:t>
            </w:r>
          </w:p>
        </w:tc>
        <w:tc>
          <w:tcPr>
            <w:tcW w:w="1115" w:type="dxa"/>
            <w:tcBorders>
              <w:top w:val="nil"/>
              <w:left w:val="nil"/>
              <w:bottom w:val="nil"/>
              <w:right w:val="nil"/>
            </w:tcBorders>
            <w:shd w:val="clear" w:color="auto" w:fill="auto"/>
            <w:noWrap/>
            <w:vAlign w:val="center"/>
            <w:hideMark/>
          </w:tcPr>
          <w:p w14:paraId="710D885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83%</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2F35713D"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361.760.441</w:t>
            </w:r>
          </w:p>
        </w:tc>
        <w:tc>
          <w:tcPr>
            <w:tcW w:w="1117" w:type="dxa"/>
            <w:tcBorders>
              <w:top w:val="nil"/>
              <w:left w:val="nil"/>
              <w:bottom w:val="single" w:sz="8" w:space="0" w:color="auto"/>
              <w:right w:val="single" w:sz="8" w:space="0" w:color="auto"/>
            </w:tcBorders>
            <w:shd w:val="clear" w:color="auto" w:fill="auto"/>
            <w:noWrap/>
            <w:vAlign w:val="center"/>
            <w:hideMark/>
          </w:tcPr>
          <w:p w14:paraId="30460B0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238.916.680</w:t>
            </w:r>
          </w:p>
        </w:tc>
        <w:tc>
          <w:tcPr>
            <w:tcW w:w="1556" w:type="dxa"/>
            <w:tcBorders>
              <w:top w:val="nil"/>
              <w:left w:val="nil"/>
              <w:bottom w:val="single" w:sz="8" w:space="0" w:color="auto"/>
              <w:right w:val="single" w:sz="8" w:space="0" w:color="auto"/>
            </w:tcBorders>
            <w:shd w:val="clear" w:color="auto" w:fill="auto"/>
            <w:noWrap/>
            <w:vAlign w:val="center"/>
            <w:hideMark/>
          </w:tcPr>
          <w:p w14:paraId="0A20D0AD"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180.505.080</w:t>
            </w:r>
          </w:p>
        </w:tc>
      </w:tr>
      <w:tr w:rsidR="0012253E" w:rsidRPr="00BF7E57" w14:paraId="7E2034A4"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23729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PO8 - Trg dela</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17F049B3"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290.970.269</w:t>
            </w:r>
          </w:p>
        </w:tc>
        <w:tc>
          <w:tcPr>
            <w:tcW w:w="1115" w:type="dxa"/>
            <w:tcBorders>
              <w:top w:val="single" w:sz="8" w:space="0" w:color="auto"/>
              <w:left w:val="nil"/>
              <w:bottom w:val="single" w:sz="8" w:space="0" w:color="auto"/>
              <w:right w:val="nil"/>
            </w:tcBorders>
            <w:shd w:val="clear" w:color="auto" w:fill="auto"/>
            <w:noWrap/>
            <w:vAlign w:val="center"/>
            <w:hideMark/>
          </w:tcPr>
          <w:p w14:paraId="78482400"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81%</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029A1B4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337.237.126</w:t>
            </w:r>
          </w:p>
        </w:tc>
        <w:tc>
          <w:tcPr>
            <w:tcW w:w="1117" w:type="dxa"/>
            <w:tcBorders>
              <w:top w:val="nil"/>
              <w:left w:val="nil"/>
              <w:bottom w:val="single" w:sz="8" w:space="0" w:color="auto"/>
              <w:right w:val="single" w:sz="8" w:space="0" w:color="auto"/>
            </w:tcBorders>
            <w:shd w:val="clear" w:color="auto" w:fill="auto"/>
            <w:noWrap/>
            <w:vAlign w:val="center"/>
            <w:hideMark/>
          </w:tcPr>
          <w:p w14:paraId="6D14147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338.546.560</w:t>
            </w:r>
          </w:p>
        </w:tc>
        <w:tc>
          <w:tcPr>
            <w:tcW w:w="1556" w:type="dxa"/>
            <w:tcBorders>
              <w:top w:val="nil"/>
              <w:left w:val="nil"/>
              <w:bottom w:val="single" w:sz="8" w:space="0" w:color="auto"/>
              <w:right w:val="single" w:sz="8" w:space="0" w:color="auto"/>
            </w:tcBorders>
            <w:shd w:val="clear" w:color="auto" w:fill="auto"/>
            <w:noWrap/>
            <w:vAlign w:val="center"/>
            <w:hideMark/>
          </w:tcPr>
          <w:p w14:paraId="36628F4C"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254.326.671</w:t>
            </w:r>
          </w:p>
        </w:tc>
      </w:tr>
      <w:tr w:rsidR="0012253E" w:rsidRPr="00BF7E57" w14:paraId="308B471C"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3490763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PO9 - Socialna vključenost</w:t>
            </w:r>
          </w:p>
        </w:tc>
        <w:tc>
          <w:tcPr>
            <w:tcW w:w="2230" w:type="dxa"/>
            <w:tcBorders>
              <w:top w:val="nil"/>
              <w:left w:val="nil"/>
              <w:bottom w:val="nil"/>
              <w:right w:val="single" w:sz="8" w:space="0" w:color="auto"/>
            </w:tcBorders>
            <w:shd w:val="clear" w:color="auto" w:fill="auto"/>
            <w:noWrap/>
            <w:vAlign w:val="center"/>
            <w:hideMark/>
          </w:tcPr>
          <w:p w14:paraId="2513A832"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230.575.691</w:t>
            </w:r>
          </w:p>
        </w:tc>
        <w:tc>
          <w:tcPr>
            <w:tcW w:w="1115" w:type="dxa"/>
            <w:tcBorders>
              <w:top w:val="nil"/>
              <w:left w:val="nil"/>
              <w:bottom w:val="nil"/>
              <w:right w:val="nil"/>
            </w:tcBorders>
            <w:shd w:val="clear" w:color="auto" w:fill="auto"/>
            <w:noWrap/>
            <w:vAlign w:val="center"/>
            <w:hideMark/>
          </w:tcPr>
          <w:p w14:paraId="7E2850F0"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6BB6120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238.874.329</w:t>
            </w:r>
          </w:p>
        </w:tc>
        <w:tc>
          <w:tcPr>
            <w:tcW w:w="1117" w:type="dxa"/>
            <w:tcBorders>
              <w:top w:val="nil"/>
              <w:left w:val="nil"/>
              <w:bottom w:val="single" w:sz="8" w:space="0" w:color="auto"/>
              <w:right w:val="single" w:sz="8" w:space="0" w:color="auto"/>
            </w:tcBorders>
            <w:shd w:val="clear" w:color="auto" w:fill="auto"/>
            <w:noWrap/>
            <w:vAlign w:val="center"/>
            <w:hideMark/>
          </w:tcPr>
          <w:p w14:paraId="42DE86B6"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239.290.135</w:t>
            </w:r>
          </w:p>
        </w:tc>
        <w:tc>
          <w:tcPr>
            <w:tcW w:w="1556" w:type="dxa"/>
            <w:tcBorders>
              <w:top w:val="nil"/>
              <w:left w:val="nil"/>
              <w:bottom w:val="single" w:sz="8" w:space="0" w:color="auto"/>
              <w:right w:val="single" w:sz="8" w:space="0" w:color="auto"/>
            </w:tcBorders>
            <w:shd w:val="clear" w:color="auto" w:fill="auto"/>
            <w:noWrap/>
            <w:vAlign w:val="center"/>
            <w:hideMark/>
          </w:tcPr>
          <w:p w14:paraId="6DE2CAC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123.598.288</w:t>
            </w:r>
          </w:p>
        </w:tc>
      </w:tr>
      <w:tr w:rsidR="0012253E" w:rsidRPr="00BF7E57" w14:paraId="2D672FDF"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33C3D4"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PO10 - Vseživljenjsko učenje</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5EEC80D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232.880.534</w:t>
            </w:r>
          </w:p>
        </w:tc>
        <w:tc>
          <w:tcPr>
            <w:tcW w:w="1115" w:type="dxa"/>
            <w:tcBorders>
              <w:top w:val="single" w:sz="8" w:space="0" w:color="auto"/>
              <w:left w:val="nil"/>
              <w:bottom w:val="single" w:sz="8" w:space="0" w:color="auto"/>
              <w:right w:val="nil"/>
            </w:tcBorders>
            <w:shd w:val="clear" w:color="auto" w:fill="auto"/>
            <w:noWrap/>
            <w:vAlign w:val="center"/>
            <w:hideMark/>
          </w:tcPr>
          <w:p w14:paraId="3218B139"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85392B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234.413.772</w:t>
            </w:r>
          </w:p>
        </w:tc>
        <w:tc>
          <w:tcPr>
            <w:tcW w:w="1117" w:type="dxa"/>
            <w:tcBorders>
              <w:top w:val="nil"/>
              <w:left w:val="nil"/>
              <w:bottom w:val="single" w:sz="8" w:space="0" w:color="auto"/>
              <w:right w:val="single" w:sz="8" w:space="0" w:color="auto"/>
            </w:tcBorders>
            <w:shd w:val="clear" w:color="auto" w:fill="auto"/>
            <w:noWrap/>
            <w:vAlign w:val="center"/>
            <w:hideMark/>
          </w:tcPr>
          <w:p w14:paraId="3931AEA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224.387.561</w:t>
            </w:r>
          </w:p>
        </w:tc>
        <w:tc>
          <w:tcPr>
            <w:tcW w:w="1556" w:type="dxa"/>
            <w:tcBorders>
              <w:top w:val="nil"/>
              <w:left w:val="nil"/>
              <w:bottom w:val="single" w:sz="8" w:space="0" w:color="auto"/>
              <w:right w:val="single" w:sz="8" w:space="0" w:color="auto"/>
            </w:tcBorders>
            <w:shd w:val="clear" w:color="auto" w:fill="auto"/>
            <w:noWrap/>
            <w:vAlign w:val="center"/>
            <w:hideMark/>
          </w:tcPr>
          <w:p w14:paraId="42074EC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169.485.317</w:t>
            </w:r>
          </w:p>
        </w:tc>
      </w:tr>
      <w:tr w:rsidR="0012253E" w:rsidRPr="00BF7E57" w14:paraId="508C0188"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6AA43B3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PO11 - Učinkovita javna uprava in NVO</w:t>
            </w:r>
          </w:p>
        </w:tc>
        <w:tc>
          <w:tcPr>
            <w:tcW w:w="2230" w:type="dxa"/>
            <w:tcBorders>
              <w:top w:val="nil"/>
              <w:left w:val="nil"/>
              <w:bottom w:val="nil"/>
              <w:right w:val="single" w:sz="8" w:space="0" w:color="auto"/>
            </w:tcBorders>
            <w:shd w:val="clear" w:color="auto" w:fill="auto"/>
            <w:noWrap/>
            <w:vAlign w:val="center"/>
            <w:hideMark/>
          </w:tcPr>
          <w:p w14:paraId="39810945"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62.873.980</w:t>
            </w:r>
          </w:p>
        </w:tc>
        <w:tc>
          <w:tcPr>
            <w:tcW w:w="1115" w:type="dxa"/>
            <w:tcBorders>
              <w:top w:val="nil"/>
              <w:left w:val="nil"/>
              <w:bottom w:val="nil"/>
              <w:right w:val="nil"/>
            </w:tcBorders>
            <w:shd w:val="clear" w:color="auto" w:fill="auto"/>
            <w:noWrap/>
            <w:vAlign w:val="center"/>
            <w:hideMark/>
          </w:tcPr>
          <w:p w14:paraId="264D76C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04D39568"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63.365.493</w:t>
            </w:r>
          </w:p>
        </w:tc>
        <w:tc>
          <w:tcPr>
            <w:tcW w:w="1117" w:type="dxa"/>
            <w:tcBorders>
              <w:top w:val="nil"/>
              <w:left w:val="nil"/>
              <w:bottom w:val="single" w:sz="8" w:space="0" w:color="auto"/>
              <w:right w:val="single" w:sz="8" w:space="0" w:color="auto"/>
            </w:tcBorders>
            <w:shd w:val="clear" w:color="auto" w:fill="auto"/>
            <w:noWrap/>
            <w:vAlign w:val="center"/>
            <w:hideMark/>
          </w:tcPr>
          <w:p w14:paraId="44175EB8"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62.025.281</w:t>
            </w:r>
          </w:p>
        </w:tc>
        <w:tc>
          <w:tcPr>
            <w:tcW w:w="1556" w:type="dxa"/>
            <w:tcBorders>
              <w:top w:val="nil"/>
              <w:left w:val="nil"/>
              <w:bottom w:val="single" w:sz="8" w:space="0" w:color="auto"/>
              <w:right w:val="single" w:sz="8" w:space="0" w:color="auto"/>
            </w:tcBorders>
            <w:shd w:val="clear" w:color="auto" w:fill="auto"/>
            <w:noWrap/>
            <w:vAlign w:val="center"/>
            <w:hideMark/>
          </w:tcPr>
          <w:p w14:paraId="4F998B9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35.907.566</w:t>
            </w:r>
          </w:p>
        </w:tc>
      </w:tr>
      <w:tr w:rsidR="0012253E" w:rsidRPr="00BF7E57" w14:paraId="36C165B1" w14:textId="77777777" w:rsidTr="0012253E">
        <w:trPr>
          <w:trHeight w:val="298"/>
        </w:trPr>
        <w:tc>
          <w:tcPr>
            <w:tcW w:w="2625" w:type="dxa"/>
            <w:tcBorders>
              <w:top w:val="single" w:sz="8" w:space="0" w:color="auto"/>
              <w:left w:val="single" w:sz="8" w:space="0" w:color="auto"/>
              <w:bottom w:val="single" w:sz="8" w:space="0" w:color="auto"/>
              <w:right w:val="nil"/>
            </w:tcBorders>
            <w:shd w:val="clear" w:color="000000" w:fill="DCE6F1"/>
            <w:noWrap/>
            <w:vAlign w:val="center"/>
            <w:hideMark/>
          </w:tcPr>
          <w:p w14:paraId="26239FA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Skupaj OP</w:t>
            </w:r>
          </w:p>
        </w:tc>
        <w:tc>
          <w:tcPr>
            <w:tcW w:w="2230" w:type="dxa"/>
            <w:tcBorders>
              <w:top w:val="single" w:sz="8" w:space="0" w:color="auto"/>
              <w:left w:val="single" w:sz="8" w:space="0" w:color="auto"/>
              <w:bottom w:val="single" w:sz="8" w:space="0" w:color="auto"/>
              <w:right w:val="nil"/>
            </w:tcBorders>
            <w:shd w:val="clear" w:color="000000" w:fill="DCE6F1"/>
            <w:noWrap/>
            <w:vAlign w:val="center"/>
            <w:hideMark/>
          </w:tcPr>
          <w:p w14:paraId="3FB10DC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3.067.924.925</w:t>
            </w:r>
          </w:p>
        </w:tc>
        <w:tc>
          <w:tcPr>
            <w:tcW w:w="1115" w:type="dxa"/>
            <w:tcBorders>
              <w:top w:val="single" w:sz="8" w:space="0" w:color="auto"/>
              <w:left w:val="single" w:sz="8" w:space="0" w:color="auto"/>
              <w:bottom w:val="single" w:sz="8" w:space="0" w:color="auto"/>
              <w:right w:val="nil"/>
            </w:tcBorders>
            <w:shd w:val="clear" w:color="000000" w:fill="DCE6F1"/>
            <w:noWrap/>
            <w:vAlign w:val="center"/>
            <w:hideMark/>
          </w:tcPr>
          <w:p w14:paraId="06698C85"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000000" w:fill="DCE6F1"/>
            <w:noWrap/>
            <w:vAlign w:val="center"/>
            <w:hideMark/>
          </w:tcPr>
          <w:p w14:paraId="1A4070E8"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3.333.204.687</w:t>
            </w:r>
          </w:p>
        </w:tc>
        <w:tc>
          <w:tcPr>
            <w:tcW w:w="1117" w:type="dxa"/>
            <w:tcBorders>
              <w:top w:val="nil"/>
              <w:left w:val="nil"/>
              <w:bottom w:val="single" w:sz="8" w:space="0" w:color="auto"/>
              <w:right w:val="single" w:sz="8" w:space="0" w:color="auto"/>
            </w:tcBorders>
            <w:shd w:val="clear" w:color="000000" w:fill="DCE6F1"/>
            <w:noWrap/>
            <w:vAlign w:val="center"/>
            <w:hideMark/>
          </w:tcPr>
          <w:p w14:paraId="35383CA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2.799.158.190</w:t>
            </w:r>
          </w:p>
        </w:tc>
        <w:tc>
          <w:tcPr>
            <w:tcW w:w="1556" w:type="dxa"/>
            <w:tcBorders>
              <w:top w:val="nil"/>
              <w:left w:val="nil"/>
              <w:bottom w:val="single" w:sz="8" w:space="0" w:color="auto"/>
              <w:right w:val="single" w:sz="8" w:space="0" w:color="auto"/>
            </w:tcBorders>
            <w:shd w:val="clear" w:color="000000" w:fill="DCE6F1"/>
            <w:noWrap/>
            <w:vAlign w:val="center"/>
            <w:hideMark/>
          </w:tcPr>
          <w:p w14:paraId="497C0B1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1.787.222.457</w:t>
            </w:r>
          </w:p>
        </w:tc>
      </w:tr>
    </w:tbl>
    <w:p w14:paraId="7D657D9E" w14:textId="4A1D3C47" w:rsidR="0012253E" w:rsidRPr="00BF7E57" w:rsidRDefault="0012253E" w:rsidP="0012253E">
      <w:pPr>
        <w:pStyle w:val="1"/>
        <w:spacing w:line="360" w:lineRule="auto"/>
        <w:rPr>
          <w:rFonts w:eastAsia="SimSun"/>
          <w:bCs/>
          <w:sz w:val="16"/>
          <w:szCs w:val="16"/>
          <w:lang w:eastAsia="zh-CN"/>
        </w:rPr>
      </w:pPr>
      <w:r w:rsidRPr="00BF7E57">
        <w:rPr>
          <w:rFonts w:eastAsia="Courier New"/>
          <w:color w:val="000000"/>
          <w:sz w:val="16"/>
          <w:szCs w:val="16"/>
          <w:lang w:bidi="sl-SI"/>
        </w:rPr>
        <w:t xml:space="preserve">Vir: </w:t>
      </w:r>
      <w:r w:rsidRPr="00BF7E57">
        <w:rPr>
          <w:rFonts w:eastAsia="SimSun"/>
          <w:bCs/>
          <w:sz w:val="16"/>
          <w:szCs w:val="16"/>
          <w:lang w:eastAsia="zh-CN"/>
        </w:rPr>
        <w:t>Poročilo o izvajanju Evropske kohezijske politike 2014–2020 za obdobje od januarja 2014 do konca junija 2021</w:t>
      </w:r>
    </w:p>
    <w:p w14:paraId="29F890A6" w14:textId="77777777" w:rsidR="0012253E" w:rsidRPr="00BF7E57" w:rsidRDefault="0012253E" w:rsidP="00BE756C">
      <w:pPr>
        <w:pStyle w:val="1"/>
        <w:spacing w:before="200" w:after="200" w:line="360" w:lineRule="auto"/>
        <w:rPr>
          <w:rFonts w:eastAsia="Courier New"/>
          <w:lang w:bidi="sl-SI"/>
        </w:rPr>
      </w:pPr>
    </w:p>
    <w:p w14:paraId="48793439" w14:textId="77777777" w:rsidR="009E0216" w:rsidRPr="00BF7E57" w:rsidRDefault="009E0216" w:rsidP="00EA2E4C">
      <w:pPr>
        <w:pStyle w:val="Naslov2"/>
        <w:spacing w:line="360" w:lineRule="auto"/>
        <w:jc w:val="both"/>
        <w:rPr>
          <w:rFonts w:ascii="Arial" w:eastAsia="Times New Roman" w:hAnsi="Arial" w:cs="Arial"/>
          <w:bCs w:val="0"/>
          <w:color w:val="auto"/>
          <w:sz w:val="24"/>
          <w:szCs w:val="24"/>
          <w:lang w:eastAsia="sl-SI"/>
        </w:rPr>
      </w:pPr>
      <w:bookmarkStart w:id="222" w:name="_Toc86826389"/>
      <w:r w:rsidRPr="00BF7E57">
        <w:rPr>
          <w:rFonts w:ascii="Arial" w:eastAsia="Times New Roman" w:hAnsi="Arial" w:cs="Arial"/>
          <w:bCs w:val="0"/>
          <w:color w:val="auto"/>
          <w:sz w:val="24"/>
          <w:szCs w:val="24"/>
          <w:lang w:eastAsia="sl-SI"/>
        </w:rPr>
        <w:t>5.5 Izvajanje CLLD v okviru Operativnega programa za izvajanje Evropskega sklada za pomorstvo in ribištvo v Republiki Sloveniji za obdobje 2014-2020</w:t>
      </w:r>
      <w:bookmarkEnd w:id="222"/>
    </w:p>
    <w:p w14:paraId="4C10C2C2" w14:textId="77777777" w:rsidR="009E0216" w:rsidRPr="00BF7E57" w:rsidRDefault="009E0216" w:rsidP="00BE756C">
      <w:pPr>
        <w:pStyle w:val="1"/>
        <w:spacing w:before="200" w:after="200" w:line="360" w:lineRule="auto"/>
      </w:pPr>
      <w:r w:rsidRPr="00BF7E57">
        <w:t>CLLD na obalnem območju omogoča ohranjanje tradicije morskega gospodarskega ribolova in naravne ter pomorske kulturne dediščine lokalnega območja (antičnih pristanišč in ribogojnic na slovenski obali Istre, tradicionalna ribiška plovila ter materialni in nematerialni vidiki ribolovnih in ribogojniških praks v preteklosti). Z vključevanjem sektorja sladkovodne akvakulture v CLLD se želi doseči boljšo povezanost in prepoznavnost sektorja na podeželskih območjih in širše, saj je bil ta sektor do zdaj premalo prepoznan in prisoten. Z izvajanjem projektov se želi prispevati k povečanju dodane vrednosti proizvodom iz akvakulture, povezati sektor z drugimi panogami (turizem, kultura, gostinstvo), spodbujati inovacije v vseh fazah dobavne verige, povezovanje in vključevanje sektorja na lokalni ravni, možnosti skupnega nastopa na trgu, medregijsko in meddržavno sodelovanje, izmenjavo izkušenj in dobrih praks (Operativni program ESPR, 2015).</w:t>
      </w:r>
    </w:p>
    <w:p w14:paraId="3A0C5ED3" w14:textId="5CBDE43C" w:rsidR="009E0216" w:rsidRPr="00BF7E57" w:rsidRDefault="00D423EA" w:rsidP="00BE756C">
      <w:pPr>
        <w:pStyle w:val="1"/>
        <w:spacing w:before="200" w:after="200" w:line="360" w:lineRule="auto"/>
      </w:pPr>
      <w:r w:rsidRPr="00BF7E57">
        <w:lastRenderedPageBreak/>
        <w:t xml:space="preserve">V okviru 4. </w:t>
      </w:r>
      <w:r w:rsidR="001B7F8A" w:rsidRPr="00BF7E57">
        <w:t>prednostne naloge</w:t>
      </w:r>
      <w:r w:rsidRPr="00BF7E57">
        <w:t xml:space="preserve"> so se izvajale operacije, ki so omogočile pozitivno izkušnjo izvajanja CLLD na lokalnem območju in s tem povečan interes med potencialnimi prijavitelji projektov. Za tekoče stroške in animacijo je bilo izplačanih 182.611,44 EUR, od tega znaša ESPR del 136.958,85 EUR. Izbranih je bilo 27 operacij v skupni vrednosti 3.103.584,94 EUR javnih sredstev, od tega ESPR del 2.327.688,67 EUR. Izplačil je bilo za 1.368.859,27 EUR, od tega ESPR del 1.026.644,34 EUR. Izvajale so se tudi 3 operacije sodelovanja v skupni vrednos</w:t>
      </w:r>
      <w:r w:rsidR="001B7F8A" w:rsidRPr="00BF7E57">
        <w:t>,</w:t>
      </w:r>
      <w:r w:rsidRPr="00BF7E57">
        <w:t>ti 69.818,18 EUR javnih sredstev, od tega 44.509,08 EUR prispevek ESPR</w:t>
      </w:r>
      <w:r w:rsidR="009E0216" w:rsidRPr="00BF7E57">
        <w:t>(</w:t>
      </w:r>
      <w:r w:rsidR="009E0216" w:rsidRPr="00BF7E57">
        <w:rPr>
          <w:bCs/>
        </w:rPr>
        <w:t>Letno poročilo o izvajanju za ESPR 20</w:t>
      </w:r>
      <w:r w:rsidRPr="00BF7E57">
        <w:rPr>
          <w:bCs/>
        </w:rPr>
        <w:t>20</w:t>
      </w:r>
      <w:r w:rsidR="009E0216" w:rsidRPr="00BF7E57">
        <w:rPr>
          <w:bCs/>
        </w:rPr>
        <w:t>, 20</w:t>
      </w:r>
      <w:r w:rsidRPr="00BF7E57">
        <w:rPr>
          <w:bCs/>
        </w:rPr>
        <w:t>21</w:t>
      </w:r>
      <w:r w:rsidR="009E0216" w:rsidRPr="00BF7E57">
        <w:rPr>
          <w:bCs/>
        </w:rPr>
        <w:t>).</w:t>
      </w:r>
    </w:p>
    <w:p w14:paraId="079E9009" w14:textId="77777777" w:rsidR="009E0216" w:rsidRPr="00BF7E57" w:rsidRDefault="009E0216" w:rsidP="00BE756C">
      <w:pPr>
        <w:pStyle w:val="1"/>
        <w:spacing w:before="200" w:after="200" w:line="360" w:lineRule="auto"/>
      </w:pPr>
    </w:p>
    <w:p w14:paraId="69085267" w14:textId="77777777" w:rsidR="009E0216" w:rsidRPr="00BF7E57" w:rsidRDefault="009E0216" w:rsidP="00BE756C">
      <w:pPr>
        <w:pStyle w:val="Naslov2"/>
        <w:keepLines w:val="0"/>
        <w:spacing w:after="200" w:line="360" w:lineRule="auto"/>
        <w:jc w:val="both"/>
        <w:rPr>
          <w:rFonts w:ascii="Arial" w:hAnsi="Arial" w:cs="Arial"/>
          <w:color w:val="auto"/>
          <w:sz w:val="24"/>
          <w:szCs w:val="24"/>
        </w:rPr>
      </w:pPr>
      <w:bookmarkStart w:id="223" w:name="_Toc86826390"/>
      <w:r w:rsidRPr="00BF7E57">
        <w:rPr>
          <w:rFonts w:ascii="Arial" w:hAnsi="Arial" w:cs="Arial"/>
          <w:color w:val="auto"/>
          <w:sz w:val="24"/>
          <w:szCs w:val="24"/>
        </w:rPr>
        <w:t>5.6 KLJUČNE UGOTOVITVE</w:t>
      </w:r>
      <w:bookmarkEnd w:id="223"/>
    </w:p>
    <w:p w14:paraId="756A4CED" w14:textId="383B0DB5" w:rsidR="009E0216" w:rsidRPr="00BF7E57" w:rsidRDefault="009E0216" w:rsidP="00BE756C">
      <w:pPr>
        <w:pStyle w:val="1"/>
        <w:spacing w:before="200" w:after="200" w:line="360" w:lineRule="auto"/>
      </w:pPr>
      <w:r w:rsidRPr="00BF7E57">
        <w:t xml:space="preserve">V programskem obdobju </w:t>
      </w:r>
      <w:r w:rsidRPr="00BF7E57">
        <w:rPr>
          <w:b/>
        </w:rPr>
        <w:t>2007–2013 so se vsebine za obnovo in razvoj vasi, izboljšanje kakovosti življenja v podeželskih območjih in dediščine, podpirale</w:t>
      </w:r>
      <w:r w:rsidRPr="00BF7E57">
        <w:t xml:space="preserve"> v okviru Ukrepa 322 Obnova in razvoj vasi in Ukrepa 323 Ohranjanje in izboljševanje dediščine podeželja. Podpore so prispevale k privlačnosti vaškega okolja, kot bivanjskega prostora, in potencial</w:t>
      </w:r>
      <w:r w:rsidR="005C0F25" w:rsidRPr="00BF7E57">
        <w:t>u</w:t>
      </w:r>
      <w:r w:rsidRPr="00BF7E57">
        <w:t xml:space="preserve"> za razvoj drugih dejavnosti, še posebej turizma. V programskem obdobju 2014–2020 se takšne vsebine naslavljajo le preko ukrepa LEADER.</w:t>
      </w:r>
    </w:p>
    <w:p w14:paraId="0A27A6A9" w14:textId="62888654" w:rsidR="009E0216" w:rsidRPr="00BF7E57" w:rsidRDefault="009E0216" w:rsidP="00BE756C">
      <w:pPr>
        <w:pStyle w:val="1"/>
        <w:spacing w:before="200" w:after="200" w:line="360" w:lineRule="auto"/>
      </w:pPr>
      <w:r w:rsidRPr="00BF7E57">
        <w:t xml:space="preserve">V programskem obdobju 2007–2013 se je </w:t>
      </w:r>
      <w:r w:rsidRPr="00BF7E57">
        <w:rPr>
          <w:b/>
        </w:rPr>
        <w:t>nekmetijske dejavnosti</w:t>
      </w:r>
      <w:r w:rsidRPr="00BF7E57">
        <w:t xml:space="preserve"> podpiralo v okviru ukrepa 311 Diverzifikacija v nekmetijske dejavnosti (največ naložb v dopolnilne dejavnosti na kmetijah, turizem na kmetijah, OVE</w:t>
      </w:r>
      <w:r w:rsidR="005C0F25" w:rsidRPr="00BF7E57">
        <w:t xml:space="preserve"> </w:t>
      </w:r>
      <w:r w:rsidRPr="00BF7E57">
        <w:t>…). V okviru ukrepa 312 Podpora ustanavljanju in razvoju mikropodjetij pa se je podpiralo podjetništvo na podeželju (proizvodnja kovinskih izdelkov, gostinstvo, proizvodnja pohištva). V programskem obdobju 2014-2020 se nekmetijske dejavnosti podpirajo v okviru podukrepa 6.4.</w:t>
      </w:r>
    </w:p>
    <w:p w14:paraId="349D6BAD" w14:textId="2BDC2F95" w:rsidR="009E0216" w:rsidRPr="00BF7E57" w:rsidRDefault="009E0216" w:rsidP="00BE756C">
      <w:pPr>
        <w:pStyle w:val="1"/>
        <w:spacing w:before="200" w:after="200" w:line="360" w:lineRule="auto"/>
      </w:pPr>
      <w:r w:rsidRPr="00BF7E57">
        <w:rPr>
          <w:b/>
        </w:rPr>
        <w:t>Ukrep LEADER se izvaja že dve programski obdobji</w:t>
      </w:r>
      <w:r w:rsidRPr="00BF7E57">
        <w:t xml:space="preserve">, prav tako pa se je pristop CLLD v programskem </w:t>
      </w:r>
      <w:r w:rsidR="00763F76" w:rsidRPr="00BF7E57">
        <w:t>obdobju</w:t>
      </w:r>
      <w:r w:rsidRPr="00BF7E57">
        <w:t xml:space="preserve"> 2007–2013 izvajal že preko ESPR. </w:t>
      </w:r>
      <w:r w:rsidRPr="00BF7E57">
        <w:rPr>
          <w:b/>
        </w:rPr>
        <w:t>V programskem obdobju 2014-2020 se LEADER izvaja kot del skupnega pristopa CLLD</w:t>
      </w:r>
      <w:r w:rsidRPr="00BF7E57">
        <w:t xml:space="preserve">, skupaj z ESRR in ESPR, kar omogoča izvedbo interdisciplinarnih projektov na podeželju, ribiških in urbanih naseljih, ki so celoviti in niso strogo omejeni na podeželska območja, ampak vključujejo tudi ribiška in urbana naselja. </w:t>
      </w:r>
    </w:p>
    <w:p w14:paraId="16E87AB9" w14:textId="7D86C421" w:rsidR="009E0216" w:rsidRPr="00BF7E57" w:rsidRDefault="009E0216" w:rsidP="00BE756C">
      <w:pPr>
        <w:pStyle w:val="1"/>
        <w:spacing w:before="200" w:after="200" w:line="360" w:lineRule="auto"/>
      </w:pPr>
      <w:r w:rsidRPr="00BF7E57">
        <w:t xml:space="preserve">V programskem obdobju 2014–2020 se je glede na prejšnje programsko obdobje število LAS-ov povečalo iz 33 na </w:t>
      </w:r>
      <w:r w:rsidRPr="00BF7E57">
        <w:rPr>
          <w:b/>
        </w:rPr>
        <w:t>37, s potrjenimi LAS-i je pokrita cela Slovenija</w:t>
      </w:r>
      <w:r w:rsidRPr="00BF7E57">
        <w:t xml:space="preserve"> in 100% podeželskega prebivalstva (iz podpor izvzeta naselja nad 10.000 prebivalci). Vse strategije lokalnega razvoja so podprte s sredstvi EKSRP in ESRR, 4 tudi iz sklada ESPR. V programskem obd</w:t>
      </w:r>
      <w:r w:rsidR="003E4A64" w:rsidRPr="00BF7E57">
        <w:t>o</w:t>
      </w:r>
      <w:r w:rsidRPr="00BF7E57">
        <w:t xml:space="preserve">bju 2007–2013 je bila s sredstvi ESPR podprta le ena ribiška lokalna akcijska skupina. </w:t>
      </w:r>
    </w:p>
    <w:p w14:paraId="6FB8CF64" w14:textId="26BB2BAA" w:rsidR="009E0216" w:rsidRPr="00BF7E57" w:rsidRDefault="009E0216" w:rsidP="00BE756C">
      <w:pPr>
        <w:pStyle w:val="1"/>
        <w:spacing w:before="200" w:after="200" w:line="360" w:lineRule="auto"/>
      </w:pPr>
      <w:r w:rsidRPr="00BF7E57">
        <w:t xml:space="preserve">Analiza projektov izvedenih v okviru ukrepa LEADER 2007–2013 kaže, da je bil največji delež projektov glede na vsebinsko opredelitev v turizmu (33%), nato v izobraževanju (20%), sledi obnova in razvoj vasi (19%), kulturna dediščina (10%). Vsebinska analiza projektov v programskem obdobju 2014–2020, potrjenih do 31. </w:t>
      </w:r>
      <w:r w:rsidR="004865E7" w:rsidRPr="00BF7E57">
        <w:t>8</w:t>
      </w:r>
      <w:r w:rsidRPr="00BF7E57">
        <w:t>. 20</w:t>
      </w:r>
      <w:r w:rsidR="004865E7" w:rsidRPr="00BF7E57">
        <w:t>20</w:t>
      </w:r>
      <w:r w:rsidRPr="00BF7E57">
        <w:t xml:space="preserve"> kaže, da je okoli 23 % projektov s področja turizma, 19 % s področja obnove in razvoja vasi ter 16 % s področja kulturne dediščine.</w:t>
      </w:r>
      <w:r w:rsidR="00701C24" w:rsidRPr="00BF7E57">
        <w:t xml:space="preserve"> Okoli 12 % projektov je tudi povezanih s kmetijstvom, pri čemer analize kažejo na vlogo ukrepa LEADER in LAS pri povezovanju znotraj </w:t>
      </w:r>
      <w:r w:rsidR="00701C24" w:rsidRPr="00BF7E57">
        <w:lastRenderedPageBreak/>
        <w:t>lokalnega območja, pa tudi med LAS in tujino, z različnimi deležniki (kmetje, ekološki kmetje, javni zavodi, javni sektor, turizem, trgovina idr).</w:t>
      </w:r>
    </w:p>
    <w:p w14:paraId="3190B4F8" w14:textId="19F6CFFB" w:rsidR="009E0216" w:rsidRPr="00BF7E57" w:rsidRDefault="009E0216" w:rsidP="00BE756C">
      <w:pPr>
        <w:pStyle w:val="1"/>
        <w:spacing w:before="200" w:after="200" w:line="360" w:lineRule="auto"/>
      </w:pPr>
      <w:r w:rsidRPr="00BF7E57">
        <w:t xml:space="preserve">V obeh obdobjih so </w:t>
      </w:r>
      <w:r w:rsidRPr="00BF7E57">
        <w:rPr>
          <w:b/>
        </w:rPr>
        <w:t>vodilni partnerji LAS po večini regionalno razvojne in razvojne agencije</w:t>
      </w:r>
      <w:r w:rsidRPr="00BF7E57">
        <w:t>. Glede na</w:t>
      </w:r>
      <w:r w:rsidR="004865E7" w:rsidRPr="00BF7E57">
        <w:t xml:space="preserve"> </w:t>
      </w:r>
      <w:r w:rsidRPr="00BF7E57">
        <w:t>vrednost projektov so v sedanjem obdobju finančno večji projekti. Največji delež odobrenih sredstev po statusu upravičencev ima javni sektor</w:t>
      </w:r>
      <w:r w:rsidR="00BE1182" w:rsidRPr="00BF7E57">
        <w:t xml:space="preserve"> </w:t>
      </w:r>
      <w:r w:rsidR="004865E7" w:rsidRPr="00BF7E57">
        <w:t>(</w:t>
      </w:r>
      <w:r w:rsidRPr="00BF7E57">
        <w:t>občine, javni zavodi</w:t>
      </w:r>
      <w:r w:rsidR="004865E7" w:rsidRPr="00BF7E57">
        <w:t>)</w:t>
      </w:r>
      <w:r w:rsidRPr="00BF7E57">
        <w:t xml:space="preserve">, ki predstavljajo okoli 60 % vseh odobrenih sredstev. Med upravičenci je največ občin, manj pa predstavnikov civilne družbe zaradi težav z zagotavljanjem sofinanciranja projektov. </w:t>
      </w:r>
    </w:p>
    <w:p w14:paraId="177B6A1C" w14:textId="77777777" w:rsidR="005E4633" w:rsidRPr="00BF7E57" w:rsidRDefault="005E4633" w:rsidP="00BE756C">
      <w:pPr>
        <w:pStyle w:val="1"/>
        <w:spacing w:before="200" w:after="200" w:line="360" w:lineRule="auto"/>
      </w:pPr>
    </w:p>
    <w:p w14:paraId="726B114C" w14:textId="001A3D77" w:rsidR="002948DD" w:rsidRPr="00BF7E57" w:rsidRDefault="00924D5D"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224" w:name="_Toc86826391"/>
      <w:r w:rsidRPr="00BF7E57">
        <w:rPr>
          <w:rFonts w:ascii="Arial" w:hAnsi="Arial" w:cs="Arial"/>
          <w:color w:val="auto"/>
          <w:sz w:val="24"/>
          <w:szCs w:val="24"/>
        </w:rPr>
        <w:t xml:space="preserve">6 </w:t>
      </w:r>
      <w:r w:rsidR="002948DD" w:rsidRPr="00BF7E57">
        <w:rPr>
          <w:rFonts w:ascii="Arial" w:hAnsi="Arial" w:cs="Arial"/>
          <w:color w:val="auto"/>
          <w:sz w:val="24"/>
          <w:szCs w:val="24"/>
        </w:rPr>
        <w:t>ANALIZA SWOT</w:t>
      </w:r>
      <w:bookmarkEnd w:id="224"/>
    </w:p>
    <w:p w14:paraId="10837744" w14:textId="7B0A2ECB" w:rsidR="002948DD" w:rsidRPr="00BF7E57" w:rsidRDefault="009E0216" w:rsidP="00BE756C">
      <w:pPr>
        <w:spacing w:before="200" w:line="360" w:lineRule="auto"/>
        <w:jc w:val="both"/>
        <w:rPr>
          <w:rFonts w:ascii="Arial" w:hAnsi="Arial" w:cs="Arial"/>
          <w:b/>
          <w:sz w:val="24"/>
          <w:szCs w:val="24"/>
        </w:rPr>
      </w:pPr>
      <w:r w:rsidRPr="00BF7E57">
        <w:rPr>
          <w:rFonts w:ascii="Arial" w:hAnsi="Arial" w:cs="Arial"/>
          <w:b/>
          <w:sz w:val="24"/>
          <w:szCs w:val="24"/>
        </w:rPr>
        <w:t>LOKALNI RAZVOJ PO</w:t>
      </w:r>
      <w:r w:rsidR="0060162F" w:rsidRPr="00BF7E57">
        <w:rPr>
          <w:rFonts w:ascii="Arial" w:hAnsi="Arial" w:cs="Arial"/>
          <w:b/>
          <w:sz w:val="24"/>
          <w:szCs w:val="24"/>
        </w:rPr>
        <w:t>DEŽELJA IN SOCIALNA VKLJUČENOST</w:t>
      </w:r>
    </w:p>
    <w:p w14:paraId="4B7C26BF" w14:textId="384C1F6B" w:rsidR="001C215F" w:rsidRPr="00BF7E57" w:rsidRDefault="001C215F" w:rsidP="00EA2E4C">
      <w:pPr>
        <w:pStyle w:val="Naslov1"/>
        <w:spacing w:line="360" w:lineRule="auto"/>
        <w:ind w:left="480"/>
        <w:jc w:val="both"/>
        <w:rPr>
          <w:rFonts w:ascii="Arial" w:eastAsiaTheme="minorHAnsi" w:hAnsi="Arial" w:cs="Arial"/>
          <w:b/>
          <w:color w:val="auto"/>
          <w:sz w:val="20"/>
          <w:szCs w:val="20"/>
        </w:rPr>
      </w:pPr>
    </w:p>
    <w:p w14:paraId="74E756CF" w14:textId="77777777" w:rsidR="00214241" w:rsidRPr="00BF7E57" w:rsidRDefault="001C215F" w:rsidP="008D32AC">
      <w:pPr>
        <w:spacing w:before="200" w:line="360" w:lineRule="auto"/>
        <w:jc w:val="both"/>
        <w:rPr>
          <w:rFonts w:ascii="Arial" w:hAnsi="Arial" w:cs="Arial"/>
          <w:b/>
          <w:sz w:val="24"/>
          <w:szCs w:val="24"/>
        </w:rPr>
      </w:pPr>
      <w:r w:rsidRPr="00BF7E57">
        <w:rPr>
          <w:rFonts w:ascii="Arial" w:hAnsi="Arial" w:cs="Arial"/>
          <w:b/>
          <w:sz w:val="24"/>
          <w:szCs w:val="24"/>
        </w:rPr>
        <w:t>GO</w:t>
      </w:r>
      <w:r w:rsidR="009E0216" w:rsidRPr="00BF7E57">
        <w:rPr>
          <w:rFonts w:ascii="Arial" w:hAnsi="Arial" w:cs="Arial"/>
          <w:b/>
          <w:sz w:val="24"/>
          <w:szCs w:val="24"/>
        </w:rPr>
        <w:t>SPODARSTVO, ZAPOSLOVANJE IN BIOGOSPODARSTVO</w:t>
      </w:r>
    </w:p>
    <w:p w14:paraId="666A86A4" w14:textId="77777777" w:rsidR="00186223" w:rsidRPr="00BF7E57" w:rsidRDefault="00186223" w:rsidP="00D44167">
      <w:pPr>
        <w:spacing w:line="360" w:lineRule="auto"/>
        <w:rPr>
          <w:rFonts w:ascii="Arial" w:hAnsi="Arial" w:cs="Arial"/>
          <w:b/>
          <w:sz w:val="28"/>
          <w:szCs w:val="28"/>
        </w:rPr>
      </w:pPr>
      <w:r w:rsidRPr="00BF7E57">
        <w:rPr>
          <w:rFonts w:ascii="Arial" w:hAnsi="Arial" w:cs="Arial"/>
          <w:b/>
          <w:sz w:val="28"/>
          <w:szCs w:val="28"/>
        </w:rPr>
        <w:t>VIRI IN LITARATURA</w:t>
      </w:r>
    </w:p>
    <w:p w14:paraId="1FBC2768" w14:textId="77777777" w:rsidR="00A77E41" w:rsidRPr="00BF7E57" w:rsidRDefault="00A77E41" w:rsidP="00A05198">
      <w:pPr>
        <w:pStyle w:val="Sprotnaopomba-besedilo"/>
        <w:numPr>
          <w:ilvl w:val="0"/>
          <w:numId w:val="43"/>
        </w:numPr>
        <w:spacing w:before="200" w:after="200" w:line="360" w:lineRule="auto"/>
        <w:jc w:val="left"/>
        <w:rPr>
          <w:rFonts w:ascii="Arial" w:hAnsi="Arial" w:cs="Arial"/>
        </w:rPr>
      </w:pPr>
      <w:r w:rsidRPr="00BF7E57">
        <w:rPr>
          <w:rFonts w:ascii="Arial" w:hAnsi="Arial" w:cs="Arial"/>
        </w:rPr>
        <w:t xml:space="preserve">AJPES, 2020: Podatki iz Poslovnega registra Slovenije. Pridobljeno avgusta 2020, s </w:t>
      </w:r>
      <w:hyperlink r:id="rId66" w:history="1">
        <w:r w:rsidRPr="00BF7E57">
          <w:rPr>
            <w:rStyle w:val="Hiperpovezava"/>
            <w:rFonts w:ascii="Arial" w:hAnsi="Arial" w:cs="Arial"/>
          </w:rPr>
          <w:t>https://www.ajpes.si/Registri/Poslovni_register/Porocila</w:t>
        </w:r>
      </w:hyperlink>
    </w:p>
    <w:p w14:paraId="104094DB" w14:textId="77777777" w:rsidR="00A77E41" w:rsidRPr="00BF7E57" w:rsidRDefault="00A77E41" w:rsidP="00A05198">
      <w:pPr>
        <w:pStyle w:val="Sprotnaopomba-besedilo"/>
        <w:numPr>
          <w:ilvl w:val="0"/>
          <w:numId w:val="43"/>
        </w:numPr>
        <w:spacing w:before="200" w:after="200" w:line="360" w:lineRule="auto"/>
        <w:jc w:val="left"/>
        <w:rPr>
          <w:rFonts w:ascii="Arial" w:hAnsi="Arial" w:cs="Arial"/>
        </w:rPr>
      </w:pPr>
      <w:r w:rsidRPr="00BF7E57">
        <w:rPr>
          <w:rFonts w:ascii="Arial" w:hAnsi="Arial" w:cs="Arial"/>
        </w:rPr>
        <w:t xml:space="preserve">ARSO 2017: Agencija RS za okolje, Kazalci okolja, Obnovljivi viri energije. Pridobljeno avgusta 2020 s </w:t>
      </w:r>
      <w:hyperlink r:id="rId67" w:history="1">
        <w:r w:rsidRPr="00BF7E57">
          <w:rPr>
            <w:rStyle w:val="Hiperpovezava"/>
            <w:rFonts w:ascii="Arial" w:hAnsi="Arial" w:cs="Arial"/>
          </w:rPr>
          <w:t>http://kazalci.arso.gov.si/sl/content/obnovljivi-viri-energije-3</w:t>
        </w:r>
      </w:hyperlink>
    </w:p>
    <w:p w14:paraId="189B4165" w14:textId="77777777" w:rsidR="00A77E41" w:rsidRPr="00BF7E57" w:rsidRDefault="00A77E41" w:rsidP="00A05198">
      <w:pPr>
        <w:pStyle w:val="Sprotnaopomba-besedilo"/>
        <w:numPr>
          <w:ilvl w:val="0"/>
          <w:numId w:val="43"/>
        </w:numPr>
        <w:spacing w:before="200" w:after="200" w:line="360" w:lineRule="auto"/>
        <w:jc w:val="left"/>
        <w:rPr>
          <w:rStyle w:val="inline"/>
          <w:rFonts w:ascii="Arial" w:hAnsi="Arial" w:cs="Arial"/>
        </w:rPr>
      </w:pPr>
      <w:r w:rsidRPr="00BF7E57">
        <w:rPr>
          <w:rFonts w:ascii="Arial" w:hAnsi="Arial" w:cs="Arial"/>
        </w:rPr>
        <w:t>ARSO 2020: Agencija RS za okolje, Kazalci okolja</w:t>
      </w:r>
      <w:r w:rsidRPr="00BF7E57">
        <w:rPr>
          <w:rStyle w:val="inline"/>
          <w:rFonts w:ascii="Arial" w:hAnsi="Arial" w:cs="Arial"/>
        </w:rPr>
        <w:t xml:space="preserve">, Lesna zaloga s prirastkom in posekom pridobljeno avgusta 2020 s </w:t>
      </w:r>
      <w:hyperlink r:id="rId68" w:history="1">
        <w:r w:rsidRPr="00BF7E57">
          <w:rPr>
            <w:rStyle w:val="Hiperpovezava"/>
            <w:rFonts w:ascii="Arial" w:hAnsi="Arial" w:cs="Arial"/>
          </w:rPr>
          <w:t>http://kazalci.arso.gov.si/sl/content/lesna-zaloga-s-prirastkom-posekom-3</w:t>
        </w:r>
      </w:hyperlink>
    </w:p>
    <w:p w14:paraId="022EB02D" w14:textId="77777777" w:rsidR="00613283" w:rsidRPr="00BF7E57" w:rsidRDefault="00D93097" w:rsidP="00A05198">
      <w:pPr>
        <w:pStyle w:val="1"/>
        <w:numPr>
          <w:ilvl w:val="0"/>
          <w:numId w:val="43"/>
        </w:numPr>
        <w:spacing w:before="200" w:after="200" w:line="360" w:lineRule="auto"/>
        <w:jc w:val="left"/>
      </w:pPr>
      <w:r w:rsidRPr="00BF7E57">
        <w:t xml:space="preserve">Analytical factsheet EUROSTAT. (2020). Pridobljeno s </w:t>
      </w:r>
      <w:hyperlink r:id="rId69" w:history="1">
        <w:r w:rsidRPr="00BF7E57">
          <w:rPr>
            <w:rStyle w:val="Hiperpovezava"/>
          </w:rPr>
          <w:t>https://ec.europa.eu/info/sites/info/files/food-farming-fisheries/key_policies/documents/impact-indicator-fiches_en.pdf</w:t>
        </w:r>
      </w:hyperlink>
    </w:p>
    <w:p w14:paraId="7047BC17" w14:textId="181F41DE" w:rsidR="00D93097" w:rsidRPr="00BF7E57" w:rsidRDefault="00D93097" w:rsidP="00A05198">
      <w:pPr>
        <w:pStyle w:val="1"/>
        <w:numPr>
          <w:ilvl w:val="0"/>
          <w:numId w:val="43"/>
        </w:numPr>
        <w:spacing w:before="200" w:after="200" w:line="360" w:lineRule="auto"/>
        <w:jc w:val="left"/>
      </w:pPr>
      <w:r w:rsidRPr="00BF7E57">
        <w:t>Anketa o konceptu pametnih vasi. (2020). Pridobljeno s https://www.program-podezelja.si/sl/podezelje-prihodnosti-pametne-vasi/252-pametne-vasi-novice/1171-anketa-o-konceptu-pametnih-vasi</w:t>
      </w:r>
      <w:r w:rsidRPr="00BF7E57" w:rsidDel="004B0DB6">
        <w:t xml:space="preserve"> </w:t>
      </w:r>
    </w:p>
    <w:p w14:paraId="0B07BE69" w14:textId="77777777" w:rsidR="00A77E41" w:rsidRPr="00BF7E57" w:rsidRDefault="00A77E41"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BEF2, 2015: Bio Energy Farm 2, EU-Project: Market overview micro scale digesters, Plants in EU Countries Pridobljeno julij 2020 s http://www.bioenergyfarm.eu/wp-content/uploads/2015/05/D2.1_EN-Market-overview.pdf</w:t>
      </w:r>
    </w:p>
    <w:p w14:paraId="51BFCA3D" w14:textId="77777777" w:rsidR="00D93097" w:rsidRPr="00BF7E57" w:rsidRDefault="00D93097" w:rsidP="00A05198">
      <w:pPr>
        <w:pStyle w:val="1"/>
        <w:numPr>
          <w:ilvl w:val="0"/>
          <w:numId w:val="43"/>
        </w:numPr>
        <w:spacing w:before="200" w:after="200" w:line="360" w:lineRule="auto"/>
        <w:jc w:val="left"/>
      </w:pPr>
      <w:r w:rsidRPr="00BF7E57">
        <w:lastRenderedPageBreak/>
        <w:t xml:space="preserve">Blejska deklaracija. (2018). Pridobljeno s </w:t>
      </w:r>
      <w:hyperlink r:id="rId70" w:history="1">
        <w:r w:rsidRPr="00BF7E57">
          <w:rPr>
            <w:rStyle w:val="Hiperpovezava"/>
          </w:rPr>
          <w:t>http://pametne-vasi.info/wp-content/uploads/2018/04/Blejska-Deklaracije-Za-za-pametnej%C5%A1o-prihodnost-pode%C5%BEelskih-obmocij-v-EU.pdf</w:t>
        </w:r>
      </w:hyperlink>
    </w:p>
    <w:p w14:paraId="36BD0BE9" w14:textId="77777777" w:rsidR="00D93097" w:rsidRPr="00BF7E57" w:rsidRDefault="00D93097" w:rsidP="00A05198">
      <w:pPr>
        <w:pStyle w:val="1"/>
        <w:numPr>
          <w:ilvl w:val="0"/>
          <w:numId w:val="43"/>
        </w:numPr>
        <w:spacing w:before="200" w:after="200" w:line="360" w:lineRule="auto"/>
        <w:jc w:val="left"/>
      </w:pPr>
      <w:r w:rsidRPr="00BF7E57">
        <w:t>Črnčič L. (2016). Akcijski prostor mladih na podeželju (diplomsko delo). Filozofska fakulteta, Maribor.</w:t>
      </w:r>
    </w:p>
    <w:p w14:paraId="0D7EB4F3" w14:textId="77777777" w:rsidR="007F5AA9" w:rsidRPr="00BF7E57" w:rsidRDefault="007F5AA9"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EBA 2018: European Biogas Association,  Statistical Report2018Annual Statistical Report of the European Biogas Association Pridobljeno julija 2020 s </w:t>
      </w:r>
      <w:hyperlink r:id="rId71" w:history="1">
        <w:r w:rsidRPr="00BF7E57">
          <w:rPr>
            <w:rStyle w:val="Hiperpovezava"/>
            <w:rFonts w:ascii="Arial" w:hAnsi="Arial" w:cs="Arial"/>
            <w:sz w:val="20"/>
            <w:szCs w:val="20"/>
          </w:rPr>
          <w:t>https://www.europeanbiogas.eu/wp-content/uploads/2019/11/EBA_report2018_abriged_A4_vers12_220519_RZweb.pdf</w:t>
        </w:r>
      </w:hyperlink>
    </w:p>
    <w:p w14:paraId="50F096CF"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EK 2020: Evropska komisija, Podatki pridobljeni, 20. 8. 2020 s </w:t>
      </w:r>
      <w:hyperlink r:id="rId72" w:history="1">
        <w:r w:rsidRPr="00BF7E57">
          <w:rPr>
            <w:rStyle w:val="Hiperpovezava"/>
            <w:rFonts w:ascii="Arial" w:hAnsi="Arial" w:cs="Arial"/>
            <w:sz w:val="20"/>
            <w:szCs w:val="20"/>
          </w:rPr>
          <w:t>https://datam.jrc.ec.europa.eu/datam/mashup/BIOECONOMICS/index.html</w:t>
        </w:r>
      </w:hyperlink>
    </w:p>
    <w:p w14:paraId="38D65672"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EK 2018: Evropska komisija: Trajnostno biogospodarstvo za Evropo: krepitev povezave med gospodarstvom, družbo in okoljem. Pridobljeno avgusta 2020 s </w:t>
      </w:r>
      <w:hyperlink r:id="rId73" w:history="1">
        <w:r w:rsidRPr="00BF7E57">
          <w:rPr>
            <w:rStyle w:val="Hiperpovezava"/>
            <w:rFonts w:ascii="Arial" w:hAnsi="Arial" w:cs="Arial"/>
            <w:sz w:val="20"/>
            <w:szCs w:val="20"/>
          </w:rPr>
          <w:t>https://eur-lex.europa.eu/legal-content/SL/TXT/PDF/?uri=CELEX:52018DC0673&amp;from=EN</w:t>
        </w:r>
      </w:hyperlink>
    </w:p>
    <w:p w14:paraId="11BF25B0"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EK Data, 2020: Evropska komisija, Data Explorer, Pridobljeno avgusta 2020 s </w:t>
      </w:r>
      <w:hyperlink r:id="rId74" w:history="1">
        <w:r w:rsidRPr="00BF7E57">
          <w:rPr>
            <w:rStyle w:val="Hiperpovezava"/>
            <w:rFonts w:ascii="Arial" w:hAnsi="Arial" w:cs="Arial"/>
            <w:sz w:val="20"/>
            <w:szCs w:val="20"/>
          </w:rPr>
          <w:t>https://agridata.ec.europa.eu/extensions/DashboardIndicators/DataExplorer.html</w:t>
        </w:r>
      </w:hyperlink>
    </w:p>
    <w:p w14:paraId="6D159558"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EK CAP Indicators, 2020: Evropska komisija, CAP Indicators: Pridobljeno julija 2020 s </w:t>
      </w:r>
      <w:hyperlink r:id="rId75" w:history="1">
        <w:r w:rsidRPr="00BF7E57">
          <w:rPr>
            <w:rStyle w:val="Hiperpovezava"/>
            <w:rFonts w:ascii="Arial" w:hAnsi="Arial" w:cs="Arial"/>
            <w:sz w:val="20"/>
            <w:szCs w:val="20"/>
          </w:rPr>
          <w:t>https://ec.europa.eu/info/food-farming-fisheries/farming/facts-and-figures/performance-agricultural-policy/cap-indicators/context-indicators_en</w:t>
        </w:r>
      </w:hyperlink>
    </w:p>
    <w:p w14:paraId="700F4AF3" w14:textId="2222CA2F" w:rsidR="00140E7C" w:rsidRPr="00BF7E57" w:rsidRDefault="00C564B0"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eastAsia="Arial" w:hAnsi="Arial" w:cs="Arial"/>
          <w:sz w:val="20"/>
          <w:szCs w:val="20"/>
        </w:rPr>
        <w:t>EK Factsheet, 2021</w:t>
      </w:r>
      <w:r w:rsidR="00140E7C" w:rsidRPr="00BF7E57">
        <w:rPr>
          <w:rFonts w:ascii="Arial" w:eastAsia="Arial" w:hAnsi="Arial" w:cs="Arial"/>
          <w:sz w:val="20"/>
          <w:szCs w:val="20"/>
        </w:rPr>
        <w:t xml:space="preserve">: </w:t>
      </w:r>
      <w:r w:rsidR="00140E7C" w:rsidRPr="00BF7E57">
        <w:rPr>
          <w:rFonts w:ascii="Arial" w:eastAsia="Arial" w:hAnsi="Arial" w:cs="Arial"/>
          <w:caps/>
          <w:sz w:val="20"/>
          <w:szCs w:val="20"/>
        </w:rPr>
        <w:t>EU C</w:t>
      </w:r>
      <w:r w:rsidR="00140E7C" w:rsidRPr="00BF7E57">
        <w:rPr>
          <w:rFonts w:ascii="Arial" w:eastAsia="Arial" w:hAnsi="Arial" w:cs="Arial"/>
          <w:sz w:val="20"/>
          <w:szCs w:val="20"/>
        </w:rPr>
        <w:t>ommission, Analytical factsheet for Slovenia, Sept</w:t>
      </w:r>
      <w:r w:rsidRPr="00BF7E57">
        <w:rPr>
          <w:rFonts w:ascii="Arial" w:eastAsia="Arial" w:hAnsi="Arial" w:cs="Arial"/>
          <w:caps/>
          <w:sz w:val="20"/>
          <w:szCs w:val="20"/>
        </w:rPr>
        <w:t>. 2021</w:t>
      </w:r>
      <w:r w:rsidR="00140E7C" w:rsidRPr="00BF7E57">
        <w:rPr>
          <w:rFonts w:ascii="Arial" w:eastAsia="Arial" w:hAnsi="Arial" w:cs="Arial"/>
          <w:sz w:val="20"/>
          <w:szCs w:val="20"/>
        </w:rPr>
        <w:t xml:space="preserve">. Dostopno: </w:t>
      </w:r>
      <w:hyperlink r:id="rId76" w:history="1">
        <w:r w:rsidR="00140E7C" w:rsidRPr="00BF7E57">
          <w:rPr>
            <w:rStyle w:val="Hiperpovezava"/>
            <w:rFonts w:ascii="Arial" w:hAnsi="Arial" w:cs="Arial"/>
            <w:sz w:val="20"/>
            <w:szCs w:val="20"/>
          </w:rPr>
          <w:t>https://ec.europa.eu/info/sites/info/files/food-farming-fisheries/by_country/documents/analytical_factsheet_sl.pdf</w:t>
        </w:r>
      </w:hyperlink>
    </w:p>
    <w:p w14:paraId="4BC86F92"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Eurostat. (2020). Pridobljeno s </w:t>
      </w:r>
      <w:hyperlink r:id="rId77" w:history="1">
        <w:r w:rsidRPr="00BF7E57">
          <w:rPr>
            <w:rStyle w:val="Hiperpovezava"/>
            <w:rFonts w:ascii="Arial" w:hAnsi="Arial" w:cs="Arial"/>
            <w:sz w:val="20"/>
            <w:szCs w:val="20"/>
          </w:rPr>
          <w:t>https://ec.europa.eu/eurostat/home</w:t>
        </w:r>
      </w:hyperlink>
      <w:r w:rsidRPr="00BF7E57">
        <w:rPr>
          <w:rFonts w:ascii="Arial" w:hAnsi="Arial" w:cs="Arial"/>
          <w:sz w:val="20"/>
          <w:szCs w:val="20"/>
        </w:rPr>
        <w:t>?</w:t>
      </w:r>
    </w:p>
    <w:p w14:paraId="636D1080" w14:textId="77777777" w:rsidR="00A77E41" w:rsidRPr="00BF7E57" w:rsidRDefault="00A77E41" w:rsidP="00A05198">
      <w:pPr>
        <w:pStyle w:val="Sprotnaopomba-besedilo"/>
        <w:numPr>
          <w:ilvl w:val="0"/>
          <w:numId w:val="43"/>
        </w:numPr>
        <w:spacing w:before="200" w:after="200" w:line="360" w:lineRule="auto"/>
        <w:jc w:val="left"/>
        <w:rPr>
          <w:rFonts w:ascii="Arial" w:hAnsi="Arial" w:cs="Arial"/>
        </w:rPr>
      </w:pPr>
      <w:r w:rsidRPr="00BF7E57">
        <w:rPr>
          <w:rFonts w:ascii="Arial" w:hAnsi="Arial" w:cs="Arial"/>
        </w:rPr>
        <w:t xml:space="preserve">Eurostat, 2020: Employment rates by sex, age and citizenship (%),  [lfsa_ergan]. Pridobljeno s </w:t>
      </w:r>
      <w:hyperlink r:id="rId78" w:history="1">
        <w:r w:rsidRPr="00BF7E57">
          <w:rPr>
            <w:rStyle w:val="Hiperpovezava"/>
            <w:rFonts w:ascii="Arial" w:hAnsi="Arial" w:cs="Arial"/>
          </w:rPr>
          <w:t>https://ec.europa.eu/eurostat/data/database</w:t>
        </w:r>
      </w:hyperlink>
    </w:p>
    <w:p w14:paraId="6A1EDDE2" w14:textId="1E7FD8BA" w:rsidR="00A77E41" w:rsidRPr="00BF7E57" w:rsidRDefault="00C564B0" w:rsidP="00A05198">
      <w:pPr>
        <w:pStyle w:val="Odstavekseznama"/>
        <w:numPr>
          <w:ilvl w:val="0"/>
          <w:numId w:val="43"/>
        </w:numPr>
        <w:spacing w:before="200" w:line="360" w:lineRule="auto"/>
        <w:contextualSpacing w:val="0"/>
        <w:rPr>
          <w:rStyle w:val="Hiperpovezava"/>
          <w:rFonts w:ascii="Arial" w:hAnsi="Arial" w:cs="Arial"/>
          <w:color w:val="auto"/>
          <w:sz w:val="20"/>
          <w:szCs w:val="20"/>
          <w:u w:val="none"/>
        </w:rPr>
      </w:pPr>
      <w:r w:rsidRPr="00BF7E57">
        <w:rPr>
          <w:rFonts w:ascii="Arial" w:hAnsi="Arial" w:cs="Arial"/>
          <w:sz w:val="20"/>
          <w:szCs w:val="20"/>
        </w:rPr>
        <w:t>Eurostat, 2021</w:t>
      </w:r>
      <w:r w:rsidR="00A77E41" w:rsidRPr="00BF7E57">
        <w:rPr>
          <w:rFonts w:ascii="Arial" w:hAnsi="Arial" w:cs="Arial"/>
          <w:sz w:val="20"/>
          <w:szCs w:val="20"/>
        </w:rPr>
        <w:t xml:space="preserve">: [tour_occ_ninat] Pridobljeno s </w:t>
      </w:r>
      <w:hyperlink r:id="rId79" w:history="1">
        <w:r w:rsidR="00A77E41" w:rsidRPr="00BF7E57">
          <w:rPr>
            <w:rStyle w:val="Hiperpovezava"/>
            <w:rFonts w:ascii="Arial" w:hAnsi="Arial" w:cs="Arial"/>
            <w:sz w:val="20"/>
            <w:szCs w:val="20"/>
          </w:rPr>
          <w:t>https://ec.europa.eu/eurostat/data/database</w:t>
        </w:r>
      </w:hyperlink>
    </w:p>
    <w:p w14:paraId="52E2BEDD" w14:textId="479B91D2" w:rsidR="00276257" w:rsidRPr="00BF7E57" w:rsidRDefault="00276257" w:rsidP="00276257">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Globalni podjetniški monitor, 201</w:t>
      </w:r>
      <w:r w:rsidR="004542C8" w:rsidRPr="00BF7E57">
        <w:rPr>
          <w:rFonts w:ascii="Arial" w:hAnsi="Arial" w:cs="Arial"/>
          <w:sz w:val="20"/>
          <w:szCs w:val="20"/>
        </w:rPr>
        <w:t>9</w:t>
      </w:r>
      <w:r w:rsidRPr="00BF7E57">
        <w:rPr>
          <w:rFonts w:ascii="Arial" w:hAnsi="Arial" w:cs="Arial"/>
          <w:sz w:val="20"/>
          <w:szCs w:val="20"/>
        </w:rPr>
        <w:t xml:space="preserve"> (</w:t>
      </w:r>
      <w:r w:rsidR="004542C8" w:rsidRPr="00BF7E57">
        <w:rPr>
          <w:rFonts w:ascii="Arial" w:hAnsi="Arial" w:cs="Arial"/>
          <w:sz w:val="20"/>
          <w:szCs w:val="20"/>
        </w:rPr>
        <w:t>GPM Slovenija</w:t>
      </w:r>
      <w:r w:rsidRPr="00BF7E57">
        <w:rPr>
          <w:rFonts w:ascii="Arial" w:hAnsi="Arial" w:cs="Arial"/>
          <w:sz w:val="20"/>
          <w:szCs w:val="20"/>
        </w:rPr>
        <w:t xml:space="preserve">). Pridobljeno s: </w:t>
      </w:r>
      <w:r w:rsidR="004542C8" w:rsidRPr="00BF7E57">
        <w:t>http</w:t>
      </w:r>
      <w:r w:rsidRPr="00BF7E57">
        <w:t>://ipmmp.um.si/wp-content/uploads/</w:t>
      </w:r>
      <w:r w:rsidR="004542C8" w:rsidRPr="00BF7E57">
        <w:t>2020</w:t>
      </w:r>
      <w:r w:rsidRPr="00BF7E57">
        <w:t>/06/GEM_2019_</w:t>
      </w:r>
      <w:r w:rsidR="004542C8" w:rsidRPr="00BF7E57">
        <w:t>monografija</w:t>
      </w:r>
      <w:r w:rsidRPr="00BF7E57">
        <w:t>.pdf</w:t>
      </w:r>
    </w:p>
    <w:p w14:paraId="3D3309B5" w14:textId="77777777" w:rsidR="00A77E41" w:rsidRPr="00BF7E57" w:rsidRDefault="00A77E41"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GV, 2019: Arnič, D., Prislan, P., Juvančič, L.,: Raba lesa v slovenskem biogospodarstvu; Gozdarski vestnik, 77/2019, št. 10. Pridobljeno s </w:t>
      </w:r>
      <w:hyperlink r:id="rId80" w:history="1">
        <w:r w:rsidRPr="00BF7E57">
          <w:rPr>
            <w:rFonts w:ascii="Arial" w:hAnsi="Arial" w:cs="Arial"/>
            <w:sz w:val="20"/>
            <w:szCs w:val="20"/>
          </w:rPr>
          <w:t>https://dirros.openscience.si/IzpisGradiva.php?id=10463</w:t>
        </w:r>
      </w:hyperlink>
    </w:p>
    <w:p w14:paraId="598F9C4E"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Hostnik B. (ur.). (2015). Obnova objektov kulturne dediščine v okviru Programa razvoja podeželja Republike Slovenije 2007-2013. Ljubljana : Ministrstvo za kmetijstvo, gozdarstvo in prehrano.</w:t>
      </w:r>
    </w:p>
    <w:p w14:paraId="756C3007"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lastRenderedPageBreak/>
        <w:t>Informacija o poslovanju društev v Republiki Sloveniji v letu 2008. (2009). Pridobljeno s https://www.ajpes.si/doc/LP/Informacije/Informacija_LP_drustva_2008.pdf</w:t>
      </w:r>
    </w:p>
    <w:p w14:paraId="527B78A0"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Informacija o poslovanju društev v Republiki Sloveniji v letu 2013. (2014). Pridobljeno s https://www.ajpes.si/doc/LP/Informacije/Informacija_LP_drustva_2013.pdf</w:t>
      </w:r>
    </w:p>
    <w:p w14:paraId="65CF642B"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Informacija o poslovanju društev v Republiki Sloveniji v letu 2018. (2019). Pridobljeno s </w:t>
      </w:r>
      <w:hyperlink r:id="rId81" w:history="1">
        <w:r w:rsidRPr="00BF7E57">
          <w:rPr>
            <w:rStyle w:val="Hiperpovezava"/>
            <w:rFonts w:ascii="Arial" w:hAnsi="Arial" w:cs="Arial"/>
            <w:sz w:val="20"/>
            <w:szCs w:val="20"/>
          </w:rPr>
          <w:t>https://www.ajpes.si/Doc/LP/Informacije/Informacija_LP_drustva_2018.pdf</w:t>
        </w:r>
      </w:hyperlink>
    </w:p>
    <w:p w14:paraId="6042C1DA" w14:textId="77777777" w:rsidR="00D93097" w:rsidRPr="00BF7E57" w:rsidRDefault="00D93097" w:rsidP="00A05198">
      <w:pPr>
        <w:pStyle w:val="1"/>
        <w:numPr>
          <w:ilvl w:val="0"/>
          <w:numId w:val="43"/>
        </w:numPr>
        <w:spacing w:before="200" w:after="200" w:line="360" w:lineRule="auto"/>
        <w:jc w:val="left"/>
      </w:pPr>
      <w:r w:rsidRPr="00BF7E57">
        <w:t xml:space="preserve">Informacija o poslovanju nepridobitnih organizacij – pravnih oseb zasebnega prava v Republiki Sloveniji v letu 2008. (2009). Pridobljeno s https://www.ajpes.si/doc/LP/Informacije/Informacija_LP_nepridobitne_organizacije_2008.pdf </w:t>
      </w:r>
    </w:p>
    <w:p w14:paraId="1927BA57" w14:textId="77777777" w:rsidR="00D93097" w:rsidRPr="00BF7E57" w:rsidRDefault="00D93097" w:rsidP="00A05198">
      <w:pPr>
        <w:pStyle w:val="1"/>
        <w:numPr>
          <w:ilvl w:val="0"/>
          <w:numId w:val="43"/>
        </w:numPr>
        <w:spacing w:before="200" w:after="200" w:line="360" w:lineRule="auto"/>
        <w:jc w:val="left"/>
      </w:pPr>
      <w:r w:rsidRPr="00BF7E57">
        <w:t xml:space="preserve">Informacija o poslovanju nepridobitnih organizacij – pravnih oseb zasebnega prava v Republiki Sloveniji v letu 2013. (2014). Pridobljeno s </w:t>
      </w:r>
      <w:hyperlink r:id="rId82" w:history="1">
        <w:r w:rsidRPr="00BF7E57">
          <w:rPr>
            <w:rStyle w:val="Hiperpovezava"/>
          </w:rPr>
          <w:t>https://www.ajpes.si/doc/LP/Informacije/Informacija_LP_nepridobitne_organizacije_2013.pdf</w:t>
        </w:r>
      </w:hyperlink>
    </w:p>
    <w:p w14:paraId="21031E68" w14:textId="77777777" w:rsidR="00D93097" w:rsidRPr="00BF7E57" w:rsidRDefault="00D93097" w:rsidP="00A05198">
      <w:pPr>
        <w:pStyle w:val="1"/>
        <w:numPr>
          <w:ilvl w:val="0"/>
          <w:numId w:val="43"/>
        </w:numPr>
        <w:spacing w:before="200" w:after="200" w:line="360" w:lineRule="auto"/>
        <w:jc w:val="left"/>
      </w:pPr>
      <w:r w:rsidRPr="00BF7E57">
        <w:t xml:space="preserve">Informacija o poslovanju nepridobitnih organizacij – pravnih oseb zasebnega prava v Republiki Sloveniji v letu 2018. (2019). Pridobljeno s </w:t>
      </w:r>
      <w:hyperlink r:id="rId83" w:history="1">
        <w:r w:rsidRPr="00BF7E57">
          <w:rPr>
            <w:rStyle w:val="Hiperpovezava"/>
          </w:rPr>
          <w:t>https://www.ajpes.si/Doc/LP/Informacije/Informacija_LP_nepridobitne_organizacije_2018.pdf</w:t>
        </w:r>
      </w:hyperlink>
    </w:p>
    <w:p w14:paraId="426701AA" w14:textId="77777777" w:rsidR="00D93097" w:rsidRPr="00BF7E57" w:rsidRDefault="00D93097" w:rsidP="00A05198">
      <w:pPr>
        <w:pStyle w:val="1"/>
        <w:numPr>
          <w:ilvl w:val="0"/>
          <w:numId w:val="43"/>
        </w:numPr>
        <w:spacing w:before="200" w:after="200" w:line="360" w:lineRule="auto"/>
        <w:jc w:val="left"/>
        <w:rPr>
          <w:rStyle w:val="Hiperpovezava"/>
        </w:rPr>
      </w:pPr>
      <w:r w:rsidRPr="00BF7E57">
        <w:t xml:space="preserve">Izvajanje pomoči na domu, Analiza stanja v letu 2017 (končno poročilo). (2018). Pridobljeno s </w:t>
      </w:r>
      <w:hyperlink r:id="rId84" w:history="1">
        <w:r w:rsidRPr="00BF7E57">
          <w:rPr>
            <w:rStyle w:val="Hiperpovezava"/>
          </w:rPr>
          <w:t>https://www.irssv.si/upload2/Analiza%20izvajanja%20PND%20za%20leto%202017.pdf</w:t>
        </w:r>
      </w:hyperlink>
    </w:p>
    <w:p w14:paraId="1712A2D7"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lang w:eastAsia="sl-SI"/>
        </w:rPr>
        <w:t xml:space="preserve">Klemenčič M., Lampič B. in Potočnik Slavič I. (2008). Življenjska (ne)moč obrobnih podeželskih območij v Sloveniji. </w:t>
      </w:r>
      <w:r w:rsidRPr="00BF7E57">
        <w:rPr>
          <w:rFonts w:ascii="Arial" w:hAnsi="Arial" w:cs="Arial"/>
          <w:sz w:val="20"/>
          <w:szCs w:val="20"/>
        </w:rPr>
        <w:t>Ljubljana : Znanstvena založba Filozofske fakultete, Oddelek za geografijo.</w:t>
      </w:r>
    </w:p>
    <w:p w14:paraId="40FDDF82" w14:textId="77777777" w:rsidR="00D93097" w:rsidRPr="00BF7E57" w:rsidRDefault="00D93097" w:rsidP="00A05198">
      <w:pPr>
        <w:pStyle w:val="1"/>
        <w:numPr>
          <w:ilvl w:val="0"/>
          <w:numId w:val="43"/>
        </w:numPr>
        <w:spacing w:before="200" w:after="200" w:line="360" w:lineRule="auto"/>
        <w:jc w:val="left"/>
      </w:pPr>
      <w:r w:rsidRPr="00BF7E57">
        <w:t>Kulturna dediščina, krajina in razvoj podeželja. Rezultati projekta, pridobljena spoznanja in splošna priporočila. (2014). Ljubljana: Univerza v Ljubljani.</w:t>
      </w:r>
    </w:p>
    <w:p w14:paraId="1649CE09" w14:textId="77777777" w:rsidR="00D93097" w:rsidRPr="00BF7E57" w:rsidRDefault="00D93097" w:rsidP="00A05198">
      <w:pPr>
        <w:pStyle w:val="1"/>
        <w:numPr>
          <w:ilvl w:val="0"/>
          <w:numId w:val="43"/>
        </w:numPr>
        <w:spacing w:before="200" w:after="200" w:line="360" w:lineRule="auto"/>
        <w:jc w:val="left"/>
      </w:pPr>
      <w:r w:rsidRPr="00BF7E57">
        <w:t xml:space="preserve">Kump N. (2017). Socialno-ekonomski položaj upokojencev in starejšega prebivalstva v Sloveniji: končno poročilo. Pridobljeno s </w:t>
      </w:r>
      <w:hyperlink r:id="rId85" w:history="1">
        <w:r w:rsidRPr="00BF7E57">
          <w:rPr>
            <w:rStyle w:val="Hiperpovezava"/>
          </w:rPr>
          <w:t>https://www.zpiz.si/cms/engine/download.php?actionID=inf&amp;id=75&amp;name=Raziskava%20Socialno-ekonomski%20polo%C5%BEaj%20upokojencev%20v%20RS_2017.pdf</w:t>
        </w:r>
      </w:hyperlink>
    </w:p>
    <w:p w14:paraId="3484A604" w14:textId="65A747DE" w:rsidR="00D93097" w:rsidRPr="00BF7E57" w:rsidRDefault="00D93097" w:rsidP="00A05198">
      <w:pPr>
        <w:pStyle w:val="1"/>
        <w:numPr>
          <w:ilvl w:val="0"/>
          <w:numId w:val="43"/>
        </w:numPr>
        <w:spacing w:before="200" w:after="200" w:line="360" w:lineRule="auto"/>
        <w:jc w:val="left"/>
      </w:pPr>
      <w:r w:rsidRPr="00BF7E57">
        <w:t>Kušar S. in Bobovnik N. (2019). Razvojna problematika obmejnih problemskih območij. V Nared J., Polajnar Horvat K. in Razpotnik Visković N. (ur.). Demografske spremembe in regionalni razvoj. Ljubljana: ZRC SAZU, Geografski inštitut Antona Melika.</w:t>
      </w:r>
    </w:p>
    <w:p w14:paraId="5D7D0EE0" w14:textId="63A59B9C" w:rsidR="00C564B0" w:rsidRPr="00BF7E57" w:rsidRDefault="00C564B0" w:rsidP="00A05198">
      <w:pPr>
        <w:pStyle w:val="1"/>
        <w:numPr>
          <w:ilvl w:val="0"/>
          <w:numId w:val="43"/>
        </w:numPr>
        <w:spacing w:before="200" w:after="200" w:line="360" w:lineRule="auto"/>
        <w:jc w:val="left"/>
      </w:pPr>
      <w:r w:rsidRPr="00BF7E57">
        <w:t>Lavrič M. (2020) MLADINA 2020: Položaj mladih v Sloveniji. Univerza v Mariboru, Univerza v Ljubljani, 2021</w:t>
      </w:r>
    </w:p>
    <w:p w14:paraId="196A1506" w14:textId="77777777" w:rsidR="00D93097" w:rsidRPr="00BF7E57" w:rsidRDefault="00D93097" w:rsidP="00A05198">
      <w:pPr>
        <w:pStyle w:val="1"/>
        <w:numPr>
          <w:ilvl w:val="0"/>
          <w:numId w:val="43"/>
        </w:numPr>
        <w:spacing w:before="200" w:after="200" w:line="360" w:lineRule="auto"/>
        <w:jc w:val="left"/>
      </w:pPr>
      <w:r w:rsidRPr="00BF7E57">
        <w:t xml:space="preserve">Letno poročilo AJPES za leto 2016. (2017). Pridobljeno s </w:t>
      </w:r>
      <w:hyperlink r:id="rId86" w:history="1">
        <w:r w:rsidRPr="00BF7E57">
          <w:rPr>
            <w:rStyle w:val="Hiperpovezava"/>
          </w:rPr>
          <w:t>https://www.ajpes.si/Doc/AJPES/KIJZ/Letno_porocilo_AJPES_za_leto_2016.pdf</w:t>
        </w:r>
      </w:hyperlink>
    </w:p>
    <w:p w14:paraId="689762A9" w14:textId="77777777" w:rsidR="00D93097" w:rsidRPr="00BF7E57" w:rsidRDefault="00D93097" w:rsidP="00A05198">
      <w:pPr>
        <w:pStyle w:val="1"/>
        <w:numPr>
          <w:ilvl w:val="0"/>
          <w:numId w:val="43"/>
        </w:numPr>
        <w:spacing w:before="200" w:after="200" w:line="360" w:lineRule="auto"/>
        <w:jc w:val="left"/>
      </w:pPr>
      <w:r w:rsidRPr="00BF7E57">
        <w:lastRenderedPageBreak/>
        <w:t>Letno poročilo AJPES za leto 2019. (2020). Pridobljeno s https://www.ajpes.si/Doc/AJPES/KIJZ/Letno_porocilo_AJPES_za_leto_2019.pdf</w:t>
      </w:r>
    </w:p>
    <w:p w14:paraId="27222911"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bCs/>
          <w:sz w:val="20"/>
          <w:szCs w:val="20"/>
        </w:rPr>
        <w:t>Letno poročilo o izvajanju za ESPR 2019. (2019). Pridobljeno s http://www.ribiski-sklad.si/f/docs/Dokumenti/Implementation_report_2014SI14MFOP001_2018_0_.pdf</w:t>
      </w:r>
    </w:p>
    <w:p w14:paraId="648E4937" w14:textId="77777777" w:rsidR="00D93097" w:rsidRPr="00BF7E57" w:rsidRDefault="00D93097" w:rsidP="00A05198">
      <w:pPr>
        <w:pStyle w:val="1"/>
        <w:numPr>
          <w:ilvl w:val="0"/>
          <w:numId w:val="43"/>
        </w:numPr>
        <w:spacing w:before="200" w:after="200" w:line="360" w:lineRule="auto"/>
        <w:jc w:val="left"/>
      </w:pPr>
      <w:r w:rsidRPr="00BF7E57">
        <w:t>Ministrstvo za kulturo. (2020). Kulturna dediščina podeželja, Kratka analiza stanja (interno gradivo). Ministrstvo za kulturo, Ljubljana.</w:t>
      </w:r>
    </w:p>
    <w:p w14:paraId="0C5179A4" w14:textId="77777777" w:rsidR="00D93097" w:rsidRPr="00BF7E57" w:rsidRDefault="00D93097" w:rsidP="00A05198">
      <w:pPr>
        <w:pStyle w:val="1"/>
        <w:numPr>
          <w:ilvl w:val="0"/>
          <w:numId w:val="43"/>
        </w:numPr>
        <w:spacing w:before="200" w:after="200" w:line="360" w:lineRule="auto"/>
        <w:jc w:val="left"/>
      </w:pPr>
      <w:r w:rsidRPr="00BF7E57">
        <w:t xml:space="preserve">MKGP. (2020). Analiza letnih poročil LAS za leto 2019, obdelava MKGP (interno gradivo). Ministrstvo za kmetijstvo, gozdarstvo in prehrano, Ljubljana. </w:t>
      </w:r>
    </w:p>
    <w:p w14:paraId="1C19F81C" w14:textId="77777777" w:rsidR="00D93097" w:rsidRPr="00BF7E57" w:rsidRDefault="00D93097" w:rsidP="00A05198">
      <w:pPr>
        <w:pStyle w:val="Odstavekseznama"/>
        <w:widowControl w:val="0"/>
        <w:numPr>
          <w:ilvl w:val="0"/>
          <w:numId w:val="43"/>
        </w:numPr>
        <w:autoSpaceDE w:val="0"/>
        <w:autoSpaceDN w:val="0"/>
        <w:adjustRightInd w:val="0"/>
        <w:spacing w:before="200" w:line="360" w:lineRule="auto"/>
        <w:contextualSpacing w:val="0"/>
        <w:rPr>
          <w:rFonts w:ascii="Arial" w:hAnsi="Arial" w:cs="Arial"/>
          <w:sz w:val="20"/>
          <w:szCs w:val="20"/>
        </w:rPr>
      </w:pPr>
      <w:r w:rsidRPr="00BF7E57">
        <w:rPr>
          <w:rFonts w:ascii="Arial" w:hAnsi="Arial" w:cs="Arial"/>
          <w:sz w:val="20"/>
          <w:szCs w:val="20"/>
        </w:rPr>
        <w:t>MKGP. (2020). Analiza ankete za pridobitev stališč o konceptu Pametnih vasi v Sloveniji (interno gradivo). Ministrstvo za kmetijstvo, gozdarstvo in prehrano, Ljubljana.</w:t>
      </w:r>
    </w:p>
    <w:p w14:paraId="2B5011F4"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MKGP, 2020: Register kmetijskih gospodarstev – avgust 2020</w:t>
      </w:r>
    </w:p>
    <w:p w14:paraId="39CD97EE"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MKGP 2020: Podatki naložb v okviru Programa razvoja podeželja 2014-2020 in Programa razvoja podeželja 2007-2013</w:t>
      </w:r>
    </w:p>
    <w:p w14:paraId="1F4A5A95"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MGRT, 2017: Strategija trajnostne rasti slovenskega turizma 2017–2021, Pridobljeno s </w:t>
      </w:r>
      <w:hyperlink r:id="rId87" w:history="1">
        <w:r w:rsidRPr="00BF7E57">
          <w:rPr>
            <w:rStyle w:val="Hiperpovezava"/>
            <w:rFonts w:ascii="Arial" w:hAnsi="Arial" w:cs="Arial"/>
            <w:sz w:val="20"/>
            <w:szCs w:val="20"/>
          </w:rPr>
          <w:t>https://www.slovenia.info/uploads/dokumenti/kljuni_dokumenti/strategija_turizem_koncno_9.10.2017.pdf</w:t>
        </w:r>
      </w:hyperlink>
    </w:p>
    <w:p w14:paraId="0281C6CC" w14:textId="77777777" w:rsidR="00D93097" w:rsidRPr="00BF7E57" w:rsidRDefault="00D93097" w:rsidP="00A05198">
      <w:pPr>
        <w:pStyle w:val="1"/>
        <w:keepLines/>
        <w:numPr>
          <w:ilvl w:val="0"/>
          <w:numId w:val="43"/>
        </w:numPr>
        <w:spacing w:before="200" w:after="200" w:line="360" w:lineRule="auto"/>
        <w:ind w:left="714" w:hanging="357"/>
        <w:jc w:val="left"/>
      </w:pPr>
      <w:r w:rsidRPr="00BF7E57">
        <w:t xml:space="preserve">Nagode M. (2011). Razširjenost in dostopnost socialnovarstvene storitve pomoči družini na domu v Sloveniji. Pridobljeno s </w:t>
      </w:r>
      <w:hyperlink r:id="rId88" w:history="1">
        <w:r w:rsidRPr="00BF7E57">
          <w:t>https://www.irssv.si/upload2/Razsirjenost%20in%20dostopnost%20pomoci%20na%20domu.pdf</w:t>
        </w:r>
      </w:hyperlink>
    </w:p>
    <w:p w14:paraId="65C48355" w14:textId="77777777" w:rsidR="00D93097" w:rsidRPr="00BF7E57" w:rsidRDefault="00D93097" w:rsidP="00A05198">
      <w:pPr>
        <w:pStyle w:val="1"/>
        <w:numPr>
          <w:ilvl w:val="0"/>
          <w:numId w:val="43"/>
        </w:numPr>
        <w:spacing w:before="200" w:after="200" w:line="360" w:lineRule="auto"/>
        <w:jc w:val="left"/>
      </w:pPr>
      <w:r w:rsidRPr="00BF7E57">
        <w:t>Nared J., Bole D., Breg Valjavec M., Ciglič R., Goluža M., Kozina J., Razpotnik Visković N., Repolusk P., Rus P., Tiran J. in Černič Istenič M. (2017). Central settlements in Slovenia in 2016. Acta geographica Slovenica 57-2. Pridobljeno s https://ojs.zrc-sazu.si/ags/article/view/4606/4720</w:t>
      </w:r>
    </w:p>
    <w:p w14:paraId="78D0BC7A" w14:textId="77777777" w:rsidR="00D93097" w:rsidRPr="00BF7E57" w:rsidRDefault="00D93097" w:rsidP="00A05198">
      <w:pPr>
        <w:pStyle w:val="1"/>
        <w:numPr>
          <w:ilvl w:val="0"/>
          <w:numId w:val="43"/>
        </w:numPr>
        <w:spacing w:before="200" w:after="200" w:line="360" w:lineRule="auto"/>
        <w:jc w:val="left"/>
      </w:pPr>
      <w:r w:rsidRPr="00BF7E57">
        <w:t>Nared J., Polajnar Horvat K. in Razpotnik Visković N. (ur.). (2017).Prostor, regija, razvoj. Ljubljana: ZRC SAZU, Geografski inštitut Antona Melika.</w:t>
      </w:r>
    </w:p>
    <w:p w14:paraId="559B61E4" w14:textId="77777777" w:rsidR="00D93097" w:rsidRPr="00BF7E57" w:rsidRDefault="00D93097" w:rsidP="00A05198">
      <w:pPr>
        <w:pStyle w:val="1"/>
        <w:numPr>
          <w:ilvl w:val="0"/>
          <w:numId w:val="43"/>
        </w:numPr>
        <w:spacing w:before="200" w:after="200" w:line="360" w:lineRule="auto"/>
        <w:jc w:val="left"/>
      </w:pPr>
      <w:r w:rsidRPr="00BF7E57">
        <w:t xml:space="preserve">Nared J. (2019). Celovita demografska analiza s projekcijami za podeželska in urbana območja (končno poročilo). Pridobljeno s https://www.gov.si/assets/ministrstva/MOP/Dokumenti/Prostorski-razvoj/SPRS/Celovita_demografska_analiza_podezelska_urbana_obmocja.pdf </w:t>
      </w:r>
    </w:p>
    <w:p w14:paraId="42E7C95D" w14:textId="77777777" w:rsidR="00D93097" w:rsidRPr="00BF7E57" w:rsidRDefault="00D93097" w:rsidP="00A05198">
      <w:pPr>
        <w:pStyle w:val="1"/>
        <w:numPr>
          <w:ilvl w:val="0"/>
          <w:numId w:val="43"/>
        </w:numPr>
        <w:spacing w:before="200" w:after="200" w:line="360" w:lineRule="auto"/>
        <w:jc w:val="left"/>
      </w:pPr>
      <w:r w:rsidRPr="00BF7E57">
        <w:t>Nared J., Polajnar Horvat K. in Razpotnik Visković N. (ur.). (2019). Demografske spremembe in regionalni razvoj. Ljubljana: ZRC SAZU, Geografski inštitut Antona Melika.</w:t>
      </w:r>
    </w:p>
    <w:p w14:paraId="09154476"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lastRenderedPageBreak/>
        <w:t xml:space="preserve">Operativni program ESPR. (2015). Pridobljeno s </w:t>
      </w:r>
      <w:hyperlink r:id="rId89" w:history="1">
        <w:r w:rsidRPr="00BF7E57">
          <w:rPr>
            <w:rStyle w:val="Hiperpovezava"/>
            <w:rFonts w:ascii="Arial" w:hAnsi="Arial" w:cs="Arial"/>
            <w:sz w:val="20"/>
            <w:szCs w:val="20"/>
          </w:rPr>
          <w:t>http://ribiski-sklad.si/f/docs/Dokumenti/OP_ESPR_2014-2020_latest_version_SI.pdf</w:t>
        </w:r>
      </w:hyperlink>
    </w:p>
    <w:p w14:paraId="0FF00DCE"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Operativni program za izvajanje Evropske kohezijske politike v obdobju 2014–2020. (2015) Pridobljeno s </w:t>
      </w:r>
      <w:hyperlink r:id="rId90" w:history="1">
        <w:r w:rsidRPr="00BF7E57">
          <w:rPr>
            <w:rStyle w:val="Hiperpovezava"/>
            <w:rFonts w:ascii="Arial" w:hAnsi="Arial" w:cs="Arial"/>
            <w:sz w:val="20"/>
            <w:szCs w:val="20"/>
          </w:rPr>
          <w:t>https://www.eu-skladi.si/sl/dokumenti/kljucni-dokumenti/op_slo_web.pdf</w:t>
        </w:r>
      </w:hyperlink>
    </w:p>
    <w:p w14:paraId="074E4E63" w14:textId="77777777" w:rsidR="00D93097" w:rsidRPr="00BF7E57" w:rsidRDefault="00D93097" w:rsidP="00A05198">
      <w:pPr>
        <w:pStyle w:val="1"/>
        <w:numPr>
          <w:ilvl w:val="0"/>
          <w:numId w:val="43"/>
        </w:numPr>
        <w:spacing w:before="200" w:after="200" w:line="360" w:lineRule="auto"/>
        <w:jc w:val="left"/>
      </w:pPr>
      <w:r w:rsidRPr="00BF7E57">
        <w:t>Pečar J. (2018). Indeks razvojne ogroženosti regij 2014–2020, metodologija izračuna. Pridobljeno s https://www.umar.gov.si/fileadmin/user_upload/publikacije/dz/2018/Indeks_razvojne_ogrozenosti_regij_2014_2020_metodologija_izracuna.pdf</w:t>
      </w:r>
    </w:p>
    <w:p w14:paraId="6221E86E"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PMS, 2018: Projektna mrežaSlovenije, Hudernik, J., Vrečko, I.: S projekti izgradnje mikro bioplinskih naprav do večje samooskrbe. Pridobljeno avgusta 2020 s </w:t>
      </w:r>
      <w:hyperlink r:id="rId91" w:history="1">
        <w:r w:rsidRPr="00BF7E57">
          <w:rPr>
            <w:rStyle w:val="Hiperpovezava"/>
            <w:rFonts w:ascii="Arial" w:hAnsi="Arial" w:cs="Arial"/>
            <w:sz w:val="20"/>
            <w:szCs w:val="20"/>
          </w:rPr>
          <w:t>http://zpm.si/projektna-mreza-slovenije/wp-content/uploads/2018/02/Hudernik-Vrecko-II-2-2016-paper.pdf</w:t>
        </w:r>
      </w:hyperlink>
    </w:p>
    <w:p w14:paraId="7FB40C79"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Poročilo o izvajanju Evropske kohezijske politike 2014–2020 za obdobje od januarja 2014 do konca marca 2020. (2020). Pridobljeno s </w:t>
      </w:r>
      <w:hyperlink r:id="rId92" w:history="1">
        <w:r w:rsidRPr="00BF7E57">
          <w:rPr>
            <w:rStyle w:val="Hiperpovezava"/>
            <w:rFonts w:ascii="Arial" w:hAnsi="Arial" w:cs="Arial"/>
            <w:sz w:val="20"/>
            <w:szCs w:val="20"/>
          </w:rPr>
          <w:t>https://www.eu-skladi.si/portal/sl/ekp/izvajanje/porocila-1</w:t>
        </w:r>
      </w:hyperlink>
    </w:p>
    <w:p w14:paraId="38E7253B" w14:textId="77777777" w:rsidR="00D93097" w:rsidRPr="00BF7E57" w:rsidRDefault="00D93097" w:rsidP="00A05198">
      <w:pPr>
        <w:pStyle w:val="1"/>
        <w:numPr>
          <w:ilvl w:val="0"/>
          <w:numId w:val="43"/>
        </w:numPr>
        <w:spacing w:before="200" w:after="200" w:line="360" w:lineRule="auto"/>
        <w:jc w:val="left"/>
      </w:pPr>
      <w:r w:rsidRPr="00BF7E57">
        <w:t xml:space="preserve">Poročilo o razvoju 2020. (2020). Pridobljeno s </w:t>
      </w:r>
      <w:hyperlink r:id="rId93" w:history="1">
        <w:r w:rsidRPr="00BF7E57">
          <w:rPr>
            <w:rStyle w:val="Hiperpovezava"/>
          </w:rPr>
          <w:t>https://www.umar.gov.si/razvoj-slovenije/porocilo/news/porocilo-o-razvoju-2020-1/?tx_news_pi1%5Bcontroller%5D=News&amp;tx_news_pi1%5Baction%5D=detail&amp;cHash=ff829b79ddcf921917a8a54fa6870d6d</w:t>
        </w:r>
      </w:hyperlink>
    </w:p>
    <w:p w14:paraId="1A1CBCD1" w14:textId="77777777" w:rsidR="00D93097" w:rsidRPr="00BF7E57" w:rsidRDefault="00D93097" w:rsidP="00A05198">
      <w:pPr>
        <w:pStyle w:val="1"/>
        <w:numPr>
          <w:ilvl w:val="0"/>
          <w:numId w:val="43"/>
        </w:numPr>
        <w:spacing w:before="200" w:after="200" w:line="360" w:lineRule="auto"/>
        <w:jc w:val="left"/>
      </w:pPr>
      <w:r w:rsidRPr="00BF7E57">
        <w:t>Potočnik Slavič I. (2019). Staranje na podeželju: dejstva, pričakovanja in prostorske razsežnosti. V Nared J., Polajnar Horvat K. in Razpotnik Visković N. (ur.). Demografske spremembe in regionalni razvoj. Ljubljana: ZRC SAZU, Geografski inštitut Antona Melika.</w:t>
      </w:r>
    </w:p>
    <w:p w14:paraId="02B45A3C" w14:textId="77777777" w:rsidR="00D93097" w:rsidRPr="00BF7E57" w:rsidRDefault="00D93097" w:rsidP="00A05198">
      <w:pPr>
        <w:pStyle w:val="1"/>
        <w:numPr>
          <w:ilvl w:val="0"/>
          <w:numId w:val="43"/>
        </w:numPr>
        <w:spacing w:before="200" w:after="200" w:line="360" w:lineRule="auto"/>
        <w:jc w:val="left"/>
      </w:pPr>
      <w:r w:rsidRPr="00BF7E57">
        <w:t xml:space="preserve">Priložnosti dediščine slovenskega podeželja. (2019). Pridobljeno s </w:t>
      </w:r>
      <w:hyperlink r:id="rId94" w:history="1">
        <w:r w:rsidRPr="00BF7E57">
          <w:t>http://mao.si/Dogodek/Priloznosti-Dediscina-Slovenskega-Podezelja.aspx</w:t>
        </w:r>
      </w:hyperlink>
    </w:p>
    <w:p w14:paraId="15C9EBED" w14:textId="77777777" w:rsidR="00D93097" w:rsidRPr="00BF7E57" w:rsidRDefault="00D93097" w:rsidP="00A05198">
      <w:pPr>
        <w:pStyle w:val="1"/>
        <w:numPr>
          <w:ilvl w:val="0"/>
          <w:numId w:val="43"/>
        </w:numPr>
        <w:spacing w:before="200" w:after="200" w:line="360" w:lineRule="auto"/>
        <w:jc w:val="left"/>
      </w:pPr>
      <w:r w:rsidRPr="00BF7E57">
        <w:t xml:space="preserve">Rupert J. in Vilič Klenovšek T. (2010). Značilnosti izbranih ranljivih skupin odraslih in svetovalno delo za izobraževanje odraslih. Pridobljeno s </w:t>
      </w:r>
      <w:hyperlink r:id="rId95" w:history="1">
        <w:r w:rsidRPr="00BF7E57">
          <w:rPr>
            <w:rStyle w:val="Hiperpovezava"/>
          </w:rPr>
          <w:t>https://arhiv.acs.si/ucna_gradiva/ISIO_nadaljnje-Rupert_Vilic-Klenovsek.pdf</w:t>
        </w:r>
      </w:hyperlink>
    </w:p>
    <w:p w14:paraId="29463B24" w14:textId="77777777" w:rsidR="00D93097" w:rsidRPr="00BF7E57" w:rsidRDefault="00D93097" w:rsidP="00A05198">
      <w:pPr>
        <w:pStyle w:val="1"/>
        <w:numPr>
          <w:ilvl w:val="0"/>
          <w:numId w:val="43"/>
        </w:numPr>
        <w:spacing w:before="200" w:after="200" w:line="360" w:lineRule="auto"/>
        <w:jc w:val="left"/>
      </w:pPr>
      <w:r w:rsidRPr="00BF7E57">
        <w:t xml:space="preserve">Skupno poročilo o prostovoljstvu v Republiki Sloveniji za leto 2013. (b. l.) Pridobljeno s https://www.ajpes.si/doc/LP/Prostovoljske_organizacije/Skupno_porocilo_o_prostovoljstvu_2013.pdf </w:t>
      </w:r>
    </w:p>
    <w:p w14:paraId="6B817002" w14:textId="77777777" w:rsidR="00D93097" w:rsidRPr="00BF7E57" w:rsidRDefault="00D93097" w:rsidP="00A05198">
      <w:pPr>
        <w:pStyle w:val="1"/>
        <w:numPr>
          <w:ilvl w:val="0"/>
          <w:numId w:val="43"/>
        </w:numPr>
        <w:spacing w:before="200" w:after="200" w:line="360" w:lineRule="auto"/>
        <w:jc w:val="left"/>
      </w:pPr>
      <w:r w:rsidRPr="00BF7E57">
        <w:t xml:space="preserve">Skupno poročilo o prostovoljstvu v Republiki Sloveniji za leto 2018. (b. l.) Pridobljeno s </w:t>
      </w:r>
      <w:hyperlink r:id="rId96" w:history="1">
        <w:r w:rsidRPr="00BF7E57">
          <w:rPr>
            <w:rStyle w:val="Hiperpovezava"/>
          </w:rPr>
          <w:t>https://www.ajpes.si/Doc/LP/Prostovoljske_organizacije/Porocilo_o_prostovoljstvu_2018.pdf</w:t>
        </w:r>
      </w:hyperlink>
    </w:p>
    <w:p w14:paraId="6E42635D" w14:textId="77777777" w:rsidR="00D93097" w:rsidRPr="00BF7E57" w:rsidRDefault="00D93097" w:rsidP="00A05198">
      <w:pPr>
        <w:pStyle w:val="1"/>
        <w:numPr>
          <w:ilvl w:val="0"/>
          <w:numId w:val="43"/>
        </w:numPr>
        <w:spacing w:before="200" w:after="200" w:line="360" w:lineRule="auto"/>
        <w:jc w:val="left"/>
      </w:pPr>
      <w:r w:rsidRPr="00BF7E57">
        <w:t xml:space="preserve">Skupnost socialnih zavodov Slovenije. (2020). Pridobljeno s </w:t>
      </w:r>
      <w:hyperlink r:id="rId97" w:history="1">
        <w:r w:rsidRPr="00BF7E57">
          <w:t>http://www.ssz-slo.si/splosno-o-domovih-in-posebnih-zavodih/</w:t>
        </w:r>
      </w:hyperlink>
    </w:p>
    <w:p w14:paraId="641CBB8E" w14:textId="77777777" w:rsidR="00D93097" w:rsidRPr="00BF7E57" w:rsidRDefault="00D93097" w:rsidP="00A05198">
      <w:pPr>
        <w:pStyle w:val="1"/>
        <w:numPr>
          <w:ilvl w:val="0"/>
          <w:numId w:val="43"/>
        </w:numPr>
        <w:spacing w:before="200" w:after="200" w:line="360" w:lineRule="auto"/>
        <w:jc w:val="left"/>
        <w:rPr>
          <w:rStyle w:val="Hiperpovezava"/>
        </w:rPr>
      </w:pPr>
      <w:r w:rsidRPr="00BF7E57">
        <w:lastRenderedPageBreak/>
        <w:t xml:space="preserve">Statistični urad Republike Slovenije - SURS. (2020). Pridobljeno s </w:t>
      </w:r>
      <w:hyperlink r:id="rId98" w:history="1">
        <w:r w:rsidRPr="00BF7E57">
          <w:rPr>
            <w:rStyle w:val="Hiperpovezava"/>
          </w:rPr>
          <w:t>https://www.stat.si/statweb</w:t>
        </w:r>
      </w:hyperlink>
    </w:p>
    <w:p w14:paraId="3D5433B7" w14:textId="77777777" w:rsidR="00140E7C" w:rsidRPr="00BF7E57" w:rsidRDefault="00140E7C" w:rsidP="00A05198">
      <w:pPr>
        <w:pStyle w:val="1"/>
        <w:numPr>
          <w:ilvl w:val="0"/>
          <w:numId w:val="43"/>
        </w:numPr>
        <w:spacing w:before="200" w:after="200" w:line="360" w:lineRule="auto"/>
        <w:jc w:val="left"/>
      </w:pPr>
      <w:r w:rsidRPr="00BF7E57">
        <w:t xml:space="preserve">STO, 2020: Turizem v številkah, 2020, Pridobljeno, avgust 2020 s </w:t>
      </w:r>
      <w:hyperlink r:id="rId99" w:history="1">
        <w:r w:rsidRPr="00BF7E57">
          <w:rPr>
            <w:rStyle w:val="Hiperpovezava"/>
          </w:rPr>
          <w:t>https://www.slovenia.info/sl/poslovne-strani/raziskave-in-analize/turizem-v-stevilkah</w:t>
        </w:r>
      </w:hyperlink>
    </w:p>
    <w:p w14:paraId="6250DA5B" w14:textId="77777777" w:rsidR="00333A8A" w:rsidRPr="00BF7E57" w:rsidRDefault="000F7702" w:rsidP="00A05198">
      <w:pPr>
        <w:pStyle w:val="1"/>
        <w:numPr>
          <w:ilvl w:val="0"/>
          <w:numId w:val="43"/>
        </w:numPr>
        <w:spacing w:before="200" w:after="200" w:line="360" w:lineRule="auto"/>
        <w:jc w:val="left"/>
      </w:pPr>
      <w:r w:rsidRPr="00BF7E57">
        <w:t xml:space="preserve">SVRK, 2017: </w:t>
      </w:r>
      <w:r w:rsidR="00333A8A" w:rsidRPr="00BF7E57">
        <w:t>Strategija razvoja Slovenije 2030. (2020). Pridobljeno s https://www.gov.si/assets/vladne-sluzbe/SVRK/Strategija-razvoja-Slovenije-2030/Strategija_razvoja_Slovenije_2030.pdf</w:t>
      </w:r>
    </w:p>
    <w:p w14:paraId="52D5BDF5"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SURS 2020: Pridobljeno avgusta 2020 s </w:t>
      </w:r>
      <w:hyperlink r:id="rId100" w:history="1">
        <w:r w:rsidRPr="00BF7E57">
          <w:rPr>
            <w:rStyle w:val="Hiperpovezava"/>
            <w:rFonts w:ascii="Arial" w:hAnsi="Arial" w:cs="Arial"/>
            <w:sz w:val="20"/>
            <w:szCs w:val="20"/>
          </w:rPr>
          <w:t>https://www.stat.si/StatWeb/</w:t>
        </w:r>
      </w:hyperlink>
    </w:p>
    <w:p w14:paraId="6CE5453B" w14:textId="77777777" w:rsidR="00140E7C" w:rsidRPr="00BF7E57" w:rsidRDefault="00140E7C" w:rsidP="00A05198">
      <w:pPr>
        <w:pStyle w:val="Odstavekseznama"/>
        <w:numPr>
          <w:ilvl w:val="0"/>
          <w:numId w:val="43"/>
        </w:numPr>
        <w:spacing w:before="200" w:line="360" w:lineRule="auto"/>
        <w:contextualSpacing w:val="0"/>
        <w:rPr>
          <w:rFonts w:ascii="Arial" w:hAnsi="Arial" w:cs="Arial"/>
          <w:iCs/>
          <w:sz w:val="20"/>
          <w:szCs w:val="20"/>
        </w:rPr>
      </w:pPr>
      <w:r w:rsidRPr="00BF7E57">
        <w:rPr>
          <w:rFonts w:ascii="Arial" w:hAnsi="Arial" w:cs="Arial"/>
          <w:sz w:val="20"/>
          <w:szCs w:val="20"/>
        </w:rPr>
        <w:t xml:space="preserve">SURS Kazalniki 2020: </w:t>
      </w:r>
      <w:r w:rsidRPr="00BF7E57">
        <w:rPr>
          <w:rStyle w:val="hierarchicaltableinformationtitle"/>
          <w:rFonts w:ascii="Arial" w:hAnsi="Arial" w:cs="Arial"/>
          <w:sz w:val="20"/>
          <w:szCs w:val="20"/>
        </w:rPr>
        <w:t xml:space="preserve">Kazalniki temeljnih naravnih dobrin, Slovenija, letno. </w:t>
      </w:r>
      <w:r w:rsidRPr="00BF7E57">
        <w:rPr>
          <w:rFonts w:ascii="Arial" w:hAnsi="Arial" w:cs="Arial"/>
          <w:sz w:val="20"/>
          <w:szCs w:val="20"/>
        </w:rPr>
        <w:t xml:space="preserve">Pridobljeno avgusta 2020 s </w:t>
      </w:r>
      <w:hyperlink r:id="rId101" w:history="1">
        <w:r w:rsidRPr="00BF7E57">
          <w:rPr>
            <w:rStyle w:val="Hiperpovezava"/>
            <w:rFonts w:ascii="Arial" w:hAnsi="Arial" w:cs="Arial"/>
            <w:iCs/>
            <w:sz w:val="20"/>
            <w:szCs w:val="20"/>
          </w:rPr>
          <w:t>https://pxweb.stat.si/SiStatDb/pxweb/sl/30_Okolje/30_Okolje__27_okolje__01_27752_kaz_zelene_rasti/2775202S.px/table/tableViewLayout2</w:t>
        </w:r>
      </w:hyperlink>
    </w:p>
    <w:p w14:paraId="6B7A4EFF" w14:textId="77777777" w:rsidR="00D93097" w:rsidRPr="00BF7E57" w:rsidRDefault="00D93097" w:rsidP="00A05198">
      <w:pPr>
        <w:pStyle w:val="1"/>
        <w:numPr>
          <w:ilvl w:val="0"/>
          <w:numId w:val="43"/>
        </w:numPr>
        <w:spacing w:before="200" w:after="200" w:line="360" w:lineRule="auto"/>
        <w:jc w:val="left"/>
      </w:pPr>
      <w:r w:rsidRPr="00BF7E57">
        <w:t xml:space="preserve">Urad RS za makroekonomske analize in razvoj - UMAR. (2020). Pridobljeno s: </w:t>
      </w:r>
      <w:hyperlink r:id="rId102" w:history="1">
        <w:r w:rsidRPr="00BF7E57">
          <w:rPr>
            <w:rStyle w:val="Hiperpovezava"/>
          </w:rPr>
          <w:t>https://www.umar.gov.si/?no_cache=1</w:t>
        </w:r>
      </w:hyperlink>
    </w:p>
    <w:p w14:paraId="74CB240F" w14:textId="77777777" w:rsidR="00D93097" w:rsidRPr="00BF7E57" w:rsidRDefault="00D93097" w:rsidP="00A05198">
      <w:pPr>
        <w:pStyle w:val="1"/>
        <w:numPr>
          <w:ilvl w:val="0"/>
          <w:numId w:val="43"/>
        </w:numPr>
        <w:spacing w:before="200" w:after="200" w:line="360" w:lineRule="auto"/>
        <w:jc w:val="left"/>
        <w:rPr>
          <w:rFonts w:eastAsia="Arial"/>
        </w:rPr>
      </w:pPr>
      <w:r w:rsidRPr="00BF7E57">
        <w:t xml:space="preserve">Uredba o spremembi Uredbe o določitvi obmejnih problemskih območij. (2020). </w:t>
      </w:r>
      <w:r w:rsidRPr="00BF7E57">
        <w:rPr>
          <w:rFonts w:eastAsia="Arial"/>
        </w:rPr>
        <w:t>Uradni list Republike Slovenije št. 101.</w:t>
      </w:r>
    </w:p>
    <w:p w14:paraId="30333BE7"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UMAR (2020): Poročilo o razvoju 2020. Pridobljeno s </w:t>
      </w:r>
      <w:hyperlink r:id="rId103" w:history="1">
        <w:r w:rsidRPr="00BF7E57">
          <w:rPr>
            <w:rStyle w:val="Hiperpovezava"/>
            <w:rFonts w:ascii="Arial" w:hAnsi="Arial" w:cs="Arial"/>
            <w:sz w:val="20"/>
            <w:szCs w:val="20"/>
          </w:rPr>
          <w:t>https://www.umar.gov.si/razvoj-slovenije/porocilo/news/porocilo-o-razvoju-2020-1/?tx_news_pi1%5Bcontroller%5D=News&amp;tx_news_pi1%5Baction%5D=detail&amp;cHash=ff829b79ddcf921917a8a54fa6870d6d</w:t>
        </w:r>
      </w:hyperlink>
    </w:p>
    <w:p w14:paraId="388DC87D"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UM FE, 2011: Univerza v Mariboru, Fakulteta za energetiko, Journal of energy technology, Vol. 4/Issue 5, Nov 2011. Pridobljeno julija 2020 s </w:t>
      </w:r>
      <w:hyperlink r:id="rId104" w:history="1">
        <w:r w:rsidRPr="00BF7E57">
          <w:rPr>
            <w:rStyle w:val="Hiperpovezava"/>
            <w:rFonts w:ascii="Arial" w:hAnsi="Arial" w:cs="Arial"/>
            <w:sz w:val="20"/>
            <w:szCs w:val="20"/>
          </w:rPr>
          <w:t>https://www.fe.um.si/images/jet/jet4-5-internet.pdf</w:t>
        </w:r>
      </w:hyperlink>
    </w:p>
    <w:p w14:paraId="32512666" w14:textId="77777777" w:rsidR="00411A88" w:rsidRPr="00BF7E57" w:rsidRDefault="00411A88" w:rsidP="00A05198">
      <w:pPr>
        <w:pStyle w:val="1"/>
        <w:numPr>
          <w:ilvl w:val="0"/>
          <w:numId w:val="43"/>
        </w:numPr>
        <w:spacing w:before="200" w:after="200" w:line="360" w:lineRule="auto"/>
        <w:jc w:val="left"/>
      </w:pPr>
      <w:r w:rsidRPr="00BF7E57">
        <w:t>Viaggi, D (2018). The bioeconomy: delivering sustainable green growth. CABI, Wallingford, 208 str.</w:t>
      </w:r>
    </w:p>
    <w:p w14:paraId="62B1BB78" w14:textId="77777777" w:rsidR="00D93097" w:rsidRPr="00BF7E57" w:rsidRDefault="00D93097" w:rsidP="00A05198">
      <w:pPr>
        <w:pStyle w:val="1"/>
        <w:numPr>
          <w:ilvl w:val="0"/>
          <w:numId w:val="43"/>
        </w:numPr>
        <w:spacing w:before="200" w:after="200" w:line="360" w:lineRule="auto"/>
        <w:jc w:val="left"/>
        <w:rPr>
          <w:rFonts w:eastAsia="Arial"/>
        </w:rPr>
      </w:pPr>
      <w:r w:rsidRPr="00BF7E57">
        <w:rPr>
          <w:rFonts w:eastAsia="Arial"/>
        </w:rPr>
        <w:t>Zakon o spodbujanju skladnega regionalnega razvoja (ZSRR-2). (2011). Uradni list Republike Slovenije št. 20.</w:t>
      </w:r>
    </w:p>
    <w:p w14:paraId="5771E001"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Zavod RS za zaposlovanje, 2020: Trg dela Julij 2020: </w:t>
      </w:r>
      <w:hyperlink r:id="rId105" w:history="1">
        <w:r w:rsidRPr="00BF7E57">
          <w:rPr>
            <w:rStyle w:val="Hiperpovezava"/>
            <w:rFonts w:ascii="Arial" w:hAnsi="Arial" w:cs="Arial"/>
            <w:sz w:val="20"/>
            <w:szCs w:val="20"/>
          </w:rPr>
          <w:t>https://www.ess.gov.si/_files/13521/Trg_dela_julij_2020.pdf</w:t>
        </w:r>
      </w:hyperlink>
    </w:p>
    <w:p w14:paraId="3B36F2CA"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ZS 2020: Zelena Slovenija, Obnovljivi viri energije v Sloveniji, Pridobljeno julij 2020 s http://www.zelenaslovenija.si/images/stories/pdf_dokumenti/Obnovljivi-viri-energije-v-Sloveniji.pdf</w:t>
      </w:r>
    </w:p>
    <w:p w14:paraId="460D1463" w14:textId="77777777" w:rsidR="00EA2E4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lastRenderedPageBreak/>
        <w:t xml:space="preserve">ZS EOL 2020: Zelena Slovenija, Revija EOL, št 127. Pridobljeno julija 2020 s </w:t>
      </w:r>
      <w:hyperlink r:id="rId106" w:tooltip="http://www.zelenaslovenija.si/revija-eol-/aktualna-stevilka/okolje/4465-izkoriscanje-bioplina-upraviceno-le-ob-upostevanju-okoljskih-standardov-eol-127" w:history="1">
        <w:r w:rsidRPr="00BF7E57">
          <w:rPr>
            <w:rFonts w:ascii="Arial" w:hAnsi="Arial" w:cs="Arial"/>
            <w:sz w:val="20"/>
            <w:szCs w:val="20"/>
          </w:rPr>
          <w:t>http://www.zelenaslovenija.si/revija-eol-/aktualna-stevilka/okolje/4465-izkoriscanje-bioplina-upraviceno-le-ob-upostevanju-okoljskih-standardov-eol-127</w:t>
        </w:r>
      </w:hyperlink>
    </w:p>
    <w:sectPr w:rsidR="00EA2E4C" w:rsidRPr="00BF7E57" w:rsidSect="00240F7A">
      <w:footerReference w:type="default" r:id="rId10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C55F3" w14:textId="77777777" w:rsidR="004A3890" w:rsidRDefault="004A3890" w:rsidP="00240F7A">
      <w:pPr>
        <w:spacing w:after="0" w:line="240" w:lineRule="auto"/>
      </w:pPr>
      <w:r>
        <w:separator/>
      </w:r>
    </w:p>
  </w:endnote>
  <w:endnote w:type="continuationSeparator" w:id="0">
    <w:p w14:paraId="7F53336E" w14:textId="77777777" w:rsidR="004A3890" w:rsidRDefault="004A3890" w:rsidP="00240F7A">
      <w:pPr>
        <w:spacing w:after="0" w:line="240" w:lineRule="auto"/>
      </w:pPr>
      <w:r>
        <w:continuationSeparator/>
      </w:r>
    </w:p>
  </w:endnote>
  <w:endnote w:type="continuationNotice" w:id="1">
    <w:p w14:paraId="471714D6" w14:textId="77777777" w:rsidR="004A3890" w:rsidRDefault="004A38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charset w:val="00"/>
    <w:family w:val="roman"/>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panose1 w:val="00000000000000000000"/>
    <w:charset w:val="00"/>
    <w:family w:val="swiss"/>
    <w:notTrueType/>
    <w:pitch w:val="default"/>
    <w:sig w:usb0="00000001" w:usb1="00000000" w:usb2="00000000" w:usb3="00000000" w:csb0="00000003"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Helvetica">
    <w:panose1 w:val="020B0604020202020204"/>
    <w:charset w:val="EE"/>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979606"/>
      <w:docPartObj>
        <w:docPartGallery w:val="Page Numbers (Bottom of Page)"/>
        <w:docPartUnique/>
      </w:docPartObj>
    </w:sdtPr>
    <w:sdtEndPr/>
    <w:sdtContent>
      <w:p w14:paraId="0D182E5B" w14:textId="015649FE" w:rsidR="00152F0B" w:rsidRDefault="00152F0B">
        <w:pPr>
          <w:pStyle w:val="Noga"/>
          <w:jc w:val="center"/>
        </w:pPr>
        <w:r>
          <w:fldChar w:fldCharType="begin"/>
        </w:r>
        <w:r>
          <w:instrText>PAGE   \* MERGEFORMAT</w:instrText>
        </w:r>
        <w:r>
          <w:fldChar w:fldCharType="separate"/>
        </w:r>
        <w:r w:rsidR="00236865">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683FB" w14:textId="77777777" w:rsidR="004A3890" w:rsidRDefault="004A3890" w:rsidP="00240F7A">
      <w:pPr>
        <w:spacing w:after="0" w:line="240" w:lineRule="auto"/>
      </w:pPr>
      <w:r>
        <w:separator/>
      </w:r>
    </w:p>
  </w:footnote>
  <w:footnote w:type="continuationSeparator" w:id="0">
    <w:p w14:paraId="21D1BC35" w14:textId="77777777" w:rsidR="004A3890" w:rsidRDefault="004A3890" w:rsidP="00240F7A">
      <w:pPr>
        <w:spacing w:after="0" w:line="240" w:lineRule="auto"/>
      </w:pPr>
      <w:r>
        <w:continuationSeparator/>
      </w:r>
    </w:p>
  </w:footnote>
  <w:footnote w:type="continuationNotice" w:id="1">
    <w:p w14:paraId="30B76B36" w14:textId="77777777" w:rsidR="004A3890" w:rsidRDefault="004A3890">
      <w:pPr>
        <w:spacing w:after="0" w:line="240" w:lineRule="auto"/>
      </w:pPr>
    </w:p>
  </w:footnote>
  <w:footnote w:id="2">
    <w:p w14:paraId="715B1AB8" w14:textId="77777777" w:rsidR="00152F0B" w:rsidRPr="00B62A70" w:rsidRDefault="00152F0B" w:rsidP="00D96209">
      <w:pPr>
        <w:pStyle w:val="Sprotnaopomba-besedilo"/>
        <w:rPr>
          <w:rFonts w:cs="Arial"/>
          <w:sz w:val="16"/>
          <w:szCs w:val="16"/>
          <w:lang w:val="de-DE"/>
        </w:rPr>
      </w:pPr>
      <w:r w:rsidRPr="00B62A70">
        <w:rPr>
          <w:rStyle w:val="Sprotnaopomba-sklic"/>
          <w:rFonts w:cs="Arial"/>
          <w:sz w:val="16"/>
          <w:szCs w:val="16"/>
        </w:rPr>
        <w:footnoteRef/>
      </w:r>
      <w:r w:rsidRPr="00B62A70">
        <w:rPr>
          <w:rFonts w:cs="Arial"/>
          <w:sz w:val="16"/>
          <w:szCs w:val="16"/>
          <w:lang w:val="de-DE"/>
        </w:rPr>
        <w:t xml:space="preserve"> </w:t>
      </w:r>
      <w:r w:rsidRPr="00B62A70">
        <w:rPr>
          <w:rFonts w:cs="Arial"/>
          <w:sz w:val="16"/>
          <w:szCs w:val="16"/>
        </w:rPr>
        <w:t>Razvojna problematika obmejnih problemskih območij</w:t>
      </w:r>
    </w:p>
  </w:footnote>
  <w:footnote w:id="3">
    <w:p w14:paraId="667264D0" w14:textId="77777777" w:rsidR="00152F0B" w:rsidRDefault="00152F0B" w:rsidP="00026AF3">
      <w:pPr>
        <w:pStyle w:val="Sprotnaopomba-besedilo"/>
      </w:pPr>
      <w:r>
        <w:rPr>
          <w:rStyle w:val="Sprotnaopomba-sklic"/>
        </w:rPr>
        <w:footnoteRef/>
      </w:r>
      <w:r>
        <w:t xml:space="preserve"> </w:t>
      </w:r>
      <w:r w:rsidRPr="00BE756C">
        <w:rPr>
          <w:rFonts w:ascii="Arial" w:hAnsi="Arial" w:cs="Arial"/>
          <w:sz w:val="16"/>
          <w:szCs w:val="16"/>
        </w:rPr>
        <w:t xml:space="preserve">Podatkov o bruto dodani vrednosti na zaposlenega iz administrativnih virov SURS v taki obliki ne objavlja več. </w:t>
      </w:r>
    </w:p>
  </w:footnote>
  <w:footnote w:id="4">
    <w:p w14:paraId="3955AE10" w14:textId="713715C3" w:rsidR="00152F0B" w:rsidRPr="000B0074" w:rsidRDefault="00152F0B" w:rsidP="000B0074">
      <w:pPr>
        <w:pStyle w:val="Sprotnaopomba-besedilo"/>
        <w:rPr>
          <w:rFonts w:ascii="Arial" w:hAnsi="Arial" w:cs="Arial"/>
          <w:bCs/>
          <w:color w:val="000000"/>
          <w:lang w:eastAsia="sl-SI"/>
        </w:rPr>
      </w:pPr>
      <w:r>
        <w:rPr>
          <w:rStyle w:val="Sprotnaopomba-sklic"/>
        </w:rPr>
        <w:footnoteRef/>
      </w:r>
      <w:r>
        <w:t xml:space="preserve"> </w:t>
      </w:r>
      <w:r w:rsidRPr="000B0074">
        <w:rPr>
          <w:rFonts w:ascii="Arial" w:hAnsi="Arial" w:cs="Arial"/>
          <w:sz w:val="16"/>
          <w:szCs w:val="16"/>
        </w:rPr>
        <w:t>Iz skupine dopolnilnih dejavnosti p</w:t>
      </w:r>
      <w:r>
        <w:rPr>
          <w:rFonts w:ascii="Arial" w:hAnsi="Arial" w:cs="Arial"/>
          <w:bCs/>
          <w:color w:val="000000"/>
          <w:sz w:val="16"/>
          <w:szCs w:val="16"/>
          <w:lang w:eastAsia="sl-SI"/>
        </w:rPr>
        <w:t>ovezanih</w:t>
      </w:r>
      <w:r w:rsidRPr="000B0074">
        <w:rPr>
          <w:rFonts w:ascii="Arial" w:hAnsi="Arial" w:cs="Arial"/>
          <w:bCs/>
          <w:color w:val="000000"/>
          <w:sz w:val="16"/>
          <w:szCs w:val="16"/>
          <w:lang w:eastAsia="sl-SI"/>
        </w:rPr>
        <w:t xml:space="preserve"> s tradicionalnimi znanji na kmetiji, storitvami oziroma izdelki so izvzete dopolnilne dejavnosti </w:t>
      </w:r>
      <w:r w:rsidRPr="00130C85">
        <w:rPr>
          <w:rFonts w:ascii="Arial" w:hAnsi="Arial" w:cs="Arial"/>
          <w:bCs/>
          <w:color w:val="000000"/>
          <w:sz w:val="16"/>
          <w:szCs w:val="16"/>
          <w:lang w:eastAsia="sl-SI"/>
        </w:rPr>
        <w:t>medičarstvo in lectarstvo, dražgoški kruhki, medenjaki, pecivo in slaščice</w:t>
      </w:r>
      <w:r>
        <w:rPr>
          <w:rFonts w:ascii="Arial" w:hAnsi="Arial" w:cs="Arial"/>
          <w:bCs/>
          <w:color w:val="000000"/>
          <w:sz w:val="16"/>
          <w:szCs w:val="16"/>
          <w:lang w:eastAsia="sl-SI"/>
        </w:rPr>
        <w:t xml:space="preserve">, </w:t>
      </w:r>
      <w:r w:rsidRPr="000B0074">
        <w:rPr>
          <w:rFonts w:ascii="Arial" w:hAnsi="Arial" w:cs="Arial"/>
          <w:bCs/>
          <w:color w:val="000000"/>
          <w:sz w:val="16"/>
          <w:szCs w:val="16"/>
          <w:lang w:eastAsia="sl-SI"/>
        </w:rPr>
        <w:t>peka kruha in potic na tradicionalni način, proizvodnja testenin na tradicionalni način, peka peciva in slaščic na tradicionalni način in predelava zelišč in dišavnic na tradicionalni način</w:t>
      </w:r>
      <w:r>
        <w:rPr>
          <w:rFonts w:ascii="Arial" w:hAnsi="Arial" w:cs="Arial"/>
          <w:bCs/>
          <w:color w:val="000000"/>
          <w:sz w:val="16"/>
          <w:szCs w:val="16"/>
          <w:lang w:eastAsia="sl-S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4"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8"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1" w15:restartNumberingAfterBreak="0">
    <w:nsid w:val="08FA0880"/>
    <w:multiLevelType w:val="hybridMultilevel"/>
    <w:tmpl w:val="D71A78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B6F4C32"/>
    <w:multiLevelType w:val="hybridMultilevel"/>
    <w:tmpl w:val="DC52B2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4" w15:restartNumberingAfterBreak="0">
    <w:nsid w:val="0D941A1C"/>
    <w:multiLevelType w:val="multilevel"/>
    <w:tmpl w:val="B3B4AF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4733776"/>
    <w:multiLevelType w:val="hybridMultilevel"/>
    <w:tmpl w:val="BB3C7F6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66D4B6A"/>
    <w:multiLevelType w:val="multilevel"/>
    <w:tmpl w:val="B57255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298F1DC3"/>
    <w:multiLevelType w:val="hybridMultilevel"/>
    <w:tmpl w:val="FB824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89D13DC"/>
    <w:multiLevelType w:val="hybridMultilevel"/>
    <w:tmpl w:val="1A9AEC14"/>
    <w:lvl w:ilvl="0" w:tplc="04240001">
      <w:start w:val="1"/>
      <w:numFmt w:val="bullet"/>
      <w:lvlText w:val=""/>
      <w:lvlJc w:val="left"/>
      <w:pPr>
        <w:ind w:left="6" w:hanging="360"/>
      </w:pPr>
      <w:rPr>
        <w:rFonts w:ascii="Symbol" w:hAnsi="Symbol" w:hint="default"/>
      </w:rPr>
    </w:lvl>
    <w:lvl w:ilvl="1" w:tplc="04240003" w:tentative="1">
      <w:start w:val="1"/>
      <w:numFmt w:val="bullet"/>
      <w:lvlText w:val="o"/>
      <w:lvlJc w:val="left"/>
      <w:pPr>
        <w:ind w:left="726" w:hanging="360"/>
      </w:pPr>
      <w:rPr>
        <w:rFonts w:ascii="Courier New" w:hAnsi="Courier New" w:cs="Courier New" w:hint="default"/>
      </w:rPr>
    </w:lvl>
    <w:lvl w:ilvl="2" w:tplc="04240005" w:tentative="1">
      <w:start w:val="1"/>
      <w:numFmt w:val="bullet"/>
      <w:lvlText w:val=""/>
      <w:lvlJc w:val="left"/>
      <w:pPr>
        <w:ind w:left="1446" w:hanging="360"/>
      </w:pPr>
      <w:rPr>
        <w:rFonts w:ascii="Wingdings" w:hAnsi="Wingdings" w:hint="default"/>
      </w:rPr>
    </w:lvl>
    <w:lvl w:ilvl="3" w:tplc="04240001" w:tentative="1">
      <w:start w:val="1"/>
      <w:numFmt w:val="bullet"/>
      <w:lvlText w:val=""/>
      <w:lvlJc w:val="left"/>
      <w:pPr>
        <w:ind w:left="2166" w:hanging="360"/>
      </w:pPr>
      <w:rPr>
        <w:rFonts w:ascii="Symbol" w:hAnsi="Symbol" w:hint="default"/>
      </w:rPr>
    </w:lvl>
    <w:lvl w:ilvl="4" w:tplc="04240003" w:tentative="1">
      <w:start w:val="1"/>
      <w:numFmt w:val="bullet"/>
      <w:lvlText w:val="o"/>
      <w:lvlJc w:val="left"/>
      <w:pPr>
        <w:ind w:left="2886" w:hanging="360"/>
      </w:pPr>
      <w:rPr>
        <w:rFonts w:ascii="Courier New" w:hAnsi="Courier New" w:cs="Courier New" w:hint="default"/>
      </w:rPr>
    </w:lvl>
    <w:lvl w:ilvl="5" w:tplc="04240005" w:tentative="1">
      <w:start w:val="1"/>
      <w:numFmt w:val="bullet"/>
      <w:lvlText w:val=""/>
      <w:lvlJc w:val="left"/>
      <w:pPr>
        <w:ind w:left="3606" w:hanging="360"/>
      </w:pPr>
      <w:rPr>
        <w:rFonts w:ascii="Wingdings" w:hAnsi="Wingdings" w:hint="default"/>
      </w:rPr>
    </w:lvl>
    <w:lvl w:ilvl="6" w:tplc="04240001" w:tentative="1">
      <w:start w:val="1"/>
      <w:numFmt w:val="bullet"/>
      <w:lvlText w:val=""/>
      <w:lvlJc w:val="left"/>
      <w:pPr>
        <w:ind w:left="4326" w:hanging="360"/>
      </w:pPr>
      <w:rPr>
        <w:rFonts w:ascii="Symbol" w:hAnsi="Symbol" w:hint="default"/>
      </w:rPr>
    </w:lvl>
    <w:lvl w:ilvl="7" w:tplc="04240003" w:tentative="1">
      <w:start w:val="1"/>
      <w:numFmt w:val="bullet"/>
      <w:lvlText w:val="o"/>
      <w:lvlJc w:val="left"/>
      <w:pPr>
        <w:ind w:left="5046" w:hanging="360"/>
      </w:pPr>
      <w:rPr>
        <w:rFonts w:ascii="Courier New" w:hAnsi="Courier New" w:cs="Courier New" w:hint="default"/>
      </w:rPr>
    </w:lvl>
    <w:lvl w:ilvl="8" w:tplc="04240005" w:tentative="1">
      <w:start w:val="1"/>
      <w:numFmt w:val="bullet"/>
      <w:lvlText w:val=""/>
      <w:lvlJc w:val="left"/>
      <w:pPr>
        <w:ind w:left="5766" w:hanging="360"/>
      </w:pPr>
      <w:rPr>
        <w:rFonts w:ascii="Wingdings" w:hAnsi="Wingdings" w:hint="default"/>
      </w:rPr>
    </w:lvl>
  </w:abstractNum>
  <w:abstractNum w:abstractNumId="29" w15:restartNumberingAfterBreak="0">
    <w:nsid w:val="3E5915AF"/>
    <w:multiLevelType w:val="hybridMultilevel"/>
    <w:tmpl w:val="2C5E6346"/>
    <w:lvl w:ilvl="0" w:tplc="36140E10">
      <w:start w:val="1"/>
      <w:numFmt w:val="bullet"/>
      <w:lvlText w:val=""/>
      <w:lvlJc w:val="left"/>
      <w:pPr>
        <w:ind w:left="1140" w:hanging="360"/>
      </w:pPr>
      <w:rPr>
        <w:rFonts w:ascii="Symbol" w:hAnsi="Symbol" w:hint="default"/>
        <w:color w:val="000000" w:themeColor="text1"/>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30" w15:restartNumberingAfterBreak="0">
    <w:nsid w:val="3FA26A88"/>
    <w:multiLevelType w:val="hybridMultilevel"/>
    <w:tmpl w:val="5DC4A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A07250"/>
    <w:multiLevelType w:val="multilevel"/>
    <w:tmpl w:val="59AA2A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7754D3"/>
    <w:multiLevelType w:val="hybridMultilevel"/>
    <w:tmpl w:val="1DC0D51C"/>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34" w15:restartNumberingAfterBreak="0">
    <w:nsid w:val="4B762B77"/>
    <w:multiLevelType w:val="hybridMultilevel"/>
    <w:tmpl w:val="CE2ACD6A"/>
    <w:lvl w:ilvl="0" w:tplc="39AE5532">
      <w:start w:val="6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6" w15:restartNumberingAfterBreak="0">
    <w:nsid w:val="58353441"/>
    <w:multiLevelType w:val="hybridMultilevel"/>
    <w:tmpl w:val="64C689AE"/>
    <w:lvl w:ilvl="0" w:tplc="AB042994">
      <w:start w:val="1"/>
      <w:numFmt w:val="bullet"/>
      <w:lvlText w:val="-"/>
      <w:lvlJc w:val="left"/>
      <w:pPr>
        <w:ind w:left="720" w:hanging="360"/>
      </w:pPr>
      <w:rPr>
        <w:rFonts w:ascii="Calibri" w:eastAsiaTheme="minorHAnsi" w:hAnsi="Calibri" w:cs="Calibr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FFF7BEF"/>
    <w:multiLevelType w:val="multilevel"/>
    <w:tmpl w:val="A932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4B0015"/>
    <w:multiLevelType w:val="hybridMultilevel"/>
    <w:tmpl w:val="9A1238E6"/>
    <w:lvl w:ilvl="0" w:tplc="36140E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F61284"/>
    <w:multiLevelType w:val="hybridMultilevel"/>
    <w:tmpl w:val="49C21C8C"/>
    <w:lvl w:ilvl="0" w:tplc="04240019">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3717825"/>
    <w:multiLevelType w:val="hybridMultilevel"/>
    <w:tmpl w:val="0BFE5E26"/>
    <w:lvl w:ilvl="0" w:tplc="194E2BF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6393FA3"/>
    <w:multiLevelType w:val="multilevel"/>
    <w:tmpl w:val="4398B4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BD516A"/>
    <w:multiLevelType w:val="hybridMultilevel"/>
    <w:tmpl w:val="17EAED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CA21A69"/>
    <w:multiLevelType w:val="hybridMultilevel"/>
    <w:tmpl w:val="B5A028C6"/>
    <w:lvl w:ilvl="0" w:tplc="BD96BD60">
      <w:start w:val="41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38"/>
  </w:num>
  <w:num w:numId="3">
    <w:abstractNumId w:val="0"/>
  </w:num>
  <w:num w:numId="4">
    <w:abstractNumId w:val="33"/>
  </w:num>
  <w:num w:numId="5">
    <w:abstractNumId w:val="13"/>
  </w:num>
  <w:num w:numId="6">
    <w:abstractNumId w:val="8"/>
  </w:num>
  <w:num w:numId="7">
    <w:abstractNumId w:val="6"/>
  </w:num>
  <w:num w:numId="8">
    <w:abstractNumId w:val="3"/>
  </w:num>
  <w:num w:numId="9">
    <w:abstractNumId w:val="2"/>
  </w:num>
  <w:num w:numId="10">
    <w:abstractNumId w:val="14"/>
  </w:num>
  <w:num w:numId="11">
    <w:abstractNumId w:val="16"/>
  </w:num>
  <w:num w:numId="12">
    <w:abstractNumId w:val="15"/>
  </w:num>
  <w:num w:numId="13">
    <w:abstractNumId w:val="18"/>
  </w:num>
  <w:num w:numId="14">
    <w:abstractNumId w:val="5"/>
  </w:num>
  <w:num w:numId="15">
    <w:abstractNumId w:val="9"/>
  </w:num>
  <w:num w:numId="16">
    <w:abstractNumId w:val="11"/>
  </w:num>
  <w:num w:numId="17">
    <w:abstractNumId w:val="10"/>
  </w:num>
  <w:num w:numId="18">
    <w:abstractNumId w:val="1"/>
  </w:num>
  <w:num w:numId="19">
    <w:abstractNumId w:val="12"/>
  </w:num>
  <w:num w:numId="20">
    <w:abstractNumId w:val="7"/>
  </w:num>
  <w:num w:numId="21">
    <w:abstractNumId w:val="4"/>
  </w:num>
  <w:num w:numId="22">
    <w:abstractNumId w:val="17"/>
    <w:lvlOverride w:ilvl="0">
      <w:startOverride w:val="1"/>
    </w:lvlOverride>
  </w:num>
  <w:num w:numId="23">
    <w:abstractNumId w:val="19"/>
  </w:num>
  <w:num w:numId="24">
    <w:abstractNumId w:val="20"/>
  </w:num>
  <w:num w:numId="25">
    <w:abstractNumId w:val="23"/>
  </w:num>
  <w:num w:numId="26">
    <w:abstractNumId w:val="35"/>
  </w:num>
  <w:num w:numId="27">
    <w:abstractNumId w:val="40"/>
  </w:num>
  <w:num w:numId="28">
    <w:abstractNumId w:val="32"/>
  </w:num>
  <w:num w:numId="29">
    <w:abstractNumId w:val="34"/>
  </w:num>
  <w:num w:numId="30">
    <w:abstractNumId w:val="37"/>
  </w:num>
  <w:num w:numId="31">
    <w:abstractNumId w:val="30"/>
  </w:num>
  <w:num w:numId="32">
    <w:abstractNumId w:val="27"/>
  </w:num>
  <w:num w:numId="33">
    <w:abstractNumId w:val="39"/>
  </w:num>
  <w:num w:numId="34">
    <w:abstractNumId w:val="42"/>
  </w:num>
  <w:num w:numId="35">
    <w:abstractNumId w:val="24"/>
  </w:num>
  <w:num w:numId="36">
    <w:abstractNumId w:val="31"/>
  </w:num>
  <w:num w:numId="37">
    <w:abstractNumId w:val="21"/>
  </w:num>
  <w:num w:numId="38">
    <w:abstractNumId w:val="26"/>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43"/>
  </w:num>
  <w:num w:numId="42">
    <w:abstractNumId w:val="25"/>
  </w:num>
  <w:num w:numId="43">
    <w:abstractNumId w:val="41"/>
  </w:num>
  <w:num w:numId="44">
    <w:abstractNumId w:val="44"/>
  </w:num>
  <w:num w:numId="45">
    <w:abstractNumId w:val="36"/>
  </w:num>
  <w:num w:numId="46">
    <w:abstractNumId w:val="35"/>
  </w:num>
  <w:num w:numId="47">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documentProtection w:edit="trackedChange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60"/>
    <w:rsid w:val="0000421B"/>
    <w:rsid w:val="00004690"/>
    <w:rsid w:val="00013258"/>
    <w:rsid w:val="00014A1C"/>
    <w:rsid w:val="00014F8A"/>
    <w:rsid w:val="00022DB7"/>
    <w:rsid w:val="00025EE6"/>
    <w:rsid w:val="00026AF3"/>
    <w:rsid w:val="0002730C"/>
    <w:rsid w:val="00030D1E"/>
    <w:rsid w:val="00031167"/>
    <w:rsid w:val="0003202F"/>
    <w:rsid w:val="000353F0"/>
    <w:rsid w:val="000374EF"/>
    <w:rsid w:val="0004661A"/>
    <w:rsid w:val="00046939"/>
    <w:rsid w:val="000471A2"/>
    <w:rsid w:val="00050CD4"/>
    <w:rsid w:val="00054FD7"/>
    <w:rsid w:val="000577FA"/>
    <w:rsid w:val="00057B9E"/>
    <w:rsid w:val="00066C8A"/>
    <w:rsid w:val="00070CA3"/>
    <w:rsid w:val="00071499"/>
    <w:rsid w:val="0007407D"/>
    <w:rsid w:val="00074DA6"/>
    <w:rsid w:val="0007507A"/>
    <w:rsid w:val="0008099E"/>
    <w:rsid w:val="00083AB5"/>
    <w:rsid w:val="000846F2"/>
    <w:rsid w:val="00086448"/>
    <w:rsid w:val="00087002"/>
    <w:rsid w:val="000915F5"/>
    <w:rsid w:val="00092278"/>
    <w:rsid w:val="00094E57"/>
    <w:rsid w:val="0009670A"/>
    <w:rsid w:val="00097E43"/>
    <w:rsid w:val="00097E94"/>
    <w:rsid w:val="000A074F"/>
    <w:rsid w:val="000A0B98"/>
    <w:rsid w:val="000A3C62"/>
    <w:rsid w:val="000A6A8E"/>
    <w:rsid w:val="000B0074"/>
    <w:rsid w:val="000B0213"/>
    <w:rsid w:val="000B6C34"/>
    <w:rsid w:val="000B7583"/>
    <w:rsid w:val="000C1BB2"/>
    <w:rsid w:val="000C6560"/>
    <w:rsid w:val="000C775F"/>
    <w:rsid w:val="000C7F2F"/>
    <w:rsid w:val="000D2D25"/>
    <w:rsid w:val="000D2D7F"/>
    <w:rsid w:val="000D5981"/>
    <w:rsid w:val="000D77BE"/>
    <w:rsid w:val="000E047D"/>
    <w:rsid w:val="000E1364"/>
    <w:rsid w:val="000E3A0F"/>
    <w:rsid w:val="000E6D95"/>
    <w:rsid w:val="000E71C3"/>
    <w:rsid w:val="000F0C03"/>
    <w:rsid w:val="000F179D"/>
    <w:rsid w:val="000F6849"/>
    <w:rsid w:val="000F7171"/>
    <w:rsid w:val="000F7702"/>
    <w:rsid w:val="0010025E"/>
    <w:rsid w:val="0010401D"/>
    <w:rsid w:val="0011134A"/>
    <w:rsid w:val="00116DD0"/>
    <w:rsid w:val="0012253E"/>
    <w:rsid w:val="0012568F"/>
    <w:rsid w:val="001270FF"/>
    <w:rsid w:val="00130C85"/>
    <w:rsid w:val="00131404"/>
    <w:rsid w:val="0013525F"/>
    <w:rsid w:val="00135CC4"/>
    <w:rsid w:val="00140E7C"/>
    <w:rsid w:val="00141C66"/>
    <w:rsid w:val="001427AE"/>
    <w:rsid w:val="00142F91"/>
    <w:rsid w:val="00144752"/>
    <w:rsid w:val="00145296"/>
    <w:rsid w:val="00145E90"/>
    <w:rsid w:val="00146365"/>
    <w:rsid w:val="001471CE"/>
    <w:rsid w:val="00152F0B"/>
    <w:rsid w:val="001576D3"/>
    <w:rsid w:val="00160CE9"/>
    <w:rsid w:val="00161CA9"/>
    <w:rsid w:val="00163103"/>
    <w:rsid w:val="00166AE4"/>
    <w:rsid w:val="00170906"/>
    <w:rsid w:val="001710E8"/>
    <w:rsid w:val="001728F1"/>
    <w:rsid w:val="00172AAF"/>
    <w:rsid w:val="0017361E"/>
    <w:rsid w:val="00180818"/>
    <w:rsid w:val="00180B96"/>
    <w:rsid w:val="001861A3"/>
    <w:rsid w:val="00186223"/>
    <w:rsid w:val="00192A84"/>
    <w:rsid w:val="001A44A8"/>
    <w:rsid w:val="001A69B9"/>
    <w:rsid w:val="001A7F7F"/>
    <w:rsid w:val="001B07B3"/>
    <w:rsid w:val="001B2A9C"/>
    <w:rsid w:val="001B2E8E"/>
    <w:rsid w:val="001B435D"/>
    <w:rsid w:val="001B45A3"/>
    <w:rsid w:val="001B48DB"/>
    <w:rsid w:val="001B6E4E"/>
    <w:rsid w:val="001B7F8A"/>
    <w:rsid w:val="001C215F"/>
    <w:rsid w:val="001C2A25"/>
    <w:rsid w:val="001C6497"/>
    <w:rsid w:val="001C7C21"/>
    <w:rsid w:val="001D5FC0"/>
    <w:rsid w:val="001E4DE5"/>
    <w:rsid w:val="001E5011"/>
    <w:rsid w:val="001E5193"/>
    <w:rsid w:val="001E7FFD"/>
    <w:rsid w:val="001F2250"/>
    <w:rsid w:val="001F2F9A"/>
    <w:rsid w:val="002017CE"/>
    <w:rsid w:val="0020189E"/>
    <w:rsid w:val="00201F64"/>
    <w:rsid w:val="00202F34"/>
    <w:rsid w:val="0020321A"/>
    <w:rsid w:val="00203E28"/>
    <w:rsid w:val="0020499C"/>
    <w:rsid w:val="00206041"/>
    <w:rsid w:val="00211319"/>
    <w:rsid w:val="00214241"/>
    <w:rsid w:val="00216478"/>
    <w:rsid w:val="002206A3"/>
    <w:rsid w:val="00223122"/>
    <w:rsid w:val="00223C70"/>
    <w:rsid w:val="00232E6B"/>
    <w:rsid w:val="002344D4"/>
    <w:rsid w:val="00236865"/>
    <w:rsid w:val="00237084"/>
    <w:rsid w:val="002402C4"/>
    <w:rsid w:val="00240F7A"/>
    <w:rsid w:val="00247793"/>
    <w:rsid w:val="00247A63"/>
    <w:rsid w:val="00250D58"/>
    <w:rsid w:val="00251E12"/>
    <w:rsid w:val="00253EF0"/>
    <w:rsid w:val="0026175C"/>
    <w:rsid w:val="00262352"/>
    <w:rsid w:val="00263997"/>
    <w:rsid w:val="00267F0E"/>
    <w:rsid w:val="002707FA"/>
    <w:rsid w:val="002720EC"/>
    <w:rsid w:val="00276257"/>
    <w:rsid w:val="002772FA"/>
    <w:rsid w:val="00280741"/>
    <w:rsid w:val="00286CF2"/>
    <w:rsid w:val="00287066"/>
    <w:rsid w:val="00290002"/>
    <w:rsid w:val="002948DD"/>
    <w:rsid w:val="002971A7"/>
    <w:rsid w:val="0029759D"/>
    <w:rsid w:val="002A1CAC"/>
    <w:rsid w:val="002B72EB"/>
    <w:rsid w:val="002C0384"/>
    <w:rsid w:val="002C4536"/>
    <w:rsid w:val="002C4564"/>
    <w:rsid w:val="002C5B5B"/>
    <w:rsid w:val="002C692A"/>
    <w:rsid w:val="002D545A"/>
    <w:rsid w:val="002D6764"/>
    <w:rsid w:val="002D7915"/>
    <w:rsid w:val="002E0ACA"/>
    <w:rsid w:val="002E3600"/>
    <w:rsid w:val="002E44D3"/>
    <w:rsid w:val="002E6F33"/>
    <w:rsid w:val="002F2DED"/>
    <w:rsid w:val="002F3E71"/>
    <w:rsid w:val="002F7F76"/>
    <w:rsid w:val="00300EEA"/>
    <w:rsid w:val="00305281"/>
    <w:rsid w:val="00317A73"/>
    <w:rsid w:val="00320852"/>
    <w:rsid w:val="003226AD"/>
    <w:rsid w:val="00324112"/>
    <w:rsid w:val="003250A8"/>
    <w:rsid w:val="003260CF"/>
    <w:rsid w:val="00326660"/>
    <w:rsid w:val="00330975"/>
    <w:rsid w:val="00332B9D"/>
    <w:rsid w:val="00333A8A"/>
    <w:rsid w:val="003371E9"/>
    <w:rsid w:val="00341372"/>
    <w:rsid w:val="0034148C"/>
    <w:rsid w:val="00345C2F"/>
    <w:rsid w:val="00353559"/>
    <w:rsid w:val="003558B4"/>
    <w:rsid w:val="00356A8A"/>
    <w:rsid w:val="00360BE0"/>
    <w:rsid w:val="0036277E"/>
    <w:rsid w:val="00365298"/>
    <w:rsid w:val="003719A3"/>
    <w:rsid w:val="00373232"/>
    <w:rsid w:val="003739F1"/>
    <w:rsid w:val="00376357"/>
    <w:rsid w:val="00382031"/>
    <w:rsid w:val="0038298F"/>
    <w:rsid w:val="00383540"/>
    <w:rsid w:val="003840AB"/>
    <w:rsid w:val="00384545"/>
    <w:rsid w:val="00384EAA"/>
    <w:rsid w:val="00386015"/>
    <w:rsid w:val="003865D9"/>
    <w:rsid w:val="00387994"/>
    <w:rsid w:val="0039084D"/>
    <w:rsid w:val="00390F79"/>
    <w:rsid w:val="003914C3"/>
    <w:rsid w:val="00392283"/>
    <w:rsid w:val="0039290A"/>
    <w:rsid w:val="00394DFF"/>
    <w:rsid w:val="00396DEA"/>
    <w:rsid w:val="003A2A58"/>
    <w:rsid w:val="003A4E76"/>
    <w:rsid w:val="003A550C"/>
    <w:rsid w:val="003B0A1C"/>
    <w:rsid w:val="003B1DFE"/>
    <w:rsid w:val="003B6684"/>
    <w:rsid w:val="003B727F"/>
    <w:rsid w:val="003B72A9"/>
    <w:rsid w:val="003C096D"/>
    <w:rsid w:val="003D1B9C"/>
    <w:rsid w:val="003D2EA2"/>
    <w:rsid w:val="003D479B"/>
    <w:rsid w:val="003E038D"/>
    <w:rsid w:val="003E060D"/>
    <w:rsid w:val="003E3E5D"/>
    <w:rsid w:val="003E4A64"/>
    <w:rsid w:val="003E5C8E"/>
    <w:rsid w:val="003F1F32"/>
    <w:rsid w:val="003F707F"/>
    <w:rsid w:val="003F7E91"/>
    <w:rsid w:val="004004F4"/>
    <w:rsid w:val="00401E64"/>
    <w:rsid w:val="00402774"/>
    <w:rsid w:val="00403EBA"/>
    <w:rsid w:val="004052BC"/>
    <w:rsid w:val="00411A88"/>
    <w:rsid w:val="00412232"/>
    <w:rsid w:val="00413918"/>
    <w:rsid w:val="00416B5D"/>
    <w:rsid w:val="004172B6"/>
    <w:rsid w:val="00422936"/>
    <w:rsid w:val="00422E30"/>
    <w:rsid w:val="00433651"/>
    <w:rsid w:val="00436712"/>
    <w:rsid w:val="00437524"/>
    <w:rsid w:val="00441378"/>
    <w:rsid w:val="00450FE6"/>
    <w:rsid w:val="004526D6"/>
    <w:rsid w:val="004542C8"/>
    <w:rsid w:val="00455849"/>
    <w:rsid w:val="004559FC"/>
    <w:rsid w:val="00456093"/>
    <w:rsid w:val="00456394"/>
    <w:rsid w:val="00464128"/>
    <w:rsid w:val="004657FA"/>
    <w:rsid w:val="00472F36"/>
    <w:rsid w:val="004738DA"/>
    <w:rsid w:val="0047756D"/>
    <w:rsid w:val="00480480"/>
    <w:rsid w:val="004865E7"/>
    <w:rsid w:val="00491559"/>
    <w:rsid w:val="00491DBE"/>
    <w:rsid w:val="004947DE"/>
    <w:rsid w:val="00496841"/>
    <w:rsid w:val="00497046"/>
    <w:rsid w:val="004A001F"/>
    <w:rsid w:val="004A0180"/>
    <w:rsid w:val="004A0505"/>
    <w:rsid w:val="004A34AD"/>
    <w:rsid w:val="004A3890"/>
    <w:rsid w:val="004B612B"/>
    <w:rsid w:val="004C2BB1"/>
    <w:rsid w:val="004D09F5"/>
    <w:rsid w:val="004D173D"/>
    <w:rsid w:val="004D3173"/>
    <w:rsid w:val="004D43CD"/>
    <w:rsid w:val="004E29D9"/>
    <w:rsid w:val="004E4500"/>
    <w:rsid w:val="004F0644"/>
    <w:rsid w:val="004F098A"/>
    <w:rsid w:val="004F45B9"/>
    <w:rsid w:val="004F6D5C"/>
    <w:rsid w:val="005016B7"/>
    <w:rsid w:val="00503C7A"/>
    <w:rsid w:val="005070F3"/>
    <w:rsid w:val="005110D9"/>
    <w:rsid w:val="00512F64"/>
    <w:rsid w:val="00513E2C"/>
    <w:rsid w:val="00517EA5"/>
    <w:rsid w:val="005224B1"/>
    <w:rsid w:val="0052349A"/>
    <w:rsid w:val="0052485E"/>
    <w:rsid w:val="00525ECE"/>
    <w:rsid w:val="00526A69"/>
    <w:rsid w:val="005312F1"/>
    <w:rsid w:val="0053296E"/>
    <w:rsid w:val="00532A11"/>
    <w:rsid w:val="0053607C"/>
    <w:rsid w:val="00537B93"/>
    <w:rsid w:val="005409D1"/>
    <w:rsid w:val="005467D1"/>
    <w:rsid w:val="005467D5"/>
    <w:rsid w:val="00551A67"/>
    <w:rsid w:val="0055580C"/>
    <w:rsid w:val="00561515"/>
    <w:rsid w:val="005630A2"/>
    <w:rsid w:val="00564930"/>
    <w:rsid w:val="005701B7"/>
    <w:rsid w:val="00570E7E"/>
    <w:rsid w:val="00571AAB"/>
    <w:rsid w:val="005771DB"/>
    <w:rsid w:val="00577E75"/>
    <w:rsid w:val="00580CDE"/>
    <w:rsid w:val="00582684"/>
    <w:rsid w:val="00583FBD"/>
    <w:rsid w:val="00585C8D"/>
    <w:rsid w:val="0059016E"/>
    <w:rsid w:val="005902DD"/>
    <w:rsid w:val="0059195F"/>
    <w:rsid w:val="00593AB8"/>
    <w:rsid w:val="00596906"/>
    <w:rsid w:val="005A0DD2"/>
    <w:rsid w:val="005A1386"/>
    <w:rsid w:val="005A3B16"/>
    <w:rsid w:val="005A7044"/>
    <w:rsid w:val="005A738E"/>
    <w:rsid w:val="005A7F76"/>
    <w:rsid w:val="005B0F81"/>
    <w:rsid w:val="005B1270"/>
    <w:rsid w:val="005B18EB"/>
    <w:rsid w:val="005B1B71"/>
    <w:rsid w:val="005B667A"/>
    <w:rsid w:val="005B6868"/>
    <w:rsid w:val="005C0E88"/>
    <w:rsid w:val="005C0F25"/>
    <w:rsid w:val="005C2148"/>
    <w:rsid w:val="005C7DF2"/>
    <w:rsid w:val="005D1C85"/>
    <w:rsid w:val="005D2F75"/>
    <w:rsid w:val="005D660D"/>
    <w:rsid w:val="005D712E"/>
    <w:rsid w:val="005E33F9"/>
    <w:rsid w:val="005E3745"/>
    <w:rsid w:val="005E4633"/>
    <w:rsid w:val="005E7C38"/>
    <w:rsid w:val="005F1367"/>
    <w:rsid w:val="005F15F1"/>
    <w:rsid w:val="005F2555"/>
    <w:rsid w:val="005F2786"/>
    <w:rsid w:val="005F3E51"/>
    <w:rsid w:val="005F44AE"/>
    <w:rsid w:val="005F5407"/>
    <w:rsid w:val="0060162F"/>
    <w:rsid w:val="00602AA2"/>
    <w:rsid w:val="00603B15"/>
    <w:rsid w:val="00604872"/>
    <w:rsid w:val="00606F49"/>
    <w:rsid w:val="006075F4"/>
    <w:rsid w:val="006114CA"/>
    <w:rsid w:val="00611510"/>
    <w:rsid w:val="00611DB6"/>
    <w:rsid w:val="00613283"/>
    <w:rsid w:val="00614692"/>
    <w:rsid w:val="0061507F"/>
    <w:rsid w:val="00620624"/>
    <w:rsid w:val="00620C77"/>
    <w:rsid w:val="00624596"/>
    <w:rsid w:val="006308B6"/>
    <w:rsid w:val="00632F08"/>
    <w:rsid w:val="006334D1"/>
    <w:rsid w:val="0063424E"/>
    <w:rsid w:val="00643D4D"/>
    <w:rsid w:val="00646652"/>
    <w:rsid w:val="0065060A"/>
    <w:rsid w:val="00650F5E"/>
    <w:rsid w:val="00652B59"/>
    <w:rsid w:val="00657ECB"/>
    <w:rsid w:val="006603A2"/>
    <w:rsid w:val="00661628"/>
    <w:rsid w:val="00667D8C"/>
    <w:rsid w:val="00675FF9"/>
    <w:rsid w:val="00680CD5"/>
    <w:rsid w:val="006831AF"/>
    <w:rsid w:val="00684691"/>
    <w:rsid w:val="00685AC3"/>
    <w:rsid w:val="00687F7D"/>
    <w:rsid w:val="00690902"/>
    <w:rsid w:val="006937CD"/>
    <w:rsid w:val="00694485"/>
    <w:rsid w:val="006A050F"/>
    <w:rsid w:val="006A2489"/>
    <w:rsid w:val="006A66AB"/>
    <w:rsid w:val="006B172C"/>
    <w:rsid w:val="006C1926"/>
    <w:rsid w:val="006C1C54"/>
    <w:rsid w:val="006C4726"/>
    <w:rsid w:val="006C7DEF"/>
    <w:rsid w:val="006D110F"/>
    <w:rsid w:val="006D1525"/>
    <w:rsid w:val="006D1E0F"/>
    <w:rsid w:val="006D36B0"/>
    <w:rsid w:val="006D479C"/>
    <w:rsid w:val="006D7E43"/>
    <w:rsid w:val="006E05D2"/>
    <w:rsid w:val="006E1E56"/>
    <w:rsid w:val="006F3E8D"/>
    <w:rsid w:val="006F47D6"/>
    <w:rsid w:val="006F7A97"/>
    <w:rsid w:val="00700644"/>
    <w:rsid w:val="00701C24"/>
    <w:rsid w:val="00705A56"/>
    <w:rsid w:val="0070615C"/>
    <w:rsid w:val="00711991"/>
    <w:rsid w:val="00712B04"/>
    <w:rsid w:val="00713DC4"/>
    <w:rsid w:val="00714078"/>
    <w:rsid w:val="00717689"/>
    <w:rsid w:val="0072136F"/>
    <w:rsid w:val="0072219F"/>
    <w:rsid w:val="00722922"/>
    <w:rsid w:val="00731763"/>
    <w:rsid w:val="00731B27"/>
    <w:rsid w:val="00731DE9"/>
    <w:rsid w:val="0073265B"/>
    <w:rsid w:val="00733391"/>
    <w:rsid w:val="0073346D"/>
    <w:rsid w:val="00733C1D"/>
    <w:rsid w:val="007344C6"/>
    <w:rsid w:val="0073460A"/>
    <w:rsid w:val="00734E30"/>
    <w:rsid w:val="0073741F"/>
    <w:rsid w:val="007400DC"/>
    <w:rsid w:val="00740658"/>
    <w:rsid w:val="007473A7"/>
    <w:rsid w:val="00751327"/>
    <w:rsid w:val="0075257D"/>
    <w:rsid w:val="00763F76"/>
    <w:rsid w:val="00766173"/>
    <w:rsid w:val="00767281"/>
    <w:rsid w:val="00770C4F"/>
    <w:rsid w:val="00770D5B"/>
    <w:rsid w:val="0077120A"/>
    <w:rsid w:val="00772C4B"/>
    <w:rsid w:val="0077435F"/>
    <w:rsid w:val="007767AA"/>
    <w:rsid w:val="0078036A"/>
    <w:rsid w:val="0078596E"/>
    <w:rsid w:val="0079207A"/>
    <w:rsid w:val="00795B0E"/>
    <w:rsid w:val="00797CBF"/>
    <w:rsid w:val="007A6C06"/>
    <w:rsid w:val="007B1142"/>
    <w:rsid w:val="007B2954"/>
    <w:rsid w:val="007B2E0B"/>
    <w:rsid w:val="007B7237"/>
    <w:rsid w:val="007B7843"/>
    <w:rsid w:val="007B7B60"/>
    <w:rsid w:val="007C1874"/>
    <w:rsid w:val="007C1F8B"/>
    <w:rsid w:val="007C3CEC"/>
    <w:rsid w:val="007C3D4B"/>
    <w:rsid w:val="007C53EF"/>
    <w:rsid w:val="007C62CA"/>
    <w:rsid w:val="007D2690"/>
    <w:rsid w:val="007E0CD5"/>
    <w:rsid w:val="007E2079"/>
    <w:rsid w:val="007E602B"/>
    <w:rsid w:val="007F2E93"/>
    <w:rsid w:val="007F34E3"/>
    <w:rsid w:val="007F3D0E"/>
    <w:rsid w:val="007F5AA9"/>
    <w:rsid w:val="00801CC4"/>
    <w:rsid w:val="00803D81"/>
    <w:rsid w:val="008052EF"/>
    <w:rsid w:val="0080599C"/>
    <w:rsid w:val="0081308C"/>
    <w:rsid w:val="00813092"/>
    <w:rsid w:val="008134A8"/>
    <w:rsid w:val="00813868"/>
    <w:rsid w:val="00816393"/>
    <w:rsid w:val="00823434"/>
    <w:rsid w:val="00831DB4"/>
    <w:rsid w:val="00832D92"/>
    <w:rsid w:val="0083356A"/>
    <w:rsid w:val="0083363B"/>
    <w:rsid w:val="00835BCF"/>
    <w:rsid w:val="00835FE6"/>
    <w:rsid w:val="0084501D"/>
    <w:rsid w:val="008465F8"/>
    <w:rsid w:val="00850095"/>
    <w:rsid w:val="00851A46"/>
    <w:rsid w:val="0085376B"/>
    <w:rsid w:val="00853933"/>
    <w:rsid w:val="00854559"/>
    <w:rsid w:val="00854979"/>
    <w:rsid w:val="0085787C"/>
    <w:rsid w:val="008621B1"/>
    <w:rsid w:val="008647B1"/>
    <w:rsid w:val="00864998"/>
    <w:rsid w:val="00864B86"/>
    <w:rsid w:val="00865C43"/>
    <w:rsid w:val="00867250"/>
    <w:rsid w:val="00867E94"/>
    <w:rsid w:val="0087060F"/>
    <w:rsid w:val="008829B8"/>
    <w:rsid w:val="0088350E"/>
    <w:rsid w:val="00884ADF"/>
    <w:rsid w:val="008875EC"/>
    <w:rsid w:val="008949A2"/>
    <w:rsid w:val="00897A76"/>
    <w:rsid w:val="008A1B63"/>
    <w:rsid w:val="008A4189"/>
    <w:rsid w:val="008A5685"/>
    <w:rsid w:val="008B1982"/>
    <w:rsid w:val="008B4B9A"/>
    <w:rsid w:val="008B4BD7"/>
    <w:rsid w:val="008B69F6"/>
    <w:rsid w:val="008C0F9D"/>
    <w:rsid w:val="008C2848"/>
    <w:rsid w:val="008C685E"/>
    <w:rsid w:val="008D2C61"/>
    <w:rsid w:val="008D32AC"/>
    <w:rsid w:val="008D375B"/>
    <w:rsid w:val="008E2557"/>
    <w:rsid w:val="008E2E26"/>
    <w:rsid w:val="008E4302"/>
    <w:rsid w:val="008E4EEE"/>
    <w:rsid w:val="008E6C7E"/>
    <w:rsid w:val="008E7BFA"/>
    <w:rsid w:val="008F04A2"/>
    <w:rsid w:val="008F0832"/>
    <w:rsid w:val="008F54B7"/>
    <w:rsid w:val="008F7684"/>
    <w:rsid w:val="009045C3"/>
    <w:rsid w:val="00906D41"/>
    <w:rsid w:val="00910940"/>
    <w:rsid w:val="00912959"/>
    <w:rsid w:val="00912DBA"/>
    <w:rsid w:val="00914260"/>
    <w:rsid w:val="00921C40"/>
    <w:rsid w:val="00924D5D"/>
    <w:rsid w:val="0092550E"/>
    <w:rsid w:val="00926F22"/>
    <w:rsid w:val="0093026A"/>
    <w:rsid w:val="009346C9"/>
    <w:rsid w:val="00936788"/>
    <w:rsid w:val="00937BBB"/>
    <w:rsid w:val="0094130E"/>
    <w:rsid w:val="00942E58"/>
    <w:rsid w:val="00943E7E"/>
    <w:rsid w:val="00945C1E"/>
    <w:rsid w:val="00947244"/>
    <w:rsid w:val="00952CAA"/>
    <w:rsid w:val="009626D9"/>
    <w:rsid w:val="00962F0D"/>
    <w:rsid w:val="009651EF"/>
    <w:rsid w:val="00966269"/>
    <w:rsid w:val="00973FF2"/>
    <w:rsid w:val="00977D3F"/>
    <w:rsid w:val="0098043D"/>
    <w:rsid w:val="009832B0"/>
    <w:rsid w:val="009841EF"/>
    <w:rsid w:val="00987C18"/>
    <w:rsid w:val="0099243D"/>
    <w:rsid w:val="00993A99"/>
    <w:rsid w:val="00993BFA"/>
    <w:rsid w:val="00994A98"/>
    <w:rsid w:val="00995C99"/>
    <w:rsid w:val="009969C8"/>
    <w:rsid w:val="009A1BD6"/>
    <w:rsid w:val="009A25DE"/>
    <w:rsid w:val="009A295B"/>
    <w:rsid w:val="009C45C9"/>
    <w:rsid w:val="009D1026"/>
    <w:rsid w:val="009D17AD"/>
    <w:rsid w:val="009D2398"/>
    <w:rsid w:val="009D2C9D"/>
    <w:rsid w:val="009D3770"/>
    <w:rsid w:val="009D534C"/>
    <w:rsid w:val="009D732B"/>
    <w:rsid w:val="009E0216"/>
    <w:rsid w:val="009E0FB0"/>
    <w:rsid w:val="009E1D01"/>
    <w:rsid w:val="009E6283"/>
    <w:rsid w:val="009E7C94"/>
    <w:rsid w:val="009E7D31"/>
    <w:rsid w:val="009F18A1"/>
    <w:rsid w:val="009F18EF"/>
    <w:rsid w:val="009F1B5E"/>
    <w:rsid w:val="009F7430"/>
    <w:rsid w:val="009F78DC"/>
    <w:rsid w:val="00A045B7"/>
    <w:rsid w:val="00A0465C"/>
    <w:rsid w:val="00A04AC1"/>
    <w:rsid w:val="00A05198"/>
    <w:rsid w:val="00A0708F"/>
    <w:rsid w:val="00A0710E"/>
    <w:rsid w:val="00A23B5E"/>
    <w:rsid w:val="00A24205"/>
    <w:rsid w:val="00A27639"/>
    <w:rsid w:val="00A30231"/>
    <w:rsid w:val="00A30B83"/>
    <w:rsid w:val="00A32019"/>
    <w:rsid w:val="00A32B9A"/>
    <w:rsid w:val="00A35BD8"/>
    <w:rsid w:val="00A40983"/>
    <w:rsid w:val="00A417A4"/>
    <w:rsid w:val="00A42D99"/>
    <w:rsid w:val="00A447B2"/>
    <w:rsid w:val="00A46212"/>
    <w:rsid w:val="00A47636"/>
    <w:rsid w:val="00A5125A"/>
    <w:rsid w:val="00A513EF"/>
    <w:rsid w:val="00A51AC6"/>
    <w:rsid w:val="00A52F41"/>
    <w:rsid w:val="00A53A3F"/>
    <w:rsid w:val="00A546CC"/>
    <w:rsid w:val="00A54FDD"/>
    <w:rsid w:val="00A55860"/>
    <w:rsid w:val="00A70E29"/>
    <w:rsid w:val="00A74714"/>
    <w:rsid w:val="00A762D1"/>
    <w:rsid w:val="00A77769"/>
    <w:rsid w:val="00A77E41"/>
    <w:rsid w:val="00A801C3"/>
    <w:rsid w:val="00A80FD0"/>
    <w:rsid w:val="00A81C78"/>
    <w:rsid w:val="00A843F8"/>
    <w:rsid w:val="00A92F27"/>
    <w:rsid w:val="00A93ED6"/>
    <w:rsid w:val="00A95AC3"/>
    <w:rsid w:val="00AA3051"/>
    <w:rsid w:val="00AA65B5"/>
    <w:rsid w:val="00AA729E"/>
    <w:rsid w:val="00AB2E7C"/>
    <w:rsid w:val="00AB2F74"/>
    <w:rsid w:val="00AB4317"/>
    <w:rsid w:val="00AC068C"/>
    <w:rsid w:val="00AC0843"/>
    <w:rsid w:val="00AC08CE"/>
    <w:rsid w:val="00AC3188"/>
    <w:rsid w:val="00AC729B"/>
    <w:rsid w:val="00AD14FB"/>
    <w:rsid w:val="00AE0A93"/>
    <w:rsid w:val="00AE37BC"/>
    <w:rsid w:val="00AE3B3D"/>
    <w:rsid w:val="00AE727C"/>
    <w:rsid w:val="00AE7609"/>
    <w:rsid w:val="00AE76C0"/>
    <w:rsid w:val="00AF28FA"/>
    <w:rsid w:val="00AF7D91"/>
    <w:rsid w:val="00B05A43"/>
    <w:rsid w:val="00B10E78"/>
    <w:rsid w:val="00B12C03"/>
    <w:rsid w:val="00B131E6"/>
    <w:rsid w:val="00B13353"/>
    <w:rsid w:val="00B2000A"/>
    <w:rsid w:val="00B25457"/>
    <w:rsid w:val="00B263CA"/>
    <w:rsid w:val="00B26D91"/>
    <w:rsid w:val="00B3003E"/>
    <w:rsid w:val="00B37118"/>
    <w:rsid w:val="00B42FF0"/>
    <w:rsid w:val="00B43683"/>
    <w:rsid w:val="00B4438E"/>
    <w:rsid w:val="00B45DF5"/>
    <w:rsid w:val="00B5108E"/>
    <w:rsid w:val="00B53E0F"/>
    <w:rsid w:val="00B571E4"/>
    <w:rsid w:val="00B62560"/>
    <w:rsid w:val="00B63247"/>
    <w:rsid w:val="00B63AD2"/>
    <w:rsid w:val="00B63CEA"/>
    <w:rsid w:val="00B64C96"/>
    <w:rsid w:val="00B705E5"/>
    <w:rsid w:val="00B7149D"/>
    <w:rsid w:val="00B716B0"/>
    <w:rsid w:val="00B72C9C"/>
    <w:rsid w:val="00B751CA"/>
    <w:rsid w:val="00B759DE"/>
    <w:rsid w:val="00B80C50"/>
    <w:rsid w:val="00B83EC8"/>
    <w:rsid w:val="00B867BE"/>
    <w:rsid w:val="00B90C51"/>
    <w:rsid w:val="00B963F2"/>
    <w:rsid w:val="00BA1751"/>
    <w:rsid w:val="00BA2D0E"/>
    <w:rsid w:val="00BA3FDB"/>
    <w:rsid w:val="00BA50A4"/>
    <w:rsid w:val="00BA51A8"/>
    <w:rsid w:val="00BA524D"/>
    <w:rsid w:val="00BA5330"/>
    <w:rsid w:val="00BB2518"/>
    <w:rsid w:val="00BC26CD"/>
    <w:rsid w:val="00BC4FFC"/>
    <w:rsid w:val="00BC5885"/>
    <w:rsid w:val="00BC7104"/>
    <w:rsid w:val="00BD0475"/>
    <w:rsid w:val="00BD37FC"/>
    <w:rsid w:val="00BD503E"/>
    <w:rsid w:val="00BE1182"/>
    <w:rsid w:val="00BE59A2"/>
    <w:rsid w:val="00BE756C"/>
    <w:rsid w:val="00BE7A23"/>
    <w:rsid w:val="00BF3071"/>
    <w:rsid w:val="00BF48E7"/>
    <w:rsid w:val="00BF74B9"/>
    <w:rsid w:val="00BF7E57"/>
    <w:rsid w:val="00C01470"/>
    <w:rsid w:val="00C01ABD"/>
    <w:rsid w:val="00C01FEA"/>
    <w:rsid w:val="00C024D7"/>
    <w:rsid w:val="00C0260C"/>
    <w:rsid w:val="00C03F83"/>
    <w:rsid w:val="00C0502F"/>
    <w:rsid w:val="00C12D0C"/>
    <w:rsid w:val="00C14003"/>
    <w:rsid w:val="00C167B6"/>
    <w:rsid w:val="00C16D04"/>
    <w:rsid w:val="00C20667"/>
    <w:rsid w:val="00C221F5"/>
    <w:rsid w:val="00C2753B"/>
    <w:rsid w:val="00C279F4"/>
    <w:rsid w:val="00C302E0"/>
    <w:rsid w:val="00C34490"/>
    <w:rsid w:val="00C35272"/>
    <w:rsid w:val="00C355A3"/>
    <w:rsid w:val="00C40C4A"/>
    <w:rsid w:val="00C43852"/>
    <w:rsid w:val="00C50559"/>
    <w:rsid w:val="00C537D0"/>
    <w:rsid w:val="00C564B0"/>
    <w:rsid w:val="00C5704F"/>
    <w:rsid w:val="00C57228"/>
    <w:rsid w:val="00C61C34"/>
    <w:rsid w:val="00C6395D"/>
    <w:rsid w:val="00C64940"/>
    <w:rsid w:val="00C65BBA"/>
    <w:rsid w:val="00C66E62"/>
    <w:rsid w:val="00C66F92"/>
    <w:rsid w:val="00C73EEA"/>
    <w:rsid w:val="00C74E68"/>
    <w:rsid w:val="00C805BD"/>
    <w:rsid w:val="00C811CF"/>
    <w:rsid w:val="00C8249E"/>
    <w:rsid w:val="00C8331C"/>
    <w:rsid w:val="00C84154"/>
    <w:rsid w:val="00C84299"/>
    <w:rsid w:val="00C85A02"/>
    <w:rsid w:val="00C86748"/>
    <w:rsid w:val="00C902BF"/>
    <w:rsid w:val="00C9225D"/>
    <w:rsid w:val="00C949D4"/>
    <w:rsid w:val="00C97B72"/>
    <w:rsid w:val="00CA2977"/>
    <w:rsid w:val="00CA4339"/>
    <w:rsid w:val="00CA480A"/>
    <w:rsid w:val="00CA6187"/>
    <w:rsid w:val="00CA72E9"/>
    <w:rsid w:val="00CB0F2B"/>
    <w:rsid w:val="00CC1AEA"/>
    <w:rsid w:val="00CC31C9"/>
    <w:rsid w:val="00CD4BB2"/>
    <w:rsid w:val="00CD7948"/>
    <w:rsid w:val="00CE0B15"/>
    <w:rsid w:val="00CE1FF6"/>
    <w:rsid w:val="00CE2BF8"/>
    <w:rsid w:val="00CE2D64"/>
    <w:rsid w:val="00CE3A95"/>
    <w:rsid w:val="00CE4B1A"/>
    <w:rsid w:val="00CF0321"/>
    <w:rsid w:val="00CF08F3"/>
    <w:rsid w:val="00CF1C6F"/>
    <w:rsid w:val="00CF29DB"/>
    <w:rsid w:val="00CF5AB1"/>
    <w:rsid w:val="00D008E5"/>
    <w:rsid w:val="00D017FC"/>
    <w:rsid w:val="00D04CAC"/>
    <w:rsid w:val="00D062C2"/>
    <w:rsid w:val="00D153C1"/>
    <w:rsid w:val="00D168A7"/>
    <w:rsid w:val="00D202AF"/>
    <w:rsid w:val="00D21F94"/>
    <w:rsid w:val="00D26871"/>
    <w:rsid w:val="00D30418"/>
    <w:rsid w:val="00D33348"/>
    <w:rsid w:val="00D36860"/>
    <w:rsid w:val="00D37137"/>
    <w:rsid w:val="00D41A52"/>
    <w:rsid w:val="00D423EA"/>
    <w:rsid w:val="00D44167"/>
    <w:rsid w:val="00D458C3"/>
    <w:rsid w:val="00D45CB6"/>
    <w:rsid w:val="00D462CD"/>
    <w:rsid w:val="00D4717F"/>
    <w:rsid w:val="00D478AC"/>
    <w:rsid w:val="00D512A6"/>
    <w:rsid w:val="00D54621"/>
    <w:rsid w:val="00D5602C"/>
    <w:rsid w:val="00D63D01"/>
    <w:rsid w:val="00D65D5F"/>
    <w:rsid w:val="00D670BF"/>
    <w:rsid w:val="00D73340"/>
    <w:rsid w:val="00D774BC"/>
    <w:rsid w:val="00D8009A"/>
    <w:rsid w:val="00D8220A"/>
    <w:rsid w:val="00D863A9"/>
    <w:rsid w:val="00D8700F"/>
    <w:rsid w:val="00D91B1F"/>
    <w:rsid w:val="00D93097"/>
    <w:rsid w:val="00D9540A"/>
    <w:rsid w:val="00D96209"/>
    <w:rsid w:val="00D96BB4"/>
    <w:rsid w:val="00D97A62"/>
    <w:rsid w:val="00DA2325"/>
    <w:rsid w:val="00DA7346"/>
    <w:rsid w:val="00DB07AB"/>
    <w:rsid w:val="00DB4391"/>
    <w:rsid w:val="00DC3701"/>
    <w:rsid w:val="00DC3F0B"/>
    <w:rsid w:val="00DC59C2"/>
    <w:rsid w:val="00DC5E8B"/>
    <w:rsid w:val="00DC6E28"/>
    <w:rsid w:val="00DD0F74"/>
    <w:rsid w:val="00DD12D7"/>
    <w:rsid w:val="00DD1758"/>
    <w:rsid w:val="00DD31AD"/>
    <w:rsid w:val="00DD34DF"/>
    <w:rsid w:val="00DD3B3F"/>
    <w:rsid w:val="00DD409F"/>
    <w:rsid w:val="00DE386E"/>
    <w:rsid w:val="00DE5E3F"/>
    <w:rsid w:val="00DE643D"/>
    <w:rsid w:val="00DF10A1"/>
    <w:rsid w:val="00DF5799"/>
    <w:rsid w:val="00DF5A0E"/>
    <w:rsid w:val="00E011EF"/>
    <w:rsid w:val="00E01F72"/>
    <w:rsid w:val="00E020CE"/>
    <w:rsid w:val="00E029B6"/>
    <w:rsid w:val="00E12D40"/>
    <w:rsid w:val="00E14353"/>
    <w:rsid w:val="00E150C2"/>
    <w:rsid w:val="00E172E5"/>
    <w:rsid w:val="00E17362"/>
    <w:rsid w:val="00E23678"/>
    <w:rsid w:val="00E334BD"/>
    <w:rsid w:val="00E358F5"/>
    <w:rsid w:val="00E40C8F"/>
    <w:rsid w:val="00E41DB6"/>
    <w:rsid w:val="00E42048"/>
    <w:rsid w:val="00E425E4"/>
    <w:rsid w:val="00E435D3"/>
    <w:rsid w:val="00E45CFB"/>
    <w:rsid w:val="00E46CDD"/>
    <w:rsid w:val="00E46D19"/>
    <w:rsid w:val="00E46F83"/>
    <w:rsid w:val="00E50680"/>
    <w:rsid w:val="00E51189"/>
    <w:rsid w:val="00E5771F"/>
    <w:rsid w:val="00E57F0C"/>
    <w:rsid w:val="00E6498E"/>
    <w:rsid w:val="00E64CF3"/>
    <w:rsid w:val="00E66322"/>
    <w:rsid w:val="00E669F7"/>
    <w:rsid w:val="00E727D3"/>
    <w:rsid w:val="00E7648B"/>
    <w:rsid w:val="00E77D01"/>
    <w:rsid w:val="00E90755"/>
    <w:rsid w:val="00E93C87"/>
    <w:rsid w:val="00E952D2"/>
    <w:rsid w:val="00E96116"/>
    <w:rsid w:val="00EA2E4C"/>
    <w:rsid w:val="00EA36E1"/>
    <w:rsid w:val="00EA6147"/>
    <w:rsid w:val="00EA73AB"/>
    <w:rsid w:val="00EB13D8"/>
    <w:rsid w:val="00EB610C"/>
    <w:rsid w:val="00EC09B5"/>
    <w:rsid w:val="00EC4FBC"/>
    <w:rsid w:val="00EC6655"/>
    <w:rsid w:val="00EC6FD8"/>
    <w:rsid w:val="00EC7266"/>
    <w:rsid w:val="00ED040F"/>
    <w:rsid w:val="00ED1E7C"/>
    <w:rsid w:val="00ED284B"/>
    <w:rsid w:val="00ED3453"/>
    <w:rsid w:val="00ED578F"/>
    <w:rsid w:val="00ED7C50"/>
    <w:rsid w:val="00EE0938"/>
    <w:rsid w:val="00EF2802"/>
    <w:rsid w:val="00EF4E4E"/>
    <w:rsid w:val="00EF5E87"/>
    <w:rsid w:val="00EF7E2F"/>
    <w:rsid w:val="00F01307"/>
    <w:rsid w:val="00F023D3"/>
    <w:rsid w:val="00F03EC5"/>
    <w:rsid w:val="00F1027D"/>
    <w:rsid w:val="00F113B1"/>
    <w:rsid w:val="00F1211D"/>
    <w:rsid w:val="00F1255A"/>
    <w:rsid w:val="00F13529"/>
    <w:rsid w:val="00F14DC8"/>
    <w:rsid w:val="00F1514B"/>
    <w:rsid w:val="00F1630B"/>
    <w:rsid w:val="00F17E13"/>
    <w:rsid w:val="00F20425"/>
    <w:rsid w:val="00F22385"/>
    <w:rsid w:val="00F22708"/>
    <w:rsid w:val="00F22945"/>
    <w:rsid w:val="00F25C63"/>
    <w:rsid w:val="00F303C8"/>
    <w:rsid w:val="00F33DB3"/>
    <w:rsid w:val="00F360DF"/>
    <w:rsid w:val="00F37EEC"/>
    <w:rsid w:val="00F425C8"/>
    <w:rsid w:val="00F429EF"/>
    <w:rsid w:val="00F44E62"/>
    <w:rsid w:val="00F50823"/>
    <w:rsid w:val="00F50CB1"/>
    <w:rsid w:val="00F51C9F"/>
    <w:rsid w:val="00F5254D"/>
    <w:rsid w:val="00F5427E"/>
    <w:rsid w:val="00F618FE"/>
    <w:rsid w:val="00F626E5"/>
    <w:rsid w:val="00F62C73"/>
    <w:rsid w:val="00F657BE"/>
    <w:rsid w:val="00F65B92"/>
    <w:rsid w:val="00F7076B"/>
    <w:rsid w:val="00F718EC"/>
    <w:rsid w:val="00F732C4"/>
    <w:rsid w:val="00F766CD"/>
    <w:rsid w:val="00F76868"/>
    <w:rsid w:val="00F77BD0"/>
    <w:rsid w:val="00F80941"/>
    <w:rsid w:val="00F87E6B"/>
    <w:rsid w:val="00F90439"/>
    <w:rsid w:val="00F90A68"/>
    <w:rsid w:val="00F93492"/>
    <w:rsid w:val="00F95AE3"/>
    <w:rsid w:val="00FA4A97"/>
    <w:rsid w:val="00FA5761"/>
    <w:rsid w:val="00FB257A"/>
    <w:rsid w:val="00FB38E7"/>
    <w:rsid w:val="00FB7077"/>
    <w:rsid w:val="00FC0216"/>
    <w:rsid w:val="00FC1329"/>
    <w:rsid w:val="00FC150F"/>
    <w:rsid w:val="00FC16F5"/>
    <w:rsid w:val="00FC7B0D"/>
    <w:rsid w:val="00FC7DC5"/>
    <w:rsid w:val="00FD294F"/>
    <w:rsid w:val="00FD318F"/>
    <w:rsid w:val="00FD36C1"/>
    <w:rsid w:val="00FD37F8"/>
    <w:rsid w:val="00FD79A0"/>
    <w:rsid w:val="00FE0484"/>
    <w:rsid w:val="00FE2F80"/>
    <w:rsid w:val="00FE4928"/>
    <w:rsid w:val="00FF16E0"/>
    <w:rsid w:val="00FF2A8E"/>
    <w:rsid w:val="00FF4C1A"/>
    <w:rsid w:val="00FF51F9"/>
    <w:rsid w:val="00FF64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88BB4"/>
  <w15:docId w15:val="{19895CF4-9E71-46E8-8A8A-9937ADDB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160C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8"/>
    <w:unhideWhenUsed/>
    <w:qFormat/>
    <w:rsid w:val="009E0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link w:val="Naslov3Znak"/>
    <w:uiPriority w:val="9"/>
    <w:qFormat/>
    <w:rsid w:val="009E0216"/>
    <w:pPr>
      <w:keepNext/>
      <w:tabs>
        <w:tab w:val="left" w:pos="360"/>
        <w:tab w:val="left" w:pos="4537"/>
      </w:tabs>
      <w:spacing w:after="0" w:line="260" w:lineRule="atLeast"/>
      <w:jc w:val="both"/>
      <w:outlineLvl w:val="2"/>
    </w:pPr>
    <w:rPr>
      <w:rFonts w:ascii="Arial" w:eastAsia="Times New Roman" w:hAnsi="Arial" w:cs="Times New Roman"/>
      <w:b/>
      <w:color w:val="00B050"/>
      <w:szCs w:val="20"/>
      <w:lang w:eastAsia="en-GB"/>
    </w:rPr>
  </w:style>
  <w:style w:type="paragraph" w:styleId="Naslov4">
    <w:name w:val="heading 4"/>
    <w:basedOn w:val="Navaden"/>
    <w:link w:val="Naslov4Znak"/>
    <w:uiPriority w:val="10"/>
    <w:qFormat/>
    <w:rsid w:val="009E0216"/>
    <w:pPr>
      <w:keepNext/>
      <w:tabs>
        <w:tab w:val="left" w:pos="0"/>
        <w:tab w:val="left" w:pos="480"/>
        <w:tab w:val="left" w:pos="906"/>
        <w:tab w:val="left" w:pos="4537"/>
      </w:tabs>
      <w:spacing w:after="0" w:line="240" w:lineRule="auto"/>
      <w:jc w:val="both"/>
      <w:outlineLvl w:val="3"/>
    </w:pPr>
    <w:rPr>
      <w:rFonts w:ascii="Arial" w:eastAsia="Times New Roman" w:hAnsi="Arial" w:cs="Times New Roman"/>
      <w:b/>
      <w:color w:val="00B050"/>
      <w:szCs w:val="24"/>
      <w:lang w:eastAsia="en-GB"/>
    </w:rPr>
  </w:style>
  <w:style w:type="paragraph" w:styleId="Naslov5">
    <w:name w:val="heading 5"/>
    <w:basedOn w:val="Navaden"/>
    <w:next w:val="Navaden"/>
    <w:link w:val="Naslov5Znak"/>
    <w:uiPriority w:val="11"/>
    <w:qFormat/>
    <w:rsid w:val="009E0216"/>
    <w:pPr>
      <w:spacing w:after="0" w:line="240" w:lineRule="auto"/>
      <w:ind w:left="4040" w:hanging="708"/>
      <w:jc w:val="both"/>
      <w:outlineLvl w:val="4"/>
    </w:pPr>
    <w:rPr>
      <w:rFonts w:ascii="Arial" w:eastAsia="Arial" w:hAnsi="Arial" w:cs="Times New Roman"/>
      <w:lang w:eastAsia="en-GB"/>
    </w:rPr>
  </w:style>
  <w:style w:type="paragraph" w:styleId="Naslov6">
    <w:name w:val="heading 6"/>
    <w:basedOn w:val="Navaden"/>
    <w:next w:val="Navaden"/>
    <w:link w:val="Naslov6Znak"/>
    <w:qFormat/>
    <w:rsid w:val="009E0216"/>
    <w:pPr>
      <w:spacing w:after="0" w:line="240" w:lineRule="auto"/>
      <w:ind w:left="4748" w:hanging="708"/>
      <w:jc w:val="both"/>
      <w:outlineLvl w:val="5"/>
    </w:pPr>
    <w:rPr>
      <w:rFonts w:ascii="Arial" w:eastAsia="Arial" w:hAnsi="Arial" w:cs="Times New Roman"/>
      <w:i/>
      <w:lang w:eastAsia="en-GB"/>
    </w:rPr>
  </w:style>
  <w:style w:type="paragraph" w:styleId="Naslov7">
    <w:name w:val="heading 7"/>
    <w:basedOn w:val="Navaden"/>
    <w:next w:val="Navaden"/>
    <w:link w:val="Naslov7Znak"/>
    <w:qFormat/>
    <w:rsid w:val="009E0216"/>
    <w:pPr>
      <w:spacing w:after="0" w:line="240" w:lineRule="auto"/>
      <w:ind w:left="5456" w:hanging="708"/>
      <w:jc w:val="both"/>
      <w:outlineLvl w:val="6"/>
    </w:pPr>
    <w:rPr>
      <w:rFonts w:ascii="Arial" w:eastAsia="Arial" w:hAnsi="Arial" w:cs="Times New Roman"/>
      <w:sz w:val="20"/>
      <w:szCs w:val="20"/>
      <w:lang w:eastAsia="en-GB"/>
    </w:rPr>
  </w:style>
  <w:style w:type="paragraph" w:styleId="Naslov8">
    <w:name w:val="heading 8"/>
    <w:basedOn w:val="Navaden"/>
    <w:next w:val="Navaden"/>
    <w:link w:val="Naslov8Znak"/>
    <w:qFormat/>
    <w:rsid w:val="009E0216"/>
    <w:pPr>
      <w:spacing w:after="0" w:line="240" w:lineRule="auto"/>
      <w:ind w:left="6164" w:hanging="708"/>
      <w:jc w:val="both"/>
      <w:outlineLvl w:val="7"/>
    </w:pPr>
    <w:rPr>
      <w:rFonts w:ascii="Arial" w:eastAsia="Arial" w:hAnsi="Arial" w:cs="Times New Roman"/>
      <w:i/>
      <w:sz w:val="20"/>
      <w:szCs w:val="20"/>
      <w:lang w:eastAsia="en-GB"/>
    </w:rPr>
  </w:style>
  <w:style w:type="paragraph" w:styleId="Naslov9">
    <w:name w:val="heading 9"/>
    <w:basedOn w:val="Navaden"/>
    <w:next w:val="Navaden"/>
    <w:link w:val="Naslov9Znak"/>
    <w:qFormat/>
    <w:rsid w:val="009E0216"/>
    <w:pPr>
      <w:spacing w:after="0" w:line="240" w:lineRule="auto"/>
      <w:ind w:left="6872" w:hanging="708"/>
      <w:jc w:val="both"/>
      <w:outlineLvl w:val="8"/>
    </w:pPr>
    <w:rPr>
      <w:rFonts w:ascii="Arial" w:eastAsia="Arial" w:hAnsi="Arial" w:cs="Times New Roman"/>
      <w:i/>
      <w:sz w:val="18"/>
      <w:szCs w:val="18"/>
      <w:lang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60CE9"/>
    <w:rPr>
      <w:rFonts w:asciiTheme="majorHAnsi" w:eastAsiaTheme="majorEastAsia" w:hAnsiTheme="majorHAnsi" w:cstheme="majorBidi"/>
      <w:color w:val="365F91" w:themeColor="accent1" w:themeShade="BF"/>
      <w:sz w:val="32"/>
      <w:szCs w:val="32"/>
    </w:rPr>
  </w:style>
  <w:style w:type="paragraph" w:styleId="Odstavekseznama">
    <w:name w:val="List Paragraph"/>
    <w:aliases w:val="Odstavec1"/>
    <w:basedOn w:val="Navaden"/>
    <w:link w:val="OdstavekseznamaZnak"/>
    <w:uiPriority w:val="34"/>
    <w:qFormat/>
    <w:rsid w:val="00CA6187"/>
    <w:pPr>
      <w:ind w:left="720"/>
      <w:contextualSpacing/>
    </w:pPr>
  </w:style>
  <w:style w:type="table" w:styleId="Tabelamrea">
    <w:name w:val="Table Grid"/>
    <w:basedOn w:val="Navadnatabela"/>
    <w:uiPriority w:val="59"/>
    <w:rsid w:val="00CA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3">
    <w:name w:val="Light List Accent 3"/>
    <w:basedOn w:val="Navadnatabela"/>
    <w:uiPriority w:val="61"/>
    <w:rsid w:val="003A4E76"/>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Cslika">
    <w:name w:val="SC_slika"/>
    <w:basedOn w:val="Navaden"/>
    <w:qFormat/>
    <w:rsid w:val="000353F0"/>
    <w:pPr>
      <w:spacing w:before="80" w:after="80" w:line="264" w:lineRule="auto"/>
      <w:jc w:val="both"/>
    </w:pPr>
    <w:rPr>
      <w:rFonts w:ascii="Arial" w:eastAsia="Times New Roman" w:hAnsi="Arial" w:cs="Arial"/>
      <w:noProof/>
      <w:sz w:val="20"/>
      <w:szCs w:val="24"/>
      <w:lang w:eastAsia="sl-SI"/>
    </w:rPr>
  </w:style>
  <w:style w:type="paragraph" w:customStyle="1" w:styleId="SCPreglednica">
    <w:name w:val="SC Preglednica"/>
    <w:basedOn w:val="Navaden"/>
    <w:next w:val="Navaden"/>
    <w:link w:val="SCPreglednicaZnak"/>
    <w:qFormat/>
    <w:rsid w:val="000353F0"/>
    <w:pPr>
      <w:spacing w:before="240" w:after="120"/>
      <w:jc w:val="both"/>
    </w:pPr>
    <w:rPr>
      <w:rFonts w:ascii="Arial" w:hAnsi="Arial"/>
      <w:sz w:val="20"/>
    </w:rPr>
  </w:style>
  <w:style w:type="character" w:customStyle="1" w:styleId="SCPreglednicaZnak">
    <w:name w:val="SC Preglednica Znak"/>
    <w:basedOn w:val="Privzetapisavaodstavka"/>
    <w:link w:val="SCPreglednica"/>
    <w:rsid w:val="000353F0"/>
    <w:rPr>
      <w:rFonts w:ascii="Arial" w:hAnsi="Arial"/>
      <w:sz w:val="20"/>
    </w:rPr>
  </w:style>
  <w:style w:type="character" w:styleId="Hiperpovezava">
    <w:name w:val="Hyperlink"/>
    <w:basedOn w:val="Privzetapisavaodstavka"/>
    <w:uiPriority w:val="99"/>
    <w:unhideWhenUsed/>
    <w:rsid w:val="00993BFA"/>
    <w:rPr>
      <w:color w:val="0000FF" w:themeColor="hyperlink"/>
      <w:u w:val="single"/>
    </w:rPr>
  </w:style>
  <w:style w:type="paragraph" w:styleId="Glava">
    <w:name w:val="header"/>
    <w:basedOn w:val="Navaden"/>
    <w:link w:val="GlavaZnak"/>
    <w:uiPriority w:val="99"/>
    <w:unhideWhenUsed/>
    <w:rsid w:val="00240F7A"/>
    <w:pPr>
      <w:tabs>
        <w:tab w:val="center" w:pos="4536"/>
        <w:tab w:val="right" w:pos="9072"/>
      </w:tabs>
      <w:spacing w:after="0" w:line="240" w:lineRule="auto"/>
    </w:pPr>
  </w:style>
  <w:style w:type="character" w:customStyle="1" w:styleId="GlavaZnak">
    <w:name w:val="Glava Znak"/>
    <w:basedOn w:val="Privzetapisavaodstavka"/>
    <w:link w:val="Glava"/>
    <w:uiPriority w:val="99"/>
    <w:rsid w:val="00240F7A"/>
  </w:style>
  <w:style w:type="paragraph" w:styleId="Noga">
    <w:name w:val="footer"/>
    <w:basedOn w:val="Navaden"/>
    <w:link w:val="NogaZnak"/>
    <w:uiPriority w:val="99"/>
    <w:unhideWhenUsed/>
    <w:rsid w:val="00240F7A"/>
    <w:pPr>
      <w:tabs>
        <w:tab w:val="center" w:pos="4536"/>
        <w:tab w:val="right" w:pos="9072"/>
      </w:tabs>
      <w:spacing w:after="0" w:line="240" w:lineRule="auto"/>
    </w:pPr>
  </w:style>
  <w:style w:type="character" w:customStyle="1" w:styleId="NogaZnak">
    <w:name w:val="Noga Znak"/>
    <w:basedOn w:val="Privzetapisavaodstavka"/>
    <w:link w:val="Noga"/>
    <w:uiPriority w:val="99"/>
    <w:rsid w:val="00240F7A"/>
  </w:style>
  <w:style w:type="paragraph" w:styleId="Napis">
    <w:name w:val="caption"/>
    <w:basedOn w:val="Navaden"/>
    <w:next w:val="Navaden"/>
    <w:link w:val="NapisZnak"/>
    <w:qFormat/>
    <w:rsid w:val="00603B15"/>
    <w:pPr>
      <w:keepNext/>
      <w:spacing w:before="120" w:after="0" w:line="264" w:lineRule="auto"/>
    </w:pPr>
    <w:rPr>
      <w:rFonts w:ascii="Arial" w:eastAsia="Times New Roman" w:hAnsi="Arial" w:cs="Arial"/>
      <w:sz w:val="16"/>
      <w:szCs w:val="16"/>
      <w:lang w:eastAsia="en-GB"/>
    </w:rPr>
  </w:style>
  <w:style w:type="character" w:customStyle="1" w:styleId="NapisZnak">
    <w:name w:val="Napis Znak"/>
    <w:basedOn w:val="Privzetapisavaodstavka"/>
    <w:link w:val="Napis"/>
    <w:rsid w:val="00603B15"/>
    <w:rPr>
      <w:rFonts w:ascii="Arial" w:eastAsia="Times New Roman" w:hAnsi="Arial" w:cs="Arial"/>
      <w:sz w:val="16"/>
      <w:szCs w:val="16"/>
      <w:lang w:eastAsia="en-GB"/>
    </w:rPr>
  </w:style>
  <w:style w:type="paragraph" w:styleId="Besedilooblaka">
    <w:name w:val="Balloon Text"/>
    <w:basedOn w:val="Navaden"/>
    <w:link w:val="BesedilooblakaZnak"/>
    <w:uiPriority w:val="99"/>
    <w:semiHidden/>
    <w:unhideWhenUsed/>
    <w:rsid w:val="00F95AE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95AE3"/>
    <w:rPr>
      <w:rFonts w:ascii="Tahoma" w:hAnsi="Tahoma" w:cs="Tahoma"/>
      <w:sz w:val="16"/>
      <w:szCs w:val="16"/>
    </w:rPr>
  </w:style>
  <w:style w:type="paragraph" w:styleId="NaslovTOC">
    <w:name w:val="TOC Heading"/>
    <w:basedOn w:val="Navaden"/>
    <w:next w:val="Navaden"/>
    <w:uiPriority w:val="39"/>
    <w:qFormat/>
    <w:rsid w:val="00163103"/>
    <w:pPr>
      <w:keepNext/>
      <w:spacing w:after="0" w:line="240" w:lineRule="auto"/>
      <w:jc w:val="center"/>
    </w:pPr>
    <w:rPr>
      <w:rFonts w:ascii="Times New Roman" w:eastAsia="Times New Roman" w:hAnsi="Times New Roman" w:cs="Times New Roman"/>
      <w:b/>
      <w:sz w:val="20"/>
      <w:szCs w:val="20"/>
      <w:lang w:eastAsia="en-GB"/>
    </w:rPr>
  </w:style>
  <w:style w:type="paragraph" w:styleId="Kazalovsebine1">
    <w:name w:val="toc 1"/>
    <w:basedOn w:val="Navaden"/>
    <w:next w:val="Navaden"/>
    <w:uiPriority w:val="39"/>
    <w:qFormat/>
    <w:rsid w:val="00163103"/>
    <w:pPr>
      <w:spacing w:before="120" w:after="0" w:line="240" w:lineRule="auto"/>
    </w:pPr>
    <w:rPr>
      <w:rFonts w:eastAsia="Times New Roman" w:cs="Times New Roman"/>
      <w:b/>
      <w:bCs/>
      <w:i/>
      <w:iCs/>
      <w:sz w:val="24"/>
      <w:szCs w:val="24"/>
      <w:lang w:eastAsia="en-GB"/>
    </w:rPr>
  </w:style>
  <w:style w:type="paragraph" w:styleId="Kazalovsebine2">
    <w:name w:val="toc 2"/>
    <w:basedOn w:val="Navaden"/>
    <w:next w:val="Navaden"/>
    <w:uiPriority w:val="39"/>
    <w:qFormat/>
    <w:rsid w:val="00163103"/>
    <w:pPr>
      <w:spacing w:before="120" w:after="0" w:line="240" w:lineRule="auto"/>
      <w:ind w:left="240"/>
    </w:pPr>
    <w:rPr>
      <w:rFonts w:eastAsia="Times New Roman" w:cs="Times New Roman"/>
      <w:b/>
      <w:bCs/>
      <w:lang w:eastAsia="en-GB"/>
    </w:rPr>
  </w:style>
  <w:style w:type="paragraph" w:customStyle="1" w:styleId="1">
    <w:name w:val="1"/>
    <w:basedOn w:val="Navaden"/>
    <w:qFormat/>
    <w:rsid w:val="00163103"/>
    <w:pPr>
      <w:spacing w:after="0" w:line="260" w:lineRule="atLeast"/>
      <w:jc w:val="both"/>
    </w:pPr>
    <w:rPr>
      <w:rFonts w:ascii="Arial" w:eastAsia="Times New Roman" w:hAnsi="Arial" w:cs="Arial"/>
      <w:sz w:val="20"/>
      <w:szCs w:val="20"/>
    </w:rPr>
  </w:style>
  <w:style w:type="paragraph" w:styleId="Kazaloslik">
    <w:name w:val="table of figures"/>
    <w:basedOn w:val="Navaden"/>
    <w:next w:val="Navaden"/>
    <w:uiPriority w:val="99"/>
    <w:rsid w:val="00163103"/>
    <w:pPr>
      <w:spacing w:after="0" w:line="240" w:lineRule="auto"/>
    </w:pPr>
    <w:rPr>
      <w:rFonts w:eastAsia="Times New Roman" w:cs="Times New Roman"/>
      <w:i/>
      <w:iCs/>
      <w:sz w:val="20"/>
      <w:szCs w:val="20"/>
      <w:lang w:eastAsia="en-GB"/>
    </w:rPr>
  </w:style>
  <w:style w:type="paragraph" w:styleId="Pripombabesedilo">
    <w:name w:val="annotation text"/>
    <w:basedOn w:val="Navaden"/>
    <w:link w:val="PripombabesediloZnak"/>
    <w:uiPriority w:val="99"/>
    <w:rsid w:val="00163103"/>
    <w:pPr>
      <w:spacing w:after="0" w:line="240" w:lineRule="auto"/>
      <w:jc w:val="both"/>
    </w:pPr>
    <w:rPr>
      <w:rFonts w:ascii="Times New Roman" w:eastAsia="Times New Roman" w:hAnsi="Times New Roman" w:cs="Times New Roman"/>
      <w:sz w:val="20"/>
      <w:szCs w:val="20"/>
      <w:lang w:eastAsia="en-GB"/>
    </w:rPr>
  </w:style>
  <w:style w:type="character" w:customStyle="1" w:styleId="PripombabesediloZnak">
    <w:name w:val="Pripomba – besedilo Znak"/>
    <w:basedOn w:val="Privzetapisavaodstavka"/>
    <w:link w:val="Pripombabesedilo"/>
    <w:uiPriority w:val="99"/>
    <w:rsid w:val="00163103"/>
    <w:rPr>
      <w:rFonts w:ascii="Times New Roman" w:eastAsia="Times New Roman" w:hAnsi="Times New Roman" w:cs="Times New Roman"/>
      <w:sz w:val="20"/>
      <w:szCs w:val="20"/>
      <w:lang w:eastAsia="en-GB"/>
    </w:rPr>
  </w:style>
  <w:style w:type="character" w:styleId="Pripombasklic">
    <w:name w:val="annotation reference"/>
    <w:basedOn w:val="Privzetapisavaodstavka"/>
    <w:uiPriority w:val="99"/>
    <w:unhideWhenUsed/>
    <w:rsid w:val="00163103"/>
    <w:rPr>
      <w:w w:val="100"/>
      <w:sz w:val="16"/>
      <w:szCs w:val="16"/>
      <w:shd w:val="clear" w:color="auto" w:fill="auto"/>
    </w:rPr>
  </w:style>
  <w:style w:type="character" w:customStyle="1" w:styleId="Naslov2Znak">
    <w:name w:val="Naslov 2 Znak"/>
    <w:basedOn w:val="Privzetapisavaodstavka"/>
    <w:link w:val="Naslov2"/>
    <w:uiPriority w:val="8"/>
    <w:rsid w:val="009E0216"/>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9E0216"/>
    <w:rPr>
      <w:rFonts w:ascii="Arial" w:eastAsia="Times New Roman" w:hAnsi="Arial" w:cs="Times New Roman"/>
      <w:b/>
      <w:color w:val="00B050"/>
      <w:szCs w:val="20"/>
      <w:lang w:eastAsia="en-GB"/>
    </w:rPr>
  </w:style>
  <w:style w:type="character" w:customStyle="1" w:styleId="Naslov4Znak">
    <w:name w:val="Naslov 4 Znak"/>
    <w:basedOn w:val="Privzetapisavaodstavka"/>
    <w:link w:val="Naslov4"/>
    <w:uiPriority w:val="10"/>
    <w:rsid w:val="009E0216"/>
    <w:rPr>
      <w:rFonts w:ascii="Arial" w:eastAsia="Times New Roman" w:hAnsi="Arial" w:cs="Times New Roman"/>
      <w:b/>
      <w:color w:val="00B050"/>
      <w:szCs w:val="24"/>
      <w:lang w:eastAsia="en-GB"/>
    </w:rPr>
  </w:style>
  <w:style w:type="character" w:customStyle="1" w:styleId="Naslov5Znak">
    <w:name w:val="Naslov 5 Znak"/>
    <w:basedOn w:val="Privzetapisavaodstavka"/>
    <w:link w:val="Naslov5"/>
    <w:uiPriority w:val="11"/>
    <w:rsid w:val="009E0216"/>
    <w:rPr>
      <w:rFonts w:ascii="Arial" w:eastAsia="Arial" w:hAnsi="Arial" w:cs="Times New Roman"/>
      <w:lang w:eastAsia="en-GB"/>
    </w:rPr>
  </w:style>
  <w:style w:type="character" w:customStyle="1" w:styleId="Naslov6Znak">
    <w:name w:val="Naslov 6 Znak"/>
    <w:basedOn w:val="Privzetapisavaodstavka"/>
    <w:link w:val="Naslov6"/>
    <w:rsid w:val="009E0216"/>
    <w:rPr>
      <w:rFonts w:ascii="Arial" w:eastAsia="Arial" w:hAnsi="Arial" w:cs="Times New Roman"/>
      <w:i/>
      <w:lang w:eastAsia="en-GB"/>
    </w:rPr>
  </w:style>
  <w:style w:type="character" w:customStyle="1" w:styleId="Naslov7Znak">
    <w:name w:val="Naslov 7 Znak"/>
    <w:basedOn w:val="Privzetapisavaodstavka"/>
    <w:link w:val="Naslov7"/>
    <w:rsid w:val="009E0216"/>
    <w:rPr>
      <w:rFonts w:ascii="Arial" w:eastAsia="Arial" w:hAnsi="Arial" w:cs="Times New Roman"/>
      <w:sz w:val="20"/>
      <w:szCs w:val="20"/>
      <w:lang w:eastAsia="en-GB"/>
    </w:rPr>
  </w:style>
  <w:style w:type="character" w:customStyle="1" w:styleId="Naslov8Znak">
    <w:name w:val="Naslov 8 Znak"/>
    <w:basedOn w:val="Privzetapisavaodstavka"/>
    <w:link w:val="Naslov8"/>
    <w:rsid w:val="009E0216"/>
    <w:rPr>
      <w:rFonts w:ascii="Arial" w:eastAsia="Arial" w:hAnsi="Arial" w:cs="Times New Roman"/>
      <w:i/>
      <w:sz w:val="20"/>
      <w:szCs w:val="20"/>
      <w:lang w:eastAsia="en-GB"/>
    </w:rPr>
  </w:style>
  <w:style w:type="character" w:customStyle="1" w:styleId="Naslov9Znak">
    <w:name w:val="Naslov 9 Znak"/>
    <w:basedOn w:val="Privzetapisavaodstavka"/>
    <w:link w:val="Naslov9"/>
    <w:rsid w:val="009E0216"/>
    <w:rPr>
      <w:rFonts w:ascii="Arial" w:eastAsia="Arial" w:hAnsi="Arial" w:cs="Times New Roman"/>
      <w:i/>
      <w:sz w:val="18"/>
      <w:szCs w:val="18"/>
      <w:lang w:eastAsia="en-GB"/>
    </w:rPr>
  </w:style>
  <w:style w:type="paragraph" w:styleId="Brezrazmikov">
    <w:name w:val="No Spacing"/>
    <w:link w:val="BrezrazmikovZnak"/>
    <w:uiPriority w:val="1"/>
    <w:qFormat/>
    <w:rsid w:val="009E0216"/>
    <w:pPr>
      <w:spacing w:after="0" w:line="240" w:lineRule="auto"/>
    </w:pPr>
    <w:rPr>
      <w:rFonts w:ascii="Calibri" w:eastAsia="Calibri" w:hAnsi="Calibri" w:cs="Times New Roman"/>
      <w:lang w:val="en-GB" w:eastAsia="en-GB"/>
    </w:rPr>
  </w:style>
  <w:style w:type="paragraph" w:styleId="Naslov">
    <w:name w:val="Title"/>
    <w:basedOn w:val="Navaden"/>
    <w:link w:val="NaslovZnak"/>
    <w:uiPriority w:val="6"/>
    <w:qFormat/>
    <w:rsid w:val="009E0216"/>
    <w:pPr>
      <w:spacing w:after="0" w:line="240" w:lineRule="auto"/>
      <w:jc w:val="center"/>
    </w:pPr>
    <w:rPr>
      <w:rFonts w:ascii="Arial" w:eastAsia="Arial" w:hAnsi="Arial" w:cs="Times New Roman"/>
      <w:b/>
      <w:sz w:val="32"/>
      <w:szCs w:val="32"/>
      <w:lang w:eastAsia="en-GB"/>
    </w:rPr>
  </w:style>
  <w:style w:type="character" w:customStyle="1" w:styleId="NaslovZnak">
    <w:name w:val="Naslov Znak"/>
    <w:basedOn w:val="Privzetapisavaodstavka"/>
    <w:link w:val="Naslov"/>
    <w:uiPriority w:val="6"/>
    <w:rsid w:val="009E0216"/>
    <w:rPr>
      <w:rFonts w:ascii="Arial" w:eastAsia="Arial" w:hAnsi="Arial" w:cs="Times New Roman"/>
      <w:b/>
      <w:sz w:val="32"/>
      <w:szCs w:val="32"/>
      <w:lang w:eastAsia="en-GB"/>
    </w:rPr>
  </w:style>
  <w:style w:type="paragraph" w:styleId="Podnaslov">
    <w:name w:val="Subtitle"/>
    <w:basedOn w:val="Navaden"/>
    <w:link w:val="PodnaslovZnak"/>
    <w:uiPriority w:val="16"/>
    <w:qFormat/>
    <w:rsid w:val="009E0216"/>
    <w:pPr>
      <w:spacing w:after="0" w:line="240" w:lineRule="auto"/>
      <w:jc w:val="center"/>
    </w:pPr>
    <w:rPr>
      <w:rFonts w:ascii="Arial" w:eastAsia="Arial" w:hAnsi="Arial" w:cs="Times New Roman"/>
      <w:sz w:val="20"/>
      <w:szCs w:val="20"/>
      <w:lang w:eastAsia="en-GB"/>
    </w:rPr>
  </w:style>
  <w:style w:type="character" w:customStyle="1" w:styleId="PodnaslovZnak">
    <w:name w:val="Podnaslov Znak"/>
    <w:basedOn w:val="Privzetapisavaodstavka"/>
    <w:link w:val="Podnaslov"/>
    <w:uiPriority w:val="16"/>
    <w:rsid w:val="009E0216"/>
    <w:rPr>
      <w:rFonts w:ascii="Arial" w:eastAsia="Arial" w:hAnsi="Arial" w:cs="Times New Roman"/>
      <w:sz w:val="20"/>
      <w:szCs w:val="20"/>
      <w:lang w:eastAsia="en-GB"/>
    </w:rPr>
  </w:style>
  <w:style w:type="character" w:styleId="Neenpoudarek">
    <w:name w:val="Subtle Emphasis"/>
    <w:basedOn w:val="Privzetapisavaodstavka"/>
    <w:uiPriority w:val="17"/>
    <w:qFormat/>
    <w:rsid w:val="009E0216"/>
    <w:rPr>
      <w:i/>
      <w:color w:val="808080" w:themeColor="text1" w:themeTint="7F"/>
      <w:w w:val="100"/>
      <w:sz w:val="20"/>
      <w:szCs w:val="20"/>
      <w:shd w:val="clear" w:color="auto" w:fill="auto"/>
    </w:rPr>
  </w:style>
  <w:style w:type="character" w:styleId="Krepko">
    <w:name w:val="Strong"/>
    <w:basedOn w:val="Privzetapisavaodstavka"/>
    <w:uiPriority w:val="22"/>
    <w:qFormat/>
    <w:rsid w:val="009E0216"/>
    <w:rPr>
      <w:b/>
      <w:w w:val="100"/>
      <w:sz w:val="20"/>
      <w:szCs w:val="20"/>
      <w:shd w:val="clear" w:color="auto" w:fill="auto"/>
    </w:rPr>
  </w:style>
  <w:style w:type="paragraph" w:styleId="Kazalovsebine3">
    <w:name w:val="toc 3"/>
    <w:basedOn w:val="Navaden"/>
    <w:next w:val="Navaden"/>
    <w:uiPriority w:val="39"/>
    <w:qFormat/>
    <w:rsid w:val="009E0216"/>
    <w:pPr>
      <w:spacing w:after="0" w:line="240" w:lineRule="auto"/>
      <w:ind w:left="480"/>
    </w:pPr>
    <w:rPr>
      <w:rFonts w:eastAsia="Times New Roman" w:cs="Times New Roman"/>
      <w:sz w:val="20"/>
      <w:szCs w:val="20"/>
      <w:lang w:eastAsia="en-GB"/>
    </w:rPr>
  </w:style>
  <w:style w:type="paragraph" w:styleId="Kazalovsebine4">
    <w:name w:val="toc 4"/>
    <w:basedOn w:val="Navaden"/>
    <w:next w:val="Navaden"/>
    <w:uiPriority w:val="39"/>
    <w:rsid w:val="009E0216"/>
    <w:pPr>
      <w:spacing w:after="0" w:line="240" w:lineRule="auto"/>
      <w:ind w:left="720"/>
    </w:pPr>
    <w:rPr>
      <w:rFonts w:eastAsia="Times New Roman" w:cs="Times New Roman"/>
      <w:sz w:val="20"/>
      <w:szCs w:val="20"/>
      <w:lang w:eastAsia="en-GB"/>
    </w:rPr>
  </w:style>
  <w:style w:type="paragraph" w:styleId="Kazalovsebine5">
    <w:name w:val="toc 5"/>
    <w:basedOn w:val="Navaden"/>
    <w:next w:val="Navaden"/>
    <w:uiPriority w:val="39"/>
    <w:rsid w:val="009E0216"/>
    <w:pPr>
      <w:spacing w:after="0" w:line="240" w:lineRule="auto"/>
      <w:ind w:left="960"/>
    </w:pPr>
    <w:rPr>
      <w:rFonts w:eastAsia="Times New Roman" w:cs="Times New Roman"/>
      <w:sz w:val="20"/>
      <w:szCs w:val="20"/>
      <w:lang w:eastAsia="en-GB"/>
    </w:rPr>
  </w:style>
  <w:style w:type="paragraph" w:styleId="Kazalovsebine6">
    <w:name w:val="toc 6"/>
    <w:basedOn w:val="Navaden"/>
    <w:next w:val="Navaden"/>
    <w:uiPriority w:val="39"/>
    <w:rsid w:val="009E0216"/>
    <w:pPr>
      <w:spacing w:after="0" w:line="240" w:lineRule="auto"/>
      <w:ind w:left="1200"/>
    </w:pPr>
    <w:rPr>
      <w:rFonts w:eastAsia="Times New Roman" w:cs="Times New Roman"/>
      <w:sz w:val="20"/>
      <w:szCs w:val="20"/>
      <w:lang w:eastAsia="en-GB"/>
    </w:rPr>
  </w:style>
  <w:style w:type="paragraph" w:styleId="Kazalovsebine7">
    <w:name w:val="toc 7"/>
    <w:basedOn w:val="Navaden"/>
    <w:next w:val="Navaden"/>
    <w:uiPriority w:val="39"/>
    <w:rsid w:val="009E0216"/>
    <w:pPr>
      <w:spacing w:after="0" w:line="240" w:lineRule="auto"/>
      <w:ind w:left="1440"/>
    </w:pPr>
    <w:rPr>
      <w:rFonts w:eastAsia="Times New Roman" w:cs="Times New Roman"/>
      <w:sz w:val="20"/>
      <w:szCs w:val="20"/>
      <w:lang w:eastAsia="en-GB"/>
    </w:rPr>
  </w:style>
  <w:style w:type="paragraph" w:styleId="Kazalovsebine8">
    <w:name w:val="toc 8"/>
    <w:basedOn w:val="Navaden"/>
    <w:next w:val="Navaden"/>
    <w:uiPriority w:val="39"/>
    <w:rsid w:val="009E0216"/>
    <w:pPr>
      <w:spacing w:after="0" w:line="240" w:lineRule="auto"/>
      <w:ind w:left="1680"/>
    </w:pPr>
    <w:rPr>
      <w:rFonts w:eastAsia="Times New Roman" w:cs="Times New Roman"/>
      <w:sz w:val="20"/>
      <w:szCs w:val="20"/>
      <w:lang w:eastAsia="en-GB"/>
    </w:rPr>
  </w:style>
  <w:style w:type="paragraph" w:styleId="Kazalovsebine9">
    <w:name w:val="toc 9"/>
    <w:basedOn w:val="Navaden"/>
    <w:next w:val="Navaden"/>
    <w:uiPriority w:val="39"/>
    <w:rsid w:val="009E0216"/>
    <w:pPr>
      <w:spacing w:after="0" w:line="240" w:lineRule="auto"/>
      <w:ind w:left="1920"/>
    </w:pPr>
    <w:rPr>
      <w:rFonts w:eastAsia="Times New Roman" w:cs="Times New Roman"/>
      <w:sz w:val="20"/>
      <w:szCs w:val="20"/>
      <w:lang w:eastAsia="en-GB"/>
    </w:rPr>
  </w:style>
  <w:style w:type="paragraph" w:customStyle="1" w:styleId="Text1">
    <w:name w:val="Text 1"/>
    <w:basedOn w:val="Navaden"/>
    <w:rsid w:val="009E0216"/>
    <w:pPr>
      <w:spacing w:after="0" w:line="240" w:lineRule="auto"/>
      <w:ind w:left="482"/>
      <w:jc w:val="both"/>
    </w:pPr>
    <w:rPr>
      <w:rFonts w:ascii="Times New Roman" w:eastAsia="Times New Roman" w:hAnsi="Times New Roman" w:cs="Times New Roman"/>
      <w:sz w:val="24"/>
      <w:szCs w:val="24"/>
      <w:lang w:eastAsia="en-GB"/>
    </w:rPr>
  </w:style>
  <w:style w:type="paragraph" w:customStyle="1" w:styleId="Text2">
    <w:name w:val="Text 2"/>
    <w:basedOn w:val="Navaden"/>
    <w:link w:val="Text2Char"/>
    <w:rsid w:val="009E0216"/>
    <w:pPr>
      <w:tabs>
        <w:tab w:val="left" w:pos="2160"/>
      </w:tabs>
      <w:spacing w:after="0" w:line="240" w:lineRule="auto"/>
      <w:ind w:left="1077"/>
      <w:jc w:val="both"/>
    </w:pPr>
    <w:rPr>
      <w:rFonts w:ascii="Times New Roman" w:eastAsia="Times New Roman" w:hAnsi="Times New Roman" w:cs="Times New Roman"/>
      <w:sz w:val="24"/>
      <w:szCs w:val="24"/>
      <w:lang w:eastAsia="en-GB"/>
    </w:rPr>
  </w:style>
  <w:style w:type="paragraph" w:customStyle="1" w:styleId="Text3">
    <w:name w:val="Text 3"/>
    <w:basedOn w:val="Navaden"/>
    <w:rsid w:val="009E0216"/>
    <w:pPr>
      <w:tabs>
        <w:tab w:val="left" w:pos="2302"/>
      </w:tabs>
      <w:spacing w:after="0" w:line="240" w:lineRule="auto"/>
      <w:ind w:left="1916"/>
      <w:jc w:val="both"/>
    </w:pPr>
    <w:rPr>
      <w:rFonts w:ascii="Times New Roman" w:eastAsia="Times New Roman" w:hAnsi="Times New Roman" w:cs="Times New Roman"/>
      <w:sz w:val="24"/>
      <w:szCs w:val="24"/>
      <w:lang w:eastAsia="en-GB"/>
    </w:rPr>
  </w:style>
  <w:style w:type="paragraph" w:customStyle="1" w:styleId="Text4">
    <w:name w:val="Text 4"/>
    <w:basedOn w:val="Navaden"/>
    <w:rsid w:val="009E0216"/>
    <w:pPr>
      <w:spacing w:after="0" w:line="240" w:lineRule="auto"/>
      <w:ind w:left="2880"/>
      <w:jc w:val="both"/>
    </w:pPr>
    <w:rPr>
      <w:rFonts w:ascii="Times New Roman" w:eastAsia="Times New Roman" w:hAnsi="Times New Roman" w:cs="Times New Roman"/>
      <w:sz w:val="24"/>
      <w:szCs w:val="24"/>
      <w:lang w:eastAsia="en-GB"/>
    </w:rPr>
  </w:style>
  <w:style w:type="paragraph" w:customStyle="1" w:styleId="Address">
    <w:name w:val="Address"/>
    <w:basedOn w:val="Navaden"/>
    <w:rsid w:val="009E0216"/>
    <w:pPr>
      <w:spacing w:after="0" w:line="240" w:lineRule="auto"/>
      <w:jc w:val="both"/>
    </w:pPr>
    <w:rPr>
      <w:rFonts w:ascii="Times New Roman" w:eastAsia="Times New Roman" w:hAnsi="Times New Roman" w:cs="Times New Roman"/>
      <w:sz w:val="24"/>
      <w:szCs w:val="24"/>
      <w:lang w:eastAsia="en-GB"/>
    </w:rPr>
  </w:style>
  <w:style w:type="paragraph" w:customStyle="1" w:styleId="AddressTL">
    <w:name w:val="AddressTL"/>
    <w:basedOn w:val="Navaden"/>
    <w:next w:val="Navaden"/>
    <w:rsid w:val="009E0216"/>
    <w:pPr>
      <w:spacing w:after="0" w:line="240" w:lineRule="auto"/>
      <w:jc w:val="both"/>
    </w:pPr>
    <w:rPr>
      <w:rFonts w:ascii="Times New Roman" w:eastAsia="Times New Roman" w:hAnsi="Times New Roman" w:cs="Times New Roman"/>
      <w:sz w:val="24"/>
      <w:szCs w:val="24"/>
      <w:lang w:eastAsia="en-GB"/>
    </w:rPr>
  </w:style>
  <w:style w:type="paragraph" w:customStyle="1" w:styleId="AddressTR">
    <w:name w:val="AddressTR"/>
    <w:basedOn w:val="Navaden"/>
    <w:next w:val="Navaden"/>
    <w:rsid w:val="009E0216"/>
    <w:pPr>
      <w:spacing w:after="0" w:line="240" w:lineRule="auto"/>
      <w:ind w:left="5103"/>
      <w:jc w:val="both"/>
    </w:pPr>
    <w:rPr>
      <w:rFonts w:ascii="Times New Roman" w:eastAsia="Times New Roman" w:hAnsi="Times New Roman" w:cs="Times New Roman"/>
      <w:sz w:val="24"/>
      <w:szCs w:val="24"/>
      <w:lang w:eastAsia="en-GB"/>
    </w:rPr>
  </w:style>
  <w:style w:type="paragraph" w:styleId="Blokbesedila">
    <w:name w:val="Block Text"/>
    <w:basedOn w:val="Navaden"/>
    <w:rsid w:val="009E0216"/>
    <w:pPr>
      <w:spacing w:after="0" w:line="240" w:lineRule="auto"/>
      <w:ind w:left="1440" w:right="1440"/>
      <w:jc w:val="both"/>
    </w:pPr>
    <w:rPr>
      <w:rFonts w:ascii="Times New Roman" w:eastAsia="Times New Roman" w:hAnsi="Times New Roman" w:cs="Times New Roman"/>
      <w:sz w:val="24"/>
      <w:szCs w:val="24"/>
      <w:lang w:eastAsia="en-GB"/>
    </w:rPr>
  </w:style>
  <w:style w:type="paragraph" w:styleId="Telobesedila">
    <w:name w:val="Body Text"/>
    <w:basedOn w:val="Navaden"/>
    <w:link w:val="Telobesedila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TelobesedilaZnak">
    <w:name w:val="Telo besedila Znak"/>
    <w:basedOn w:val="Privzetapisavaodstavka"/>
    <w:link w:val="Telobesedila"/>
    <w:rsid w:val="009E0216"/>
    <w:rPr>
      <w:rFonts w:ascii="Times New Roman" w:eastAsia="Times New Roman" w:hAnsi="Times New Roman" w:cs="Times New Roman"/>
      <w:sz w:val="24"/>
      <w:szCs w:val="24"/>
      <w:lang w:eastAsia="en-GB"/>
    </w:rPr>
  </w:style>
  <w:style w:type="paragraph" w:styleId="Telobesedila2">
    <w:name w:val="Body Text 2"/>
    <w:basedOn w:val="Navaden"/>
    <w:link w:val="Telobesedila2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Telobesedila2Znak">
    <w:name w:val="Telo besedila 2 Znak"/>
    <w:basedOn w:val="Privzetapisavaodstavka"/>
    <w:link w:val="Telobesedila2"/>
    <w:rsid w:val="009E0216"/>
    <w:rPr>
      <w:rFonts w:ascii="Times New Roman" w:eastAsia="Times New Roman" w:hAnsi="Times New Roman" w:cs="Times New Roman"/>
      <w:sz w:val="24"/>
      <w:szCs w:val="24"/>
      <w:lang w:eastAsia="en-GB"/>
    </w:rPr>
  </w:style>
  <w:style w:type="paragraph" w:styleId="Telobesedila3">
    <w:name w:val="Body Text 3"/>
    <w:basedOn w:val="Navaden"/>
    <w:link w:val="Telobesedila3Znak"/>
    <w:rsid w:val="009E0216"/>
    <w:pPr>
      <w:spacing w:after="0" w:line="240" w:lineRule="auto"/>
      <w:jc w:val="both"/>
    </w:pPr>
    <w:rPr>
      <w:rFonts w:ascii="Times New Roman" w:eastAsia="Times New Roman" w:hAnsi="Times New Roman" w:cs="Times New Roman"/>
      <w:sz w:val="16"/>
      <w:szCs w:val="16"/>
      <w:lang w:eastAsia="en-GB"/>
    </w:rPr>
  </w:style>
  <w:style w:type="character" w:customStyle="1" w:styleId="Telobesedila3Znak">
    <w:name w:val="Telo besedila 3 Znak"/>
    <w:basedOn w:val="Privzetapisavaodstavka"/>
    <w:link w:val="Telobesedila3"/>
    <w:rsid w:val="009E0216"/>
    <w:rPr>
      <w:rFonts w:ascii="Times New Roman" w:eastAsia="Times New Roman" w:hAnsi="Times New Roman" w:cs="Times New Roman"/>
      <w:sz w:val="16"/>
      <w:szCs w:val="16"/>
      <w:lang w:eastAsia="en-GB"/>
    </w:rPr>
  </w:style>
  <w:style w:type="paragraph" w:styleId="Telobesedila-prvizamik">
    <w:name w:val="Body Text First Indent"/>
    <w:basedOn w:val="Telobesedila"/>
    <w:link w:val="Telobesedila-prvizamikZnak"/>
    <w:rsid w:val="009E0216"/>
    <w:pPr>
      <w:ind w:firstLine="210"/>
    </w:pPr>
  </w:style>
  <w:style w:type="character" w:customStyle="1" w:styleId="Telobesedila-prvizamikZnak">
    <w:name w:val="Telo besedila - prvi zamik Znak"/>
    <w:basedOn w:val="TelobesedilaZnak"/>
    <w:link w:val="Telobesedila-prvizamik"/>
    <w:rsid w:val="009E0216"/>
    <w:rPr>
      <w:rFonts w:ascii="Times New Roman" w:eastAsia="Times New Roman" w:hAnsi="Times New Roman" w:cs="Times New Roman"/>
      <w:sz w:val="24"/>
      <w:szCs w:val="24"/>
      <w:lang w:eastAsia="en-GB"/>
    </w:rPr>
  </w:style>
  <w:style w:type="paragraph" w:styleId="Telobesedila-zamik">
    <w:name w:val="Body Text Indent"/>
    <w:basedOn w:val="Navaden"/>
    <w:link w:val="Telobesedila-zamikZnak"/>
    <w:rsid w:val="009E0216"/>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Znak">
    <w:name w:val="Telo besedila - zamik Znak"/>
    <w:basedOn w:val="Privzetapisavaodstavka"/>
    <w:link w:val="Telobesedila-zamik"/>
    <w:rsid w:val="009E0216"/>
    <w:rPr>
      <w:rFonts w:ascii="Times New Roman" w:eastAsia="Times New Roman" w:hAnsi="Times New Roman" w:cs="Times New Roman"/>
      <w:sz w:val="24"/>
      <w:szCs w:val="24"/>
      <w:lang w:eastAsia="en-GB"/>
    </w:rPr>
  </w:style>
  <w:style w:type="paragraph" w:styleId="Telobesedila-prvizamik2">
    <w:name w:val="Body Text First Indent 2"/>
    <w:basedOn w:val="Telobesedila-zamik"/>
    <w:link w:val="Telobesedila-prvizamik2Znak"/>
    <w:rsid w:val="009E0216"/>
    <w:pPr>
      <w:ind w:firstLine="210"/>
    </w:pPr>
  </w:style>
  <w:style w:type="character" w:customStyle="1" w:styleId="Telobesedila-prvizamik2Znak">
    <w:name w:val="Telo besedila - prvi zamik 2 Znak"/>
    <w:basedOn w:val="Telobesedila-zamikZnak"/>
    <w:link w:val="Telobesedila-prvizamik2"/>
    <w:rsid w:val="009E0216"/>
    <w:rPr>
      <w:rFonts w:ascii="Times New Roman" w:eastAsia="Times New Roman" w:hAnsi="Times New Roman" w:cs="Times New Roman"/>
      <w:sz w:val="24"/>
      <w:szCs w:val="24"/>
      <w:lang w:eastAsia="en-GB"/>
    </w:rPr>
  </w:style>
  <w:style w:type="paragraph" w:styleId="Telobesedila-zamik2">
    <w:name w:val="Body Text Indent 2"/>
    <w:basedOn w:val="Navaden"/>
    <w:link w:val="Telobesedila-zamik2Znak"/>
    <w:rsid w:val="009E0216"/>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2Znak">
    <w:name w:val="Telo besedila - zamik 2 Znak"/>
    <w:basedOn w:val="Privzetapisavaodstavka"/>
    <w:link w:val="Telobesedila-zamik2"/>
    <w:rsid w:val="009E0216"/>
    <w:rPr>
      <w:rFonts w:ascii="Times New Roman" w:eastAsia="Times New Roman" w:hAnsi="Times New Roman" w:cs="Times New Roman"/>
      <w:sz w:val="24"/>
      <w:szCs w:val="24"/>
      <w:lang w:eastAsia="en-GB"/>
    </w:rPr>
  </w:style>
  <w:style w:type="paragraph" w:styleId="Telobesedila-zamik3">
    <w:name w:val="Body Text Indent 3"/>
    <w:basedOn w:val="Navaden"/>
    <w:link w:val="Telobesedila-zamik3Znak"/>
    <w:rsid w:val="009E0216"/>
    <w:pPr>
      <w:spacing w:after="0" w:line="240" w:lineRule="auto"/>
      <w:ind w:left="283"/>
      <w:jc w:val="both"/>
    </w:pPr>
    <w:rPr>
      <w:rFonts w:ascii="Times New Roman" w:eastAsia="Times New Roman" w:hAnsi="Times New Roman" w:cs="Times New Roman"/>
      <w:sz w:val="16"/>
      <w:szCs w:val="16"/>
      <w:lang w:eastAsia="en-GB"/>
    </w:rPr>
  </w:style>
  <w:style w:type="character" w:customStyle="1" w:styleId="Telobesedila-zamik3Znak">
    <w:name w:val="Telo besedila - zamik 3 Znak"/>
    <w:basedOn w:val="Privzetapisavaodstavka"/>
    <w:link w:val="Telobesedila-zamik3"/>
    <w:rsid w:val="009E0216"/>
    <w:rPr>
      <w:rFonts w:ascii="Times New Roman" w:eastAsia="Times New Roman" w:hAnsi="Times New Roman" w:cs="Times New Roman"/>
      <w:sz w:val="16"/>
      <w:szCs w:val="16"/>
      <w:lang w:eastAsia="en-GB"/>
    </w:rPr>
  </w:style>
  <w:style w:type="paragraph" w:styleId="Zakljunipozdrav">
    <w:name w:val="Closing"/>
    <w:basedOn w:val="Navaden"/>
    <w:link w:val="ZakljunipozdravZnak"/>
    <w:rsid w:val="009E0216"/>
    <w:pPr>
      <w:tabs>
        <w:tab w:val="left" w:pos="5103"/>
      </w:tabs>
      <w:spacing w:after="0" w:line="240" w:lineRule="auto"/>
      <w:ind w:left="5103"/>
      <w:jc w:val="both"/>
    </w:pPr>
    <w:rPr>
      <w:rFonts w:ascii="Times New Roman" w:eastAsia="Times New Roman" w:hAnsi="Times New Roman" w:cs="Times New Roman"/>
      <w:sz w:val="24"/>
      <w:szCs w:val="24"/>
      <w:lang w:eastAsia="en-GB"/>
    </w:rPr>
  </w:style>
  <w:style w:type="character" w:customStyle="1" w:styleId="ZakljunipozdravZnak">
    <w:name w:val="Zaključni pozdrav Znak"/>
    <w:basedOn w:val="Privzetapisavaodstavka"/>
    <w:link w:val="Zakljunipozdrav"/>
    <w:rsid w:val="009E0216"/>
    <w:rPr>
      <w:rFonts w:ascii="Times New Roman" w:eastAsia="Times New Roman" w:hAnsi="Times New Roman" w:cs="Times New Roman"/>
      <w:sz w:val="24"/>
      <w:szCs w:val="24"/>
      <w:lang w:eastAsia="en-GB"/>
    </w:rPr>
  </w:style>
  <w:style w:type="paragraph" w:styleId="Podpis">
    <w:name w:val="Signature"/>
    <w:basedOn w:val="Navaden"/>
    <w:link w:val="PodpisZnak"/>
    <w:rsid w:val="009E0216"/>
    <w:pPr>
      <w:tabs>
        <w:tab w:val="left" w:pos="5103"/>
      </w:tabs>
      <w:spacing w:after="0" w:line="240" w:lineRule="auto"/>
      <w:ind w:left="5103"/>
      <w:jc w:val="center"/>
    </w:pPr>
    <w:rPr>
      <w:rFonts w:ascii="Times New Roman" w:eastAsia="Times New Roman" w:hAnsi="Times New Roman" w:cs="Times New Roman"/>
      <w:sz w:val="24"/>
      <w:szCs w:val="24"/>
      <w:lang w:eastAsia="en-GB"/>
    </w:rPr>
  </w:style>
  <w:style w:type="character" w:customStyle="1" w:styleId="PodpisZnak">
    <w:name w:val="Podpis Znak"/>
    <w:basedOn w:val="Privzetapisavaodstavka"/>
    <w:link w:val="Podpis"/>
    <w:rsid w:val="009E0216"/>
    <w:rPr>
      <w:rFonts w:ascii="Times New Roman" w:eastAsia="Times New Roman" w:hAnsi="Times New Roman" w:cs="Times New Roman"/>
      <w:sz w:val="24"/>
      <w:szCs w:val="24"/>
      <w:lang w:eastAsia="en-GB"/>
    </w:rPr>
  </w:style>
  <w:style w:type="paragraph" w:customStyle="1" w:styleId="Enclosures">
    <w:name w:val="Enclosures"/>
    <w:basedOn w:val="Navaden"/>
    <w:rsid w:val="009E0216"/>
    <w:pPr>
      <w:keepNext/>
      <w:keepLines/>
      <w:tabs>
        <w:tab w:val="left" w:pos="5670"/>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Participants">
    <w:name w:val="Participants"/>
    <w:basedOn w:val="Navaden"/>
    <w:rsid w:val="009E0216"/>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Copies">
    <w:name w:val="Copies"/>
    <w:basedOn w:val="Navaden"/>
    <w:next w:val="Navaden"/>
    <w:rsid w:val="009E0216"/>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styleId="Datum">
    <w:name w:val="Date"/>
    <w:basedOn w:val="Navaden"/>
    <w:link w:val="DatumZnak"/>
    <w:rsid w:val="009E0216"/>
    <w:pPr>
      <w:spacing w:after="0" w:line="240" w:lineRule="auto"/>
      <w:ind w:left="5103" w:right="-567"/>
      <w:jc w:val="both"/>
    </w:pPr>
    <w:rPr>
      <w:rFonts w:ascii="Times New Roman" w:eastAsia="Times New Roman" w:hAnsi="Times New Roman" w:cs="Times New Roman"/>
      <w:sz w:val="24"/>
      <w:szCs w:val="24"/>
      <w:lang w:eastAsia="en-GB"/>
    </w:rPr>
  </w:style>
  <w:style w:type="character" w:customStyle="1" w:styleId="DatumZnak">
    <w:name w:val="Datum Znak"/>
    <w:basedOn w:val="Privzetapisavaodstavka"/>
    <w:link w:val="Datum"/>
    <w:rsid w:val="009E0216"/>
    <w:rPr>
      <w:rFonts w:ascii="Times New Roman" w:eastAsia="Times New Roman" w:hAnsi="Times New Roman" w:cs="Times New Roman"/>
      <w:sz w:val="24"/>
      <w:szCs w:val="24"/>
      <w:lang w:eastAsia="en-GB"/>
    </w:rPr>
  </w:style>
  <w:style w:type="paragraph" w:customStyle="1" w:styleId="References">
    <w:name w:val="References"/>
    <w:basedOn w:val="Navaden"/>
    <w:next w:val="AddressTR"/>
    <w:rsid w:val="009E0216"/>
    <w:pPr>
      <w:spacing w:after="0" w:line="240" w:lineRule="auto"/>
      <w:ind w:left="5103"/>
      <w:jc w:val="both"/>
    </w:pPr>
    <w:rPr>
      <w:rFonts w:ascii="Times New Roman" w:eastAsia="Times New Roman" w:hAnsi="Times New Roman" w:cs="Times New Roman"/>
      <w:sz w:val="20"/>
      <w:szCs w:val="20"/>
      <w:lang w:eastAsia="en-GB"/>
    </w:rPr>
  </w:style>
  <w:style w:type="paragraph" w:styleId="Zgradbadokumenta">
    <w:name w:val="Document Map"/>
    <w:basedOn w:val="Navaden"/>
    <w:link w:val="ZgradbadokumentaZnak"/>
    <w:semiHidden/>
    <w:rsid w:val="009E0216"/>
    <w:pPr>
      <w:shd w:val="clear" w:color="000000" w:fill="000080"/>
      <w:spacing w:after="0" w:line="240" w:lineRule="auto"/>
      <w:jc w:val="both"/>
    </w:pPr>
    <w:rPr>
      <w:rFonts w:ascii="Tahoma" w:eastAsia="Tahoma" w:hAnsi="Tahoma" w:cs="Times New Roman"/>
      <w:sz w:val="20"/>
      <w:szCs w:val="20"/>
      <w:lang w:eastAsia="en-GB"/>
    </w:rPr>
  </w:style>
  <w:style w:type="character" w:customStyle="1" w:styleId="ZgradbadokumentaZnak">
    <w:name w:val="Zgradba dokumenta Znak"/>
    <w:basedOn w:val="Privzetapisavaodstavka"/>
    <w:link w:val="Zgradbadokumenta"/>
    <w:semiHidden/>
    <w:rsid w:val="009E0216"/>
    <w:rPr>
      <w:rFonts w:ascii="Tahoma" w:eastAsia="Tahoma" w:hAnsi="Tahoma" w:cs="Times New Roman"/>
      <w:sz w:val="20"/>
      <w:szCs w:val="20"/>
      <w:shd w:val="clear" w:color="000000" w:fill="000080"/>
      <w:lang w:eastAsia="en-GB"/>
    </w:rPr>
  </w:style>
  <w:style w:type="paragraph" w:customStyle="1" w:styleId="DoubSign">
    <w:name w:val="DoubSign"/>
    <w:basedOn w:val="Navaden"/>
    <w:rsid w:val="009E0216"/>
    <w:pPr>
      <w:tabs>
        <w:tab w:val="left" w:pos="5103"/>
      </w:tabs>
      <w:spacing w:after="0" w:line="240" w:lineRule="auto"/>
      <w:jc w:val="both"/>
    </w:pPr>
    <w:rPr>
      <w:rFonts w:ascii="Times New Roman" w:eastAsia="Times New Roman" w:hAnsi="Times New Roman" w:cs="Times New Roman"/>
      <w:sz w:val="24"/>
      <w:szCs w:val="24"/>
      <w:lang w:eastAsia="en-GB"/>
    </w:rPr>
  </w:style>
  <w:style w:type="paragraph" w:styleId="Konnaopomba-besedilo">
    <w:name w:val="endnote text"/>
    <w:basedOn w:val="Navaden"/>
    <w:link w:val="Konnaopomba-besediloZnak"/>
    <w:uiPriority w:val="99"/>
    <w:semiHidden/>
    <w:rsid w:val="009E0216"/>
    <w:pPr>
      <w:spacing w:after="0" w:line="240" w:lineRule="auto"/>
      <w:jc w:val="both"/>
    </w:pPr>
    <w:rPr>
      <w:rFonts w:ascii="Times New Roman" w:eastAsia="Times New Roman" w:hAnsi="Times New Roman" w:cs="Times New Roman"/>
      <w:sz w:val="20"/>
      <w:szCs w:val="20"/>
      <w:lang w:eastAsia="en-GB"/>
    </w:rPr>
  </w:style>
  <w:style w:type="character" w:customStyle="1" w:styleId="Konnaopomba-besediloZnak">
    <w:name w:val="Končna opomba - besedilo Znak"/>
    <w:basedOn w:val="Privzetapisavaodstavka"/>
    <w:link w:val="Konnaopomba-besedilo"/>
    <w:uiPriority w:val="99"/>
    <w:semiHidden/>
    <w:rsid w:val="009E0216"/>
    <w:rPr>
      <w:rFonts w:ascii="Times New Roman" w:eastAsia="Times New Roman" w:hAnsi="Times New Roman" w:cs="Times New Roman"/>
      <w:sz w:val="20"/>
      <w:szCs w:val="20"/>
      <w:lang w:eastAsia="en-GB"/>
    </w:rPr>
  </w:style>
  <w:style w:type="paragraph" w:styleId="Naslovnaslovnika">
    <w:name w:val="envelope address"/>
    <w:basedOn w:val="Navaden"/>
    <w:rsid w:val="009E0216"/>
    <w:pPr>
      <w:spacing w:after="0" w:line="240" w:lineRule="auto"/>
      <w:jc w:val="both"/>
    </w:pPr>
    <w:rPr>
      <w:rFonts w:ascii="Times New Roman" w:eastAsia="Times New Roman" w:hAnsi="Times New Roman" w:cs="Times New Roman"/>
      <w:sz w:val="24"/>
      <w:szCs w:val="24"/>
      <w:lang w:eastAsia="en-GB"/>
    </w:rPr>
  </w:style>
  <w:style w:type="paragraph" w:styleId="Naslovpoiljatelja">
    <w:name w:val="envelope return"/>
    <w:basedOn w:val="Navaden"/>
    <w:rsid w:val="009E0216"/>
    <w:pPr>
      <w:spacing w:after="0" w:line="240" w:lineRule="auto"/>
      <w:jc w:val="both"/>
    </w:pPr>
    <w:rPr>
      <w:rFonts w:ascii="Times New Roman" w:eastAsia="Times New Roman" w:hAnsi="Times New Roman" w:cs="Times New Roman"/>
      <w:sz w:val="20"/>
      <w:szCs w:val="20"/>
      <w:lang w:eastAsia="en-GB"/>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Char Char, Char Char"/>
    <w:basedOn w:val="Navaden"/>
    <w:link w:val="Sprotnaopomba-besediloZnak"/>
    <w:uiPriority w:val="99"/>
    <w:qFormat/>
    <w:rsid w:val="009E0216"/>
    <w:pPr>
      <w:spacing w:after="0" w:line="240" w:lineRule="auto"/>
      <w:ind w:left="714" w:hanging="357"/>
      <w:jc w:val="both"/>
    </w:pPr>
    <w:rPr>
      <w:rFonts w:ascii="Times New Roman" w:eastAsia="Times New Roman" w:hAnsi="Times New Roman" w:cs="Times New Roman"/>
      <w:sz w:val="20"/>
      <w:szCs w:val="20"/>
      <w:lang w:eastAsia="en-GB"/>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basedOn w:val="Privzetapisavaodstavka"/>
    <w:link w:val="Sprotnaopomba-besedilo"/>
    <w:uiPriority w:val="99"/>
    <w:rsid w:val="009E0216"/>
    <w:rPr>
      <w:rFonts w:ascii="Times New Roman" w:eastAsia="Times New Roman" w:hAnsi="Times New Roman" w:cs="Times New Roman"/>
      <w:sz w:val="20"/>
      <w:szCs w:val="20"/>
      <w:lang w:eastAsia="en-GB"/>
    </w:rPr>
  </w:style>
  <w:style w:type="paragraph" w:styleId="Stvarnokazalo1">
    <w:name w:val="index 1"/>
    <w:basedOn w:val="Navaden"/>
    <w:next w:val="Navaden"/>
    <w:semiHidden/>
    <w:rsid w:val="009E0216"/>
    <w:pPr>
      <w:spacing w:after="0" w:line="240" w:lineRule="auto"/>
      <w:ind w:left="480" w:hanging="240"/>
      <w:jc w:val="both"/>
    </w:pPr>
    <w:rPr>
      <w:rFonts w:ascii="Times New Roman" w:eastAsia="Times New Roman" w:hAnsi="Times New Roman" w:cs="Times New Roman"/>
      <w:sz w:val="24"/>
      <w:szCs w:val="24"/>
      <w:lang w:eastAsia="en-GB"/>
    </w:rPr>
  </w:style>
  <w:style w:type="paragraph" w:styleId="Stvarnokazalo2">
    <w:name w:val="index 2"/>
    <w:basedOn w:val="Navaden"/>
    <w:next w:val="Navaden"/>
    <w:semiHidden/>
    <w:rsid w:val="009E0216"/>
    <w:pPr>
      <w:spacing w:after="0" w:line="240" w:lineRule="auto"/>
      <w:ind w:left="720" w:hanging="240"/>
      <w:jc w:val="both"/>
    </w:pPr>
    <w:rPr>
      <w:rFonts w:ascii="Times New Roman" w:eastAsia="Times New Roman" w:hAnsi="Times New Roman" w:cs="Times New Roman"/>
      <w:sz w:val="24"/>
      <w:szCs w:val="24"/>
      <w:lang w:eastAsia="en-GB"/>
    </w:rPr>
  </w:style>
  <w:style w:type="paragraph" w:styleId="Stvarnokazalo3">
    <w:name w:val="index 3"/>
    <w:basedOn w:val="Navaden"/>
    <w:next w:val="Navaden"/>
    <w:semiHidden/>
    <w:rsid w:val="009E0216"/>
    <w:pPr>
      <w:spacing w:after="0" w:line="240" w:lineRule="auto"/>
      <w:ind w:left="960" w:hanging="240"/>
      <w:jc w:val="both"/>
    </w:pPr>
    <w:rPr>
      <w:rFonts w:ascii="Times New Roman" w:eastAsia="Times New Roman" w:hAnsi="Times New Roman" w:cs="Times New Roman"/>
      <w:sz w:val="24"/>
      <w:szCs w:val="24"/>
      <w:lang w:eastAsia="en-GB"/>
    </w:rPr>
  </w:style>
  <w:style w:type="paragraph" w:styleId="Stvarnokazalo4">
    <w:name w:val="index 4"/>
    <w:basedOn w:val="Navaden"/>
    <w:next w:val="Navaden"/>
    <w:semiHidden/>
    <w:rsid w:val="009E0216"/>
    <w:pPr>
      <w:spacing w:after="0" w:line="240" w:lineRule="auto"/>
      <w:ind w:left="1200" w:hanging="240"/>
      <w:jc w:val="both"/>
    </w:pPr>
    <w:rPr>
      <w:rFonts w:ascii="Times New Roman" w:eastAsia="Times New Roman" w:hAnsi="Times New Roman" w:cs="Times New Roman"/>
      <w:sz w:val="24"/>
      <w:szCs w:val="24"/>
      <w:lang w:eastAsia="en-GB"/>
    </w:rPr>
  </w:style>
  <w:style w:type="paragraph" w:styleId="Stvarnokazalo5">
    <w:name w:val="index 5"/>
    <w:basedOn w:val="Navaden"/>
    <w:next w:val="Navaden"/>
    <w:semiHidden/>
    <w:rsid w:val="009E0216"/>
    <w:pPr>
      <w:spacing w:after="0" w:line="240" w:lineRule="auto"/>
      <w:ind w:left="1440" w:hanging="240"/>
      <w:jc w:val="both"/>
    </w:pPr>
    <w:rPr>
      <w:rFonts w:ascii="Times New Roman" w:eastAsia="Times New Roman" w:hAnsi="Times New Roman" w:cs="Times New Roman"/>
      <w:sz w:val="24"/>
      <w:szCs w:val="24"/>
      <w:lang w:eastAsia="en-GB"/>
    </w:rPr>
  </w:style>
  <w:style w:type="paragraph" w:styleId="Stvarnokazalo6">
    <w:name w:val="index 6"/>
    <w:basedOn w:val="Navaden"/>
    <w:next w:val="Navaden"/>
    <w:semiHidden/>
    <w:rsid w:val="009E0216"/>
    <w:pPr>
      <w:spacing w:after="0" w:line="240" w:lineRule="auto"/>
      <w:ind w:left="1680" w:hanging="240"/>
      <w:jc w:val="both"/>
    </w:pPr>
    <w:rPr>
      <w:rFonts w:ascii="Times New Roman" w:eastAsia="Times New Roman" w:hAnsi="Times New Roman" w:cs="Times New Roman"/>
      <w:sz w:val="24"/>
      <w:szCs w:val="24"/>
      <w:lang w:eastAsia="en-GB"/>
    </w:rPr>
  </w:style>
  <w:style w:type="paragraph" w:styleId="Stvarnokazalo7">
    <w:name w:val="index 7"/>
    <w:basedOn w:val="Navaden"/>
    <w:next w:val="Navaden"/>
    <w:semiHidden/>
    <w:rsid w:val="009E0216"/>
    <w:pPr>
      <w:spacing w:after="0" w:line="240" w:lineRule="auto"/>
      <w:ind w:left="1920" w:hanging="240"/>
      <w:jc w:val="both"/>
    </w:pPr>
    <w:rPr>
      <w:rFonts w:ascii="Times New Roman" w:eastAsia="Times New Roman" w:hAnsi="Times New Roman" w:cs="Times New Roman"/>
      <w:sz w:val="24"/>
      <w:szCs w:val="24"/>
      <w:lang w:eastAsia="en-GB"/>
    </w:rPr>
  </w:style>
  <w:style w:type="paragraph" w:styleId="Stvarnokazalo8">
    <w:name w:val="index 8"/>
    <w:basedOn w:val="Navaden"/>
    <w:next w:val="Navaden"/>
    <w:semiHidden/>
    <w:rsid w:val="009E0216"/>
    <w:pPr>
      <w:spacing w:after="0" w:line="240" w:lineRule="auto"/>
      <w:ind w:left="2160" w:hanging="240"/>
      <w:jc w:val="both"/>
    </w:pPr>
    <w:rPr>
      <w:rFonts w:ascii="Times New Roman" w:eastAsia="Times New Roman" w:hAnsi="Times New Roman" w:cs="Times New Roman"/>
      <w:sz w:val="24"/>
      <w:szCs w:val="24"/>
      <w:lang w:eastAsia="en-GB"/>
    </w:rPr>
  </w:style>
  <w:style w:type="paragraph" w:styleId="Stvarnokazalo9">
    <w:name w:val="index 9"/>
    <w:basedOn w:val="Navaden"/>
    <w:next w:val="Navaden"/>
    <w:semiHidden/>
    <w:rsid w:val="009E0216"/>
    <w:pPr>
      <w:spacing w:after="0" w:line="240" w:lineRule="auto"/>
      <w:ind w:left="2400" w:hanging="240"/>
      <w:jc w:val="both"/>
    </w:pPr>
    <w:rPr>
      <w:rFonts w:ascii="Times New Roman" w:eastAsia="Times New Roman" w:hAnsi="Times New Roman" w:cs="Times New Roman"/>
      <w:sz w:val="24"/>
      <w:szCs w:val="24"/>
      <w:lang w:eastAsia="en-GB"/>
    </w:rPr>
  </w:style>
  <w:style w:type="paragraph" w:styleId="Stvarnokazalo-naslov">
    <w:name w:val="index heading"/>
    <w:basedOn w:val="Navaden"/>
    <w:next w:val="Stvarnokazalo1"/>
    <w:semiHidden/>
    <w:rsid w:val="009E0216"/>
    <w:pPr>
      <w:spacing w:after="0" w:line="240" w:lineRule="auto"/>
      <w:jc w:val="both"/>
    </w:pPr>
    <w:rPr>
      <w:rFonts w:ascii="Arial" w:eastAsia="Arial" w:hAnsi="Arial" w:cs="Times New Roman"/>
      <w:b/>
      <w:sz w:val="20"/>
      <w:szCs w:val="20"/>
      <w:lang w:eastAsia="en-GB"/>
    </w:rPr>
  </w:style>
  <w:style w:type="paragraph" w:styleId="Seznam">
    <w:name w:val="List"/>
    <w:basedOn w:val="Navaden"/>
    <w:rsid w:val="009E0216"/>
    <w:pPr>
      <w:spacing w:after="0" w:line="240" w:lineRule="auto"/>
      <w:ind w:left="566" w:hanging="283"/>
      <w:jc w:val="both"/>
    </w:pPr>
    <w:rPr>
      <w:rFonts w:ascii="Times New Roman" w:eastAsia="Times New Roman" w:hAnsi="Times New Roman" w:cs="Times New Roman"/>
      <w:sz w:val="24"/>
      <w:szCs w:val="24"/>
      <w:lang w:eastAsia="en-GB"/>
    </w:rPr>
  </w:style>
  <w:style w:type="paragraph" w:styleId="Seznam2">
    <w:name w:val="List 2"/>
    <w:basedOn w:val="Navaden"/>
    <w:rsid w:val="009E0216"/>
    <w:pPr>
      <w:spacing w:after="0" w:line="240" w:lineRule="auto"/>
      <w:ind w:left="849" w:hanging="283"/>
      <w:jc w:val="both"/>
    </w:pPr>
    <w:rPr>
      <w:rFonts w:ascii="Times New Roman" w:eastAsia="Times New Roman" w:hAnsi="Times New Roman" w:cs="Times New Roman"/>
      <w:sz w:val="24"/>
      <w:szCs w:val="24"/>
      <w:lang w:eastAsia="en-GB"/>
    </w:rPr>
  </w:style>
  <w:style w:type="paragraph" w:styleId="Seznam3">
    <w:name w:val="List 3"/>
    <w:basedOn w:val="Navaden"/>
    <w:rsid w:val="009E0216"/>
    <w:pPr>
      <w:spacing w:after="0" w:line="240" w:lineRule="auto"/>
      <w:ind w:left="1132" w:hanging="283"/>
      <w:jc w:val="both"/>
    </w:pPr>
    <w:rPr>
      <w:rFonts w:ascii="Times New Roman" w:eastAsia="Times New Roman" w:hAnsi="Times New Roman" w:cs="Times New Roman"/>
      <w:sz w:val="24"/>
      <w:szCs w:val="24"/>
      <w:lang w:eastAsia="en-GB"/>
    </w:rPr>
  </w:style>
  <w:style w:type="paragraph" w:styleId="Seznam4">
    <w:name w:val="List 4"/>
    <w:basedOn w:val="Navaden"/>
    <w:rsid w:val="009E0216"/>
    <w:pPr>
      <w:spacing w:after="0" w:line="240" w:lineRule="auto"/>
      <w:ind w:left="1415" w:hanging="283"/>
      <w:jc w:val="both"/>
    </w:pPr>
    <w:rPr>
      <w:rFonts w:ascii="Times New Roman" w:eastAsia="Times New Roman" w:hAnsi="Times New Roman" w:cs="Times New Roman"/>
      <w:sz w:val="24"/>
      <w:szCs w:val="24"/>
      <w:lang w:eastAsia="en-GB"/>
    </w:rPr>
  </w:style>
  <w:style w:type="paragraph" w:styleId="Seznam5">
    <w:name w:val="List 5"/>
    <w:basedOn w:val="Navaden"/>
    <w:rsid w:val="009E0216"/>
    <w:pPr>
      <w:spacing w:after="0" w:line="240" w:lineRule="auto"/>
      <w:ind w:left="1698" w:hanging="283"/>
      <w:jc w:val="both"/>
    </w:pPr>
    <w:rPr>
      <w:rFonts w:ascii="Times New Roman" w:eastAsia="Times New Roman" w:hAnsi="Times New Roman" w:cs="Times New Roman"/>
      <w:sz w:val="24"/>
      <w:szCs w:val="24"/>
      <w:lang w:eastAsia="en-GB"/>
    </w:rPr>
  </w:style>
  <w:style w:type="paragraph" w:styleId="Oznaenseznam">
    <w:name w:val="List Bullet"/>
    <w:basedOn w:val="Navaden"/>
    <w:rsid w:val="009E0216"/>
    <w:pPr>
      <w:numPr>
        <w:numId w:val="5"/>
      </w:numPr>
      <w:spacing w:after="0" w:line="240" w:lineRule="auto"/>
      <w:ind w:left="0" w:firstLine="0"/>
      <w:jc w:val="both"/>
    </w:pPr>
    <w:rPr>
      <w:rFonts w:ascii="Times New Roman" w:eastAsia="Times New Roman" w:hAnsi="Times New Roman" w:cs="Times New Roman"/>
      <w:sz w:val="24"/>
      <w:szCs w:val="24"/>
      <w:lang w:eastAsia="en-GB"/>
    </w:rPr>
  </w:style>
  <w:style w:type="paragraph" w:styleId="Oznaenseznam2">
    <w:name w:val="List Bullet 2"/>
    <w:basedOn w:val="Text2"/>
    <w:rsid w:val="009E0216"/>
    <w:pPr>
      <w:numPr>
        <w:numId w:val="7"/>
      </w:numPr>
      <w:tabs>
        <w:tab w:val="clear" w:pos="1360"/>
      </w:tabs>
      <w:ind w:left="0" w:firstLine="0"/>
    </w:pPr>
  </w:style>
  <w:style w:type="paragraph" w:styleId="Oznaenseznam3">
    <w:name w:val="List Bullet 3"/>
    <w:basedOn w:val="Text3"/>
    <w:rsid w:val="009E0216"/>
    <w:pPr>
      <w:numPr>
        <w:numId w:val="8"/>
      </w:numPr>
      <w:ind w:left="0" w:firstLine="0"/>
    </w:pPr>
  </w:style>
  <w:style w:type="paragraph" w:styleId="Oznaenseznam4">
    <w:name w:val="List Bullet 4"/>
    <w:basedOn w:val="Text4"/>
    <w:rsid w:val="009E0216"/>
    <w:pPr>
      <w:numPr>
        <w:numId w:val="9"/>
      </w:numPr>
      <w:ind w:left="0" w:firstLine="0"/>
    </w:pPr>
  </w:style>
  <w:style w:type="paragraph" w:styleId="Oznaenseznam5">
    <w:name w:val="List Bullet 5"/>
    <w:basedOn w:val="Navaden"/>
    <w:rsid w:val="009E0216"/>
    <w:pPr>
      <w:numPr>
        <w:numId w:val="3"/>
      </w:numPr>
      <w:spacing w:after="0" w:line="240" w:lineRule="auto"/>
      <w:ind w:left="0" w:firstLine="0"/>
      <w:jc w:val="both"/>
    </w:pPr>
    <w:rPr>
      <w:rFonts w:ascii="Times New Roman" w:eastAsia="Times New Roman" w:hAnsi="Times New Roman" w:cs="Times New Roman"/>
      <w:sz w:val="24"/>
      <w:szCs w:val="24"/>
      <w:lang w:eastAsia="en-GB"/>
    </w:rPr>
  </w:style>
  <w:style w:type="paragraph" w:styleId="Seznam-nadaljevanje">
    <w:name w:val="List Continue"/>
    <w:basedOn w:val="Navaden"/>
    <w:rsid w:val="009E0216"/>
    <w:pPr>
      <w:spacing w:after="0" w:line="240" w:lineRule="auto"/>
      <w:ind w:left="283"/>
      <w:jc w:val="both"/>
    </w:pPr>
    <w:rPr>
      <w:rFonts w:ascii="Times New Roman" w:eastAsia="Times New Roman" w:hAnsi="Times New Roman" w:cs="Times New Roman"/>
      <w:sz w:val="24"/>
      <w:szCs w:val="24"/>
      <w:lang w:eastAsia="en-GB"/>
    </w:rPr>
  </w:style>
  <w:style w:type="paragraph" w:styleId="Seznam-nadaljevanje2">
    <w:name w:val="List Continue 2"/>
    <w:basedOn w:val="Navaden"/>
    <w:rsid w:val="009E0216"/>
    <w:pPr>
      <w:spacing w:after="0" w:line="240" w:lineRule="auto"/>
      <w:ind w:left="566"/>
      <w:jc w:val="both"/>
    </w:pPr>
    <w:rPr>
      <w:rFonts w:ascii="Times New Roman" w:eastAsia="Times New Roman" w:hAnsi="Times New Roman" w:cs="Times New Roman"/>
      <w:sz w:val="24"/>
      <w:szCs w:val="24"/>
      <w:lang w:eastAsia="en-GB"/>
    </w:rPr>
  </w:style>
  <w:style w:type="paragraph" w:styleId="Seznam-nadaljevanje3">
    <w:name w:val="List Continue 3"/>
    <w:basedOn w:val="Navaden"/>
    <w:rsid w:val="009E0216"/>
    <w:pPr>
      <w:spacing w:after="0" w:line="240" w:lineRule="auto"/>
      <w:ind w:left="849"/>
      <w:jc w:val="both"/>
    </w:pPr>
    <w:rPr>
      <w:rFonts w:ascii="Times New Roman" w:eastAsia="Times New Roman" w:hAnsi="Times New Roman" w:cs="Times New Roman"/>
      <w:sz w:val="24"/>
      <w:szCs w:val="24"/>
      <w:lang w:eastAsia="en-GB"/>
    </w:rPr>
  </w:style>
  <w:style w:type="paragraph" w:styleId="Seznam-nadaljevanje4">
    <w:name w:val="List Continue 4"/>
    <w:basedOn w:val="Navaden"/>
    <w:rsid w:val="009E0216"/>
    <w:pPr>
      <w:spacing w:after="0" w:line="240" w:lineRule="auto"/>
      <w:ind w:left="1132"/>
      <w:jc w:val="both"/>
    </w:pPr>
    <w:rPr>
      <w:rFonts w:ascii="Times New Roman" w:eastAsia="Times New Roman" w:hAnsi="Times New Roman" w:cs="Times New Roman"/>
      <w:sz w:val="24"/>
      <w:szCs w:val="24"/>
      <w:lang w:eastAsia="en-GB"/>
    </w:rPr>
  </w:style>
  <w:style w:type="paragraph" w:styleId="Seznam-nadaljevanje5">
    <w:name w:val="List Continue 5"/>
    <w:basedOn w:val="Navaden"/>
    <w:rsid w:val="009E0216"/>
    <w:pPr>
      <w:spacing w:after="0" w:line="240" w:lineRule="auto"/>
      <w:ind w:left="1415"/>
      <w:jc w:val="both"/>
    </w:pPr>
    <w:rPr>
      <w:rFonts w:ascii="Times New Roman" w:eastAsia="Times New Roman" w:hAnsi="Times New Roman" w:cs="Times New Roman"/>
      <w:sz w:val="24"/>
      <w:szCs w:val="24"/>
      <w:lang w:eastAsia="en-GB"/>
    </w:rPr>
  </w:style>
  <w:style w:type="paragraph" w:styleId="Otevilenseznam">
    <w:name w:val="List Number"/>
    <w:basedOn w:val="Navaden"/>
    <w:rsid w:val="009E0216"/>
    <w:pPr>
      <w:numPr>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styleId="Otevilenseznam2">
    <w:name w:val="List Number 2"/>
    <w:basedOn w:val="Text2"/>
    <w:rsid w:val="009E0216"/>
    <w:pPr>
      <w:numPr>
        <w:numId w:val="17"/>
      </w:numPr>
      <w:tabs>
        <w:tab w:val="clear" w:pos="1786"/>
        <w:tab w:val="left" w:pos="283"/>
      </w:tabs>
      <w:ind w:left="0" w:firstLine="0"/>
    </w:pPr>
  </w:style>
  <w:style w:type="paragraph" w:styleId="Otevilenseznam3">
    <w:name w:val="List Number 3"/>
    <w:basedOn w:val="Text3"/>
    <w:rsid w:val="009E0216"/>
    <w:pPr>
      <w:numPr>
        <w:numId w:val="18"/>
      </w:numPr>
      <w:ind w:left="0" w:firstLine="0"/>
    </w:pPr>
  </w:style>
  <w:style w:type="paragraph" w:styleId="Otevilenseznam4">
    <w:name w:val="List Number 4"/>
    <w:basedOn w:val="Text4"/>
    <w:rsid w:val="009E0216"/>
    <w:pPr>
      <w:numPr>
        <w:numId w:val="19"/>
      </w:numPr>
      <w:ind w:left="0" w:firstLine="0"/>
    </w:pPr>
  </w:style>
  <w:style w:type="paragraph" w:styleId="Otevilenseznam5">
    <w:name w:val="List Number 5"/>
    <w:basedOn w:val="Navaden"/>
    <w:rsid w:val="009E0216"/>
    <w:pPr>
      <w:numPr>
        <w:numId w:val="4"/>
      </w:numPr>
      <w:spacing w:after="0" w:line="240" w:lineRule="auto"/>
      <w:ind w:left="0" w:firstLine="0"/>
      <w:jc w:val="both"/>
    </w:pPr>
    <w:rPr>
      <w:rFonts w:ascii="Times New Roman" w:eastAsia="Times New Roman" w:hAnsi="Times New Roman" w:cs="Times New Roman"/>
      <w:sz w:val="24"/>
      <w:szCs w:val="24"/>
      <w:lang w:eastAsia="en-GB"/>
    </w:rPr>
  </w:style>
  <w:style w:type="paragraph" w:styleId="Makrobesedilo">
    <w:name w:val="macro"/>
    <w:link w:val="MakrobesediloZnak"/>
    <w:semiHidden/>
    <w:rsid w:val="009E021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Courier New" w:hAnsi="Courier New" w:cs="Times New Roman"/>
      <w:sz w:val="20"/>
      <w:szCs w:val="20"/>
      <w:lang w:val="en-GB" w:eastAsia="en-GB"/>
    </w:rPr>
  </w:style>
  <w:style w:type="character" w:customStyle="1" w:styleId="MakrobesediloZnak">
    <w:name w:val="Makro besedilo Znak"/>
    <w:basedOn w:val="Privzetapisavaodstavka"/>
    <w:link w:val="Makrobesedilo"/>
    <w:semiHidden/>
    <w:rsid w:val="009E0216"/>
    <w:rPr>
      <w:rFonts w:ascii="Courier New" w:eastAsia="Courier New" w:hAnsi="Courier New" w:cs="Times New Roman"/>
      <w:sz w:val="20"/>
      <w:szCs w:val="20"/>
      <w:lang w:val="en-GB" w:eastAsia="en-GB"/>
    </w:rPr>
  </w:style>
  <w:style w:type="paragraph" w:styleId="Glavasporoila">
    <w:name w:val="Message Header"/>
    <w:basedOn w:val="Navaden"/>
    <w:link w:val="GlavasporoilaZnak"/>
    <w:rsid w:val="009E0216"/>
    <w:pPr>
      <w:shd w:val="pct20" w:color="000000" w:fill="auto"/>
      <w:spacing w:after="0" w:line="240" w:lineRule="auto"/>
      <w:ind w:left="2268" w:hanging="1134"/>
      <w:jc w:val="both"/>
    </w:pPr>
    <w:rPr>
      <w:rFonts w:ascii="Arial" w:eastAsia="Arial" w:hAnsi="Arial" w:cs="Times New Roman"/>
      <w:sz w:val="20"/>
      <w:szCs w:val="20"/>
      <w:lang w:eastAsia="en-GB"/>
    </w:rPr>
  </w:style>
  <w:style w:type="character" w:customStyle="1" w:styleId="GlavasporoilaZnak">
    <w:name w:val="Glava sporočila Znak"/>
    <w:basedOn w:val="Privzetapisavaodstavka"/>
    <w:link w:val="Glavasporoila"/>
    <w:rsid w:val="009E0216"/>
    <w:rPr>
      <w:rFonts w:ascii="Arial" w:eastAsia="Arial" w:hAnsi="Arial" w:cs="Times New Roman"/>
      <w:sz w:val="20"/>
      <w:szCs w:val="20"/>
      <w:shd w:val="pct20" w:color="000000" w:fill="auto"/>
      <w:lang w:eastAsia="en-GB"/>
    </w:rPr>
  </w:style>
  <w:style w:type="paragraph" w:styleId="Navaden-zamik">
    <w:name w:val="Normal Indent"/>
    <w:basedOn w:val="Navaden"/>
    <w:rsid w:val="009E0216"/>
    <w:pPr>
      <w:spacing w:after="0" w:line="240" w:lineRule="auto"/>
      <w:ind w:left="720"/>
      <w:jc w:val="both"/>
    </w:pPr>
    <w:rPr>
      <w:rFonts w:ascii="Times New Roman" w:eastAsia="Times New Roman" w:hAnsi="Times New Roman" w:cs="Times New Roman"/>
      <w:sz w:val="24"/>
      <w:szCs w:val="24"/>
      <w:lang w:eastAsia="en-GB"/>
    </w:rPr>
  </w:style>
  <w:style w:type="paragraph" w:styleId="Opomba-naslov">
    <w:name w:val="Note Heading"/>
    <w:basedOn w:val="Navaden"/>
    <w:next w:val="Navaden"/>
    <w:link w:val="Opomba-naslov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Opomba-naslovZnak">
    <w:name w:val="Opomba - naslov Znak"/>
    <w:basedOn w:val="Privzetapisavaodstavka"/>
    <w:link w:val="Opomba-naslov"/>
    <w:rsid w:val="009E0216"/>
    <w:rPr>
      <w:rFonts w:ascii="Times New Roman" w:eastAsia="Times New Roman" w:hAnsi="Times New Roman" w:cs="Times New Roman"/>
      <w:sz w:val="24"/>
      <w:szCs w:val="24"/>
      <w:lang w:eastAsia="en-GB"/>
    </w:rPr>
  </w:style>
  <w:style w:type="paragraph" w:customStyle="1" w:styleId="NoteHead">
    <w:name w:val="NoteHead"/>
    <w:basedOn w:val="Navaden"/>
    <w:rsid w:val="009E0216"/>
    <w:pPr>
      <w:spacing w:after="0" w:line="240" w:lineRule="auto"/>
      <w:jc w:val="center"/>
    </w:pPr>
    <w:rPr>
      <w:rFonts w:ascii="Times New Roman" w:eastAsia="Times New Roman" w:hAnsi="Times New Roman" w:cs="Times New Roman"/>
      <w:b/>
      <w:smallCaps/>
      <w:sz w:val="20"/>
      <w:szCs w:val="20"/>
      <w:lang w:eastAsia="en-GB"/>
    </w:rPr>
  </w:style>
  <w:style w:type="paragraph" w:customStyle="1" w:styleId="Subject">
    <w:name w:val="Subject"/>
    <w:basedOn w:val="Navaden"/>
    <w:next w:val="Navaden"/>
    <w:rsid w:val="009E0216"/>
    <w:pPr>
      <w:spacing w:after="0" w:line="240" w:lineRule="auto"/>
      <w:ind w:left="3062" w:hanging="1531"/>
      <w:jc w:val="both"/>
    </w:pPr>
    <w:rPr>
      <w:rFonts w:ascii="Times New Roman" w:eastAsia="Times New Roman" w:hAnsi="Times New Roman" w:cs="Times New Roman"/>
      <w:b/>
      <w:sz w:val="20"/>
      <w:szCs w:val="20"/>
      <w:lang w:eastAsia="en-GB"/>
    </w:rPr>
  </w:style>
  <w:style w:type="paragraph" w:customStyle="1" w:styleId="NoteList">
    <w:name w:val="NoteList"/>
    <w:basedOn w:val="Navaden"/>
    <w:next w:val="Subject"/>
    <w:rsid w:val="009E0216"/>
    <w:pPr>
      <w:tabs>
        <w:tab w:val="left" w:pos="5823"/>
      </w:tabs>
      <w:spacing w:after="0" w:line="240" w:lineRule="auto"/>
      <w:ind w:left="8223" w:hanging="3119"/>
      <w:jc w:val="both"/>
    </w:pPr>
    <w:rPr>
      <w:rFonts w:ascii="Times New Roman" w:eastAsia="Times New Roman" w:hAnsi="Times New Roman" w:cs="Times New Roman"/>
      <w:b/>
      <w:smallCaps/>
      <w:sz w:val="20"/>
      <w:szCs w:val="20"/>
      <w:lang w:eastAsia="en-GB"/>
    </w:rPr>
  </w:style>
  <w:style w:type="paragraph" w:customStyle="1" w:styleId="NumPar1">
    <w:name w:val="NumPar 1"/>
    <w:basedOn w:val="Naslov1"/>
    <w:next w:val="Text1"/>
    <w:rsid w:val="009E0216"/>
    <w:pPr>
      <w:keepLines w:val="0"/>
      <w:tabs>
        <w:tab w:val="left" w:pos="4537"/>
      </w:tabs>
      <w:spacing w:before="0" w:line="260" w:lineRule="atLeast"/>
      <w:jc w:val="both"/>
    </w:pPr>
    <w:rPr>
      <w:rFonts w:ascii="Arial" w:eastAsia="Calibri" w:hAnsi="Arial" w:cs="Times New Roman"/>
      <w:color w:val="339933"/>
      <w:sz w:val="20"/>
      <w:szCs w:val="20"/>
      <w:lang w:eastAsia="en-GB"/>
    </w:rPr>
  </w:style>
  <w:style w:type="paragraph" w:customStyle="1" w:styleId="NumPar2">
    <w:name w:val="NumPar 2"/>
    <w:basedOn w:val="Naslov2"/>
    <w:next w:val="Text2"/>
    <w:rsid w:val="009E0216"/>
    <w:pPr>
      <w:keepLines w:val="0"/>
      <w:tabs>
        <w:tab w:val="left" w:pos="0"/>
        <w:tab w:val="left" w:pos="480"/>
        <w:tab w:val="left" w:pos="1276"/>
        <w:tab w:val="left" w:pos="4537"/>
      </w:tabs>
      <w:spacing w:before="0" w:line="260" w:lineRule="atLeast"/>
      <w:jc w:val="both"/>
    </w:pPr>
    <w:rPr>
      <w:rFonts w:ascii="Arial" w:eastAsia="Arial" w:hAnsi="Arial" w:cs="Times New Roman"/>
      <w:b w:val="0"/>
      <w:bCs w:val="0"/>
      <w:caps/>
      <w:color w:val="00B050"/>
      <w:sz w:val="20"/>
      <w:szCs w:val="20"/>
      <w:lang w:eastAsia="en-GB"/>
    </w:rPr>
  </w:style>
  <w:style w:type="paragraph" w:customStyle="1" w:styleId="NumPar3">
    <w:name w:val="NumPar 3"/>
    <w:basedOn w:val="Naslov3"/>
    <w:next w:val="Text3"/>
    <w:rsid w:val="009E0216"/>
  </w:style>
  <w:style w:type="paragraph" w:customStyle="1" w:styleId="NumPar4">
    <w:name w:val="NumPar 4"/>
    <w:basedOn w:val="Naslov4"/>
    <w:next w:val="Text4"/>
    <w:rsid w:val="009E0216"/>
  </w:style>
  <w:style w:type="paragraph" w:styleId="Golobesedilo">
    <w:name w:val="Plain Text"/>
    <w:basedOn w:val="Navaden"/>
    <w:link w:val="GolobesediloZnak"/>
    <w:rsid w:val="009E0216"/>
    <w:pPr>
      <w:spacing w:after="0" w:line="240" w:lineRule="auto"/>
      <w:jc w:val="both"/>
    </w:pPr>
    <w:rPr>
      <w:rFonts w:ascii="Courier New" w:eastAsia="Courier New" w:hAnsi="Courier New" w:cs="Times New Roman"/>
      <w:sz w:val="20"/>
      <w:szCs w:val="20"/>
      <w:lang w:eastAsia="en-GB"/>
    </w:rPr>
  </w:style>
  <w:style w:type="character" w:customStyle="1" w:styleId="GolobesediloZnak">
    <w:name w:val="Golo besedilo Znak"/>
    <w:basedOn w:val="Privzetapisavaodstavka"/>
    <w:link w:val="Golobesedilo"/>
    <w:rsid w:val="009E0216"/>
    <w:rPr>
      <w:rFonts w:ascii="Courier New" w:eastAsia="Courier New" w:hAnsi="Courier New" w:cs="Times New Roman"/>
      <w:sz w:val="20"/>
      <w:szCs w:val="20"/>
      <w:lang w:eastAsia="en-GB"/>
    </w:rPr>
  </w:style>
  <w:style w:type="paragraph" w:styleId="Uvodnipozdrav">
    <w:name w:val="Salutation"/>
    <w:basedOn w:val="Navaden"/>
    <w:next w:val="Navaden"/>
    <w:link w:val="Uvodnipozdrav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UvodnipozdravZnak">
    <w:name w:val="Uvodni pozdrav Znak"/>
    <w:basedOn w:val="Privzetapisavaodstavka"/>
    <w:link w:val="Uvodnipozdrav"/>
    <w:rsid w:val="009E0216"/>
    <w:rPr>
      <w:rFonts w:ascii="Times New Roman" w:eastAsia="Times New Roman" w:hAnsi="Times New Roman" w:cs="Times New Roman"/>
      <w:sz w:val="24"/>
      <w:szCs w:val="24"/>
      <w:lang w:eastAsia="en-GB"/>
    </w:rPr>
  </w:style>
  <w:style w:type="paragraph" w:styleId="Kazalovirov">
    <w:name w:val="table of authorities"/>
    <w:basedOn w:val="Navaden"/>
    <w:next w:val="Navaden"/>
    <w:semiHidden/>
    <w:rsid w:val="009E0216"/>
    <w:pPr>
      <w:spacing w:after="0" w:line="240" w:lineRule="auto"/>
      <w:ind w:left="480" w:hanging="240"/>
      <w:jc w:val="both"/>
    </w:pPr>
    <w:rPr>
      <w:rFonts w:ascii="Times New Roman" w:eastAsia="Times New Roman" w:hAnsi="Times New Roman" w:cs="Times New Roman"/>
      <w:sz w:val="24"/>
      <w:szCs w:val="24"/>
      <w:lang w:eastAsia="en-GB"/>
    </w:rPr>
  </w:style>
  <w:style w:type="paragraph" w:styleId="Kazalovirov-naslov">
    <w:name w:val="toa heading"/>
    <w:basedOn w:val="Navaden"/>
    <w:next w:val="Navaden"/>
    <w:semiHidden/>
    <w:rsid w:val="009E0216"/>
    <w:pPr>
      <w:spacing w:after="0" w:line="240" w:lineRule="auto"/>
      <w:jc w:val="both"/>
    </w:pPr>
    <w:rPr>
      <w:rFonts w:ascii="Arial" w:eastAsia="Arial" w:hAnsi="Arial" w:cs="Times New Roman"/>
      <w:b/>
      <w:sz w:val="20"/>
      <w:szCs w:val="20"/>
      <w:lang w:eastAsia="en-GB"/>
    </w:rPr>
  </w:style>
  <w:style w:type="paragraph" w:customStyle="1" w:styleId="YReferences">
    <w:name w:val="YReferences"/>
    <w:basedOn w:val="Navaden"/>
    <w:next w:val="Navaden"/>
    <w:rsid w:val="009E0216"/>
    <w:pPr>
      <w:spacing w:after="0" w:line="240" w:lineRule="auto"/>
      <w:ind w:left="3062" w:hanging="1531"/>
      <w:jc w:val="both"/>
    </w:pPr>
    <w:rPr>
      <w:rFonts w:ascii="Times New Roman" w:eastAsia="Times New Roman" w:hAnsi="Times New Roman" w:cs="Times New Roman"/>
      <w:sz w:val="24"/>
      <w:szCs w:val="24"/>
      <w:lang w:eastAsia="en-GB"/>
    </w:rPr>
  </w:style>
  <w:style w:type="paragraph" w:customStyle="1" w:styleId="ListBullet1">
    <w:name w:val="List Bullet 1"/>
    <w:basedOn w:val="Text1"/>
    <w:rsid w:val="009E0216"/>
    <w:pPr>
      <w:numPr>
        <w:numId w:val="6"/>
      </w:numPr>
      <w:ind w:left="0" w:firstLine="0"/>
    </w:pPr>
  </w:style>
  <w:style w:type="paragraph" w:customStyle="1" w:styleId="ListDash">
    <w:name w:val="List Dash"/>
    <w:basedOn w:val="Navaden"/>
    <w:rsid w:val="009E0216"/>
    <w:pPr>
      <w:numPr>
        <w:numId w:val="10"/>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Dash1">
    <w:name w:val="List Dash 1"/>
    <w:basedOn w:val="Text1"/>
    <w:rsid w:val="009E0216"/>
    <w:pPr>
      <w:numPr>
        <w:numId w:val="11"/>
      </w:numPr>
      <w:ind w:left="0" w:firstLine="0"/>
    </w:pPr>
  </w:style>
  <w:style w:type="paragraph" w:customStyle="1" w:styleId="ListDash2">
    <w:name w:val="List Dash 2"/>
    <w:basedOn w:val="Text2"/>
    <w:rsid w:val="009E0216"/>
    <w:pPr>
      <w:numPr>
        <w:numId w:val="12"/>
      </w:numPr>
      <w:tabs>
        <w:tab w:val="clear" w:pos="1360"/>
        <w:tab w:val="left" w:pos="283"/>
      </w:tabs>
      <w:ind w:left="0" w:firstLine="0"/>
    </w:pPr>
  </w:style>
  <w:style w:type="paragraph" w:customStyle="1" w:styleId="ListDash3">
    <w:name w:val="List Dash 3"/>
    <w:basedOn w:val="Text3"/>
    <w:rsid w:val="009E0216"/>
    <w:pPr>
      <w:numPr>
        <w:numId w:val="13"/>
      </w:numPr>
      <w:ind w:left="0" w:firstLine="0"/>
    </w:pPr>
  </w:style>
  <w:style w:type="paragraph" w:customStyle="1" w:styleId="ListDash4">
    <w:name w:val="List Dash 4"/>
    <w:basedOn w:val="Text4"/>
    <w:rsid w:val="009E0216"/>
    <w:pPr>
      <w:numPr>
        <w:numId w:val="14"/>
      </w:numPr>
      <w:ind w:left="0" w:firstLine="0"/>
    </w:pPr>
  </w:style>
  <w:style w:type="paragraph" w:customStyle="1" w:styleId="ListNumberLevel2">
    <w:name w:val="List Number (Level 2)"/>
    <w:basedOn w:val="Navaden"/>
    <w:rsid w:val="009E0216"/>
    <w:pPr>
      <w:numPr>
        <w:ilvl w:val="1"/>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3">
    <w:name w:val="List Number (Level 3)"/>
    <w:basedOn w:val="Navaden"/>
    <w:rsid w:val="009E0216"/>
    <w:pPr>
      <w:numPr>
        <w:ilvl w:val="2"/>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4">
    <w:name w:val="List Number (Level 4)"/>
    <w:basedOn w:val="Navaden"/>
    <w:rsid w:val="009E0216"/>
    <w:pPr>
      <w:numPr>
        <w:ilvl w:val="3"/>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1">
    <w:name w:val="List Number 1"/>
    <w:basedOn w:val="Text1"/>
    <w:rsid w:val="009E0216"/>
    <w:pPr>
      <w:numPr>
        <w:numId w:val="16"/>
      </w:numPr>
      <w:ind w:left="0" w:firstLine="0"/>
    </w:pPr>
  </w:style>
  <w:style w:type="paragraph" w:customStyle="1" w:styleId="ListNumber1Level2">
    <w:name w:val="List Number 1 (Level 2)"/>
    <w:basedOn w:val="Text1"/>
    <w:rsid w:val="009E0216"/>
    <w:pPr>
      <w:numPr>
        <w:ilvl w:val="1"/>
        <w:numId w:val="16"/>
      </w:numPr>
      <w:ind w:left="0" w:firstLine="0"/>
    </w:pPr>
  </w:style>
  <w:style w:type="paragraph" w:customStyle="1" w:styleId="ListNumber1Level3">
    <w:name w:val="List Number 1 (Level 3)"/>
    <w:basedOn w:val="Text1"/>
    <w:rsid w:val="009E0216"/>
    <w:pPr>
      <w:numPr>
        <w:ilvl w:val="2"/>
        <w:numId w:val="16"/>
      </w:numPr>
      <w:ind w:left="0" w:firstLine="0"/>
    </w:pPr>
  </w:style>
  <w:style w:type="paragraph" w:customStyle="1" w:styleId="ListNumber1Level4">
    <w:name w:val="List Number 1 (Level 4)"/>
    <w:basedOn w:val="Text1"/>
    <w:rsid w:val="009E0216"/>
    <w:pPr>
      <w:numPr>
        <w:ilvl w:val="3"/>
        <w:numId w:val="16"/>
      </w:numPr>
      <w:ind w:left="0" w:firstLine="0"/>
    </w:pPr>
  </w:style>
  <w:style w:type="paragraph" w:customStyle="1" w:styleId="ListNumber2Level2">
    <w:name w:val="List Number 2 (Level 2)"/>
    <w:basedOn w:val="Text2"/>
    <w:rsid w:val="009E0216"/>
    <w:pPr>
      <w:numPr>
        <w:ilvl w:val="1"/>
        <w:numId w:val="17"/>
      </w:numPr>
      <w:tabs>
        <w:tab w:val="clear" w:pos="2494"/>
        <w:tab w:val="left" w:pos="283"/>
      </w:tabs>
      <w:ind w:left="0" w:firstLine="0"/>
    </w:pPr>
  </w:style>
  <w:style w:type="paragraph" w:customStyle="1" w:styleId="ListNumber2Level3">
    <w:name w:val="List Number 2 (Level 3)"/>
    <w:basedOn w:val="Text2"/>
    <w:rsid w:val="009E0216"/>
    <w:pPr>
      <w:numPr>
        <w:ilvl w:val="2"/>
        <w:numId w:val="17"/>
      </w:numPr>
      <w:tabs>
        <w:tab w:val="clear" w:pos="3203"/>
        <w:tab w:val="left" w:pos="283"/>
      </w:tabs>
      <w:ind w:left="0" w:firstLine="0"/>
    </w:pPr>
  </w:style>
  <w:style w:type="paragraph" w:customStyle="1" w:styleId="ListNumber2Level4">
    <w:name w:val="List Number 2 (Level 4)"/>
    <w:basedOn w:val="Text2"/>
    <w:rsid w:val="009E0216"/>
    <w:pPr>
      <w:numPr>
        <w:ilvl w:val="3"/>
        <w:numId w:val="17"/>
      </w:numPr>
      <w:tabs>
        <w:tab w:val="clear" w:pos="3912"/>
        <w:tab w:val="left" w:pos="283"/>
      </w:tabs>
      <w:ind w:left="4604" w:hanging="703"/>
    </w:pPr>
  </w:style>
  <w:style w:type="paragraph" w:customStyle="1" w:styleId="ListNumber3Level2">
    <w:name w:val="List Number 3 (Level 2)"/>
    <w:basedOn w:val="Text3"/>
    <w:rsid w:val="009E0216"/>
    <w:pPr>
      <w:numPr>
        <w:ilvl w:val="1"/>
        <w:numId w:val="18"/>
      </w:numPr>
      <w:ind w:left="0" w:firstLine="0"/>
    </w:pPr>
  </w:style>
  <w:style w:type="paragraph" w:customStyle="1" w:styleId="ListNumber3Level3">
    <w:name w:val="List Number 3 (Level 3)"/>
    <w:basedOn w:val="Text3"/>
    <w:rsid w:val="009E0216"/>
    <w:pPr>
      <w:numPr>
        <w:ilvl w:val="2"/>
        <w:numId w:val="18"/>
      </w:numPr>
      <w:ind w:left="0" w:firstLine="0"/>
    </w:pPr>
  </w:style>
  <w:style w:type="paragraph" w:customStyle="1" w:styleId="ListNumber3Level4">
    <w:name w:val="List Number 3 (Level 4)"/>
    <w:basedOn w:val="Text3"/>
    <w:rsid w:val="009E0216"/>
    <w:pPr>
      <w:numPr>
        <w:ilvl w:val="3"/>
        <w:numId w:val="18"/>
      </w:numPr>
      <w:ind w:left="0" w:firstLine="0"/>
    </w:pPr>
  </w:style>
  <w:style w:type="paragraph" w:customStyle="1" w:styleId="ListNumber4Level2">
    <w:name w:val="List Number 4 (Level 2)"/>
    <w:basedOn w:val="Text4"/>
    <w:rsid w:val="009E0216"/>
    <w:pPr>
      <w:numPr>
        <w:ilvl w:val="1"/>
        <w:numId w:val="19"/>
      </w:numPr>
      <w:ind w:left="0" w:firstLine="0"/>
    </w:pPr>
  </w:style>
  <w:style w:type="paragraph" w:customStyle="1" w:styleId="ListNumber4Level3">
    <w:name w:val="List Number 4 (Level 3)"/>
    <w:basedOn w:val="Text4"/>
    <w:rsid w:val="009E0216"/>
    <w:pPr>
      <w:numPr>
        <w:ilvl w:val="2"/>
        <w:numId w:val="19"/>
      </w:numPr>
      <w:ind w:left="0" w:firstLine="0"/>
    </w:pPr>
  </w:style>
  <w:style w:type="paragraph" w:customStyle="1" w:styleId="ListNumber4Level4">
    <w:name w:val="List Number 4 (Level 4)"/>
    <w:basedOn w:val="Text4"/>
    <w:rsid w:val="009E0216"/>
    <w:pPr>
      <w:numPr>
        <w:ilvl w:val="3"/>
        <w:numId w:val="19"/>
      </w:numPr>
      <w:ind w:left="0" w:firstLine="0"/>
    </w:pPr>
  </w:style>
  <w:style w:type="paragraph" w:customStyle="1" w:styleId="Contact">
    <w:name w:val="Contact"/>
    <w:basedOn w:val="Navaden"/>
    <w:next w:val="Navaden"/>
    <w:rsid w:val="009E0216"/>
    <w:pPr>
      <w:spacing w:after="0" w:line="240" w:lineRule="auto"/>
      <w:ind w:left="1134" w:hanging="567"/>
      <w:jc w:val="both"/>
    </w:pPr>
    <w:rPr>
      <w:rFonts w:ascii="Times New Roman" w:eastAsia="Times New Roman" w:hAnsi="Times New Roman" w:cs="Times New Roman"/>
      <w:sz w:val="24"/>
      <w:szCs w:val="24"/>
      <w:lang w:eastAsia="en-GB"/>
    </w:rPr>
  </w:style>
  <w:style w:type="paragraph" w:customStyle="1" w:styleId="DisclaimerNotice">
    <w:name w:val="Disclaimer Notice"/>
    <w:basedOn w:val="Navaden"/>
    <w:next w:val="AddressTR"/>
    <w:rsid w:val="009E0216"/>
    <w:pPr>
      <w:spacing w:after="0" w:line="240" w:lineRule="auto"/>
      <w:ind w:left="5103"/>
      <w:jc w:val="both"/>
    </w:pPr>
    <w:rPr>
      <w:rFonts w:ascii="Times New Roman" w:eastAsia="Times New Roman" w:hAnsi="Times New Roman" w:cs="Times New Roman"/>
      <w:i/>
      <w:sz w:val="20"/>
      <w:szCs w:val="20"/>
      <w:lang w:eastAsia="en-GB"/>
    </w:rPr>
  </w:style>
  <w:style w:type="paragraph" w:customStyle="1" w:styleId="Disclaimer">
    <w:name w:val="Disclaimer"/>
    <w:basedOn w:val="Navaden"/>
    <w:rsid w:val="009E0216"/>
    <w:pPr>
      <w:keepLines/>
      <w:spacing w:after="0" w:line="240" w:lineRule="auto"/>
      <w:jc w:val="both"/>
    </w:pPr>
    <w:rPr>
      <w:rFonts w:ascii="Times New Roman" w:eastAsia="Times New Roman" w:hAnsi="Times New Roman" w:cs="Times New Roman"/>
      <w:i/>
      <w:sz w:val="20"/>
      <w:szCs w:val="20"/>
      <w:lang w:eastAsia="en-GB"/>
    </w:rPr>
  </w:style>
  <w:style w:type="character" w:styleId="SledenaHiperpovezava">
    <w:name w:val="FollowedHyperlink"/>
    <w:uiPriority w:val="99"/>
    <w:rsid w:val="009E0216"/>
    <w:rPr>
      <w:color w:val="800080"/>
      <w:w w:val="100"/>
      <w:sz w:val="20"/>
      <w:szCs w:val="20"/>
      <w:u w:val="single"/>
      <w:shd w:val="clear" w:color="auto" w:fill="auto"/>
    </w:rPr>
  </w:style>
  <w:style w:type="paragraph" w:customStyle="1" w:styleId="DisclaimerSJ">
    <w:name w:val="Disclaimer_SJ"/>
    <w:basedOn w:val="Navaden"/>
    <w:next w:val="Navaden"/>
    <w:rsid w:val="009E0216"/>
    <w:pPr>
      <w:spacing w:after="0" w:line="240" w:lineRule="auto"/>
      <w:jc w:val="both"/>
    </w:pPr>
    <w:rPr>
      <w:rFonts w:ascii="Arial" w:eastAsia="Arial" w:hAnsi="Arial" w:cs="Times New Roman"/>
      <w:b/>
      <w:sz w:val="16"/>
      <w:szCs w:val="16"/>
      <w:lang w:eastAsia="en-GB"/>
    </w:rPr>
  </w:style>
  <w:style w:type="paragraph" w:customStyle="1" w:styleId="Designator">
    <w:name w:val="Designator"/>
    <w:basedOn w:val="Navaden"/>
    <w:rsid w:val="009E0216"/>
    <w:pPr>
      <w:spacing w:after="0" w:line="240" w:lineRule="auto"/>
      <w:jc w:val="center"/>
    </w:pPr>
    <w:rPr>
      <w:rFonts w:ascii="Times New Roman" w:eastAsia="Times New Roman" w:hAnsi="Times New Roman" w:cs="Times New Roman"/>
      <w:b/>
      <w:caps/>
      <w:sz w:val="32"/>
      <w:szCs w:val="32"/>
      <w:lang w:eastAsia="en-GB"/>
    </w:rPr>
  </w:style>
  <w:style w:type="paragraph" w:customStyle="1" w:styleId="Releasable">
    <w:name w:val="Releasable"/>
    <w:basedOn w:val="Navaden"/>
    <w:qFormat/>
    <w:rsid w:val="009E0216"/>
    <w:pPr>
      <w:spacing w:after="0" w:line="240" w:lineRule="auto"/>
      <w:jc w:val="center"/>
    </w:pPr>
    <w:rPr>
      <w:rFonts w:ascii="Times New Roman" w:eastAsia="Times New Roman" w:hAnsi="Times New Roman" w:cs="Times New Roman"/>
      <w:b/>
      <w:caps/>
      <w:sz w:val="32"/>
      <w:szCs w:val="32"/>
      <w:lang w:eastAsia="en-GB"/>
    </w:rPr>
  </w:style>
  <w:style w:type="paragraph" w:customStyle="1" w:styleId="RUE">
    <w:name w:val="RUE"/>
    <w:basedOn w:val="Navaden"/>
    <w:rsid w:val="009E0216"/>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ConfidentialUE">
    <w:name w:val="Confidential UE"/>
    <w:basedOn w:val="Navaden"/>
    <w:rsid w:val="009E0216"/>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TrsSecretUE">
    <w:name w:val="Très Secret UE"/>
    <w:basedOn w:val="Navaden"/>
    <w:rsid w:val="009E0216"/>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SecretUE">
    <w:name w:val="Secret UE"/>
    <w:basedOn w:val="Navaden"/>
    <w:rsid w:val="009E0216"/>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LegalNumPar">
    <w:name w:val="LegalNumPar"/>
    <w:basedOn w:val="Navaden"/>
    <w:rsid w:val="009E0216"/>
    <w:pPr>
      <w:numPr>
        <w:numId w:val="20"/>
      </w:numPr>
      <w:spacing w:after="0" w:line="240" w:lineRule="auto"/>
      <w:ind w:left="0" w:firstLine="0"/>
      <w:jc w:val="both"/>
    </w:pPr>
    <w:rPr>
      <w:rFonts w:ascii="Arial" w:eastAsia="Calibri" w:hAnsi="Arial" w:cs="Times New Roman"/>
      <w:sz w:val="20"/>
      <w:szCs w:val="20"/>
      <w:lang w:eastAsia="en-GB"/>
    </w:rPr>
  </w:style>
  <w:style w:type="paragraph" w:customStyle="1" w:styleId="LegalNumPar2">
    <w:name w:val="LegalNumPar2"/>
    <w:basedOn w:val="Navaden"/>
    <w:rsid w:val="009E0216"/>
    <w:pPr>
      <w:numPr>
        <w:ilvl w:val="1"/>
        <w:numId w:val="20"/>
      </w:numPr>
      <w:spacing w:after="0" w:line="240" w:lineRule="auto"/>
      <w:ind w:left="0" w:firstLine="0"/>
      <w:jc w:val="both"/>
    </w:pPr>
    <w:rPr>
      <w:rFonts w:ascii="Arial" w:eastAsia="Calibri" w:hAnsi="Arial" w:cs="Times New Roman"/>
      <w:sz w:val="20"/>
      <w:szCs w:val="20"/>
      <w:lang w:eastAsia="en-GB"/>
    </w:rPr>
  </w:style>
  <w:style w:type="paragraph" w:customStyle="1" w:styleId="LegalNumPar3">
    <w:name w:val="LegalNumPar3"/>
    <w:basedOn w:val="Navaden"/>
    <w:rsid w:val="009E0216"/>
    <w:pPr>
      <w:numPr>
        <w:ilvl w:val="2"/>
        <w:numId w:val="20"/>
      </w:numPr>
      <w:spacing w:after="0" w:line="240" w:lineRule="auto"/>
      <w:ind w:left="0" w:firstLine="0"/>
      <w:jc w:val="both"/>
    </w:pPr>
    <w:rPr>
      <w:rFonts w:ascii="Arial" w:eastAsia="Calibri" w:hAnsi="Arial" w:cs="Times New Roman"/>
      <w:sz w:val="20"/>
      <w:szCs w:val="20"/>
      <w:lang w:eastAsia="en-GB"/>
    </w:rPr>
  </w:style>
  <w:style w:type="paragraph" w:customStyle="1" w:styleId="ZCom">
    <w:name w:val="Z_Com"/>
    <w:basedOn w:val="Navaden"/>
    <w:rsid w:val="009E0216"/>
    <w:pPr>
      <w:autoSpaceDE w:val="0"/>
      <w:autoSpaceDN w:val="0"/>
      <w:spacing w:after="0" w:line="240" w:lineRule="auto"/>
      <w:ind w:right="85"/>
      <w:jc w:val="both"/>
    </w:pPr>
    <w:rPr>
      <w:rFonts w:ascii="Arial" w:eastAsia="Arial" w:hAnsi="Arial" w:cs="Times New Roman"/>
      <w:sz w:val="20"/>
      <w:szCs w:val="20"/>
      <w:lang w:eastAsia="en-GB"/>
    </w:rPr>
  </w:style>
  <w:style w:type="paragraph" w:customStyle="1" w:styleId="ZDGName">
    <w:name w:val="Z_DGName"/>
    <w:basedOn w:val="Navaden"/>
    <w:rsid w:val="009E0216"/>
    <w:pPr>
      <w:autoSpaceDE w:val="0"/>
      <w:autoSpaceDN w:val="0"/>
      <w:spacing w:after="0" w:line="240" w:lineRule="auto"/>
      <w:ind w:right="85"/>
      <w:jc w:val="both"/>
    </w:pPr>
    <w:rPr>
      <w:rFonts w:ascii="Arial" w:eastAsia="Arial" w:hAnsi="Arial" w:cs="Times New Roman"/>
      <w:sz w:val="16"/>
      <w:szCs w:val="16"/>
      <w:lang w:eastAsia="en-GB"/>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sid w:val="009E0216"/>
    <w:rPr>
      <w:w w:val="100"/>
      <w:sz w:val="20"/>
      <w:szCs w:val="20"/>
      <w:shd w:val="clear" w:color="auto" w:fill="auto"/>
      <w:vertAlign w:val="superscript"/>
    </w:rPr>
  </w:style>
  <w:style w:type="character" w:customStyle="1" w:styleId="BrezrazmikovZnak">
    <w:name w:val="Brez razmikov Znak"/>
    <w:basedOn w:val="Privzetapisavaodstavka"/>
    <w:link w:val="Brezrazmikov"/>
    <w:uiPriority w:val="1"/>
    <w:rsid w:val="009E0216"/>
    <w:rPr>
      <w:rFonts w:ascii="Calibri" w:eastAsia="Calibri" w:hAnsi="Calibri" w:cs="Times New Roman"/>
      <w:lang w:val="en-GB" w:eastAsia="en-GB"/>
    </w:rPr>
  </w:style>
  <w:style w:type="character" w:customStyle="1" w:styleId="Text2Char">
    <w:name w:val="Text 2 Char"/>
    <w:link w:val="Text2"/>
    <w:rsid w:val="009E0216"/>
    <w:rPr>
      <w:rFonts w:ascii="Times New Roman" w:eastAsia="Times New Roman" w:hAnsi="Times New Roman" w:cs="Times New Roman"/>
      <w:sz w:val="24"/>
      <w:szCs w:val="24"/>
      <w:lang w:eastAsia="en-GB"/>
    </w:rPr>
  </w:style>
  <w:style w:type="paragraph" w:styleId="Navadensplet">
    <w:name w:val="Normal (Web)"/>
    <w:basedOn w:val="Navaden"/>
    <w:uiPriority w:val="99"/>
    <w:unhideWhenUsed/>
    <w:rsid w:val="009E0216"/>
    <w:pPr>
      <w:spacing w:after="0" w:line="240" w:lineRule="auto"/>
      <w:jc w:val="both"/>
    </w:pPr>
    <w:rPr>
      <w:rFonts w:ascii="Times New Roman" w:eastAsia="Times New Roman" w:hAnsi="Times New Roman" w:cs="Times New Roman"/>
      <w:sz w:val="20"/>
      <w:szCs w:val="20"/>
      <w:lang w:eastAsia="en-GB"/>
    </w:rPr>
  </w:style>
  <w:style w:type="paragraph" w:customStyle="1" w:styleId="Point1">
    <w:name w:val="Point 1"/>
    <w:basedOn w:val="Navaden"/>
    <w:rsid w:val="009E0216"/>
    <w:pPr>
      <w:spacing w:after="0" w:line="240" w:lineRule="auto"/>
      <w:ind w:left="1984" w:hanging="567"/>
      <w:jc w:val="both"/>
    </w:pPr>
    <w:rPr>
      <w:rFonts w:ascii="Arial" w:eastAsia="Calibri" w:hAnsi="Arial" w:cs="Times New Roman"/>
      <w:sz w:val="20"/>
      <w:szCs w:val="20"/>
      <w:lang w:eastAsia="en-GB"/>
    </w:rPr>
  </w:style>
  <w:style w:type="paragraph" w:customStyle="1" w:styleId="Tiret2">
    <w:name w:val="Tiret 2"/>
    <w:basedOn w:val="Navaden"/>
    <w:rsid w:val="009E0216"/>
    <w:pPr>
      <w:numPr>
        <w:numId w:val="22"/>
      </w:numPr>
      <w:spacing w:after="0" w:line="240" w:lineRule="auto"/>
      <w:ind w:left="0" w:firstLine="0"/>
      <w:jc w:val="both"/>
    </w:pPr>
    <w:rPr>
      <w:rFonts w:ascii="Arial" w:eastAsia="Calibri" w:hAnsi="Arial" w:cs="Times New Roman"/>
      <w:sz w:val="20"/>
      <w:szCs w:val="20"/>
      <w:lang w:eastAsia="en-GB"/>
    </w:rPr>
  </w:style>
  <w:style w:type="paragraph" w:customStyle="1" w:styleId="Point0number">
    <w:name w:val="Point 0 (number)"/>
    <w:basedOn w:val="Navaden"/>
    <w:rsid w:val="009E0216"/>
    <w:pPr>
      <w:numPr>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1number">
    <w:name w:val="Point 1 (number)"/>
    <w:basedOn w:val="Navaden"/>
    <w:rsid w:val="009E0216"/>
    <w:pPr>
      <w:numPr>
        <w:ilvl w:val="2"/>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2number">
    <w:name w:val="Point 2 (number)"/>
    <w:basedOn w:val="Navaden"/>
    <w:rsid w:val="009E0216"/>
    <w:pPr>
      <w:numPr>
        <w:ilvl w:val="4"/>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3number">
    <w:name w:val="Point 3 (number)"/>
    <w:basedOn w:val="Navaden"/>
    <w:rsid w:val="009E0216"/>
    <w:pPr>
      <w:numPr>
        <w:ilvl w:val="6"/>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0letter">
    <w:name w:val="Point 0 (letter)"/>
    <w:basedOn w:val="Navaden"/>
    <w:rsid w:val="009E0216"/>
    <w:pPr>
      <w:numPr>
        <w:ilvl w:val="1"/>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1letter">
    <w:name w:val="Point 1 (letter)"/>
    <w:basedOn w:val="Navaden"/>
    <w:rsid w:val="009E0216"/>
    <w:pPr>
      <w:numPr>
        <w:ilvl w:val="3"/>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2letter">
    <w:name w:val="Point 2 (letter)"/>
    <w:basedOn w:val="Navaden"/>
    <w:rsid w:val="009E0216"/>
    <w:pPr>
      <w:numPr>
        <w:ilvl w:val="5"/>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3letter">
    <w:name w:val="Point 3 (letter)"/>
    <w:basedOn w:val="Navaden"/>
    <w:rsid w:val="009E0216"/>
    <w:pPr>
      <w:numPr>
        <w:ilvl w:val="7"/>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4letter">
    <w:name w:val="Point 4 (letter)"/>
    <w:basedOn w:val="Navaden"/>
    <w:rsid w:val="009E0216"/>
    <w:pPr>
      <w:numPr>
        <w:ilvl w:val="8"/>
        <w:numId w:val="21"/>
      </w:numPr>
      <w:spacing w:after="0" w:line="240" w:lineRule="auto"/>
      <w:ind w:left="0" w:firstLine="0"/>
      <w:jc w:val="both"/>
    </w:pPr>
    <w:rPr>
      <w:rFonts w:ascii="Arial" w:eastAsia="Calibri" w:hAnsi="Arial" w:cs="Times New Roman"/>
      <w:sz w:val="20"/>
      <w:szCs w:val="20"/>
      <w:lang w:eastAsia="en-GB"/>
    </w:rPr>
  </w:style>
  <w:style w:type="character" w:customStyle="1" w:styleId="OdstavekseznamaZnak">
    <w:name w:val="Odstavek seznama Znak"/>
    <w:aliases w:val="Odstavec1 Znak"/>
    <w:link w:val="Odstavekseznama"/>
    <w:uiPriority w:val="34"/>
    <w:qFormat/>
    <w:rsid w:val="009E0216"/>
  </w:style>
  <w:style w:type="paragraph" w:customStyle="1" w:styleId="StyleHeading3BoldNotItalic">
    <w:name w:val="Style Heading 3 + Bold Not Italic"/>
    <w:basedOn w:val="Naslov3"/>
    <w:rsid w:val="009E0216"/>
    <w:pPr>
      <w:numPr>
        <w:numId w:val="23"/>
      </w:numPr>
      <w:tabs>
        <w:tab w:val="left" w:pos="850"/>
      </w:tabs>
      <w:ind w:left="1440" w:hanging="720"/>
    </w:pPr>
    <w:rPr>
      <w:rFonts w:ascii="Times New Roman Bold" w:eastAsia="Times New Roman Bold" w:hAnsi="Times New Roman Bold"/>
    </w:rPr>
  </w:style>
  <w:style w:type="paragraph" w:styleId="HTML-oblikovano">
    <w:name w:val="HTML Preformatted"/>
    <w:basedOn w:val="Navaden"/>
    <w:link w:val="HTML-oblikovanoZnak"/>
    <w:uiPriority w:val="99"/>
    <w:unhideWhenUsed/>
    <w:rsid w:val="009E0216"/>
    <w:pPr>
      <w:spacing w:after="0" w:line="240" w:lineRule="auto"/>
      <w:jc w:val="both"/>
    </w:pPr>
    <w:rPr>
      <w:rFonts w:ascii="Consolas" w:eastAsia="Consolas" w:hAnsi="Consolas" w:cs="Times New Roman"/>
      <w:sz w:val="20"/>
      <w:szCs w:val="20"/>
      <w:lang w:eastAsia="en-GB"/>
    </w:rPr>
  </w:style>
  <w:style w:type="character" w:customStyle="1" w:styleId="HTML-oblikovanoZnak">
    <w:name w:val="HTML-oblikovano Znak"/>
    <w:basedOn w:val="Privzetapisavaodstavka"/>
    <w:link w:val="HTML-oblikovano"/>
    <w:uiPriority w:val="99"/>
    <w:rsid w:val="009E0216"/>
    <w:rPr>
      <w:rFonts w:ascii="Consolas" w:eastAsia="Consolas" w:hAnsi="Consolas" w:cs="Times New Roman"/>
      <w:sz w:val="20"/>
      <w:szCs w:val="20"/>
      <w:lang w:eastAsia="en-GB"/>
    </w:rPr>
  </w:style>
  <w:style w:type="paragraph" w:styleId="Zadevapripombe">
    <w:name w:val="annotation subject"/>
    <w:basedOn w:val="Pripombabesedilo"/>
    <w:next w:val="Pripombabesedilo"/>
    <w:link w:val="ZadevapripombeZnak"/>
    <w:uiPriority w:val="99"/>
    <w:semiHidden/>
    <w:unhideWhenUsed/>
    <w:rsid w:val="009E0216"/>
    <w:rPr>
      <w:b/>
    </w:rPr>
  </w:style>
  <w:style w:type="character" w:customStyle="1" w:styleId="ZadevapripombeZnak">
    <w:name w:val="Zadeva pripombe Znak"/>
    <w:basedOn w:val="PripombabesediloZnak"/>
    <w:link w:val="Zadevapripombe"/>
    <w:uiPriority w:val="99"/>
    <w:semiHidden/>
    <w:rsid w:val="009E0216"/>
    <w:rPr>
      <w:rFonts w:ascii="Times New Roman" w:eastAsia="Times New Roman" w:hAnsi="Times New Roman" w:cs="Times New Roman"/>
      <w:b/>
      <w:sz w:val="20"/>
      <w:szCs w:val="20"/>
      <w:lang w:eastAsia="en-GB"/>
    </w:rPr>
  </w:style>
  <w:style w:type="paragraph" w:styleId="Revizija">
    <w:name w:val="Revision"/>
    <w:uiPriority w:val="99"/>
    <w:semiHidden/>
    <w:rsid w:val="009E0216"/>
    <w:pPr>
      <w:spacing w:after="0" w:line="240" w:lineRule="auto"/>
    </w:pPr>
    <w:rPr>
      <w:rFonts w:ascii="Times New Roman" w:eastAsia="Times New Roman" w:hAnsi="Times New Roman" w:cs="Times New Roman"/>
      <w:sz w:val="24"/>
      <w:szCs w:val="24"/>
      <w:lang w:val="en-GB" w:eastAsia="en-GB"/>
    </w:rPr>
  </w:style>
  <w:style w:type="paragraph" w:customStyle="1" w:styleId="Tim">
    <w:name w:val="Tim"/>
    <w:basedOn w:val="Navaden"/>
    <w:rsid w:val="009E0216"/>
    <w:pPr>
      <w:numPr>
        <w:numId w:val="24"/>
      </w:numPr>
      <w:spacing w:after="0" w:line="240" w:lineRule="auto"/>
      <w:ind w:left="0" w:firstLine="0"/>
      <w:jc w:val="both"/>
    </w:pPr>
    <w:rPr>
      <w:rFonts w:ascii="Calibri" w:eastAsia="Calibri" w:hAnsi="Calibri" w:cs="Times New Roman"/>
      <w:lang w:eastAsia="en-GB"/>
    </w:rPr>
  </w:style>
  <w:style w:type="paragraph" w:customStyle="1" w:styleId="Default">
    <w:name w:val="Default"/>
    <w:rsid w:val="009E0216"/>
    <w:pPr>
      <w:autoSpaceDE w:val="0"/>
      <w:autoSpaceDN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ZPtekst">
    <w:name w:val="ZP_tekst"/>
    <w:basedOn w:val="Navaden"/>
    <w:link w:val="ZPtekstZnak"/>
    <w:qFormat/>
    <w:rsid w:val="009E0216"/>
    <w:pPr>
      <w:spacing w:before="120" w:after="0" w:line="264" w:lineRule="auto"/>
      <w:jc w:val="both"/>
    </w:pPr>
    <w:rPr>
      <w:rFonts w:ascii="Arial" w:eastAsia="Times New Roman" w:hAnsi="Arial" w:cs="Arial"/>
    </w:rPr>
  </w:style>
  <w:style w:type="character" w:customStyle="1" w:styleId="ZPtekstZnak">
    <w:name w:val="ZP_tekst Znak"/>
    <w:link w:val="ZPtekst"/>
    <w:rsid w:val="009E0216"/>
    <w:rPr>
      <w:rFonts w:ascii="Arial" w:eastAsia="Times New Roman" w:hAnsi="Arial" w:cs="Arial"/>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9E0216"/>
    <w:rPr>
      <w:rFonts w:ascii="Arial" w:hAnsi="Arial"/>
      <w:sz w:val="22"/>
      <w:szCs w:val="24"/>
      <w:lang w:val="sl-SI" w:eastAsia="sl-SI" w:bidi="ar-SA"/>
    </w:rPr>
  </w:style>
  <w:style w:type="paragraph" w:customStyle="1" w:styleId="ZPpodnapis">
    <w:name w:val="ZP_podnapis"/>
    <w:basedOn w:val="ZPtekst"/>
    <w:next w:val="ZPtekst"/>
    <w:qFormat/>
    <w:rsid w:val="009E0216"/>
    <w:pPr>
      <w:widowControl w:val="0"/>
      <w:spacing w:after="200"/>
      <w:ind w:left="170" w:hanging="170"/>
      <w:contextualSpacing/>
    </w:pPr>
    <w:rPr>
      <w:sz w:val="16"/>
    </w:rPr>
  </w:style>
  <w:style w:type="paragraph" w:customStyle="1" w:styleId="ZPslikanaslov">
    <w:name w:val="ZP_slika_naslov"/>
    <w:basedOn w:val="Navaden"/>
    <w:qFormat/>
    <w:rsid w:val="009E0216"/>
    <w:pPr>
      <w:keepNext/>
      <w:keepLines/>
      <w:spacing w:before="240" w:after="80" w:line="240" w:lineRule="auto"/>
      <w:jc w:val="center"/>
    </w:pPr>
    <w:rPr>
      <w:rFonts w:ascii="Arial" w:eastAsia="Times New Roman" w:hAnsi="Arial" w:cs="Arial"/>
      <w:i/>
      <w:lang w:eastAsia="sl-SI"/>
    </w:rPr>
  </w:style>
  <w:style w:type="paragraph" w:customStyle="1" w:styleId="ZPslika">
    <w:name w:val="ZP_slika"/>
    <w:basedOn w:val="Navaden"/>
    <w:qFormat/>
    <w:rsid w:val="009E0216"/>
    <w:pPr>
      <w:spacing w:before="80" w:after="80" w:line="240" w:lineRule="auto"/>
      <w:jc w:val="center"/>
    </w:pPr>
    <w:rPr>
      <w:rFonts w:ascii="Arial" w:eastAsia="Times New Roman" w:hAnsi="Arial" w:cs="Arial"/>
      <w:noProof/>
      <w:sz w:val="16"/>
      <w:lang w:eastAsia="sl-SI"/>
    </w:rPr>
  </w:style>
  <w:style w:type="table" w:customStyle="1" w:styleId="TableGridLight1">
    <w:name w:val="Table Grid Light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9E0216"/>
    <w:pPr>
      <w:spacing w:after="0" w:line="240" w:lineRule="auto"/>
      <w:jc w:val="both"/>
    </w:pPr>
    <w:rPr>
      <w:rFonts w:ascii="Times New Roman" w:eastAsia="Arial Unicode MS" w:hAnsi="Times New Roman" w:cs="Times New Roman"/>
      <w:color w:val="000000"/>
      <w:sz w:val="20"/>
      <w:szCs w:val="20"/>
      <w:lang w:eastAsia="sl-SI" w:bidi="sl-SI"/>
    </w:rPr>
  </w:style>
  <w:style w:type="table" w:customStyle="1" w:styleId="Tabelamrea1">
    <w:name w:val="Tabela – mreža1"/>
    <w:basedOn w:val="Navadnatabela"/>
    <w:next w:val="Tabelamrea"/>
    <w:uiPriority w:val="59"/>
    <w:rsid w:val="009E0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9E021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BodyText31">
    <w:name w:val="Body Text 31"/>
    <w:basedOn w:val="Navaden"/>
    <w:rsid w:val="009E0216"/>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l-SI"/>
    </w:rPr>
  </w:style>
  <w:style w:type="paragraph" w:customStyle="1" w:styleId="Preglednica">
    <w:name w:val="Preglednica"/>
    <w:basedOn w:val="Navaden"/>
    <w:link w:val="PreglednicaZnak"/>
    <w:qFormat/>
    <w:rsid w:val="009E0216"/>
    <w:pPr>
      <w:keepNext/>
      <w:keepLines/>
      <w:tabs>
        <w:tab w:val="left" w:pos="180"/>
      </w:tabs>
      <w:spacing w:after="120" w:line="240" w:lineRule="auto"/>
      <w:jc w:val="both"/>
    </w:pPr>
    <w:rPr>
      <w:rFonts w:ascii="Arial" w:eastAsia="Times New Roman" w:hAnsi="Arial" w:cs="Arial"/>
      <w:bCs/>
      <w:i/>
      <w:color w:val="000000"/>
      <w:sz w:val="20"/>
      <w:szCs w:val="20"/>
    </w:rPr>
  </w:style>
  <w:style w:type="character" w:customStyle="1" w:styleId="PreglednicaZnak">
    <w:name w:val="Preglednica Znak"/>
    <w:basedOn w:val="Privzetapisavaodstavka"/>
    <w:link w:val="Preglednica"/>
    <w:rsid w:val="009E0216"/>
    <w:rPr>
      <w:rFonts w:ascii="Arial" w:eastAsia="Times New Roman" w:hAnsi="Arial" w:cs="Arial"/>
      <w:bCs/>
      <w:i/>
      <w:color w:val="000000"/>
      <w:sz w:val="20"/>
      <w:szCs w:val="20"/>
    </w:rPr>
  </w:style>
  <w:style w:type="paragraph" w:customStyle="1" w:styleId="ZnakZnakZnakZnakZnak1">
    <w:name w:val="Znak Znak Znak Znak Znak1"/>
    <w:basedOn w:val="Navaden"/>
    <w:rsid w:val="009E0216"/>
    <w:pPr>
      <w:spacing w:after="160" w:line="240" w:lineRule="exact"/>
    </w:pPr>
    <w:rPr>
      <w:rFonts w:ascii="Tahoma" w:eastAsia="Times New Roman" w:hAnsi="Tahoma" w:cs="Times New Roman"/>
      <w:sz w:val="20"/>
      <w:szCs w:val="20"/>
      <w:lang w:val="en-US"/>
    </w:rPr>
  </w:style>
  <w:style w:type="paragraph" w:customStyle="1" w:styleId="ZPtekstpoevni">
    <w:name w:val="ZP_tekst_poševni"/>
    <w:basedOn w:val="Navaden"/>
    <w:next w:val="Navaden"/>
    <w:qFormat/>
    <w:rsid w:val="009E0216"/>
    <w:pPr>
      <w:spacing w:before="120" w:after="120" w:line="264" w:lineRule="auto"/>
      <w:jc w:val="both"/>
    </w:pPr>
    <w:rPr>
      <w:rFonts w:ascii="Arial" w:eastAsia="Times New Roman" w:hAnsi="Arial" w:cs="Arial"/>
      <w:i/>
    </w:rPr>
  </w:style>
  <w:style w:type="paragraph" w:customStyle="1" w:styleId="ZPnaslovneom">
    <w:name w:val="ZP_naslov_neoš_mč"/>
    <w:basedOn w:val="Navaden"/>
    <w:next w:val="Navaden"/>
    <w:qFormat/>
    <w:rsid w:val="009E0216"/>
    <w:pPr>
      <w:keepNext/>
      <w:autoSpaceDE w:val="0"/>
      <w:autoSpaceDN w:val="0"/>
      <w:adjustRightInd w:val="0"/>
      <w:spacing w:before="240" w:after="120" w:line="264" w:lineRule="auto"/>
      <w:jc w:val="both"/>
    </w:pPr>
    <w:rPr>
      <w:rFonts w:ascii="Arial" w:eastAsia="Times New Roman" w:hAnsi="Arial" w:cs="Arial"/>
      <w:b/>
      <w:i/>
      <w:lang w:eastAsia="sl-SI"/>
    </w:rPr>
  </w:style>
  <w:style w:type="paragraph" w:customStyle="1" w:styleId="ZPpregtekst">
    <w:name w:val="ZP_preg_tekst"/>
    <w:basedOn w:val="Navaden"/>
    <w:next w:val="Navaden"/>
    <w:qFormat/>
    <w:rsid w:val="009E0216"/>
    <w:pPr>
      <w:keepNext/>
      <w:keepLines/>
      <w:autoSpaceDE w:val="0"/>
      <w:autoSpaceDN w:val="0"/>
      <w:adjustRightInd w:val="0"/>
      <w:spacing w:after="0" w:line="240" w:lineRule="auto"/>
    </w:pPr>
    <w:rPr>
      <w:rFonts w:ascii="Arial" w:eastAsia="Times New Roman" w:hAnsi="Arial" w:cs="Arial"/>
      <w:sz w:val="16"/>
      <w:lang w:eastAsia="sl-SI"/>
    </w:rPr>
  </w:style>
  <w:style w:type="paragraph" w:customStyle="1" w:styleId="ZPpregglava">
    <w:name w:val="ZP_preg_glava"/>
    <w:basedOn w:val="ZPpregtekst"/>
    <w:next w:val="ZPpregtekst"/>
    <w:qFormat/>
    <w:rsid w:val="009E0216"/>
    <w:pPr>
      <w:spacing w:before="40" w:after="20"/>
      <w:jc w:val="right"/>
      <w:outlineLvl w:val="0"/>
    </w:pPr>
    <w:rPr>
      <w:b/>
    </w:rPr>
  </w:style>
  <w:style w:type="character" w:customStyle="1" w:styleId="Bodytext2Bold">
    <w:name w:val="Body text (2) + Bold"/>
    <w:basedOn w:val="Privzetapisavaodstavka"/>
    <w:rsid w:val="009E0216"/>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9E0216"/>
    <w:rPr>
      <w:rFonts w:ascii="Arial" w:eastAsia="Arial" w:hAnsi="Arial" w:cs="Arial"/>
      <w:sz w:val="13"/>
      <w:szCs w:val="13"/>
      <w:shd w:val="clear" w:color="auto" w:fill="FFFFFF"/>
    </w:rPr>
  </w:style>
  <w:style w:type="character" w:customStyle="1" w:styleId="Bodytext27ptScale66">
    <w:name w:val="Body text (2) + 7 pt;Scale 66%"/>
    <w:basedOn w:val="Bodytext2"/>
    <w:rsid w:val="009E0216"/>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9E0216"/>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9E0216"/>
    <w:pPr>
      <w:widowControl w:val="0"/>
      <w:shd w:val="clear" w:color="auto" w:fill="FFFFFF"/>
      <w:spacing w:before="120" w:after="300" w:line="197" w:lineRule="exact"/>
      <w:ind w:hanging="180"/>
    </w:pPr>
    <w:rPr>
      <w:rFonts w:ascii="Arial" w:eastAsia="Arial" w:hAnsi="Arial" w:cs="Arial"/>
      <w:sz w:val="13"/>
      <w:szCs w:val="13"/>
    </w:rPr>
  </w:style>
  <w:style w:type="character" w:customStyle="1" w:styleId="Bodytext2Georgia4ptBold">
    <w:name w:val="Body text (2) + Georgia;4 pt;Bold"/>
    <w:basedOn w:val="Bodytext2"/>
    <w:rsid w:val="009E0216"/>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9E0216"/>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9E0216"/>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9E02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9E0216"/>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9E0216"/>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9E0216"/>
    <w:pPr>
      <w:keepNext/>
      <w:keepLines/>
      <w:autoSpaceDE w:val="0"/>
      <w:autoSpaceDN w:val="0"/>
      <w:adjustRightInd w:val="0"/>
      <w:spacing w:after="0" w:line="240" w:lineRule="auto"/>
      <w:jc w:val="right"/>
    </w:pPr>
    <w:rPr>
      <w:rFonts w:ascii="Arial" w:eastAsia="Times New Roman" w:hAnsi="Arial" w:cs="Arial"/>
      <w:sz w:val="16"/>
      <w:lang w:eastAsia="sl-SI"/>
    </w:rPr>
  </w:style>
  <w:style w:type="paragraph" w:customStyle="1" w:styleId="alineja">
    <w:name w:val="alineja"/>
    <w:basedOn w:val="Navaden"/>
    <w:rsid w:val="009E0216"/>
    <w:pPr>
      <w:numPr>
        <w:numId w:val="25"/>
      </w:numPr>
      <w:autoSpaceDE w:val="0"/>
      <w:autoSpaceDN w:val="0"/>
      <w:adjustRightInd w:val="0"/>
      <w:spacing w:after="0" w:line="240" w:lineRule="auto"/>
      <w:ind w:left="714" w:hanging="357"/>
      <w:jc w:val="both"/>
    </w:pPr>
    <w:rPr>
      <w:rFonts w:ascii="Tahoma" w:eastAsia="Times New Roman" w:hAnsi="Tahoma" w:cs="Times New Roman"/>
      <w:lang w:eastAsia="sl-SI"/>
    </w:rPr>
  </w:style>
  <w:style w:type="character" w:styleId="Poudarek">
    <w:name w:val="Emphasis"/>
    <w:uiPriority w:val="20"/>
    <w:qFormat/>
    <w:rsid w:val="009E0216"/>
    <w:rPr>
      <w:i/>
      <w:iCs/>
    </w:rPr>
  </w:style>
  <w:style w:type="character" w:customStyle="1" w:styleId="ccccccc">
    <w:name w:val="ccccccc"/>
    <w:rsid w:val="009E0216"/>
    <w:rPr>
      <w:rFonts w:ascii="Arial" w:hAnsi="Arial"/>
      <w:b/>
      <w:bCs/>
      <w:sz w:val="22"/>
      <w:lang w:eastAsia="en-US"/>
    </w:rPr>
  </w:style>
  <w:style w:type="paragraph" w:customStyle="1" w:styleId="ZPokvirnaslov">
    <w:name w:val="ZP_okvir_naslov"/>
    <w:basedOn w:val="ZPtekst"/>
    <w:qFormat/>
    <w:rsid w:val="009E0216"/>
    <w:pPr>
      <w:keepNext/>
      <w:spacing w:before="80" w:after="80"/>
      <w:ind w:firstLine="454"/>
      <w:jc w:val="left"/>
    </w:pPr>
    <w:rPr>
      <w:b/>
    </w:rPr>
  </w:style>
  <w:style w:type="paragraph" w:customStyle="1" w:styleId="ZPokvirtekst">
    <w:name w:val="ZP_okvir_tekst"/>
    <w:basedOn w:val="ZPtekst"/>
    <w:qFormat/>
    <w:rsid w:val="009E0216"/>
    <w:pPr>
      <w:keepNext/>
      <w:spacing w:before="80" w:after="80" w:line="245" w:lineRule="auto"/>
      <w:ind w:firstLine="454"/>
    </w:pPr>
    <w:rPr>
      <w:sz w:val="18"/>
    </w:rPr>
  </w:style>
  <w:style w:type="table" w:customStyle="1" w:styleId="Tabelamrea6">
    <w:name w:val="Tabela – mreža6"/>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9E0216"/>
    <w:rPr>
      <w:vertAlign w:val="superscript"/>
    </w:rPr>
  </w:style>
  <w:style w:type="character" w:customStyle="1" w:styleId="A2">
    <w:name w:val="A2"/>
    <w:uiPriority w:val="99"/>
    <w:rsid w:val="009E0216"/>
    <w:rPr>
      <w:rFonts w:cs="FTERJY+MyriadPro-Regular"/>
      <w:color w:val="000000"/>
      <w:sz w:val="17"/>
      <w:szCs w:val="17"/>
    </w:rPr>
  </w:style>
  <w:style w:type="table" w:customStyle="1" w:styleId="Tabelamrea2">
    <w:name w:val="Tabela – mreža2"/>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9E0216"/>
    <w:rPr>
      <w:i/>
      <w:iCs/>
    </w:rPr>
  </w:style>
  <w:style w:type="paragraph" w:customStyle="1" w:styleId="tevilnatoka111">
    <w:name w:val="Številčna točka 1.1.1"/>
    <w:basedOn w:val="Navaden"/>
    <w:qFormat/>
    <w:rsid w:val="009E0216"/>
    <w:pPr>
      <w:widowControl w:val="0"/>
      <w:numPr>
        <w:ilvl w:val="2"/>
        <w:numId w:val="26"/>
      </w:numPr>
      <w:overflowPunct w:val="0"/>
      <w:autoSpaceDE w:val="0"/>
      <w:autoSpaceDN w:val="0"/>
      <w:adjustRightInd w:val="0"/>
      <w:spacing w:after="0" w:line="240" w:lineRule="auto"/>
      <w:jc w:val="both"/>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9E0216"/>
    <w:pPr>
      <w:numPr>
        <w:numId w:val="26"/>
      </w:numPr>
      <w:spacing w:after="0" w:line="240" w:lineRule="auto"/>
      <w:jc w:val="both"/>
    </w:pPr>
    <w:rPr>
      <w:rFonts w:ascii="Arial" w:eastAsia="Times New Roman" w:hAnsi="Arial" w:cs="Arial"/>
      <w:lang w:eastAsia="sl-SI"/>
    </w:rPr>
  </w:style>
  <w:style w:type="paragraph" w:customStyle="1" w:styleId="tevilnatoka11Nova">
    <w:name w:val="Številčna točka 1.1 Nova"/>
    <w:basedOn w:val="tevilnatoka"/>
    <w:qFormat/>
    <w:rsid w:val="009E0216"/>
    <w:pPr>
      <w:numPr>
        <w:ilvl w:val="1"/>
      </w:numPr>
      <w:tabs>
        <w:tab w:val="left" w:pos="4297"/>
      </w:tabs>
    </w:pPr>
  </w:style>
  <w:style w:type="paragraph" w:customStyle="1" w:styleId="tevilnatoka0">
    <w:name w:val="tevilnatoka"/>
    <w:basedOn w:val="Navaden"/>
    <w:rsid w:val="009E021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9E0216"/>
  </w:style>
  <w:style w:type="paragraph" w:customStyle="1" w:styleId="Odstavek0">
    <w:name w:val="Odstavek"/>
    <w:basedOn w:val="Navaden"/>
    <w:link w:val="OdstavekZnak"/>
    <w:qFormat/>
    <w:rsid w:val="009E0216"/>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0"/>
    <w:rsid w:val="009E0216"/>
    <w:rPr>
      <w:rFonts w:ascii="Arial" w:eastAsia="Times New Roman" w:hAnsi="Arial" w:cs="Arial"/>
      <w:lang w:eastAsia="sl-SI"/>
    </w:rPr>
  </w:style>
  <w:style w:type="paragraph" w:customStyle="1" w:styleId="Navaden1">
    <w:name w:val="Navaden1"/>
    <w:rsid w:val="009E0216"/>
    <w:pPr>
      <w:spacing w:after="0" w:line="240" w:lineRule="auto"/>
    </w:pPr>
    <w:rPr>
      <w:rFonts w:ascii="Arial" w:eastAsia="Arial" w:hAnsi="Arial" w:cs="Arial"/>
      <w:sz w:val="20"/>
      <w:szCs w:val="20"/>
    </w:rPr>
  </w:style>
  <w:style w:type="character" w:customStyle="1" w:styleId="st">
    <w:name w:val="st"/>
    <w:basedOn w:val="Privzetapisavaodstavka"/>
    <w:rsid w:val="009E0216"/>
  </w:style>
  <w:style w:type="paragraph" w:customStyle="1" w:styleId="ZPnoga">
    <w:name w:val="ZP_noga"/>
    <w:basedOn w:val="ZPtekst"/>
    <w:qFormat/>
    <w:rsid w:val="009E0216"/>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9E0216"/>
    <w:pPr>
      <w:widowControl w:val="0"/>
      <w:adjustRightInd w:val="0"/>
      <w:spacing w:after="160" w:line="240" w:lineRule="exact"/>
      <w:jc w:val="both"/>
      <w:textAlignment w:val="baseline"/>
    </w:pPr>
    <w:rPr>
      <w:rFonts w:ascii="Tahoma" w:eastAsia="Times New Roman" w:hAnsi="Tahoma" w:cs="Tahoma"/>
      <w:sz w:val="20"/>
      <w:szCs w:val="20"/>
      <w:lang w:val="en-US"/>
    </w:rPr>
  </w:style>
  <w:style w:type="character" w:customStyle="1" w:styleId="tevilnatokaZnak">
    <w:name w:val="Številčna točka Znak"/>
    <w:basedOn w:val="Privzetapisavaodstavka"/>
    <w:link w:val="tevilnatoka"/>
    <w:rsid w:val="009E0216"/>
    <w:rPr>
      <w:rFonts w:ascii="Arial" w:eastAsia="Times New Roman" w:hAnsi="Arial" w:cs="Arial"/>
      <w:lang w:eastAsia="sl-SI"/>
    </w:rPr>
  </w:style>
  <w:style w:type="numbering" w:customStyle="1" w:styleId="Brezseznama1">
    <w:name w:val="Brez seznama1"/>
    <w:next w:val="Brezseznama"/>
    <w:uiPriority w:val="99"/>
    <w:semiHidden/>
    <w:unhideWhenUsed/>
    <w:rsid w:val="009E0216"/>
  </w:style>
  <w:style w:type="paragraph" w:customStyle="1" w:styleId="Pa1">
    <w:name w:val="Pa1"/>
    <w:basedOn w:val="Default"/>
    <w:next w:val="Default"/>
    <w:uiPriority w:val="99"/>
    <w:rsid w:val="009E0216"/>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9E0216"/>
    <w:pPr>
      <w:spacing w:before="100" w:beforeAutospacing="1" w:after="100" w:afterAutospacing="1" w:line="260" w:lineRule="atLeast"/>
    </w:pPr>
    <w:rPr>
      <w:rFonts w:ascii="Arial" w:eastAsia="Times New Roman" w:hAnsi="Arial" w:cs="Times New Roman"/>
      <w:szCs w:val="24"/>
      <w:lang w:eastAsia="sl-SI"/>
    </w:rPr>
  </w:style>
  <w:style w:type="paragraph" w:customStyle="1" w:styleId="Pa34">
    <w:name w:val="Pa34"/>
    <w:basedOn w:val="Default"/>
    <w:next w:val="Default"/>
    <w:uiPriority w:val="99"/>
    <w:rsid w:val="009E0216"/>
    <w:pPr>
      <w:adjustRightInd w:val="0"/>
      <w:spacing w:line="201" w:lineRule="atLeast"/>
    </w:pPr>
    <w:rPr>
      <w:rFonts w:ascii="Source Sans Pro Light" w:eastAsiaTheme="minorHAnsi" w:hAnsi="Source Sans Pro Light" w:cstheme="minorBidi"/>
      <w:color w:val="auto"/>
      <w:lang w:val="sl-SI" w:eastAsia="en-US"/>
    </w:rPr>
  </w:style>
  <w:style w:type="paragraph" w:customStyle="1" w:styleId="Pa27">
    <w:name w:val="Pa27"/>
    <w:basedOn w:val="Default"/>
    <w:next w:val="Default"/>
    <w:uiPriority w:val="99"/>
    <w:rsid w:val="009E0216"/>
    <w:pPr>
      <w:adjustRightInd w:val="0"/>
      <w:spacing w:line="181" w:lineRule="atLeast"/>
    </w:pPr>
    <w:rPr>
      <w:rFonts w:ascii="Myriad Pro Light" w:eastAsiaTheme="minorHAnsi" w:hAnsi="Myriad Pro Light" w:cstheme="minorBidi"/>
      <w:color w:val="auto"/>
      <w:lang w:val="sl-SI" w:eastAsia="en-US"/>
    </w:rPr>
  </w:style>
  <w:style w:type="paragraph" w:customStyle="1" w:styleId="Pa29">
    <w:name w:val="Pa29"/>
    <w:basedOn w:val="Default"/>
    <w:next w:val="Default"/>
    <w:uiPriority w:val="99"/>
    <w:rsid w:val="009E0216"/>
    <w:pPr>
      <w:adjustRightInd w:val="0"/>
      <w:spacing w:line="151" w:lineRule="atLeast"/>
    </w:pPr>
    <w:rPr>
      <w:rFonts w:ascii="Myriad Pro Light" w:eastAsiaTheme="minorHAnsi" w:hAnsi="Myriad Pro Light" w:cstheme="minorBidi"/>
      <w:color w:val="auto"/>
      <w:lang w:val="sl-SI" w:eastAsia="en-US"/>
    </w:rPr>
  </w:style>
  <w:style w:type="paragraph" w:customStyle="1" w:styleId="Pa31">
    <w:name w:val="Pa31"/>
    <w:basedOn w:val="Default"/>
    <w:next w:val="Default"/>
    <w:uiPriority w:val="99"/>
    <w:rsid w:val="009E0216"/>
    <w:pPr>
      <w:adjustRightInd w:val="0"/>
      <w:spacing w:line="151" w:lineRule="atLeast"/>
    </w:pPr>
    <w:rPr>
      <w:rFonts w:ascii="Myriad Pro Light" w:eastAsiaTheme="minorHAnsi" w:hAnsi="Myriad Pro Light" w:cstheme="minorBidi"/>
      <w:color w:val="auto"/>
      <w:lang w:val="sl-SI" w:eastAsia="en-US"/>
    </w:rPr>
  </w:style>
  <w:style w:type="character" w:customStyle="1" w:styleId="tlid-translation">
    <w:name w:val="tlid-translation"/>
    <w:basedOn w:val="Privzetapisavaodstavka"/>
    <w:rsid w:val="009E0216"/>
  </w:style>
  <w:style w:type="character" w:customStyle="1" w:styleId="Bodytext27pt">
    <w:name w:val="Body text (2) + 7 pt"/>
    <w:basedOn w:val="Bodytext2"/>
    <w:rsid w:val="009E021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9E0216"/>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9E0216"/>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9E0216"/>
    <w:rPr>
      <w:rFonts w:ascii="Calibri" w:eastAsia="Calibri" w:hAnsi="Calibri" w:cs="Calibri"/>
      <w:sz w:val="24"/>
      <w:szCs w:val="24"/>
      <w:shd w:val="clear" w:color="auto" w:fill="FFFFFF"/>
    </w:rPr>
  </w:style>
  <w:style w:type="character" w:customStyle="1" w:styleId="Bodytext9Exact">
    <w:name w:val="Body text (9) Exact"/>
    <w:basedOn w:val="Privzetapisavaodstavka"/>
    <w:rsid w:val="009E0216"/>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9E0216"/>
    <w:pPr>
      <w:widowControl w:val="0"/>
      <w:shd w:val="clear" w:color="auto" w:fill="FFFFFF"/>
      <w:spacing w:after="360" w:line="0" w:lineRule="atLeast"/>
      <w:jc w:val="both"/>
    </w:pPr>
    <w:rPr>
      <w:rFonts w:ascii="Calibri" w:eastAsia="Calibri" w:hAnsi="Calibri" w:cs="Calibri"/>
      <w:sz w:val="24"/>
      <w:szCs w:val="24"/>
    </w:rPr>
  </w:style>
  <w:style w:type="character" w:customStyle="1" w:styleId="Heading3">
    <w:name w:val="Heading #3_"/>
    <w:basedOn w:val="Privzetapisavaodstavka"/>
    <w:link w:val="Heading30"/>
    <w:rsid w:val="009E0216"/>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9E0216"/>
    <w:rPr>
      <w:rFonts w:ascii="Calibri" w:eastAsia="Calibri" w:hAnsi="Calibri" w:cs="Calibri"/>
      <w:b/>
      <w:bCs/>
      <w:sz w:val="24"/>
      <w:szCs w:val="24"/>
      <w:shd w:val="clear" w:color="auto" w:fill="FFFFFF"/>
    </w:rPr>
  </w:style>
  <w:style w:type="character" w:customStyle="1" w:styleId="Bodytext9Bold">
    <w:name w:val="Body text (9) + Bold"/>
    <w:basedOn w:val="Bodytext9"/>
    <w:rsid w:val="009E0216"/>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9E0216"/>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9E021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9E0216"/>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9E0216"/>
    <w:pPr>
      <w:widowControl w:val="0"/>
      <w:shd w:val="clear" w:color="auto" w:fill="FFFFFF"/>
      <w:spacing w:before="480" w:after="0" w:line="293" w:lineRule="exact"/>
      <w:outlineLvl w:val="2"/>
    </w:pPr>
    <w:rPr>
      <w:rFonts w:ascii="Calibri" w:eastAsia="Calibri" w:hAnsi="Calibri" w:cs="Calibri"/>
      <w:b/>
      <w:bCs/>
      <w:sz w:val="24"/>
      <w:szCs w:val="24"/>
    </w:rPr>
  </w:style>
  <w:style w:type="paragraph" w:customStyle="1" w:styleId="Bodytext60">
    <w:name w:val="Body text (6)"/>
    <w:basedOn w:val="Navaden"/>
    <w:link w:val="Bodytext6"/>
    <w:rsid w:val="009E0216"/>
    <w:pPr>
      <w:widowControl w:val="0"/>
      <w:shd w:val="clear" w:color="auto" w:fill="FFFFFF"/>
      <w:spacing w:after="240" w:line="293" w:lineRule="exact"/>
    </w:pPr>
    <w:rPr>
      <w:rFonts w:ascii="Calibri" w:eastAsia="Calibri" w:hAnsi="Calibri" w:cs="Calibri"/>
      <w:b/>
      <w:bCs/>
      <w:sz w:val="24"/>
      <w:szCs w:val="24"/>
    </w:rPr>
  </w:style>
  <w:style w:type="character" w:customStyle="1" w:styleId="Bodytext675ptNotBold">
    <w:name w:val="Body text (6) + 7;5 pt;Not Bold"/>
    <w:basedOn w:val="Bodytext6"/>
    <w:rsid w:val="009E0216"/>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9E0216"/>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9E0216"/>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tableinformationtitle">
    <w:name w:val="tableinformation_title"/>
    <w:basedOn w:val="Privzetapisavaodstavka"/>
    <w:rsid w:val="009E0216"/>
  </w:style>
  <w:style w:type="paragraph" w:customStyle="1" w:styleId="RSnatevanje">
    <w:name w:val="RS naštevanje"/>
    <w:basedOn w:val="Navaden"/>
    <w:rsid w:val="009E0216"/>
    <w:pPr>
      <w:numPr>
        <w:numId w:val="27"/>
      </w:numPr>
      <w:spacing w:after="0" w:line="240" w:lineRule="auto"/>
      <w:jc w:val="both"/>
    </w:pPr>
    <w:rPr>
      <w:rFonts w:ascii="Times New Roman" w:eastAsia="Times New Roman" w:hAnsi="Times New Roman" w:cs="Times New Roman"/>
      <w:sz w:val="24"/>
      <w:szCs w:val="24"/>
      <w:lang w:eastAsia="en-GB"/>
    </w:rPr>
  </w:style>
  <w:style w:type="paragraph" w:customStyle="1" w:styleId="Footnotebesedilo">
    <w:name w:val="Footnote besedilo"/>
    <w:basedOn w:val="Navaden"/>
    <w:qFormat/>
    <w:rsid w:val="009E0216"/>
    <w:pPr>
      <w:spacing w:before="60" w:after="0" w:line="240" w:lineRule="auto"/>
      <w:ind w:left="284" w:hanging="284"/>
      <w:jc w:val="both"/>
    </w:pPr>
    <w:rPr>
      <w:rFonts w:ascii="Tahoma" w:hAnsi="Tahoma"/>
      <w:sz w:val="16"/>
      <w:szCs w:val="14"/>
    </w:rPr>
  </w:style>
  <w:style w:type="character" w:customStyle="1" w:styleId="cdata-unit">
    <w:name w:val="cdata-unit"/>
    <w:basedOn w:val="Privzetapisavaodstavka"/>
    <w:rsid w:val="009E0216"/>
  </w:style>
  <w:style w:type="character" w:customStyle="1" w:styleId="fontstyle01">
    <w:name w:val="fontstyle01"/>
    <w:basedOn w:val="Privzetapisavaodstavka"/>
    <w:rsid w:val="009E0216"/>
    <w:rPr>
      <w:rFonts w:ascii="Helvetica" w:hAnsi="Helvetica" w:cs="Helvetica" w:hint="default"/>
      <w:b w:val="0"/>
      <w:bCs w:val="0"/>
      <w:i w:val="0"/>
      <w:iCs w:val="0"/>
      <w:color w:val="000000"/>
      <w:sz w:val="20"/>
      <w:szCs w:val="20"/>
    </w:rPr>
  </w:style>
  <w:style w:type="character" w:customStyle="1" w:styleId="fontstyle11">
    <w:name w:val="fontstyle11"/>
    <w:basedOn w:val="Privzetapisavaodstavka"/>
    <w:rsid w:val="009E0216"/>
    <w:rPr>
      <w:rFonts w:ascii="Arial" w:hAnsi="Arial" w:cs="Arial" w:hint="default"/>
      <w:b w:val="0"/>
      <w:bCs w:val="0"/>
      <w:i w:val="0"/>
      <w:iCs w:val="0"/>
      <w:color w:val="000000"/>
      <w:sz w:val="20"/>
      <w:szCs w:val="20"/>
    </w:rPr>
  </w:style>
  <w:style w:type="character" w:customStyle="1" w:styleId="fontstyle21">
    <w:name w:val="fontstyle21"/>
    <w:basedOn w:val="Privzetapisavaodstavka"/>
    <w:rsid w:val="009E0216"/>
    <w:rPr>
      <w:rFonts w:ascii="Arial" w:hAnsi="Arial" w:cs="Arial" w:hint="default"/>
      <w:b w:val="0"/>
      <w:bCs w:val="0"/>
      <w:i w:val="0"/>
      <w:iCs w:val="0"/>
      <w:color w:val="000000"/>
      <w:sz w:val="20"/>
      <w:szCs w:val="20"/>
    </w:rPr>
  </w:style>
  <w:style w:type="paragraph" w:customStyle="1" w:styleId="TAbela">
    <w:name w:val="TAbela"/>
    <w:basedOn w:val="Navaden"/>
    <w:uiPriority w:val="1"/>
    <w:qFormat/>
    <w:rsid w:val="009E0216"/>
    <w:pPr>
      <w:spacing w:before="120" w:after="0" w:line="264" w:lineRule="auto"/>
      <w:jc w:val="both"/>
    </w:pPr>
    <w:rPr>
      <w:rFonts w:ascii="Arial" w:eastAsia="Arial" w:hAnsi="Arial" w:cs="Arial"/>
      <w:sz w:val="16"/>
      <w:szCs w:val="24"/>
    </w:rPr>
  </w:style>
  <w:style w:type="character" w:customStyle="1" w:styleId="st1">
    <w:name w:val="st1"/>
    <w:basedOn w:val="Privzetapisavaodstavka"/>
    <w:rsid w:val="009E0216"/>
  </w:style>
  <w:style w:type="character" w:customStyle="1" w:styleId="inline">
    <w:name w:val="inline"/>
    <w:basedOn w:val="Privzetapisavaodstavka"/>
    <w:rsid w:val="00A77E41"/>
  </w:style>
  <w:style w:type="character" w:customStyle="1" w:styleId="hierarchicaltableinformationtitle">
    <w:name w:val="hierarchical_tableinformation_title"/>
    <w:basedOn w:val="Privzetapisavaodstavka"/>
    <w:rsid w:val="00140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00323">
      <w:bodyDiv w:val="1"/>
      <w:marLeft w:val="0"/>
      <w:marRight w:val="0"/>
      <w:marTop w:val="0"/>
      <w:marBottom w:val="0"/>
      <w:divBdr>
        <w:top w:val="none" w:sz="0" w:space="0" w:color="auto"/>
        <w:left w:val="none" w:sz="0" w:space="0" w:color="auto"/>
        <w:bottom w:val="none" w:sz="0" w:space="0" w:color="auto"/>
        <w:right w:val="none" w:sz="0" w:space="0" w:color="auto"/>
      </w:divBdr>
    </w:div>
    <w:div w:id="306932337">
      <w:bodyDiv w:val="1"/>
      <w:marLeft w:val="0"/>
      <w:marRight w:val="0"/>
      <w:marTop w:val="0"/>
      <w:marBottom w:val="0"/>
      <w:divBdr>
        <w:top w:val="none" w:sz="0" w:space="0" w:color="auto"/>
        <w:left w:val="none" w:sz="0" w:space="0" w:color="auto"/>
        <w:bottom w:val="none" w:sz="0" w:space="0" w:color="auto"/>
        <w:right w:val="none" w:sz="0" w:space="0" w:color="auto"/>
      </w:divBdr>
    </w:div>
    <w:div w:id="351418137">
      <w:bodyDiv w:val="1"/>
      <w:marLeft w:val="0"/>
      <w:marRight w:val="0"/>
      <w:marTop w:val="0"/>
      <w:marBottom w:val="0"/>
      <w:divBdr>
        <w:top w:val="none" w:sz="0" w:space="0" w:color="auto"/>
        <w:left w:val="none" w:sz="0" w:space="0" w:color="auto"/>
        <w:bottom w:val="none" w:sz="0" w:space="0" w:color="auto"/>
        <w:right w:val="none" w:sz="0" w:space="0" w:color="auto"/>
      </w:divBdr>
    </w:div>
    <w:div w:id="488405930">
      <w:bodyDiv w:val="1"/>
      <w:marLeft w:val="0"/>
      <w:marRight w:val="0"/>
      <w:marTop w:val="0"/>
      <w:marBottom w:val="0"/>
      <w:divBdr>
        <w:top w:val="none" w:sz="0" w:space="0" w:color="auto"/>
        <w:left w:val="none" w:sz="0" w:space="0" w:color="auto"/>
        <w:bottom w:val="none" w:sz="0" w:space="0" w:color="auto"/>
        <w:right w:val="none" w:sz="0" w:space="0" w:color="auto"/>
      </w:divBdr>
    </w:div>
    <w:div w:id="607740753">
      <w:bodyDiv w:val="1"/>
      <w:marLeft w:val="0"/>
      <w:marRight w:val="0"/>
      <w:marTop w:val="0"/>
      <w:marBottom w:val="0"/>
      <w:divBdr>
        <w:top w:val="none" w:sz="0" w:space="0" w:color="auto"/>
        <w:left w:val="none" w:sz="0" w:space="0" w:color="auto"/>
        <w:bottom w:val="none" w:sz="0" w:space="0" w:color="auto"/>
        <w:right w:val="none" w:sz="0" w:space="0" w:color="auto"/>
      </w:divBdr>
    </w:div>
    <w:div w:id="654799639">
      <w:bodyDiv w:val="1"/>
      <w:marLeft w:val="0"/>
      <w:marRight w:val="0"/>
      <w:marTop w:val="0"/>
      <w:marBottom w:val="0"/>
      <w:divBdr>
        <w:top w:val="none" w:sz="0" w:space="0" w:color="auto"/>
        <w:left w:val="none" w:sz="0" w:space="0" w:color="auto"/>
        <w:bottom w:val="none" w:sz="0" w:space="0" w:color="auto"/>
        <w:right w:val="none" w:sz="0" w:space="0" w:color="auto"/>
      </w:divBdr>
    </w:div>
    <w:div w:id="790589556">
      <w:bodyDiv w:val="1"/>
      <w:marLeft w:val="0"/>
      <w:marRight w:val="0"/>
      <w:marTop w:val="0"/>
      <w:marBottom w:val="0"/>
      <w:divBdr>
        <w:top w:val="none" w:sz="0" w:space="0" w:color="auto"/>
        <w:left w:val="none" w:sz="0" w:space="0" w:color="auto"/>
        <w:bottom w:val="none" w:sz="0" w:space="0" w:color="auto"/>
        <w:right w:val="none" w:sz="0" w:space="0" w:color="auto"/>
      </w:divBdr>
    </w:div>
    <w:div w:id="817649835">
      <w:bodyDiv w:val="1"/>
      <w:marLeft w:val="0"/>
      <w:marRight w:val="0"/>
      <w:marTop w:val="0"/>
      <w:marBottom w:val="0"/>
      <w:divBdr>
        <w:top w:val="none" w:sz="0" w:space="0" w:color="auto"/>
        <w:left w:val="none" w:sz="0" w:space="0" w:color="auto"/>
        <w:bottom w:val="none" w:sz="0" w:space="0" w:color="auto"/>
        <w:right w:val="none" w:sz="0" w:space="0" w:color="auto"/>
      </w:divBdr>
    </w:div>
    <w:div w:id="883098449">
      <w:bodyDiv w:val="1"/>
      <w:marLeft w:val="0"/>
      <w:marRight w:val="0"/>
      <w:marTop w:val="0"/>
      <w:marBottom w:val="0"/>
      <w:divBdr>
        <w:top w:val="none" w:sz="0" w:space="0" w:color="auto"/>
        <w:left w:val="none" w:sz="0" w:space="0" w:color="auto"/>
        <w:bottom w:val="none" w:sz="0" w:space="0" w:color="auto"/>
        <w:right w:val="none" w:sz="0" w:space="0" w:color="auto"/>
      </w:divBdr>
    </w:div>
    <w:div w:id="935747877">
      <w:bodyDiv w:val="1"/>
      <w:marLeft w:val="0"/>
      <w:marRight w:val="0"/>
      <w:marTop w:val="0"/>
      <w:marBottom w:val="0"/>
      <w:divBdr>
        <w:top w:val="none" w:sz="0" w:space="0" w:color="auto"/>
        <w:left w:val="none" w:sz="0" w:space="0" w:color="auto"/>
        <w:bottom w:val="none" w:sz="0" w:space="0" w:color="auto"/>
        <w:right w:val="none" w:sz="0" w:space="0" w:color="auto"/>
      </w:divBdr>
    </w:div>
    <w:div w:id="1166167839">
      <w:bodyDiv w:val="1"/>
      <w:marLeft w:val="0"/>
      <w:marRight w:val="0"/>
      <w:marTop w:val="0"/>
      <w:marBottom w:val="0"/>
      <w:divBdr>
        <w:top w:val="none" w:sz="0" w:space="0" w:color="auto"/>
        <w:left w:val="none" w:sz="0" w:space="0" w:color="auto"/>
        <w:bottom w:val="none" w:sz="0" w:space="0" w:color="auto"/>
        <w:right w:val="none" w:sz="0" w:space="0" w:color="auto"/>
      </w:divBdr>
    </w:div>
    <w:div w:id="1173959771">
      <w:bodyDiv w:val="1"/>
      <w:marLeft w:val="0"/>
      <w:marRight w:val="0"/>
      <w:marTop w:val="0"/>
      <w:marBottom w:val="0"/>
      <w:divBdr>
        <w:top w:val="none" w:sz="0" w:space="0" w:color="auto"/>
        <w:left w:val="none" w:sz="0" w:space="0" w:color="auto"/>
        <w:bottom w:val="none" w:sz="0" w:space="0" w:color="auto"/>
        <w:right w:val="none" w:sz="0" w:space="0" w:color="auto"/>
      </w:divBdr>
    </w:div>
    <w:div w:id="1216626805">
      <w:bodyDiv w:val="1"/>
      <w:marLeft w:val="0"/>
      <w:marRight w:val="0"/>
      <w:marTop w:val="0"/>
      <w:marBottom w:val="0"/>
      <w:divBdr>
        <w:top w:val="none" w:sz="0" w:space="0" w:color="auto"/>
        <w:left w:val="none" w:sz="0" w:space="0" w:color="auto"/>
        <w:bottom w:val="none" w:sz="0" w:space="0" w:color="auto"/>
        <w:right w:val="none" w:sz="0" w:space="0" w:color="auto"/>
      </w:divBdr>
    </w:div>
    <w:div w:id="1346983864">
      <w:bodyDiv w:val="1"/>
      <w:marLeft w:val="0"/>
      <w:marRight w:val="0"/>
      <w:marTop w:val="0"/>
      <w:marBottom w:val="0"/>
      <w:divBdr>
        <w:top w:val="none" w:sz="0" w:space="0" w:color="auto"/>
        <w:left w:val="none" w:sz="0" w:space="0" w:color="auto"/>
        <w:bottom w:val="none" w:sz="0" w:space="0" w:color="auto"/>
        <w:right w:val="none" w:sz="0" w:space="0" w:color="auto"/>
      </w:divBdr>
    </w:div>
    <w:div w:id="1359042947">
      <w:bodyDiv w:val="1"/>
      <w:marLeft w:val="0"/>
      <w:marRight w:val="0"/>
      <w:marTop w:val="0"/>
      <w:marBottom w:val="0"/>
      <w:divBdr>
        <w:top w:val="none" w:sz="0" w:space="0" w:color="auto"/>
        <w:left w:val="none" w:sz="0" w:space="0" w:color="auto"/>
        <w:bottom w:val="none" w:sz="0" w:space="0" w:color="auto"/>
        <w:right w:val="none" w:sz="0" w:space="0" w:color="auto"/>
      </w:divBdr>
    </w:div>
    <w:div w:id="1603873979">
      <w:bodyDiv w:val="1"/>
      <w:marLeft w:val="0"/>
      <w:marRight w:val="0"/>
      <w:marTop w:val="0"/>
      <w:marBottom w:val="0"/>
      <w:divBdr>
        <w:top w:val="none" w:sz="0" w:space="0" w:color="auto"/>
        <w:left w:val="none" w:sz="0" w:space="0" w:color="auto"/>
        <w:bottom w:val="none" w:sz="0" w:space="0" w:color="auto"/>
        <w:right w:val="none" w:sz="0" w:space="0" w:color="auto"/>
      </w:divBdr>
    </w:div>
    <w:div w:id="1603951835">
      <w:bodyDiv w:val="1"/>
      <w:marLeft w:val="0"/>
      <w:marRight w:val="0"/>
      <w:marTop w:val="0"/>
      <w:marBottom w:val="0"/>
      <w:divBdr>
        <w:top w:val="none" w:sz="0" w:space="0" w:color="auto"/>
        <w:left w:val="none" w:sz="0" w:space="0" w:color="auto"/>
        <w:bottom w:val="none" w:sz="0" w:space="0" w:color="auto"/>
        <w:right w:val="none" w:sz="0" w:space="0" w:color="auto"/>
      </w:divBdr>
    </w:div>
    <w:div w:id="1703440276">
      <w:bodyDiv w:val="1"/>
      <w:marLeft w:val="0"/>
      <w:marRight w:val="0"/>
      <w:marTop w:val="0"/>
      <w:marBottom w:val="0"/>
      <w:divBdr>
        <w:top w:val="none" w:sz="0" w:space="0" w:color="auto"/>
        <w:left w:val="none" w:sz="0" w:space="0" w:color="auto"/>
        <w:bottom w:val="none" w:sz="0" w:space="0" w:color="auto"/>
        <w:right w:val="none" w:sz="0" w:space="0" w:color="auto"/>
      </w:divBdr>
    </w:div>
    <w:div w:id="1982271013">
      <w:bodyDiv w:val="1"/>
      <w:marLeft w:val="0"/>
      <w:marRight w:val="0"/>
      <w:marTop w:val="0"/>
      <w:marBottom w:val="0"/>
      <w:divBdr>
        <w:top w:val="none" w:sz="0" w:space="0" w:color="auto"/>
        <w:left w:val="none" w:sz="0" w:space="0" w:color="auto"/>
        <w:bottom w:val="none" w:sz="0" w:space="0" w:color="auto"/>
        <w:right w:val="none" w:sz="0" w:space="0" w:color="auto"/>
      </w:divBdr>
    </w:div>
    <w:div w:id="1984115897">
      <w:bodyDiv w:val="1"/>
      <w:marLeft w:val="0"/>
      <w:marRight w:val="0"/>
      <w:marTop w:val="0"/>
      <w:marBottom w:val="0"/>
      <w:divBdr>
        <w:top w:val="none" w:sz="0" w:space="0" w:color="auto"/>
        <w:left w:val="none" w:sz="0" w:space="0" w:color="auto"/>
        <w:bottom w:val="none" w:sz="0" w:space="0" w:color="auto"/>
        <w:right w:val="none" w:sz="0" w:space="0" w:color="auto"/>
      </w:divBdr>
    </w:div>
    <w:div w:id="2087267322">
      <w:bodyDiv w:val="1"/>
      <w:marLeft w:val="0"/>
      <w:marRight w:val="0"/>
      <w:marTop w:val="0"/>
      <w:marBottom w:val="0"/>
      <w:divBdr>
        <w:top w:val="none" w:sz="0" w:space="0" w:color="auto"/>
        <w:left w:val="none" w:sz="0" w:space="0" w:color="auto"/>
        <w:bottom w:val="none" w:sz="0" w:space="0" w:color="auto"/>
        <w:right w:val="none" w:sz="0" w:space="0" w:color="auto"/>
      </w:divBdr>
    </w:div>
    <w:div w:id="209246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hart" Target="charts/chart5.xm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hyperlink" Target="http://kazalci.arso.gov.si/sl/content/lesna-zaloga-s-prirastkom-posekom-3" TargetMode="External"/><Relationship Id="rId84" Type="http://schemas.openxmlformats.org/officeDocument/2006/relationships/hyperlink" Target="https://www.irssv.si/upload2/Analiza%20izvajanja%20PND%20za%20leto%202017.pdf" TargetMode="External"/><Relationship Id="rId89" Type="http://schemas.openxmlformats.org/officeDocument/2006/relationships/hyperlink" Target="http://ribiski-sklad.si/f/docs/Dokumenti/OP_ESPR_2014-2020_latest_version_SI.pdf" TargetMode="Externa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6.xml"/><Relationship Id="rId107"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chart" Target="charts/chart12.xml"/><Relationship Id="rId58" Type="http://schemas.openxmlformats.org/officeDocument/2006/relationships/hyperlink" Target="http://eur-lex.europa.eu/LexUriServ/LexUriServ.do?uri=Oj:L:2009:140:0016:0062:sl:PDF" TargetMode="External"/><Relationship Id="rId66" Type="http://schemas.openxmlformats.org/officeDocument/2006/relationships/hyperlink" Target="https://www.ajpes.si/Registri/Poslovni_register/Porocila" TargetMode="External"/><Relationship Id="rId74" Type="http://schemas.openxmlformats.org/officeDocument/2006/relationships/hyperlink" Target="https://agridata.ec.europa.eu/extensions/DashboardIndicators/DataExplorer.html" TargetMode="External"/><Relationship Id="rId79" Type="http://schemas.openxmlformats.org/officeDocument/2006/relationships/hyperlink" Target="https://ec.europa.eu/eurostat/data/database" TargetMode="External"/><Relationship Id="rId87" Type="http://schemas.openxmlformats.org/officeDocument/2006/relationships/hyperlink" Target="https://www.slovenia.info/uploads/dokumenti/kljuni_dokumenti/strategija_turizem_koncno_9.10.2017.pdf" TargetMode="External"/><Relationship Id="rId102" Type="http://schemas.openxmlformats.org/officeDocument/2006/relationships/hyperlink" Target="https://www.umar.gov.si/?no_cache=1" TargetMode="Externa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hyperlink" Target="https://www.ajpes.si/doc/LP/Informacije/Informacija_LP_nepridobitne_organizacije_2013.pdf" TargetMode="External"/><Relationship Id="rId90" Type="http://schemas.openxmlformats.org/officeDocument/2006/relationships/hyperlink" Target="https://www.eu-skladi.si/sl/dokumenti/kljucni-dokumenti/op_slo_web.pdf" TargetMode="External"/><Relationship Id="rId95" Type="http://schemas.openxmlformats.org/officeDocument/2006/relationships/hyperlink" Target="https://arhiv.acs.si/ucna_gradiva/ISIO_nadaljnje-Rupert_Vilic-Klenovsek.pdf" TargetMode="External"/><Relationship Id="rId19" Type="http://schemas.openxmlformats.org/officeDocument/2006/relationships/image" Target="media/image5.png"/><Relationship Id="rId14" Type="http://schemas.openxmlformats.org/officeDocument/2006/relationships/hyperlink" Target="https://agridata.ec.europa.eu/extensions/DashboardIndicators/DataExplorer.html?select=EU27_FLAG,1"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chart" Target="charts/chart7.xml"/><Relationship Id="rId43" Type="http://schemas.openxmlformats.org/officeDocument/2006/relationships/chart" Target="charts/chart9.xml"/><Relationship Id="rId48" Type="http://schemas.openxmlformats.org/officeDocument/2006/relationships/chart" Target="charts/chart10.xml"/><Relationship Id="rId56" Type="http://schemas.openxmlformats.org/officeDocument/2006/relationships/chart" Target="charts/chart14.xml"/><Relationship Id="rId64" Type="http://schemas.openxmlformats.org/officeDocument/2006/relationships/image" Target="media/image33.jpeg"/><Relationship Id="rId69" Type="http://schemas.openxmlformats.org/officeDocument/2006/relationships/hyperlink" Target="https://ec.europa.eu/info/sites/info/files/food-farming-fisheries/key_policies/documents/impact-indicator-fiches_en.pdf" TargetMode="External"/><Relationship Id="rId77" Type="http://schemas.openxmlformats.org/officeDocument/2006/relationships/hyperlink" Target="https://ec.europa.eu/eurostat/home" TargetMode="External"/><Relationship Id="rId100" Type="http://schemas.openxmlformats.org/officeDocument/2006/relationships/hyperlink" Target="https://www.stat.si/StatWeb/" TargetMode="External"/><Relationship Id="rId105" Type="http://schemas.openxmlformats.org/officeDocument/2006/relationships/hyperlink" Target="https://www.ess.gov.si/_files/13521/Trg_dela_julij_2020.pdf" TargetMode="External"/><Relationship Id="rId8" Type="http://schemas.openxmlformats.org/officeDocument/2006/relationships/webSettings" Target="webSettings.xml"/><Relationship Id="rId51" Type="http://schemas.openxmlformats.org/officeDocument/2006/relationships/chart" Target="charts/chart11.xml"/><Relationship Id="rId72" Type="http://schemas.openxmlformats.org/officeDocument/2006/relationships/hyperlink" Target="https://datam.jrc.ec.europa.eu/datam/mashup/BIOECONOMICS/index.html" TargetMode="External"/><Relationship Id="rId80" Type="http://schemas.openxmlformats.org/officeDocument/2006/relationships/hyperlink" Target="https://dirros.openscience.si/IzpisGradiva.php?id=10463" TargetMode="External"/><Relationship Id="rId85" Type="http://schemas.openxmlformats.org/officeDocument/2006/relationships/hyperlink" Target="https://www.zpiz.si/cms/engine/download.php?actionID=inf&amp;id=75&amp;name=Raziskava%20Socialno-ekonomski%20polo%C5%BEaj%20upokojencev%20v%20RS_2017.pdf" TargetMode="External"/><Relationship Id="rId93"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98" Type="http://schemas.openxmlformats.org/officeDocument/2006/relationships/hyperlink" Target="https://www.stat.si/statweb"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hyperlink" Target="https://eige.europa.eu/gender-equality-index/2020/country" TargetMode="External"/><Relationship Id="rId38" Type="http://schemas.openxmlformats.org/officeDocument/2006/relationships/hyperlink" Target="http://www.ssz-slo.si/wp-content/uploads/Pregled-kapacitet-institucionalnega-varstva-starej%C5%A1ih-in-posebnih-skupin-odraslih-1.1.2018.pdf" TargetMode="External"/><Relationship Id="rId46" Type="http://schemas.openxmlformats.org/officeDocument/2006/relationships/image" Target="media/image23.png"/><Relationship Id="rId59" Type="http://schemas.openxmlformats.org/officeDocument/2006/relationships/chart" Target="charts/chart16.xml"/><Relationship Id="rId67" Type="http://schemas.openxmlformats.org/officeDocument/2006/relationships/hyperlink" Target="http://kazalci.arso.gov.si/sl/content/obnovljivi-viri-energije-3" TargetMode="External"/><Relationship Id="rId103"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108"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19.png"/><Relationship Id="rId54" Type="http://schemas.openxmlformats.org/officeDocument/2006/relationships/chart" Target="charts/chart13.xml"/><Relationship Id="rId62" Type="http://schemas.openxmlformats.org/officeDocument/2006/relationships/image" Target="media/image31.png"/><Relationship Id="rId70" Type="http://schemas.openxmlformats.org/officeDocument/2006/relationships/hyperlink" Target="http://pametne-vasi.info/wp-content/uploads/2018/04/Blejska-Deklaracije-Za-za-pametnej%C5%A1o-prihodnost-pode%C5%BEelskih-obmocij-v-EU.pdf" TargetMode="External"/><Relationship Id="rId75" Type="http://schemas.openxmlformats.org/officeDocument/2006/relationships/hyperlink" Target="https://ec.europa.eu/info/food-farming-fisheries/farming/facts-and-figures/performance-agricultural-policy/cap-indicators/context-indicators_en" TargetMode="External"/><Relationship Id="rId83" Type="http://schemas.openxmlformats.org/officeDocument/2006/relationships/hyperlink" Target="https://www.ajpes.si/Doc/LP/Informacije/Informacija_LP_nepridobitne_organizacije_2018.pdf" TargetMode="External"/><Relationship Id="rId88" Type="http://schemas.openxmlformats.org/officeDocument/2006/relationships/hyperlink" Target="https://www.irssv.si/upload2/Razsirjenost%20in%20dostopnost%20pomoci%20na%20domu.pdf" TargetMode="External"/><Relationship Id="rId91" Type="http://schemas.openxmlformats.org/officeDocument/2006/relationships/hyperlink" Target="http://zpm.si/projektna-mreza-slovenije/wp-content/uploads/2018/02/Hudernik-Vrecko-II-2-2016-paper.pdf" TargetMode="External"/><Relationship Id="rId96" Type="http://schemas.openxmlformats.org/officeDocument/2006/relationships/hyperlink" Target="https://www.ajpes.si/Doc/LP/Prostovoljske_organizacije/Porocilo_o_prostovoljstvu_2018.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chart" Target="charts/chart8.xml"/><Relationship Id="rId49" Type="http://schemas.openxmlformats.org/officeDocument/2006/relationships/image" Target="media/image25.png"/><Relationship Id="rId57" Type="http://schemas.openxmlformats.org/officeDocument/2006/relationships/chart" Target="charts/chart15.xml"/><Relationship Id="rId106" Type="http://schemas.openxmlformats.org/officeDocument/2006/relationships/hyperlink" Target="http://www.zelenaslovenija.si/revija-eol-/aktualna-stevilka/okolje/4465-izkoriscanje-bioplina-upraviceno-le-ob-upostevanju-okoljskih-standardov-eol-127"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29.png"/><Relationship Id="rId65" Type="http://schemas.openxmlformats.org/officeDocument/2006/relationships/chart" Target="charts/chart17.xml"/><Relationship Id="rId73" Type="http://schemas.openxmlformats.org/officeDocument/2006/relationships/hyperlink" Target="https://eur-lex.europa.eu/legal-content/SL/TXT/PDF/?uri=CELEX:52018DC0673&amp;from=EN" TargetMode="External"/><Relationship Id="rId78" Type="http://schemas.openxmlformats.org/officeDocument/2006/relationships/hyperlink" Target="https://ec.europa.eu/eurostat/data/database" TargetMode="External"/><Relationship Id="rId81" Type="http://schemas.openxmlformats.org/officeDocument/2006/relationships/hyperlink" Target="https://www.ajpes.si/Doc/LP/Informacije/Informacija_LP_drustva_2018.pdf" TargetMode="External"/><Relationship Id="rId86" Type="http://schemas.openxmlformats.org/officeDocument/2006/relationships/hyperlink" Target="https://www.ajpes.si/Doc/AJPES/KIJZ/Letno_porocilo_AJPES_za_leto_2016.pdf" TargetMode="External"/><Relationship Id="rId94" Type="http://schemas.openxmlformats.org/officeDocument/2006/relationships/hyperlink" Target="http://mao.si/Dogodek/Priloznosti-Dediscina-Slovenskega-Podezelja.aspx" TargetMode="External"/><Relationship Id="rId99" Type="http://schemas.openxmlformats.org/officeDocument/2006/relationships/hyperlink" Target="https://www.slovenia.info/sl/poslovne-strani/raziskave-in-analize/turizem-v-stevilkah" TargetMode="External"/><Relationship Id="rId101" Type="http://schemas.openxmlformats.org/officeDocument/2006/relationships/hyperlink" Target="https://pxweb.stat.si/SiStatDb/pxweb/sl/30_Okolje/30_Okolje__27_okolje__01_27752_kaz_zelene_rasti/2775202S.px/table/tableViewLayout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3.xml"/><Relationship Id="rId39" Type="http://schemas.openxmlformats.org/officeDocument/2006/relationships/image" Target="media/image17.png"/><Relationship Id="rId109" Type="http://schemas.openxmlformats.org/officeDocument/2006/relationships/theme" Target="theme/theme1.xml"/><Relationship Id="rId34" Type="http://schemas.openxmlformats.org/officeDocument/2006/relationships/hyperlink" Target="https://www.ajpes.si/Registri/Poslovni_register/Porocila" TargetMode="External"/><Relationship Id="rId50" Type="http://schemas.openxmlformats.org/officeDocument/2006/relationships/image" Target="media/image26.jpeg"/><Relationship Id="rId55" Type="http://schemas.openxmlformats.org/officeDocument/2006/relationships/image" Target="media/image28.png"/><Relationship Id="rId76" Type="http://schemas.openxmlformats.org/officeDocument/2006/relationships/hyperlink" Target="https://ec.europa.eu/info/sites/info/files/food-farming-fisheries/by_country/documents/analytical_factsheet_sl.pdf" TargetMode="External"/><Relationship Id="rId97" Type="http://schemas.openxmlformats.org/officeDocument/2006/relationships/hyperlink" Target="http://www.ssz-slo.si/splosno-o-domovih-in-posebnih-zavodih/" TargetMode="External"/><Relationship Id="rId104" Type="http://schemas.openxmlformats.org/officeDocument/2006/relationships/hyperlink" Target="https://www.fe.um.si/images/jet/jet4-5-internet.pdf" TargetMode="External"/><Relationship Id="rId7" Type="http://schemas.openxmlformats.org/officeDocument/2006/relationships/settings" Target="settings.xml"/><Relationship Id="rId71" Type="http://schemas.openxmlformats.org/officeDocument/2006/relationships/hyperlink" Target="https://www.europeanbiogas.eu/wp-content/uploads/2019/11/EBA_report2018_abriged_A4_vers12_220519_RZweb.pdf" TargetMode="External"/><Relationship Id="rId92" Type="http://schemas.openxmlformats.org/officeDocument/2006/relationships/hyperlink" Target="https://www.eu-skladi.si/portal/sl/ekp/izvajanje/porocila-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je\Desktop\SN\42aa2c93-1791-40ec-b4ac-4356281a1d8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Podatki\delovno_aktivno%20prebivalstv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Podatki\turizem_ob&#269;ine_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Value%20added_Bioeconomy_sl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Odpadna%20hrana_Slovenij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Koncna%20poraba%20energije%20glede%20na%20vir.xm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vid.kadunc\AppData\Local\Temp\node_55378_field_table_data_und_0-1.csv"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Dele&#382;%20energije%20iz%20obnovljivih%20virov_SURS%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1\MKGP\INTERNO\DK\SSPRP\LEADER%20PISARNA\2020+\SWOT%20analiza\Analiza%20projektov%20LEADER\Opredelitev%20projektov_VSI_do%2031.8.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1\MKGP\INTERNO\DK\SSPRP\LEADER%20PISARNA\2020+\SWOT%20analiza\Statisti&#269;ni%20podatki\Ob&#269;ine_preb_star_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C8_swot_stat_10.000_julij%202020_12.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C8_swot_stat_10.000_julij%202020_12.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jeta.jeric\AppData\Local\Temp\05C1006-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jeta.jeric\AppData\Local\Temp\notes19C6D8\~730568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Ucenci_po%20obcina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jeta.jeric\AppData\Local\Temp\notes19C6D8\~851556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vid.kadunc\AppData\Local\Temp\14208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Sheet1!$B$552</c:f>
              <c:strCache>
                <c:ptCount val="1"/>
                <c:pt idx="0">
                  <c:v>65 let ali več</c:v>
                </c:pt>
              </c:strCache>
            </c:strRef>
          </c:tx>
          <c:spPr>
            <a:solidFill>
              <a:schemeClr val="accent1"/>
            </a:solidFill>
            <a:ln>
              <a:noFill/>
            </a:ln>
            <a:effectLst/>
          </c:spPr>
          <c:invertIfNegative val="0"/>
          <c:cat>
            <c:strRef>
              <c:f>Sheet1!$A$553:$A$567</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Sheet1!$B$553:$B$567</c:f>
              <c:numCache>
                <c:formatCode>###,000;\-###,000;#.000</c:formatCode>
                <c:ptCount val="15"/>
                <c:pt idx="0">
                  <c:v>14.797000000000001</c:v>
                </c:pt>
                <c:pt idx="1">
                  <c:v>15.025</c:v>
                </c:pt>
                <c:pt idx="2">
                  <c:v>15.295</c:v>
                </c:pt>
                <c:pt idx="3">
                  <c:v>15.54</c:v>
                </c:pt>
                <c:pt idx="4">
                  <c:v>15.795</c:v>
                </c:pt>
                <c:pt idx="5">
                  <c:v>16.302</c:v>
                </c:pt>
                <c:pt idx="6">
                  <c:v>16.597999999999999</c:v>
                </c:pt>
                <c:pt idx="7">
                  <c:v>16.753</c:v>
                </c:pt>
                <c:pt idx="8">
                  <c:v>16.795000000000002</c:v>
                </c:pt>
                <c:pt idx="9">
                  <c:v>17.039000000000001</c:v>
                </c:pt>
                <c:pt idx="10">
                  <c:v>17.385000000000002</c:v>
                </c:pt>
                <c:pt idx="11">
                  <c:v>17.785</c:v>
                </c:pt>
                <c:pt idx="12">
                  <c:v>18.251999999999999</c:v>
                </c:pt>
                <c:pt idx="13">
                  <c:v>18.771000000000001</c:v>
                </c:pt>
                <c:pt idx="14">
                  <c:v>19.279</c:v>
                </c:pt>
              </c:numCache>
            </c:numRef>
          </c:val>
          <c:extLst>
            <c:ext xmlns:c16="http://schemas.microsoft.com/office/drawing/2014/chart" uri="{C3380CC4-5D6E-409C-BE32-E72D297353CC}">
              <c16:uniqueId val="{00000000-AB97-4747-B41A-31FFDE420CEC}"/>
            </c:ext>
          </c:extLst>
        </c:ser>
        <c:ser>
          <c:idx val="1"/>
          <c:order val="1"/>
          <c:tx>
            <c:strRef>
              <c:f>Sheet1!$C$552</c:f>
              <c:strCache>
                <c:ptCount val="1"/>
                <c:pt idx="0">
                  <c:v>do 15 let</c:v>
                </c:pt>
              </c:strCache>
            </c:strRef>
          </c:tx>
          <c:spPr>
            <a:solidFill>
              <a:schemeClr val="accent2"/>
            </a:solidFill>
            <a:ln>
              <a:noFill/>
            </a:ln>
            <a:effectLst/>
          </c:spPr>
          <c:invertIfNegative val="0"/>
          <c:cat>
            <c:strRef>
              <c:f>Sheet1!$A$553:$A$567</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Sheet1!$C$553:$C$567</c:f>
              <c:numCache>
                <c:formatCode>###,000;\-###,000;#.000</c:formatCode>
                <c:ptCount val="15"/>
                <c:pt idx="0">
                  <c:v>14.933</c:v>
                </c:pt>
                <c:pt idx="1">
                  <c:v>14.525</c:v>
                </c:pt>
                <c:pt idx="2">
                  <c:v>14.252000000000001</c:v>
                </c:pt>
                <c:pt idx="3">
                  <c:v>14.013</c:v>
                </c:pt>
                <c:pt idx="4">
                  <c:v>13.823</c:v>
                </c:pt>
                <c:pt idx="5">
                  <c:v>13.787000000000001</c:v>
                </c:pt>
                <c:pt idx="6">
                  <c:v>13.766999999999999</c:v>
                </c:pt>
                <c:pt idx="7">
                  <c:v>13.775</c:v>
                </c:pt>
                <c:pt idx="8">
                  <c:v>13.86</c:v>
                </c:pt>
                <c:pt idx="9">
                  <c:v>13.932</c:v>
                </c:pt>
                <c:pt idx="10">
                  <c:v>14.068</c:v>
                </c:pt>
                <c:pt idx="11">
                  <c:v>14.188000000000001</c:v>
                </c:pt>
                <c:pt idx="12">
                  <c:v>14.302</c:v>
                </c:pt>
                <c:pt idx="13">
                  <c:v>14.38</c:v>
                </c:pt>
                <c:pt idx="14">
                  <c:v>14.462999999999999</c:v>
                </c:pt>
              </c:numCache>
            </c:numRef>
          </c:val>
          <c:extLst>
            <c:ext xmlns:c16="http://schemas.microsoft.com/office/drawing/2014/chart" uri="{C3380CC4-5D6E-409C-BE32-E72D297353CC}">
              <c16:uniqueId val="{00000001-AB97-4747-B41A-31FFDE420CEC}"/>
            </c:ext>
          </c:extLst>
        </c:ser>
        <c:dLbls>
          <c:showLegendKey val="0"/>
          <c:showVal val="0"/>
          <c:showCatName val="0"/>
          <c:showSerName val="0"/>
          <c:showPercent val="0"/>
          <c:showBubbleSize val="0"/>
        </c:dLbls>
        <c:gapWidth val="219"/>
        <c:overlap val="-27"/>
        <c:axId val="115784704"/>
        <c:axId val="115794688"/>
      </c:barChart>
      <c:catAx>
        <c:axId val="1157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794688"/>
        <c:crosses val="autoZero"/>
        <c:auto val="1"/>
        <c:lblAlgn val="ctr"/>
        <c:lblOffset val="100"/>
        <c:noMultiLvlLbl val="0"/>
      </c:catAx>
      <c:valAx>
        <c:axId val="115794688"/>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78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'0772815'!$A$24</c:f>
              <c:strCache>
                <c:ptCount val="1"/>
                <c:pt idx="0">
                  <c:v>mesto</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'0772815'!$B$24:$M$24</c:f>
              <c:numCache>
                <c:formatCode>0</c:formatCode>
                <c:ptCount val="12"/>
                <c:pt idx="0">
                  <c:v>61.962499999999991</c:v>
                </c:pt>
                <c:pt idx="1">
                  <c:v>60.424999999999997</c:v>
                </c:pt>
                <c:pt idx="2">
                  <c:v>58.618749999999999</c:v>
                </c:pt>
                <c:pt idx="3">
                  <c:v>57.362500000000004</c:v>
                </c:pt>
                <c:pt idx="4">
                  <c:v>56.65625</c:v>
                </c:pt>
                <c:pt idx="5">
                  <c:v>55.71875</c:v>
                </c:pt>
                <c:pt idx="6">
                  <c:v>56.518749999999997</c:v>
                </c:pt>
                <c:pt idx="7">
                  <c:v>57.662500000000009</c:v>
                </c:pt>
                <c:pt idx="8">
                  <c:v>59.393749999999997</c:v>
                </c:pt>
                <c:pt idx="9">
                  <c:v>61.956250000000004</c:v>
                </c:pt>
                <c:pt idx="10">
                  <c:v>64.375</c:v>
                </c:pt>
                <c:pt idx="11">
                  <c:v>66.050000000000011</c:v>
                </c:pt>
              </c:numCache>
            </c:numRef>
          </c:val>
          <c:smooth val="0"/>
          <c:extLst>
            <c:ext xmlns:c16="http://schemas.microsoft.com/office/drawing/2014/chart" uri="{C3380CC4-5D6E-409C-BE32-E72D297353CC}">
              <c16:uniqueId val="{00000000-E5A7-4914-B905-484DF34C3300}"/>
            </c:ext>
          </c:extLst>
        </c:ser>
        <c:ser>
          <c:idx val="1"/>
          <c:order val="1"/>
          <c:tx>
            <c:strRef>
              <c:f>'0772815'!$A$25</c:f>
              <c:strCache>
                <c:ptCount val="1"/>
                <c:pt idx="0">
                  <c:v>SLOVENIJA</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'0772815'!$B$25:$M$25</c:f>
              <c:numCache>
                <c:formatCode>0</c:formatCode>
                <c:ptCount val="12"/>
                <c:pt idx="0">
                  <c:v>61.9</c:v>
                </c:pt>
                <c:pt idx="1">
                  <c:v>60.5</c:v>
                </c:pt>
                <c:pt idx="2">
                  <c:v>58.8</c:v>
                </c:pt>
                <c:pt idx="3">
                  <c:v>58.1</c:v>
                </c:pt>
                <c:pt idx="4">
                  <c:v>57.4</c:v>
                </c:pt>
                <c:pt idx="5">
                  <c:v>56.5</c:v>
                </c:pt>
                <c:pt idx="6">
                  <c:v>57.2</c:v>
                </c:pt>
                <c:pt idx="7">
                  <c:v>58.2</c:v>
                </c:pt>
                <c:pt idx="8">
                  <c:v>59.6</c:v>
                </c:pt>
                <c:pt idx="9">
                  <c:v>62.1</c:v>
                </c:pt>
                <c:pt idx="10">
                  <c:v>64.5</c:v>
                </c:pt>
                <c:pt idx="11">
                  <c:v>66</c:v>
                </c:pt>
              </c:numCache>
            </c:numRef>
          </c:val>
          <c:smooth val="0"/>
          <c:extLst>
            <c:ext xmlns:c16="http://schemas.microsoft.com/office/drawing/2014/chart" uri="{C3380CC4-5D6E-409C-BE32-E72D297353CC}">
              <c16:uniqueId val="{00000001-E5A7-4914-B905-484DF34C3300}"/>
            </c:ext>
          </c:extLst>
        </c:ser>
        <c:ser>
          <c:idx val="2"/>
          <c:order val="2"/>
          <c:tx>
            <c:strRef>
              <c:f>'0772815'!$A$26</c:f>
              <c:strCache>
                <c:ptCount val="1"/>
                <c:pt idx="0">
                  <c:v>podeželje</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'0772815'!$B$26:$M$26</c:f>
              <c:numCache>
                <c:formatCode>0</c:formatCode>
                <c:ptCount val="12"/>
                <c:pt idx="0">
                  <c:v>61.032474226804169</c:v>
                </c:pt>
                <c:pt idx="1">
                  <c:v>59.884536082474227</c:v>
                </c:pt>
                <c:pt idx="2">
                  <c:v>57.980412371134022</c:v>
                </c:pt>
                <c:pt idx="3">
                  <c:v>57.998453608247438</c:v>
                </c:pt>
                <c:pt idx="4">
                  <c:v>57.086153846153806</c:v>
                </c:pt>
                <c:pt idx="5">
                  <c:v>56.670769230769217</c:v>
                </c:pt>
                <c:pt idx="6">
                  <c:v>57.308717948717941</c:v>
                </c:pt>
                <c:pt idx="7">
                  <c:v>57.882142857142895</c:v>
                </c:pt>
                <c:pt idx="8">
                  <c:v>58.747959183673473</c:v>
                </c:pt>
                <c:pt idx="9">
                  <c:v>61.133163265306116</c:v>
                </c:pt>
                <c:pt idx="10">
                  <c:v>63.461224489795974</c:v>
                </c:pt>
                <c:pt idx="11">
                  <c:v>64.783163265306101</c:v>
                </c:pt>
              </c:numCache>
            </c:numRef>
          </c:val>
          <c:smooth val="0"/>
          <c:extLst>
            <c:ext xmlns:c16="http://schemas.microsoft.com/office/drawing/2014/chart" uri="{C3380CC4-5D6E-409C-BE32-E72D297353CC}">
              <c16:uniqueId val="{00000002-E5A7-4914-B905-484DF34C3300}"/>
            </c:ext>
          </c:extLst>
        </c:ser>
        <c:dLbls>
          <c:showLegendKey val="0"/>
          <c:showVal val="0"/>
          <c:showCatName val="0"/>
          <c:showSerName val="0"/>
          <c:showPercent val="0"/>
          <c:showBubbleSize val="0"/>
        </c:dLbls>
        <c:marker val="1"/>
        <c:smooth val="0"/>
        <c:axId val="114026752"/>
        <c:axId val="114163712"/>
      </c:lineChart>
      <c:catAx>
        <c:axId val="114026752"/>
        <c:scaling>
          <c:orientation val="minMax"/>
        </c:scaling>
        <c:delete val="0"/>
        <c:axPos val="b"/>
        <c:numFmt formatCode="General" sourceLinked="0"/>
        <c:majorTickMark val="none"/>
        <c:minorTickMark val="none"/>
        <c:tickLblPos val="nextTo"/>
        <c:crossAx val="114163712"/>
        <c:crosses val="autoZero"/>
        <c:auto val="1"/>
        <c:lblAlgn val="ctr"/>
        <c:lblOffset val="100"/>
        <c:noMultiLvlLbl val="0"/>
      </c:catAx>
      <c:valAx>
        <c:axId val="114163712"/>
        <c:scaling>
          <c:orientation val="minMax"/>
          <c:max val="67"/>
          <c:min val="55"/>
        </c:scaling>
        <c:delete val="0"/>
        <c:axPos val="l"/>
        <c:majorGridlines/>
        <c:title>
          <c:tx>
            <c:rich>
              <a:bodyPr/>
              <a:lstStyle/>
              <a:p>
                <a:pPr>
                  <a:defRPr/>
                </a:pPr>
                <a:r>
                  <a:rPr lang="sl-SI" b="0"/>
                  <a:t>Stopnja</a:t>
                </a:r>
                <a:r>
                  <a:rPr lang="sl-SI"/>
                  <a:t> </a:t>
                </a:r>
                <a:r>
                  <a:rPr lang="sl-SI" b="0"/>
                  <a:t>delovne</a:t>
                </a:r>
                <a:r>
                  <a:rPr lang="sl-SI"/>
                  <a:t> </a:t>
                </a:r>
                <a:r>
                  <a:rPr lang="sl-SI" b="0"/>
                  <a:t>aktivnosti</a:t>
                </a:r>
              </a:p>
            </c:rich>
          </c:tx>
          <c:layout/>
          <c:overlay val="0"/>
        </c:title>
        <c:numFmt formatCode="0" sourceLinked="1"/>
        <c:majorTickMark val="none"/>
        <c:minorTickMark val="none"/>
        <c:tickLblPos val="nextTo"/>
        <c:crossAx val="11402675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0922138117648"/>
          <c:y val="0.10964297271060296"/>
          <c:w val="0.47093269218856659"/>
          <c:h val="0.78090370486123273"/>
        </c:manualLayout>
      </c:layout>
      <c:doughnut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'2164525'!$G$20:$G$21</c:f>
              <c:strCache>
                <c:ptCount val="2"/>
                <c:pt idx="0">
                  <c:v>Mesto</c:v>
                </c:pt>
                <c:pt idx="1">
                  <c:v>Podeželje</c:v>
                </c:pt>
              </c:strCache>
            </c:strRef>
          </c:cat>
          <c:val>
            <c:numRef>
              <c:f>'2164525'!$H$20:$H$21</c:f>
              <c:numCache>
                <c:formatCode>0</c:formatCode>
                <c:ptCount val="2"/>
                <c:pt idx="0">
                  <c:v>28.192807701705767</c:v>
                </c:pt>
                <c:pt idx="1">
                  <c:v>71.612763667746549</c:v>
                </c:pt>
              </c:numCache>
            </c:numRef>
          </c:val>
          <c:extLst>
            <c:ext xmlns:c16="http://schemas.microsoft.com/office/drawing/2014/chart" uri="{C3380CC4-5D6E-409C-BE32-E72D297353CC}">
              <c16:uniqueId val="{00000000-7F9C-43F2-8502-F866ACA24B9A}"/>
            </c:ext>
          </c:extLst>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gap"/>
    <c:showDLblsOverMax val="0"/>
  </c:chart>
  <c:spPr>
    <a:ln w="6350">
      <a:solidFill>
        <a:schemeClr val="tx1">
          <a:lumMod val="50000"/>
          <a:lumOff val="50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l-SI" sz="1200" b="1">
                <a:latin typeface="Arial" panose="020B0604020202020204" pitchFamily="34" charset="0"/>
                <a:cs typeface="Arial" panose="020B0604020202020204" pitchFamily="34" charset="0"/>
              </a:rPr>
              <a:t>Bruto dodana vrednost na zaposlenega v biogospodarstvu (v EUR)</a:t>
            </a:r>
          </a:p>
        </c:rich>
      </c:tx>
      <c:layout>
        <c:manualLayout>
          <c:xMode val="edge"/>
          <c:yMode val="edge"/>
          <c:x val="0.12308296514482081"/>
          <c:y val="3.8338658146964855E-2"/>
        </c:manualLayout>
      </c:layout>
      <c:overlay val="0"/>
    </c:title>
    <c:autoTitleDeleted val="0"/>
    <c:plotArea>
      <c:layout/>
      <c:lineChart>
        <c:grouping val="stacked"/>
        <c:varyColors val="0"/>
        <c:ser>
          <c:idx val="0"/>
          <c:order val="0"/>
          <c:tx>
            <c:strRef>
              <c:f>SLOVENIJA!$M$17</c:f>
              <c:strCache>
                <c:ptCount val="1"/>
                <c:pt idx="0">
                  <c:v>Slovenija</c:v>
                </c:pt>
              </c:strCache>
            </c:strRef>
          </c:tx>
          <c:marker>
            <c:symbol val="none"/>
          </c:marker>
          <c:cat>
            <c:numRef>
              <c:f>SLOVENIJA!$N$16:$W$16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SLOVENIJA!$N$17:$W$17</c:f>
              <c:numCache>
                <c:formatCode>#,##0</c:formatCode>
                <c:ptCount val="10"/>
                <c:pt idx="0">
                  <c:v>16295.236215358056</c:v>
                </c:pt>
                <c:pt idx="1">
                  <c:v>15860.912061025649</c:v>
                </c:pt>
                <c:pt idx="2">
                  <c:v>16839.59474790798</c:v>
                </c:pt>
                <c:pt idx="3">
                  <c:v>18237.5100885217</c:v>
                </c:pt>
                <c:pt idx="4">
                  <c:v>17545.812427945311</c:v>
                </c:pt>
                <c:pt idx="5">
                  <c:v>17662.61812678201</c:v>
                </c:pt>
                <c:pt idx="6">
                  <c:v>18837.09824141362</c:v>
                </c:pt>
                <c:pt idx="7">
                  <c:v>19897.214350282913</c:v>
                </c:pt>
                <c:pt idx="8">
                  <c:v>20213.638688574832</c:v>
                </c:pt>
                <c:pt idx="9">
                  <c:v>20518.644230415721</c:v>
                </c:pt>
              </c:numCache>
            </c:numRef>
          </c:val>
          <c:smooth val="0"/>
          <c:extLst>
            <c:ext xmlns:c16="http://schemas.microsoft.com/office/drawing/2014/chart" uri="{C3380CC4-5D6E-409C-BE32-E72D297353CC}">
              <c16:uniqueId val="{00000000-3810-4CF9-8B9E-431FFB352719}"/>
            </c:ext>
          </c:extLst>
        </c:ser>
        <c:ser>
          <c:idx val="1"/>
          <c:order val="1"/>
          <c:tx>
            <c:strRef>
              <c:f>SLOVENIJA!$M$18</c:f>
              <c:strCache>
                <c:ptCount val="1"/>
                <c:pt idx="0">
                  <c:v>Povprečje EU-27</c:v>
                </c:pt>
              </c:strCache>
            </c:strRef>
          </c:tx>
          <c:marker>
            <c:symbol val="none"/>
          </c:marker>
          <c:cat>
            <c:numRef>
              <c:f>SLOVENIJA!$N$16:$W$16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SLOVENIJA!$N$18:$W$18</c:f>
              <c:numCache>
                <c:formatCode>#,##0</c:formatCode>
                <c:ptCount val="10"/>
                <c:pt idx="0">
                  <c:v>25053.991440034642</c:v>
                </c:pt>
                <c:pt idx="1">
                  <c:v>24551.471614666589</c:v>
                </c:pt>
                <c:pt idx="2">
                  <c:v>26740.615862613326</c:v>
                </c:pt>
                <c:pt idx="3">
                  <c:v>28359.69903733056</c:v>
                </c:pt>
                <c:pt idx="4">
                  <c:v>28650.53351181532</c:v>
                </c:pt>
                <c:pt idx="5">
                  <c:v>29742.85813553878</c:v>
                </c:pt>
                <c:pt idx="6">
                  <c:v>30539.76369763551</c:v>
                </c:pt>
                <c:pt idx="7">
                  <c:v>31594.833794457107</c:v>
                </c:pt>
                <c:pt idx="8">
                  <c:v>33372.772531620329</c:v>
                </c:pt>
                <c:pt idx="9">
                  <c:v>35802.166957641552</c:v>
                </c:pt>
              </c:numCache>
            </c:numRef>
          </c:val>
          <c:smooth val="0"/>
          <c:extLst>
            <c:ext xmlns:c16="http://schemas.microsoft.com/office/drawing/2014/chart" uri="{C3380CC4-5D6E-409C-BE32-E72D297353CC}">
              <c16:uniqueId val="{00000001-3810-4CF9-8B9E-431FFB352719}"/>
            </c:ext>
          </c:extLst>
        </c:ser>
        <c:dLbls>
          <c:showLegendKey val="0"/>
          <c:showVal val="0"/>
          <c:showCatName val="0"/>
          <c:showSerName val="0"/>
          <c:showPercent val="0"/>
          <c:showBubbleSize val="0"/>
        </c:dLbls>
        <c:smooth val="0"/>
        <c:axId val="114192768"/>
        <c:axId val="114194304"/>
      </c:lineChart>
      <c:catAx>
        <c:axId val="114192768"/>
        <c:scaling>
          <c:orientation val="minMax"/>
        </c:scaling>
        <c:delete val="0"/>
        <c:axPos val="b"/>
        <c:numFmt formatCode="General" sourceLinked="1"/>
        <c:majorTickMark val="none"/>
        <c:minorTickMark val="none"/>
        <c:tickLblPos val="nextTo"/>
        <c:crossAx val="114194304"/>
        <c:crosses val="autoZero"/>
        <c:auto val="1"/>
        <c:lblAlgn val="ctr"/>
        <c:lblOffset val="100"/>
        <c:noMultiLvlLbl val="0"/>
      </c:catAx>
      <c:valAx>
        <c:axId val="114194304"/>
        <c:scaling>
          <c:orientation val="minMax"/>
        </c:scaling>
        <c:delete val="0"/>
        <c:axPos val="l"/>
        <c:majorGridlines/>
        <c:numFmt formatCode="#,##0" sourceLinked="1"/>
        <c:majorTickMark val="none"/>
        <c:minorTickMark val="none"/>
        <c:tickLblPos val="nextTo"/>
        <c:crossAx val="114192768"/>
        <c:crosses val="autoZero"/>
        <c:crossBetween val="between"/>
      </c:valAx>
    </c:plotArea>
    <c:legend>
      <c:legendPos val="b"/>
      <c:layou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pPr>
            <a:r>
              <a:rPr lang="sl-SI" sz="1000">
                <a:latin typeface="Arial" panose="020B0604020202020204" pitchFamily="34" charset="0"/>
                <a:cs typeface="Arial" panose="020B0604020202020204" pitchFamily="34" charset="0"/>
              </a:rPr>
              <a:t>Ravnanje z odpadno hrano v Sloveniji (v tonah)</a:t>
            </a:r>
          </a:p>
        </c:rich>
      </c:tx>
      <c:layout>
        <c:manualLayout>
          <c:xMode val="edge"/>
          <c:yMode val="edge"/>
          <c:x val="0.21733509293343356"/>
          <c:y val="3.3840947546531303E-2"/>
        </c:manualLayout>
      </c:layout>
      <c:overlay val="0"/>
    </c:title>
    <c:autoTitleDeleted val="0"/>
    <c:plotArea>
      <c:layout/>
      <c:barChart>
        <c:barDir val="col"/>
        <c:grouping val="stacked"/>
        <c:varyColors val="0"/>
        <c:ser>
          <c:idx val="0"/>
          <c:order val="0"/>
          <c:tx>
            <c:strRef>
              <c:f>'[Odpadna hrana_Slovenija.xlsx]2780705'!$A$4</c:f>
              <c:strCache>
                <c:ptCount val="1"/>
                <c:pt idx="0">
                  <c:v>Predelava v bioplinarnah</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hrana_Slovenija.xlsx]2780705'!$B$4:$G$4</c:f>
              <c:numCache>
                <c:formatCode>0</c:formatCode>
                <c:ptCount val="6"/>
                <c:pt idx="0">
                  <c:v>41616</c:v>
                </c:pt>
                <c:pt idx="1">
                  <c:v>45116</c:v>
                </c:pt>
                <c:pt idx="2">
                  <c:v>52418</c:v>
                </c:pt>
                <c:pt idx="3">
                  <c:v>66336</c:v>
                </c:pt>
                <c:pt idx="4">
                  <c:v>60083</c:v>
                </c:pt>
                <c:pt idx="5">
                  <c:v>66255</c:v>
                </c:pt>
              </c:numCache>
            </c:numRef>
          </c:val>
          <c:extLst>
            <c:ext xmlns:c16="http://schemas.microsoft.com/office/drawing/2014/chart" uri="{C3380CC4-5D6E-409C-BE32-E72D297353CC}">
              <c16:uniqueId val="{00000000-BBE3-4449-93AC-9FA7A11ADA7D}"/>
            </c:ext>
          </c:extLst>
        </c:ser>
        <c:ser>
          <c:idx val="1"/>
          <c:order val="1"/>
          <c:tx>
            <c:strRef>
              <c:f>'[Odpadna hrana_Slovenija.xlsx]2780705'!$A$5</c:f>
              <c:strCache>
                <c:ptCount val="1"/>
                <c:pt idx="0">
                  <c:v>Predelava v kompostarnah</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hrana_Slovenija.xlsx]2780705'!$B$5:$G$5</c:f>
              <c:numCache>
                <c:formatCode>0</c:formatCode>
                <c:ptCount val="6"/>
                <c:pt idx="0">
                  <c:v>38957</c:v>
                </c:pt>
                <c:pt idx="1">
                  <c:v>42068</c:v>
                </c:pt>
                <c:pt idx="2">
                  <c:v>45148</c:v>
                </c:pt>
                <c:pt idx="3">
                  <c:v>39805</c:v>
                </c:pt>
                <c:pt idx="4">
                  <c:v>39578</c:v>
                </c:pt>
                <c:pt idx="5">
                  <c:v>40878</c:v>
                </c:pt>
              </c:numCache>
            </c:numRef>
          </c:val>
          <c:extLst>
            <c:ext xmlns:c16="http://schemas.microsoft.com/office/drawing/2014/chart" uri="{C3380CC4-5D6E-409C-BE32-E72D297353CC}">
              <c16:uniqueId val="{00000001-BBE3-4449-93AC-9FA7A11ADA7D}"/>
            </c:ext>
          </c:extLst>
        </c:ser>
        <c:ser>
          <c:idx val="2"/>
          <c:order val="2"/>
          <c:tx>
            <c:strRef>
              <c:f>'[Odpadna hrana_Slovenija.xlsx]2780705'!$A$6</c:f>
              <c:strCache>
                <c:ptCount val="1"/>
                <c:pt idx="0">
                  <c:v>Biološka stabilizacija v okviru MBO*</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hrana_Slovenija.xlsx]2780705'!$B$6:$G$6</c:f>
              <c:numCache>
                <c:formatCode>0</c:formatCode>
                <c:ptCount val="6"/>
                <c:pt idx="0">
                  <c:v>10890</c:v>
                </c:pt>
                <c:pt idx="1">
                  <c:v>26444</c:v>
                </c:pt>
                <c:pt idx="2">
                  <c:v>28190</c:v>
                </c:pt>
                <c:pt idx="3">
                  <c:v>29131</c:v>
                </c:pt>
                <c:pt idx="4">
                  <c:v>28976</c:v>
                </c:pt>
                <c:pt idx="5">
                  <c:v>29859</c:v>
                </c:pt>
              </c:numCache>
            </c:numRef>
          </c:val>
          <c:extLst>
            <c:ext xmlns:c16="http://schemas.microsoft.com/office/drawing/2014/chart" uri="{C3380CC4-5D6E-409C-BE32-E72D297353CC}">
              <c16:uniqueId val="{00000002-BBE3-4449-93AC-9FA7A11ADA7D}"/>
            </c:ext>
          </c:extLst>
        </c:ser>
        <c:ser>
          <c:idx val="3"/>
          <c:order val="3"/>
          <c:tx>
            <c:strRef>
              <c:f>'[Odpadna hrana_Slovenija.xlsx]2780705'!$A$7</c:f>
              <c:strCache>
                <c:ptCount val="1"/>
                <c:pt idx="0">
                  <c:v>Drugo ravnanje </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hrana_Slovenija.xlsx]2780705'!$B$7:$G$7</c:f>
              <c:numCache>
                <c:formatCode>0</c:formatCode>
                <c:ptCount val="6"/>
                <c:pt idx="0">
                  <c:v>26987</c:v>
                </c:pt>
                <c:pt idx="1">
                  <c:v>11474</c:v>
                </c:pt>
                <c:pt idx="2">
                  <c:v>8143</c:v>
                </c:pt>
                <c:pt idx="3">
                  <c:v>2366</c:v>
                </c:pt>
                <c:pt idx="4">
                  <c:v>3124</c:v>
                </c:pt>
                <c:pt idx="5">
                  <c:v>2864</c:v>
                </c:pt>
              </c:numCache>
            </c:numRef>
          </c:val>
          <c:extLst>
            <c:ext xmlns:c16="http://schemas.microsoft.com/office/drawing/2014/chart" uri="{C3380CC4-5D6E-409C-BE32-E72D297353CC}">
              <c16:uniqueId val="{00000003-BBE3-4449-93AC-9FA7A11ADA7D}"/>
            </c:ext>
          </c:extLst>
        </c:ser>
        <c:dLbls>
          <c:showLegendKey val="0"/>
          <c:showVal val="0"/>
          <c:showCatName val="0"/>
          <c:showSerName val="0"/>
          <c:showPercent val="0"/>
          <c:showBubbleSize val="0"/>
        </c:dLbls>
        <c:gapWidth val="150"/>
        <c:overlap val="100"/>
        <c:axId val="114227072"/>
        <c:axId val="114228608"/>
      </c:barChart>
      <c:catAx>
        <c:axId val="114227072"/>
        <c:scaling>
          <c:orientation val="minMax"/>
        </c:scaling>
        <c:delete val="0"/>
        <c:axPos val="b"/>
        <c:numFmt formatCode="General" sourceLinked="0"/>
        <c:majorTickMark val="out"/>
        <c:minorTickMark val="none"/>
        <c:tickLblPos val="nextTo"/>
        <c:crossAx val="114228608"/>
        <c:crosses val="autoZero"/>
        <c:auto val="1"/>
        <c:lblAlgn val="ctr"/>
        <c:lblOffset val="100"/>
        <c:noMultiLvlLbl val="0"/>
      </c:catAx>
      <c:valAx>
        <c:axId val="114228608"/>
        <c:scaling>
          <c:orientation val="minMax"/>
          <c:max val="145000"/>
          <c:min val="0"/>
        </c:scaling>
        <c:delete val="0"/>
        <c:axPos val="l"/>
        <c:majorGridlines/>
        <c:numFmt formatCode="#,##0" sourceLinked="0"/>
        <c:majorTickMark val="out"/>
        <c:minorTickMark val="none"/>
        <c:tickLblPos val="nextTo"/>
        <c:crossAx val="114227072"/>
        <c:crosses val="autoZero"/>
        <c:crossBetween val="between"/>
      </c:valAx>
    </c:plotArea>
    <c:legend>
      <c:legendPos val="b"/>
      <c:layout>
        <c:manualLayout>
          <c:xMode val="edge"/>
          <c:yMode val="edge"/>
          <c:x val="0.12828826481583788"/>
          <c:y val="0.86238298892841436"/>
          <c:w val="0.79448675607192631"/>
          <c:h val="0.117312442543666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l-SI" sz="1000" b="1" i="0" baseline="0">
                <a:effectLst/>
                <a:latin typeface="Arial" panose="020B0604020202020204" pitchFamily="34" charset="0"/>
                <a:cs typeface="Arial" panose="020B0604020202020204" pitchFamily="34" charset="0"/>
              </a:rPr>
              <a:t>Končna poraba energije, glede na energetski vir (v 1000 toe)</a:t>
            </a:r>
            <a:endParaRPr lang="sl-SI" sz="1000">
              <a:effectLst/>
              <a:latin typeface="Arial" panose="020B0604020202020204" pitchFamily="34" charset="0"/>
              <a:cs typeface="Arial" panose="020B0604020202020204" pitchFamily="34" charset="0"/>
            </a:endParaRPr>
          </a:p>
        </c:rich>
      </c:tx>
      <c:layout/>
      <c:overlay val="0"/>
    </c:title>
    <c:autoTitleDeleted val="0"/>
    <c:plotArea>
      <c:layout/>
      <c:barChart>
        <c:barDir val="col"/>
        <c:grouping val="stacked"/>
        <c:varyColors val="0"/>
        <c:ser>
          <c:idx val="1"/>
          <c:order val="0"/>
          <c:tx>
            <c:strRef>
              <c:f>'1817901'!$B$6</c:f>
              <c:strCache>
                <c:ptCount val="1"/>
                <c:pt idx="0">
                  <c:v>Naftni proizvodi</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'1817901'!$C$6:$M$6</c:f>
              <c:numCache>
                <c:formatCode>General</c:formatCode>
                <c:ptCount val="11"/>
                <c:pt idx="0" formatCode="#,##0.00">
                  <c:v>2870.9209999999998</c:v>
                </c:pt>
                <c:pt idx="1">
                  <c:v>2490.8910000000001</c:v>
                </c:pt>
                <c:pt idx="2">
                  <c:v>2450.759</c:v>
                </c:pt>
                <c:pt idx="3">
                  <c:v>2494.5340000000001</c:v>
                </c:pt>
                <c:pt idx="4">
                  <c:v>2442.377</c:v>
                </c:pt>
                <c:pt idx="5">
                  <c:v>2300.8580000000002</c:v>
                </c:pt>
                <c:pt idx="6">
                  <c:v>2212.145</c:v>
                </c:pt>
                <c:pt idx="7">
                  <c:v>2201.6509999999998</c:v>
                </c:pt>
                <c:pt idx="8">
                  <c:v>2311.9639999999999</c:v>
                </c:pt>
                <c:pt idx="9">
                  <c:v>2332.779</c:v>
                </c:pt>
                <c:pt idx="10">
                  <c:v>2343.2649999999999</c:v>
                </c:pt>
              </c:numCache>
            </c:numRef>
          </c:val>
          <c:extLst>
            <c:ext xmlns:c16="http://schemas.microsoft.com/office/drawing/2014/chart" uri="{C3380CC4-5D6E-409C-BE32-E72D297353CC}">
              <c16:uniqueId val="{00000000-BFBA-4BEF-B89C-6BFE579173C1}"/>
            </c:ext>
          </c:extLst>
        </c:ser>
        <c:ser>
          <c:idx val="5"/>
          <c:order val="1"/>
          <c:tx>
            <c:strRef>
              <c:f>'1817901'!$B$10</c:f>
              <c:strCache>
                <c:ptCount val="1"/>
                <c:pt idx="0">
                  <c:v>Električna energija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'1817901'!$C$10:$M$10</c:f>
              <c:numCache>
                <c:formatCode>General</c:formatCode>
                <c:ptCount val="11"/>
                <c:pt idx="0" formatCode="#,##0.00">
                  <c:v>1113.07</c:v>
                </c:pt>
                <c:pt idx="1">
                  <c:v>982.28700000000003</c:v>
                </c:pt>
                <c:pt idx="2">
                  <c:v>1037.1869999999999</c:v>
                </c:pt>
                <c:pt idx="3">
                  <c:v>1084.403</c:v>
                </c:pt>
                <c:pt idx="4">
                  <c:v>1078.222</c:v>
                </c:pt>
                <c:pt idx="5">
                  <c:v>1082.319</c:v>
                </c:pt>
                <c:pt idx="6">
                  <c:v>1079.953</c:v>
                </c:pt>
                <c:pt idx="7">
                  <c:v>1108.7</c:v>
                </c:pt>
                <c:pt idx="8">
                  <c:v>1128.1959999999999</c:v>
                </c:pt>
                <c:pt idx="9">
                  <c:v>1171.335</c:v>
                </c:pt>
                <c:pt idx="10">
                  <c:v>1188.2550000000001</c:v>
                </c:pt>
              </c:numCache>
            </c:numRef>
          </c:val>
          <c:extLst>
            <c:ext xmlns:c16="http://schemas.microsoft.com/office/drawing/2014/chart" uri="{C3380CC4-5D6E-409C-BE32-E72D297353CC}">
              <c16:uniqueId val="{00000001-BFBA-4BEF-B89C-6BFE579173C1}"/>
            </c:ext>
          </c:extLst>
        </c:ser>
        <c:ser>
          <c:idx val="4"/>
          <c:order val="2"/>
          <c:tx>
            <c:strRef>
              <c:f>'1817901'!$B$9</c:f>
              <c:strCache>
                <c:ptCount val="1"/>
                <c:pt idx="0">
                  <c:v>Obnovljivi viri in odpadki</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'1817901'!$C$9:$M$9</c:f>
              <c:numCache>
                <c:formatCode>General</c:formatCode>
                <c:ptCount val="11"/>
                <c:pt idx="0" formatCode="#,##0.00">
                  <c:v>439.69400000000002</c:v>
                </c:pt>
                <c:pt idx="1">
                  <c:v>614.03800000000001</c:v>
                </c:pt>
                <c:pt idx="2">
                  <c:v>647.21500000000003</c:v>
                </c:pt>
                <c:pt idx="3">
                  <c:v>632.56399999999996</c:v>
                </c:pt>
                <c:pt idx="4">
                  <c:v>624.34500000000003</c:v>
                </c:pt>
                <c:pt idx="5">
                  <c:v>660.76499999999999</c:v>
                </c:pt>
                <c:pt idx="6">
                  <c:v>572.68799999999999</c:v>
                </c:pt>
                <c:pt idx="7">
                  <c:v>604.84799999999996</c:v>
                </c:pt>
                <c:pt idx="8">
                  <c:v>613.07299999999998</c:v>
                </c:pt>
                <c:pt idx="9">
                  <c:v>599.92100000000005</c:v>
                </c:pt>
                <c:pt idx="10">
                  <c:v>618.84799999999996</c:v>
                </c:pt>
              </c:numCache>
            </c:numRef>
          </c:val>
          <c:extLst>
            <c:ext xmlns:c16="http://schemas.microsoft.com/office/drawing/2014/chart" uri="{C3380CC4-5D6E-409C-BE32-E72D297353CC}">
              <c16:uniqueId val="{00000002-BFBA-4BEF-B89C-6BFE579173C1}"/>
            </c:ext>
          </c:extLst>
        </c:ser>
        <c:ser>
          <c:idx val="2"/>
          <c:order val="3"/>
          <c:tx>
            <c:strRef>
              <c:f>'1817901'!$B$7</c:f>
              <c:strCache>
                <c:ptCount val="1"/>
                <c:pt idx="0">
                  <c:v>Zemeljski plin</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'1817901'!$C$7:$M$7</c:f>
              <c:numCache>
                <c:formatCode>General</c:formatCode>
                <c:ptCount val="11"/>
                <c:pt idx="0" formatCode="#,##0.00">
                  <c:v>739.17499999999995</c:v>
                </c:pt>
                <c:pt idx="1">
                  <c:v>666.32600000000002</c:v>
                </c:pt>
                <c:pt idx="2">
                  <c:v>705.51199999999994</c:v>
                </c:pt>
                <c:pt idx="3">
                  <c:v>585.65099999999995</c:v>
                </c:pt>
                <c:pt idx="4">
                  <c:v>553.53499999999997</c:v>
                </c:pt>
                <c:pt idx="5">
                  <c:v>548.06200000000001</c:v>
                </c:pt>
                <c:pt idx="6">
                  <c:v>525.226</c:v>
                </c:pt>
                <c:pt idx="7">
                  <c:v>565.928</c:v>
                </c:pt>
                <c:pt idx="8">
                  <c:v>603.63699999999994</c:v>
                </c:pt>
                <c:pt idx="9">
                  <c:v>616.41300000000001</c:v>
                </c:pt>
                <c:pt idx="10">
                  <c:v>603.98599999999999</c:v>
                </c:pt>
              </c:numCache>
            </c:numRef>
          </c:val>
          <c:extLst>
            <c:ext xmlns:c16="http://schemas.microsoft.com/office/drawing/2014/chart" uri="{C3380CC4-5D6E-409C-BE32-E72D297353CC}">
              <c16:uniqueId val="{00000003-BFBA-4BEF-B89C-6BFE579173C1}"/>
            </c:ext>
          </c:extLst>
        </c:ser>
        <c:ser>
          <c:idx val="6"/>
          <c:order val="4"/>
          <c:tx>
            <c:strRef>
              <c:f>'1817901'!$B$11</c:f>
              <c:strCache>
                <c:ptCount val="1"/>
                <c:pt idx="0">
                  <c:v>Toplota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'1817901'!$C$11:$M$11</c:f>
              <c:numCache>
                <c:formatCode>General</c:formatCode>
                <c:ptCount val="11"/>
                <c:pt idx="0" formatCode="#,##0.00">
                  <c:v>186.56299999999999</c:v>
                </c:pt>
                <c:pt idx="1">
                  <c:v>181.83</c:v>
                </c:pt>
                <c:pt idx="2">
                  <c:v>193.91900000000001</c:v>
                </c:pt>
                <c:pt idx="3">
                  <c:v>192.072</c:v>
                </c:pt>
                <c:pt idx="4">
                  <c:v>184.36099999999999</c:v>
                </c:pt>
                <c:pt idx="5">
                  <c:v>184.95500000000001</c:v>
                </c:pt>
                <c:pt idx="6">
                  <c:v>155.482</c:v>
                </c:pt>
                <c:pt idx="7">
                  <c:v>171.16399999999999</c:v>
                </c:pt>
                <c:pt idx="8">
                  <c:v>176.542</c:v>
                </c:pt>
                <c:pt idx="9">
                  <c:v>183.31100000000001</c:v>
                </c:pt>
                <c:pt idx="10">
                  <c:v>177.2</c:v>
                </c:pt>
              </c:numCache>
            </c:numRef>
          </c:val>
          <c:extLst>
            <c:ext xmlns:c16="http://schemas.microsoft.com/office/drawing/2014/chart" uri="{C3380CC4-5D6E-409C-BE32-E72D297353CC}">
              <c16:uniqueId val="{00000004-BFBA-4BEF-B89C-6BFE579173C1}"/>
            </c:ext>
          </c:extLst>
        </c:ser>
        <c:ser>
          <c:idx val="3"/>
          <c:order val="5"/>
          <c:tx>
            <c:strRef>
              <c:f>'1817901'!$B$8</c:f>
              <c:strCache>
                <c:ptCount val="1"/>
                <c:pt idx="0">
                  <c:v>Geoterm., sončna itd.</c:v>
                </c:pt>
              </c:strCache>
            </c:strRef>
          </c:tx>
          <c:invertIfNegative val="0"/>
          <c:dPt>
            <c:idx val="10"/>
            <c:invertIfNegative val="0"/>
            <c:bubble3D val="0"/>
            <c:extLst>
              <c:ext xmlns:c16="http://schemas.microsoft.com/office/drawing/2014/chart" uri="{C3380CC4-5D6E-409C-BE32-E72D297353CC}">
                <c16:uniqueId val="{00000005-BFBA-4BEF-B89C-6BFE579173C1}"/>
              </c:ext>
            </c:extLst>
          </c:dPt>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'1817901'!$C$8:$M$8</c:f>
              <c:numCache>
                <c:formatCode>General</c:formatCode>
                <c:ptCount val="11"/>
                <c:pt idx="0" formatCode="#,##0.00">
                  <c:v>0</c:v>
                </c:pt>
                <c:pt idx="1">
                  <c:v>13.949</c:v>
                </c:pt>
                <c:pt idx="2">
                  <c:v>33.892000000000003</c:v>
                </c:pt>
                <c:pt idx="3">
                  <c:v>36.805999999999997</c:v>
                </c:pt>
                <c:pt idx="4">
                  <c:v>39.314</c:v>
                </c:pt>
                <c:pt idx="5">
                  <c:v>44.115000000000002</c:v>
                </c:pt>
                <c:pt idx="6">
                  <c:v>46.287999999999997</c:v>
                </c:pt>
                <c:pt idx="7">
                  <c:v>48.844000000000001</c:v>
                </c:pt>
                <c:pt idx="8">
                  <c:v>54.695999999999998</c:v>
                </c:pt>
                <c:pt idx="9">
                  <c:v>58.780999999999999</c:v>
                </c:pt>
                <c:pt idx="10">
                  <c:v>59.76</c:v>
                </c:pt>
              </c:numCache>
            </c:numRef>
          </c:val>
          <c:extLst>
            <c:ext xmlns:c16="http://schemas.microsoft.com/office/drawing/2014/chart" uri="{C3380CC4-5D6E-409C-BE32-E72D297353CC}">
              <c16:uniqueId val="{00000006-BFBA-4BEF-B89C-6BFE579173C1}"/>
            </c:ext>
          </c:extLst>
        </c:ser>
        <c:ser>
          <c:idx val="0"/>
          <c:order val="6"/>
          <c:tx>
            <c:strRef>
              <c:f>'1817901'!$B$5</c:f>
              <c:strCache>
                <c:ptCount val="1"/>
                <c:pt idx="0">
                  <c:v>Trdna goriva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'1817901'!$C$5:$M$5</c:f>
              <c:numCache>
                <c:formatCode>General</c:formatCode>
                <c:ptCount val="11"/>
                <c:pt idx="0" formatCode="#,##0.00">
                  <c:v>85.995000000000005</c:v>
                </c:pt>
                <c:pt idx="1">
                  <c:v>60.802999999999997</c:v>
                </c:pt>
                <c:pt idx="2">
                  <c:v>53.536000000000001</c:v>
                </c:pt>
                <c:pt idx="3">
                  <c:v>58.417000000000002</c:v>
                </c:pt>
                <c:pt idx="4">
                  <c:v>55.744999999999997</c:v>
                </c:pt>
                <c:pt idx="5">
                  <c:v>53.351999999999997</c:v>
                </c:pt>
                <c:pt idx="6">
                  <c:v>52.57</c:v>
                </c:pt>
                <c:pt idx="7">
                  <c:v>46.883000000000003</c:v>
                </c:pt>
                <c:pt idx="8">
                  <c:v>42.569000000000003</c:v>
                </c:pt>
                <c:pt idx="9">
                  <c:v>45.779000000000003</c:v>
                </c:pt>
                <c:pt idx="10">
                  <c:v>48.707000000000001</c:v>
                </c:pt>
              </c:numCache>
            </c:numRef>
          </c:val>
          <c:extLst>
            <c:ext xmlns:c16="http://schemas.microsoft.com/office/drawing/2014/chart" uri="{C3380CC4-5D6E-409C-BE32-E72D297353CC}">
              <c16:uniqueId val="{00000007-BFBA-4BEF-B89C-6BFE579173C1}"/>
            </c:ext>
          </c:extLst>
        </c:ser>
        <c:dLbls>
          <c:showLegendKey val="0"/>
          <c:showVal val="0"/>
          <c:showCatName val="0"/>
          <c:showSerName val="0"/>
          <c:showPercent val="0"/>
          <c:showBubbleSize val="0"/>
        </c:dLbls>
        <c:gapWidth val="90"/>
        <c:overlap val="100"/>
        <c:axId val="114322816"/>
        <c:axId val="114353280"/>
      </c:barChart>
      <c:catAx>
        <c:axId val="114322816"/>
        <c:scaling>
          <c:orientation val="minMax"/>
        </c:scaling>
        <c:delete val="0"/>
        <c:axPos val="b"/>
        <c:numFmt formatCode="General" sourceLinked="0"/>
        <c:majorTickMark val="out"/>
        <c:minorTickMark val="none"/>
        <c:tickLblPos val="nextTo"/>
        <c:crossAx val="114353280"/>
        <c:crosses val="autoZero"/>
        <c:auto val="1"/>
        <c:lblAlgn val="ctr"/>
        <c:lblOffset val="100"/>
        <c:noMultiLvlLbl val="0"/>
      </c:catAx>
      <c:valAx>
        <c:axId val="114353280"/>
        <c:scaling>
          <c:orientation val="minMax"/>
        </c:scaling>
        <c:delete val="0"/>
        <c:axPos val="l"/>
        <c:majorGridlines/>
        <c:numFmt formatCode="#,##0" sourceLinked="0"/>
        <c:majorTickMark val="out"/>
        <c:minorTickMark val="none"/>
        <c:tickLblPos val="nextTo"/>
        <c:crossAx val="11432281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100" b="1" i="0" u="none" strike="noStrike" baseline="0">
                <a:effectLst/>
                <a:latin typeface="Arial" panose="020B0604020202020204" pitchFamily="34" charset="0"/>
                <a:cs typeface="Arial" panose="020B0604020202020204" pitchFamily="34" charset="0"/>
              </a:rPr>
              <a:t>Poraba energije za proizvodnjo porabljenih dušikovih in fosforjevih gnojil (v GJ/ha KZU) in plinskega olja v kmetijstvu (v TJ/leto)</a:t>
            </a:r>
            <a:endParaRPr lang="sl-SI" sz="1100">
              <a:latin typeface="Arial" panose="020B0604020202020204" pitchFamily="34" charset="0"/>
              <a:cs typeface="Arial" panose="020B0604020202020204" pitchFamily="34" charset="0"/>
            </a:endParaRPr>
          </a:p>
        </c:rich>
      </c:tx>
      <c:layout/>
      <c:overlay val="0"/>
    </c:title>
    <c:autoTitleDeleted val="0"/>
    <c:plotArea>
      <c:layout/>
      <c:barChart>
        <c:barDir val="col"/>
        <c:grouping val="clustered"/>
        <c:varyColors val="0"/>
        <c:ser>
          <c:idx val="3"/>
          <c:order val="3"/>
          <c:tx>
            <c:v>Plinsko olje</c:v>
          </c:tx>
          <c:spPr>
            <a:solidFill>
              <a:schemeClr val="accent4">
                <a:lumMod val="60000"/>
                <a:lumOff val="40000"/>
              </a:schemeClr>
            </a:solidFill>
          </c:spPr>
          <c:invertIfNegative val="0"/>
          <c:val>
            <c:numRef>
              <c:f>node_55378_field_table_data_und!$E$32:$E$50</c:f>
              <c:numCache>
                <c:formatCode>General</c:formatCode>
                <c:ptCount val="19"/>
                <c:pt idx="0">
                  <c:v>2612.36</c:v>
                </c:pt>
                <c:pt idx="1">
                  <c:v>2615.77</c:v>
                </c:pt>
                <c:pt idx="2">
                  <c:v>2594.41</c:v>
                </c:pt>
                <c:pt idx="3">
                  <c:v>2616.21</c:v>
                </c:pt>
                <c:pt idx="4">
                  <c:v>2517.71</c:v>
                </c:pt>
                <c:pt idx="5">
                  <c:v>2611.33</c:v>
                </c:pt>
                <c:pt idx="6">
                  <c:v>2516.6799999999998</c:v>
                </c:pt>
                <c:pt idx="7">
                  <c:v>2558.5</c:v>
                </c:pt>
                <c:pt idx="8">
                  <c:v>2527.4899999999998</c:v>
                </c:pt>
                <c:pt idx="9">
                  <c:v>2404.67</c:v>
                </c:pt>
                <c:pt idx="10">
                  <c:v>2477.34</c:v>
                </c:pt>
                <c:pt idx="11">
                  <c:v>2351.8000000000002</c:v>
                </c:pt>
                <c:pt idx="12">
                  <c:v>2461.94</c:v>
                </c:pt>
                <c:pt idx="13">
                  <c:v>2458.0100000000002</c:v>
                </c:pt>
                <c:pt idx="14">
                  <c:v>2475.11</c:v>
                </c:pt>
                <c:pt idx="15">
                  <c:v>2447.61</c:v>
                </c:pt>
                <c:pt idx="16">
                  <c:v>2451.77</c:v>
                </c:pt>
                <c:pt idx="17">
                  <c:v>2470.98</c:v>
                </c:pt>
                <c:pt idx="18">
                  <c:v>2449.84</c:v>
                </c:pt>
              </c:numCache>
            </c:numRef>
          </c:val>
          <c:extLst>
            <c:ext xmlns:c16="http://schemas.microsoft.com/office/drawing/2014/chart" uri="{C3380CC4-5D6E-409C-BE32-E72D297353CC}">
              <c16:uniqueId val="{00000000-A043-4DB5-BF83-39FAF87D817B}"/>
            </c:ext>
          </c:extLst>
        </c:ser>
        <c:dLbls>
          <c:showLegendKey val="0"/>
          <c:showVal val="0"/>
          <c:showCatName val="0"/>
          <c:showSerName val="0"/>
          <c:showPercent val="0"/>
          <c:showBubbleSize val="0"/>
        </c:dLbls>
        <c:gapWidth val="130"/>
        <c:axId val="114396544"/>
        <c:axId val="114395008"/>
      </c:barChart>
      <c:lineChart>
        <c:grouping val="standard"/>
        <c:varyColors val="0"/>
        <c:ser>
          <c:idx val="0"/>
          <c:order val="0"/>
          <c:tx>
            <c:strRef>
              <c:f>node_55378_field_table_data_und!$B$1</c:f>
              <c:strCache>
                <c:ptCount val="1"/>
                <c:pt idx="0">
                  <c:v>Dušikova gnojila</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node_55378_field_table_data_und!$B$10:$B$28</c:f>
              <c:numCache>
                <c:formatCode>#,##0.00</c:formatCode>
                <c:ptCount val="19"/>
                <c:pt idx="0">
                  <c:v>3.9040966480666999</c:v>
                </c:pt>
                <c:pt idx="1">
                  <c:v>3.9681805605701999</c:v>
                </c:pt>
                <c:pt idx="2">
                  <c:v>3.8451476866708001</c:v>
                </c:pt>
                <c:pt idx="3">
                  <c:v>3.9373900990565001</c:v>
                </c:pt>
                <c:pt idx="4">
                  <c:v>3.5889750834831999</c:v>
                </c:pt>
                <c:pt idx="5">
                  <c:v>3.3350972267811998</c:v>
                </c:pt>
                <c:pt idx="6">
                  <c:v>3.6045568590179999</c:v>
                </c:pt>
                <c:pt idx="7">
                  <c:v>3.4557787492025001</c:v>
                </c:pt>
                <c:pt idx="8">
                  <c:v>2.9578546740207998</c:v>
                </c:pt>
                <c:pt idx="9">
                  <c:v>3.5016528209418998</c:v>
                </c:pt>
                <c:pt idx="10">
                  <c:v>3.3124856166752998</c:v>
                </c:pt>
                <c:pt idx="11">
                  <c:v>3.4446454713299999</c:v>
                </c:pt>
                <c:pt idx="12">
                  <c:v>3.1895370194703001</c:v>
                </c:pt>
                <c:pt idx="13">
                  <c:v>3.3116067013581998</c:v>
                </c:pt>
                <c:pt idx="14">
                  <c:v>3.4514609337250999</c:v>
                </c:pt>
                <c:pt idx="15">
                  <c:v>3.4544925575952998</c:v>
                </c:pt>
                <c:pt idx="16">
                  <c:v>3.2998287314909001</c:v>
                </c:pt>
                <c:pt idx="17">
                  <c:v>3.2725949129130001</c:v>
                </c:pt>
                <c:pt idx="18">
                  <c:v>3.3263086428547002</c:v>
                </c:pt>
              </c:numCache>
            </c:numRef>
          </c:val>
          <c:smooth val="0"/>
          <c:extLst>
            <c:ext xmlns:c16="http://schemas.microsoft.com/office/drawing/2014/chart" uri="{C3380CC4-5D6E-409C-BE32-E72D297353CC}">
              <c16:uniqueId val="{00000001-A043-4DB5-BF83-39FAF87D817B}"/>
            </c:ext>
          </c:extLst>
        </c:ser>
        <c:ser>
          <c:idx val="1"/>
          <c:order val="1"/>
          <c:tx>
            <c:strRef>
              <c:f>node_55378_field_table_data_und!$C$1</c:f>
              <c:strCache>
                <c:ptCount val="1"/>
                <c:pt idx="0">
                  <c:v>Fosforjeva gnojila</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node_55378_field_table_data_und!$C$10:$C$28</c:f>
              <c:numCache>
                <c:formatCode>#,##0.00</c:formatCode>
                <c:ptCount val="19"/>
                <c:pt idx="0">
                  <c:v>0.50774127632819999</c:v>
                </c:pt>
                <c:pt idx="1">
                  <c:v>0.46142866113056002</c:v>
                </c:pt>
                <c:pt idx="2">
                  <c:v>0.43976338478461002</c:v>
                </c:pt>
                <c:pt idx="3">
                  <c:v>0.4253481103924</c:v>
                </c:pt>
                <c:pt idx="4">
                  <c:v>0.42261935341821999</c:v>
                </c:pt>
                <c:pt idx="5">
                  <c:v>0.37381738701428002</c:v>
                </c:pt>
                <c:pt idx="6">
                  <c:v>0.36927854983907998</c:v>
                </c:pt>
                <c:pt idx="7">
                  <c:v>0.36204916684388</c:v>
                </c:pt>
                <c:pt idx="8">
                  <c:v>0.34319935665198997</c:v>
                </c:pt>
                <c:pt idx="9">
                  <c:v>0.23136761039581999</c:v>
                </c:pt>
                <c:pt idx="10">
                  <c:v>0.29045958270229999</c:v>
                </c:pt>
                <c:pt idx="11">
                  <c:v>0.27849415338685002</c:v>
                </c:pt>
                <c:pt idx="12">
                  <c:v>0.26247424700772998</c:v>
                </c:pt>
                <c:pt idx="13">
                  <c:v>0.26315965319656998</c:v>
                </c:pt>
                <c:pt idx="14">
                  <c:v>0.26841862307374997</c:v>
                </c:pt>
                <c:pt idx="15">
                  <c:v>0.28016407262477999</c:v>
                </c:pt>
                <c:pt idx="16">
                  <c:v>0.27156716652257001</c:v>
                </c:pt>
                <c:pt idx="17">
                  <c:v>0.26863159643966</c:v>
                </c:pt>
                <c:pt idx="18">
                  <c:v>0.27092018370151999</c:v>
                </c:pt>
              </c:numCache>
            </c:numRef>
          </c:val>
          <c:smooth val="0"/>
          <c:extLst>
            <c:ext xmlns:c16="http://schemas.microsoft.com/office/drawing/2014/chart" uri="{C3380CC4-5D6E-409C-BE32-E72D297353CC}">
              <c16:uniqueId val="{00000002-A043-4DB5-BF83-39FAF87D817B}"/>
            </c:ext>
          </c:extLst>
        </c:ser>
        <c:ser>
          <c:idx val="2"/>
          <c:order val="2"/>
          <c:tx>
            <c:strRef>
              <c:f>node_55378_field_table_data_und!$D$1</c:f>
              <c:strCache>
                <c:ptCount val="1"/>
                <c:pt idx="0">
                  <c:v>Skupaj</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node_55378_field_table_data_und!$D$10:$D$28</c:f>
              <c:numCache>
                <c:formatCode>#,##0.00</c:formatCode>
                <c:ptCount val="19"/>
                <c:pt idx="0">
                  <c:v>4.4118379243948</c:v>
                </c:pt>
                <c:pt idx="1">
                  <c:v>4.4296092217006997</c:v>
                </c:pt>
                <c:pt idx="2">
                  <c:v>4.2849110714554</c:v>
                </c:pt>
                <c:pt idx="3">
                  <c:v>4.3627382094489002</c:v>
                </c:pt>
                <c:pt idx="4">
                  <c:v>4.0115944369014001</c:v>
                </c:pt>
                <c:pt idx="5">
                  <c:v>3.7089146137954998</c:v>
                </c:pt>
                <c:pt idx="6">
                  <c:v>3.9738354088571</c:v>
                </c:pt>
                <c:pt idx="7">
                  <c:v>3.8178279160463999</c:v>
                </c:pt>
                <c:pt idx="8">
                  <c:v>3.3010540306727001</c:v>
                </c:pt>
                <c:pt idx="9">
                  <c:v>3.7330204313377</c:v>
                </c:pt>
                <c:pt idx="10">
                  <c:v>3.6029451993775998</c:v>
                </c:pt>
                <c:pt idx="11">
                  <c:v>3.7231396247167998</c:v>
                </c:pt>
                <c:pt idx="12">
                  <c:v>3.4520112664781002</c:v>
                </c:pt>
                <c:pt idx="13">
                  <c:v>3.5747663545547002</c:v>
                </c:pt>
                <c:pt idx="14">
                  <c:v>3.7198795567989</c:v>
                </c:pt>
                <c:pt idx="15">
                  <c:v>3.7346566302200999</c:v>
                </c:pt>
                <c:pt idx="16">
                  <c:v>3.5713958980134999</c:v>
                </c:pt>
                <c:pt idx="17">
                  <c:v>3.5412265093526001</c:v>
                </c:pt>
                <c:pt idx="18">
                  <c:v>3.5972288265563002</c:v>
                </c:pt>
              </c:numCache>
            </c:numRef>
          </c:val>
          <c:smooth val="0"/>
          <c:extLst>
            <c:ext xmlns:c16="http://schemas.microsoft.com/office/drawing/2014/chart" uri="{C3380CC4-5D6E-409C-BE32-E72D297353CC}">
              <c16:uniqueId val="{00000003-A043-4DB5-BF83-39FAF87D817B}"/>
            </c:ext>
          </c:extLst>
        </c:ser>
        <c:dLbls>
          <c:showLegendKey val="0"/>
          <c:showVal val="0"/>
          <c:showCatName val="0"/>
          <c:showSerName val="0"/>
          <c:showPercent val="0"/>
          <c:showBubbleSize val="0"/>
        </c:dLbls>
        <c:marker val="1"/>
        <c:smooth val="0"/>
        <c:axId val="114391680"/>
        <c:axId val="114393472"/>
      </c:lineChart>
      <c:catAx>
        <c:axId val="114391680"/>
        <c:scaling>
          <c:orientation val="minMax"/>
        </c:scaling>
        <c:delete val="0"/>
        <c:axPos val="b"/>
        <c:numFmt formatCode="General" sourceLinked="0"/>
        <c:majorTickMark val="out"/>
        <c:minorTickMark val="none"/>
        <c:tickLblPos val="nextTo"/>
        <c:crossAx val="114393472"/>
        <c:crosses val="autoZero"/>
        <c:auto val="1"/>
        <c:lblAlgn val="ctr"/>
        <c:lblOffset val="100"/>
        <c:noMultiLvlLbl val="0"/>
      </c:catAx>
      <c:valAx>
        <c:axId val="114393472"/>
        <c:scaling>
          <c:orientation val="minMax"/>
        </c:scaling>
        <c:delete val="0"/>
        <c:axPos val="l"/>
        <c:majorGridlines/>
        <c:numFmt formatCode="#,##0.00" sourceLinked="1"/>
        <c:majorTickMark val="out"/>
        <c:minorTickMark val="none"/>
        <c:tickLblPos val="nextTo"/>
        <c:crossAx val="114391680"/>
        <c:crosses val="autoZero"/>
        <c:crossBetween val="between"/>
      </c:valAx>
      <c:valAx>
        <c:axId val="114395008"/>
        <c:scaling>
          <c:orientation val="minMax"/>
        </c:scaling>
        <c:delete val="0"/>
        <c:axPos val="r"/>
        <c:numFmt formatCode="General" sourceLinked="1"/>
        <c:majorTickMark val="out"/>
        <c:minorTickMark val="none"/>
        <c:tickLblPos val="nextTo"/>
        <c:crossAx val="114396544"/>
        <c:crosses val="max"/>
        <c:crossBetween val="between"/>
      </c:valAx>
      <c:catAx>
        <c:axId val="114396544"/>
        <c:scaling>
          <c:orientation val="minMax"/>
        </c:scaling>
        <c:delete val="1"/>
        <c:axPos val="b"/>
        <c:majorTickMark val="out"/>
        <c:minorTickMark val="none"/>
        <c:tickLblPos val="nextTo"/>
        <c:crossAx val="114395008"/>
        <c:crosses val="autoZero"/>
        <c:auto val="1"/>
        <c:lblAlgn val="ctr"/>
        <c:lblOffset val="100"/>
        <c:noMultiLvlLbl val="0"/>
      </c:catAx>
    </c:plotArea>
    <c:legend>
      <c:legendPos val="b"/>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sl-SI" sz="1000">
                <a:latin typeface="Arial" panose="020B0604020202020204" pitchFamily="34" charset="0"/>
                <a:cs typeface="Arial" panose="020B0604020202020204" pitchFamily="34" charset="0"/>
              </a:rPr>
              <a:t>Delež energije iz obnovljivih virov v bruto končni porabi energije (%)</a:t>
            </a:r>
          </a:p>
        </c:rich>
      </c:tx>
      <c:layout/>
      <c:overlay val="0"/>
    </c:title>
    <c:autoTitleDeleted val="0"/>
    <c:plotArea>
      <c:layout/>
      <c:lineChart>
        <c:grouping val="standard"/>
        <c:varyColors val="0"/>
        <c:ser>
          <c:idx val="0"/>
          <c:order val="0"/>
          <c:marker>
            <c:symbol val="none"/>
          </c:marker>
          <c:cat>
            <c:numRef>
              <c:f>List1!$F$3:$P$3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List1!$F$4:$P$4</c:f>
              <c:numCache>
                <c:formatCode>General</c:formatCode>
                <c:ptCount val="11"/>
                <c:pt idx="0">
                  <c:v>15</c:v>
                </c:pt>
                <c:pt idx="1">
                  <c:v>20.149999999999999</c:v>
                </c:pt>
                <c:pt idx="2">
                  <c:v>20.420000000000002</c:v>
                </c:pt>
                <c:pt idx="3">
                  <c:v>20.260000000000002</c:v>
                </c:pt>
                <c:pt idx="4">
                  <c:v>20.82</c:v>
                </c:pt>
                <c:pt idx="5">
                  <c:v>22.41</c:v>
                </c:pt>
                <c:pt idx="6">
                  <c:v>21.54</c:v>
                </c:pt>
                <c:pt idx="7">
                  <c:v>21.89</c:v>
                </c:pt>
                <c:pt idx="8">
                  <c:v>21.29</c:v>
                </c:pt>
                <c:pt idx="9">
                  <c:v>21.04</c:v>
                </c:pt>
                <c:pt idx="10">
                  <c:v>21.14</c:v>
                </c:pt>
              </c:numCache>
            </c:numRef>
          </c:val>
          <c:smooth val="0"/>
          <c:extLst>
            <c:ext xmlns:c16="http://schemas.microsoft.com/office/drawing/2014/chart" uri="{C3380CC4-5D6E-409C-BE32-E72D297353CC}">
              <c16:uniqueId val="{00000000-8698-474F-8FE6-D714B4A36EB1}"/>
            </c:ext>
          </c:extLst>
        </c:ser>
        <c:dLbls>
          <c:showLegendKey val="0"/>
          <c:showVal val="0"/>
          <c:showCatName val="0"/>
          <c:showSerName val="0"/>
          <c:showPercent val="0"/>
          <c:showBubbleSize val="0"/>
        </c:dLbls>
        <c:smooth val="0"/>
        <c:axId val="114450816"/>
        <c:axId val="114452352"/>
      </c:lineChart>
      <c:catAx>
        <c:axId val="114450816"/>
        <c:scaling>
          <c:orientation val="minMax"/>
        </c:scaling>
        <c:delete val="0"/>
        <c:axPos val="b"/>
        <c:numFmt formatCode="General" sourceLinked="1"/>
        <c:majorTickMark val="out"/>
        <c:minorTickMark val="none"/>
        <c:tickLblPos val="nextTo"/>
        <c:crossAx val="114452352"/>
        <c:crosses val="autoZero"/>
        <c:auto val="1"/>
        <c:lblAlgn val="ctr"/>
        <c:lblOffset val="100"/>
        <c:noMultiLvlLbl val="0"/>
      </c:catAx>
      <c:valAx>
        <c:axId val="114452352"/>
        <c:scaling>
          <c:orientation val="minMax"/>
          <c:max val="24"/>
          <c:min val="14"/>
        </c:scaling>
        <c:delete val="0"/>
        <c:axPos val="l"/>
        <c:majorGridlines/>
        <c:numFmt formatCode="General" sourceLinked="1"/>
        <c:majorTickMark val="out"/>
        <c:minorTickMark val="none"/>
        <c:tickLblPos val="nextTo"/>
        <c:crossAx val="114450816"/>
        <c:crosses val="autoZero"/>
        <c:crossBetween val="between"/>
        <c:majorUnit val="2"/>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manualLayout>
          <c:layoutTarget val="inner"/>
          <c:xMode val="edge"/>
          <c:yMode val="edge"/>
          <c:x val="9.2030732353845901E-2"/>
          <c:y val="0.15205770990408879"/>
          <c:w val="0.51736310200778368"/>
          <c:h val="0.83767341043269805"/>
        </c:manualLayout>
      </c:layout>
      <c:doughnutChart>
        <c:varyColors val="1"/>
        <c:ser>
          <c:idx val="0"/>
          <c:order val="0"/>
          <c:tx>
            <c:strRef>
              <c:f>List1!$C$600</c:f>
              <c:strCache>
                <c:ptCount val="1"/>
                <c:pt idx="0">
                  <c:v>Vsebinska opredelitev (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99-469C-9481-0ACE6A8DE07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99-469C-9481-0ACE6A8DE07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99-469C-9481-0ACE6A8DE07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99-469C-9481-0ACE6A8DE07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599-469C-9481-0ACE6A8DE07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599-469C-9481-0ACE6A8DE07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599-469C-9481-0ACE6A8DE07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599-469C-9481-0ACE6A8DE07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599-469C-9481-0ACE6A8DE07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599-469C-9481-0ACE6A8DE07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A599-469C-9481-0ACE6A8DE072}"/>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599-469C-9481-0ACE6A8DE0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List1!$B$601:$B$612</c:f>
              <c:strCache>
                <c:ptCount val="12"/>
                <c:pt idx="0">
                  <c:v>turizem</c:v>
                </c:pt>
                <c:pt idx="1">
                  <c:v>izobraževanje</c:v>
                </c:pt>
                <c:pt idx="2">
                  <c:v>obnova in razvoj vasi</c:v>
                </c:pt>
                <c:pt idx="3">
                  <c:v>kulturna dediščina</c:v>
                </c:pt>
                <c:pt idx="4">
                  <c:v>družba in sociala</c:v>
                </c:pt>
                <c:pt idx="5">
                  <c:v>študije in analize stanja</c:v>
                </c:pt>
                <c:pt idx="6">
                  <c:v>kmetijstvo, gozdarstvo, prehrana</c:v>
                </c:pt>
                <c:pt idx="7">
                  <c:v>podjetništvo na podeželju</c:v>
                </c:pt>
                <c:pt idx="8">
                  <c:v>digitalizacija na podeželju</c:v>
                </c:pt>
                <c:pt idx="9">
                  <c:v>varstvo okolja, naravni viri energije in varovanje podnebja</c:v>
                </c:pt>
                <c:pt idx="11">
                  <c:v>biogospodarstvo</c:v>
                </c:pt>
              </c:strCache>
            </c:strRef>
          </c:cat>
          <c:val>
            <c:numRef>
              <c:f>List1!$C$601:$C$612</c:f>
              <c:numCache>
                <c:formatCode>#,##0.00</c:formatCode>
                <c:ptCount val="12"/>
                <c:pt idx="0">
                  <c:v>22.788203753351208</c:v>
                </c:pt>
                <c:pt idx="1">
                  <c:v>2.4128686327077746</c:v>
                </c:pt>
                <c:pt idx="2">
                  <c:v>19.034852546916888</c:v>
                </c:pt>
                <c:pt idx="3">
                  <c:v>16.353887399463808</c:v>
                </c:pt>
                <c:pt idx="4">
                  <c:v>12.868632707774799</c:v>
                </c:pt>
                <c:pt idx="5">
                  <c:v>0.53619302949061665</c:v>
                </c:pt>
                <c:pt idx="6">
                  <c:v>11.796246648793565</c:v>
                </c:pt>
                <c:pt idx="7">
                  <c:v>4.8257372654155493</c:v>
                </c:pt>
                <c:pt idx="8">
                  <c:v>0.26809651474530832</c:v>
                </c:pt>
                <c:pt idx="9">
                  <c:v>7.98</c:v>
                </c:pt>
                <c:pt idx="11">
                  <c:v>1.0723860589812333</c:v>
                </c:pt>
              </c:numCache>
            </c:numRef>
          </c:val>
          <c:extLst>
            <c:ext xmlns:c16="http://schemas.microsoft.com/office/drawing/2014/chart" uri="{C3380CC4-5D6E-409C-BE32-E72D297353CC}">
              <c16:uniqueId val="{00000000-9A56-4FE3-B5F3-97F0820B090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999585301899465"/>
          <c:y val="0.13353550384946392"/>
          <c:w val="0.33857557726650511"/>
          <c:h val="0.825372950206606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'2020_skupaj'!$C$273</c:f>
              <c:strCache>
                <c:ptCount val="1"/>
                <c:pt idx="0">
                  <c:v>0-14 let</c:v>
                </c:pt>
              </c:strCache>
            </c:strRef>
          </c:tx>
          <c:spPr>
            <a:solidFill>
              <a:srgbClr val="92D05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'2020_skupaj'!$C$274:$C$283</c:f>
              <c:numCache>
                <c:formatCode>0</c:formatCode>
                <c:ptCount val="10"/>
                <c:pt idx="0">
                  <c:v>281081</c:v>
                </c:pt>
                <c:pt idx="1">
                  <c:v>174245</c:v>
                </c:pt>
                <c:pt idx="2">
                  <c:v>287275</c:v>
                </c:pt>
                <c:pt idx="3" formatCode="General">
                  <c:v>177026</c:v>
                </c:pt>
                <c:pt idx="4">
                  <c:v>306390</c:v>
                </c:pt>
                <c:pt idx="5">
                  <c:v>185504</c:v>
                </c:pt>
                <c:pt idx="6">
                  <c:v>310677</c:v>
                </c:pt>
                <c:pt idx="7" formatCode="General">
                  <c:v>187640</c:v>
                </c:pt>
                <c:pt idx="8">
                  <c:v>315802</c:v>
                </c:pt>
                <c:pt idx="9">
                  <c:v>190350</c:v>
                </c:pt>
              </c:numCache>
            </c:numRef>
          </c:val>
          <c:extLst>
            <c:ext xmlns:c16="http://schemas.microsoft.com/office/drawing/2014/chart" uri="{C3380CC4-5D6E-409C-BE32-E72D297353CC}">
              <c16:uniqueId val="{00000000-98D4-4EF4-ADF0-889384727C5F}"/>
            </c:ext>
          </c:extLst>
        </c:ser>
        <c:ser>
          <c:idx val="1"/>
          <c:order val="1"/>
          <c:tx>
            <c:strRef>
              <c:f>'2020_skupaj'!$D$273</c:f>
              <c:strCache>
                <c:ptCount val="1"/>
                <c:pt idx="0">
                  <c:v>15-64 let</c:v>
                </c:pt>
              </c:strCache>
            </c:strRef>
          </c:tx>
          <c:spPr>
            <a:solidFill>
              <a:srgbClr val="0070C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'2020_skupaj'!$D$274:$D$283</c:f>
              <c:numCache>
                <c:formatCode>General</c:formatCode>
                <c:ptCount val="10"/>
                <c:pt idx="0">
                  <c:v>1417938</c:v>
                </c:pt>
                <c:pt idx="1">
                  <c:v>843948</c:v>
                </c:pt>
                <c:pt idx="2">
                  <c:v>1421436</c:v>
                </c:pt>
                <c:pt idx="3">
                  <c:v>839914</c:v>
                </c:pt>
                <c:pt idx="4">
                  <c:v>1377696</c:v>
                </c:pt>
                <c:pt idx="5">
                  <c:v>815635</c:v>
                </c:pt>
                <c:pt idx="6">
                  <c:v>1354941</c:v>
                </c:pt>
                <c:pt idx="7">
                  <c:v>802543</c:v>
                </c:pt>
                <c:pt idx="8">
                  <c:v>1356055</c:v>
                </c:pt>
                <c:pt idx="9">
                  <c:v>799670</c:v>
                </c:pt>
              </c:numCache>
            </c:numRef>
          </c:val>
          <c:extLst>
            <c:ext xmlns:c16="http://schemas.microsoft.com/office/drawing/2014/chart" uri="{C3380CC4-5D6E-409C-BE32-E72D297353CC}">
              <c16:uniqueId val="{00000001-98D4-4EF4-ADF0-889384727C5F}"/>
            </c:ext>
          </c:extLst>
        </c:ser>
        <c:ser>
          <c:idx val="2"/>
          <c:order val="2"/>
          <c:tx>
            <c:strRef>
              <c:f>'2020_skupaj'!$E$273</c:f>
              <c:strCache>
                <c:ptCount val="1"/>
                <c:pt idx="0">
                  <c:v>65 + let</c:v>
                </c:pt>
              </c:strCache>
            </c:strRef>
          </c:tx>
          <c:spPr>
            <a:solidFill>
              <a:srgbClr val="FF000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'2020_skupaj'!$E$274:$E$283</c:f>
              <c:numCache>
                <c:formatCode>General</c:formatCode>
                <c:ptCount val="10"/>
                <c:pt idx="0">
                  <c:v>326847</c:v>
                </c:pt>
                <c:pt idx="1">
                  <c:v>190289</c:v>
                </c:pt>
                <c:pt idx="2">
                  <c:v>338265</c:v>
                </c:pt>
                <c:pt idx="3">
                  <c:v>197541</c:v>
                </c:pt>
                <c:pt idx="4">
                  <c:v>380102</c:v>
                </c:pt>
                <c:pt idx="5">
                  <c:v>222846</c:v>
                </c:pt>
                <c:pt idx="6">
                  <c:v>401262</c:v>
                </c:pt>
                <c:pt idx="7">
                  <c:v>235411</c:v>
                </c:pt>
                <c:pt idx="8">
                  <c:v>424004</c:v>
                </c:pt>
                <c:pt idx="9">
                  <c:v>249177</c:v>
                </c:pt>
              </c:numCache>
            </c:numRef>
          </c:val>
          <c:extLst>
            <c:ext xmlns:c16="http://schemas.microsoft.com/office/drawing/2014/chart" uri="{C3380CC4-5D6E-409C-BE32-E72D297353CC}">
              <c16:uniqueId val="{00000002-98D4-4EF4-ADF0-889384727C5F}"/>
            </c:ext>
          </c:extLst>
        </c:ser>
        <c:dLbls>
          <c:showLegendKey val="0"/>
          <c:showVal val="0"/>
          <c:showCatName val="0"/>
          <c:showSerName val="0"/>
          <c:showPercent val="0"/>
          <c:showBubbleSize val="0"/>
        </c:dLbls>
        <c:gapWidth val="150"/>
        <c:overlap val="100"/>
        <c:axId val="101586048"/>
        <c:axId val="101587584"/>
      </c:barChart>
      <c:catAx>
        <c:axId val="101586048"/>
        <c:scaling>
          <c:orientation val="minMax"/>
        </c:scaling>
        <c:delete val="0"/>
        <c:axPos val="l"/>
        <c:numFmt formatCode="General" sourceLinked="0"/>
        <c:majorTickMark val="out"/>
        <c:minorTickMark val="none"/>
        <c:tickLblPos val="nextTo"/>
        <c:crossAx val="101587584"/>
        <c:crosses val="autoZero"/>
        <c:auto val="1"/>
        <c:lblAlgn val="ctr"/>
        <c:lblOffset val="100"/>
        <c:noMultiLvlLbl val="0"/>
      </c:catAx>
      <c:valAx>
        <c:axId val="101587584"/>
        <c:scaling>
          <c:orientation val="minMax"/>
        </c:scaling>
        <c:delete val="0"/>
        <c:axPos val="b"/>
        <c:majorGridlines/>
        <c:numFmt formatCode="0%" sourceLinked="1"/>
        <c:majorTickMark val="out"/>
        <c:minorTickMark val="none"/>
        <c:tickLblPos val="nextTo"/>
        <c:crossAx val="10158604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99630880012796E-2"/>
          <c:y val="2.7658649884274366E-2"/>
          <c:w val="0.86569921554942197"/>
          <c:h val="0.88506989860803287"/>
        </c:manualLayout>
      </c:layout>
      <c:barChart>
        <c:barDir val="col"/>
        <c:grouping val="clustered"/>
        <c:varyColors val="0"/>
        <c:ser>
          <c:idx val="0"/>
          <c:order val="0"/>
          <c:tx>
            <c:strRef>
              <c:f>'število preb.'!$E$448</c:f>
              <c:strCache>
                <c:ptCount val="1"/>
                <c:pt idx="0">
                  <c:v>SLOVENIJA</c:v>
                </c:pt>
              </c:strCache>
            </c:strRef>
          </c:tx>
          <c:spPr>
            <a:ln w="3175">
              <a:solidFill>
                <a:schemeClr val="tx1"/>
              </a:solidFill>
            </a:ln>
          </c:spPr>
          <c:invertIfNegative val="0"/>
          <c:dPt>
            <c:idx val="1"/>
            <c:invertIfNegative val="0"/>
            <c:bubble3D val="0"/>
            <c:spPr>
              <a:ln w="3175" cmpd="sng">
                <a:solidFill>
                  <a:schemeClr val="tx1"/>
                </a:solidFill>
              </a:ln>
            </c:spPr>
            <c:extLst>
              <c:ext xmlns:c16="http://schemas.microsoft.com/office/drawing/2014/chart" uri="{C3380CC4-5D6E-409C-BE32-E72D297353CC}">
                <c16:uniqueId val="{00000001-8437-4473-A072-75F773F82F9F}"/>
              </c:ext>
            </c:extLst>
          </c:dPt>
          <c:dPt>
            <c:idx val="4"/>
            <c:invertIfNegative val="0"/>
            <c:bubble3D val="0"/>
            <c:extLst>
              <c:ext xmlns:c16="http://schemas.microsoft.com/office/drawing/2014/chart" uri="{C3380CC4-5D6E-409C-BE32-E72D297353CC}">
                <c16:uniqueId val="{00000003-8437-4473-A072-75F773F82F9F}"/>
              </c:ext>
            </c:extLst>
          </c:dPt>
          <c:dPt>
            <c:idx val="7"/>
            <c:invertIfNegative val="0"/>
            <c:bubble3D val="0"/>
            <c:extLst>
              <c:ext xmlns:c16="http://schemas.microsoft.com/office/drawing/2014/chart" uri="{C3380CC4-5D6E-409C-BE32-E72D297353CC}">
                <c16:uniqueId val="{00000005-8437-4473-A072-75F773F82F9F}"/>
              </c:ext>
            </c:extLst>
          </c:dPt>
          <c:dPt>
            <c:idx val="10"/>
            <c:invertIfNegative val="0"/>
            <c:bubble3D val="0"/>
            <c:extLst>
              <c:ext xmlns:c16="http://schemas.microsoft.com/office/drawing/2014/chart" uri="{C3380CC4-5D6E-409C-BE32-E72D297353CC}">
                <c16:uniqueId val="{00000007-8437-4473-A072-75F773F82F9F}"/>
              </c:ext>
            </c:extLst>
          </c:dPt>
          <c:dPt>
            <c:idx val="13"/>
            <c:invertIfNegative val="0"/>
            <c:bubble3D val="0"/>
            <c:extLst>
              <c:ext xmlns:c16="http://schemas.microsoft.com/office/drawing/2014/chart" uri="{C3380CC4-5D6E-409C-BE32-E72D297353CC}">
                <c16:uniqueId val="{00000009-8437-4473-A072-75F773F82F9F}"/>
              </c:ext>
            </c:extLst>
          </c:dPt>
          <c:dPt>
            <c:idx val="16"/>
            <c:invertIfNegative val="0"/>
            <c:bubble3D val="0"/>
            <c:extLst>
              <c:ext xmlns:c16="http://schemas.microsoft.com/office/drawing/2014/chart" uri="{C3380CC4-5D6E-409C-BE32-E72D297353CC}">
                <c16:uniqueId val="{0000000B-8437-4473-A072-75F773F82F9F}"/>
              </c:ext>
            </c:extLst>
          </c:dPt>
          <c:cat>
            <c:multiLvlStrRef>
              <c:f>'število preb.'!$F$446:$Y$447</c:f>
              <c:multiLvlStrCache>
                <c:ptCount val="18"/>
                <c:lvl>
                  <c:pt idx="0">
                    <c:v>Skupaj</c:v>
                  </c:pt>
                  <c:pt idx="1">
                    <c:v>MLADI (15-26 let)</c:v>
                  </c:pt>
                  <c:pt idx="2">
                    <c:v>65 + let</c:v>
                  </c:pt>
                  <c:pt idx="3">
                    <c:v>Skupaj</c:v>
                  </c:pt>
                  <c:pt idx="4">
                    <c:v>MLADI (15-26 let)</c:v>
                  </c:pt>
                  <c:pt idx="5">
                    <c:v>65 + let</c:v>
                  </c:pt>
                  <c:pt idx="6">
                    <c:v>Skupaj</c:v>
                  </c:pt>
                  <c:pt idx="7">
                    <c:v>MLADI (15-26 let)</c:v>
                  </c:pt>
                  <c:pt idx="9">
                    <c:v>Skupaj</c:v>
                  </c:pt>
                  <c:pt idx="10">
                    <c:v>MLADI (15-26 let)</c:v>
                  </c:pt>
                  <c:pt idx="11">
                    <c:v>65 + let</c:v>
                  </c:pt>
                  <c:pt idx="12">
                    <c:v>Skupaj</c:v>
                  </c:pt>
                  <c:pt idx="13">
                    <c:v>MLADI (15-26 let)</c:v>
                  </c:pt>
                  <c:pt idx="14">
                    <c:v>65 + let</c:v>
                  </c:pt>
                  <c:pt idx="15">
                    <c:v>Skupaj</c:v>
                  </c:pt>
                  <c:pt idx="16">
                    <c:v>MLADI (15-26 let)</c:v>
                  </c:pt>
                  <c:pt idx="17">
                    <c:v>65 + let</c:v>
                  </c:pt>
                </c:lvl>
                <c:lvl>
                  <c:pt idx="0">
                    <c:v>2005</c:v>
                  </c:pt>
                  <c:pt idx="3">
                    <c:v>2008</c:v>
                  </c:pt>
                  <c:pt idx="6">
                    <c:v>2010</c:v>
                  </c:pt>
                  <c:pt idx="9">
                    <c:v>2015</c:v>
                  </c:pt>
                  <c:pt idx="12">
                    <c:v>2018</c:v>
                  </c:pt>
                  <c:pt idx="15">
                    <c:v>2019</c:v>
                  </c:pt>
                </c:lvl>
              </c:multiLvlStrCache>
            </c:multiLvlStrRef>
          </c:cat>
          <c:val>
            <c:numRef>
              <c:f>'število preb.'!$F$448:$Y$448</c:f>
              <c:numCache>
                <c:formatCode>0</c:formatCode>
                <c:ptCount val="18"/>
                <c:pt idx="0" formatCode="General">
                  <c:v>1997590</c:v>
                </c:pt>
                <c:pt idx="1">
                  <c:v>329429</c:v>
                </c:pt>
                <c:pt idx="2">
                  <c:v>306484</c:v>
                </c:pt>
                <c:pt idx="3">
                  <c:v>2049261</c:v>
                </c:pt>
                <c:pt idx="4">
                  <c:v>310290</c:v>
                </c:pt>
                <c:pt idx="5">
                  <c:v>326847</c:v>
                </c:pt>
                <c:pt idx="6">
                  <c:v>2049261</c:v>
                </c:pt>
                <c:pt idx="7">
                  <c:v>294847</c:v>
                </c:pt>
                <c:pt idx="8">
                  <c:v>338265</c:v>
                </c:pt>
                <c:pt idx="9">
                  <c:v>2063077</c:v>
                </c:pt>
                <c:pt idx="10">
                  <c:v>246964</c:v>
                </c:pt>
                <c:pt idx="11">
                  <c:v>380102</c:v>
                </c:pt>
                <c:pt idx="12">
                  <c:v>2070050</c:v>
                </c:pt>
                <c:pt idx="13">
                  <c:v>237866</c:v>
                </c:pt>
                <c:pt idx="14">
                  <c:v>401262</c:v>
                </c:pt>
                <c:pt idx="15">
                  <c:v>2089310</c:v>
                </c:pt>
                <c:pt idx="16">
                  <c:v>240666</c:v>
                </c:pt>
                <c:pt idx="17">
                  <c:v>424004</c:v>
                </c:pt>
              </c:numCache>
            </c:numRef>
          </c:val>
          <c:extLst>
            <c:ext xmlns:c16="http://schemas.microsoft.com/office/drawing/2014/chart" uri="{C3380CC4-5D6E-409C-BE32-E72D297353CC}">
              <c16:uniqueId val="{0000000C-8437-4473-A072-75F773F82F9F}"/>
            </c:ext>
          </c:extLst>
        </c:ser>
        <c:ser>
          <c:idx val="1"/>
          <c:order val="1"/>
          <c:tx>
            <c:strRef>
              <c:f>'število preb.'!$E$449</c:f>
              <c:strCache>
                <c:ptCount val="1"/>
                <c:pt idx="0">
                  <c:v>Podeželje</c:v>
                </c:pt>
              </c:strCache>
            </c:strRef>
          </c:tx>
          <c:spPr>
            <a:solidFill>
              <a:srgbClr val="92D050"/>
            </a:solidFill>
            <a:ln w="3175" cmpd="sng">
              <a:solidFill>
                <a:schemeClr val="tx1"/>
              </a:solidFill>
            </a:ln>
          </c:spPr>
          <c:invertIfNegative val="0"/>
          <c:dPt>
            <c:idx val="1"/>
            <c:invertIfNegative val="0"/>
            <c:bubble3D val="0"/>
            <c:extLst>
              <c:ext xmlns:c16="http://schemas.microsoft.com/office/drawing/2014/chart" uri="{C3380CC4-5D6E-409C-BE32-E72D297353CC}">
                <c16:uniqueId val="{0000000E-8437-4473-A072-75F773F82F9F}"/>
              </c:ext>
            </c:extLst>
          </c:dPt>
          <c:dPt>
            <c:idx val="4"/>
            <c:invertIfNegative val="0"/>
            <c:bubble3D val="0"/>
            <c:extLst>
              <c:ext xmlns:c16="http://schemas.microsoft.com/office/drawing/2014/chart" uri="{C3380CC4-5D6E-409C-BE32-E72D297353CC}">
                <c16:uniqueId val="{00000010-8437-4473-A072-75F773F82F9F}"/>
              </c:ext>
            </c:extLst>
          </c:dPt>
          <c:dPt>
            <c:idx val="7"/>
            <c:invertIfNegative val="0"/>
            <c:bubble3D val="0"/>
            <c:extLst>
              <c:ext xmlns:c16="http://schemas.microsoft.com/office/drawing/2014/chart" uri="{C3380CC4-5D6E-409C-BE32-E72D297353CC}">
                <c16:uniqueId val="{00000012-8437-4473-A072-75F773F82F9F}"/>
              </c:ext>
            </c:extLst>
          </c:dPt>
          <c:dPt>
            <c:idx val="10"/>
            <c:invertIfNegative val="0"/>
            <c:bubble3D val="0"/>
            <c:extLst>
              <c:ext xmlns:c16="http://schemas.microsoft.com/office/drawing/2014/chart" uri="{C3380CC4-5D6E-409C-BE32-E72D297353CC}">
                <c16:uniqueId val="{00000014-8437-4473-A072-75F773F82F9F}"/>
              </c:ext>
            </c:extLst>
          </c:dPt>
          <c:dPt>
            <c:idx val="13"/>
            <c:invertIfNegative val="0"/>
            <c:bubble3D val="0"/>
            <c:extLst>
              <c:ext xmlns:c16="http://schemas.microsoft.com/office/drawing/2014/chart" uri="{C3380CC4-5D6E-409C-BE32-E72D297353CC}">
                <c16:uniqueId val="{00000016-8437-4473-A072-75F773F82F9F}"/>
              </c:ext>
            </c:extLst>
          </c:dPt>
          <c:dPt>
            <c:idx val="16"/>
            <c:invertIfNegative val="0"/>
            <c:bubble3D val="0"/>
            <c:extLst>
              <c:ext xmlns:c16="http://schemas.microsoft.com/office/drawing/2014/chart" uri="{C3380CC4-5D6E-409C-BE32-E72D297353CC}">
                <c16:uniqueId val="{00000018-8437-4473-A072-75F773F82F9F}"/>
              </c:ext>
            </c:extLst>
          </c:dPt>
          <c:cat>
            <c:multiLvlStrRef>
              <c:f>'število preb.'!$F$446:$Y$447</c:f>
              <c:multiLvlStrCache>
                <c:ptCount val="18"/>
                <c:lvl>
                  <c:pt idx="0">
                    <c:v>Skupaj</c:v>
                  </c:pt>
                  <c:pt idx="1">
                    <c:v>MLADI (15-26 let)</c:v>
                  </c:pt>
                  <c:pt idx="2">
                    <c:v>65 + let</c:v>
                  </c:pt>
                  <c:pt idx="3">
                    <c:v>Skupaj</c:v>
                  </c:pt>
                  <c:pt idx="4">
                    <c:v>MLADI (15-26 let)</c:v>
                  </c:pt>
                  <c:pt idx="5">
                    <c:v>65 + let</c:v>
                  </c:pt>
                  <c:pt idx="6">
                    <c:v>Skupaj</c:v>
                  </c:pt>
                  <c:pt idx="7">
                    <c:v>MLADI (15-26 let)</c:v>
                  </c:pt>
                  <c:pt idx="9">
                    <c:v>Skupaj</c:v>
                  </c:pt>
                  <c:pt idx="10">
                    <c:v>MLADI (15-26 let)</c:v>
                  </c:pt>
                  <c:pt idx="11">
                    <c:v>65 + let</c:v>
                  </c:pt>
                  <c:pt idx="12">
                    <c:v>Skupaj</c:v>
                  </c:pt>
                  <c:pt idx="13">
                    <c:v>MLADI (15-26 let)</c:v>
                  </c:pt>
                  <c:pt idx="14">
                    <c:v>65 + let</c:v>
                  </c:pt>
                  <c:pt idx="15">
                    <c:v>Skupaj</c:v>
                  </c:pt>
                  <c:pt idx="16">
                    <c:v>MLADI (15-26 let)</c:v>
                  </c:pt>
                  <c:pt idx="17">
                    <c:v>65 + let</c:v>
                  </c:pt>
                </c:lvl>
                <c:lvl>
                  <c:pt idx="0">
                    <c:v>2005</c:v>
                  </c:pt>
                  <c:pt idx="3">
                    <c:v>2008</c:v>
                  </c:pt>
                  <c:pt idx="6">
                    <c:v>2010</c:v>
                  </c:pt>
                  <c:pt idx="9">
                    <c:v>2015</c:v>
                  </c:pt>
                  <c:pt idx="12">
                    <c:v>2018</c:v>
                  </c:pt>
                  <c:pt idx="15">
                    <c:v>2019</c:v>
                  </c:pt>
                </c:lvl>
              </c:multiLvlStrCache>
            </c:multiLvlStrRef>
          </c:cat>
          <c:val>
            <c:numRef>
              <c:f>'število preb.'!$F$449:$Y$449</c:f>
              <c:numCache>
                <c:formatCode>General</c:formatCode>
                <c:ptCount val="18"/>
                <c:pt idx="0">
                  <c:v>1178641</c:v>
                </c:pt>
                <c:pt idx="1">
                  <c:v>198718</c:v>
                </c:pt>
                <c:pt idx="2">
                  <c:v>177914</c:v>
                </c:pt>
                <c:pt idx="3" formatCode="0">
                  <c:v>1216589</c:v>
                </c:pt>
                <c:pt idx="4" formatCode="0">
                  <c:v>190292</c:v>
                </c:pt>
                <c:pt idx="5" formatCode="0">
                  <c:v>190289</c:v>
                </c:pt>
                <c:pt idx="6" formatCode="0">
                  <c:v>1216589</c:v>
                </c:pt>
                <c:pt idx="7">
                  <c:v>172412</c:v>
                </c:pt>
                <c:pt idx="8">
                  <c:v>197541</c:v>
                </c:pt>
                <c:pt idx="9" formatCode="0">
                  <c:v>1224223</c:v>
                </c:pt>
                <c:pt idx="10" formatCode="0">
                  <c:v>142012</c:v>
                </c:pt>
                <c:pt idx="11" formatCode="0">
                  <c:v>222846</c:v>
                </c:pt>
                <c:pt idx="12" formatCode="0">
                  <c:v>1227785</c:v>
                </c:pt>
                <c:pt idx="13">
                  <c:v>136634</c:v>
                </c:pt>
                <c:pt idx="14">
                  <c:v>235411</c:v>
                </c:pt>
                <c:pt idx="15" formatCode="0">
                  <c:v>1236278</c:v>
                </c:pt>
                <c:pt idx="16" formatCode="0">
                  <c:v>135396</c:v>
                </c:pt>
                <c:pt idx="17" formatCode="0">
                  <c:v>249177</c:v>
                </c:pt>
              </c:numCache>
            </c:numRef>
          </c:val>
          <c:extLst>
            <c:ext xmlns:c16="http://schemas.microsoft.com/office/drawing/2014/chart" uri="{C3380CC4-5D6E-409C-BE32-E72D297353CC}">
              <c16:uniqueId val="{00000019-8437-4473-A072-75F773F82F9F}"/>
            </c:ext>
          </c:extLst>
        </c:ser>
        <c:dLbls>
          <c:showLegendKey val="0"/>
          <c:showVal val="0"/>
          <c:showCatName val="0"/>
          <c:showSerName val="0"/>
          <c:showPercent val="0"/>
          <c:showBubbleSize val="0"/>
        </c:dLbls>
        <c:gapWidth val="150"/>
        <c:axId val="101616256"/>
        <c:axId val="101618048"/>
      </c:barChart>
      <c:catAx>
        <c:axId val="101616256"/>
        <c:scaling>
          <c:orientation val="minMax"/>
        </c:scaling>
        <c:delete val="0"/>
        <c:axPos val="b"/>
        <c:numFmt formatCode="General" sourceLinked="0"/>
        <c:majorTickMark val="out"/>
        <c:minorTickMark val="none"/>
        <c:tickLblPos val="nextTo"/>
        <c:crossAx val="101618048"/>
        <c:crosses val="autoZero"/>
        <c:auto val="1"/>
        <c:lblAlgn val="ctr"/>
        <c:lblOffset val="100"/>
        <c:noMultiLvlLbl val="0"/>
      </c:catAx>
      <c:valAx>
        <c:axId val="101618048"/>
        <c:scaling>
          <c:orientation val="minMax"/>
          <c:max val="2500000"/>
          <c:min val="0"/>
        </c:scaling>
        <c:delete val="0"/>
        <c:axPos val="l"/>
        <c:majorGridlines/>
        <c:numFmt formatCode="#,##0" sourceLinked="0"/>
        <c:majorTickMark val="out"/>
        <c:minorTickMark val="none"/>
        <c:tickLblPos val="nextTo"/>
        <c:crossAx val="101616256"/>
        <c:crosses val="autoZero"/>
        <c:crossBetween val="between"/>
      </c:valAx>
    </c:plotArea>
    <c:legend>
      <c:legendPos val="t"/>
      <c:layout/>
      <c:overlay val="0"/>
      <c:txPr>
        <a:bodyPr/>
        <a:lstStyle/>
        <a:p>
          <a:pPr>
            <a:defRPr sz="1100"/>
          </a:pPr>
          <a:endParaRPr lang="sl-SI"/>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70410538305348E-2"/>
          <c:y val="4.3912175648702596E-2"/>
          <c:w val="0.91677148846960166"/>
          <c:h val="0.66513649865623081"/>
        </c:manualLayout>
      </c:layout>
      <c:barChart>
        <c:barDir val="bar"/>
        <c:grouping val="clustered"/>
        <c:varyColors val="0"/>
        <c:ser>
          <c:idx val="0"/>
          <c:order val="0"/>
          <c:tx>
            <c:strRef>
              <c:f>'naravni prirast'!$A$473:$B$473</c:f>
              <c:strCache>
                <c:ptCount val="1"/>
                <c:pt idx="0">
                  <c:v>Naravni prirast (na 1.000 prebivalcev)  Slovenija</c:v>
                </c:pt>
              </c:strCache>
            </c:strRef>
          </c:tx>
          <c:invertIfNegative val="0"/>
          <c:cat>
            <c:strRef>
              <c:f>'naravni prirast'!$C$472:$G$472</c:f>
              <c:strCache>
                <c:ptCount val="5"/>
                <c:pt idx="0">
                  <c:v>2008</c:v>
                </c:pt>
                <c:pt idx="1">
                  <c:v>2010</c:v>
                </c:pt>
                <c:pt idx="2">
                  <c:v>2013</c:v>
                </c:pt>
                <c:pt idx="3">
                  <c:v>2015</c:v>
                </c:pt>
                <c:pt idx="4">
                  <c:v>2018</c:v>
                </c:pt>
              </c:strCache>
            </c:strRef>
          </c:cat>
          <c:val>
            <c:numRef>
              <c:f>'naravni prirast'!$C$473:$G$473</c:f>
              <c:numCache>
                <c:formatCode>0.0</c:formatCode>
                <c:ptCount val="5"/>
                <c:pt idx="0">
                  <c:v>1.7</c:v>
                </c:pt>
                <c:pt idx="1">
                  <c:v>1.8</c:v>
                </c:pt>
                <c:pt idx="2">
                  <c:v>0.9</c:v>
                </c:pt>
                <c:pt idx="3">
                  <c:v>0.4</c:v>
                </c:pt>
                <c:pt idx="4">
                  <c:v>-0.4</c:v>
                </c:pt>
              </c:numCache>
            </c:numRef>
          </c:val>
          <c:extLst>
            <c:ext xmlns:c16="http://schemas.microsoft.com/office/drawing/2014/chart" uri="{C3380CC4-5D6E-409C-BE32-E72D297353CC}">
              <c16:uniqueId val="{00000000-1C06-491D-9EE7-8F3E5CC72C5D}"/>
            </c:ext>
          </c:extLst>
        </c:ser>
        <c:ser>
          <c:idx val="1"/>
          <c:order val="1"/>
          <c:tx>
            <c:strRef>
              <c:f>'naravni prirast'!$A$474:$B$474</c:f>
              <c:strCache>
                <c:ptCount val="1"/>
                <c:pt idx="0">
                  <c:v>Naravni prirast (na 1.000 prebivalcev)  Podeželje </c:v>
                </c:pt>
              </c:strCache>
            </c:strRef>
          </c:tx>
          <c:spPr>
            <a:solidFill>
              <a:srgbClr val="FFFF00"/>
            </a:solidFill>
            <a:ln>
              <a:solidFill>
                <a:sysClr val="windowText" lastClr="000000"/>
              </a:solidFill>
            </a:ln>
          </c:spPr>
          <c:invertIfNegative val="0"/>
          <c:cat>
            <c:strRef>
              <c:f>'naravni prirast'!$C$472:$G$472</c:f>
              <c:strCache>
                <c:ptCount val="5"/>
                <c:pt idx="0">
                  <c:v>2008</c:v>
                </c:pt>
                <c:pt idx="1">
                  <c:v>2010</c:v>
                </c:pt>
                <c:pt idx="2">
                  <c:v>2013</c:v>
                </c:pt>
                <c:pt idx="3">
                  <c:v>2015</c:v>
                </c:pt>
                <c:pt idx="4">
                  <c:v>2018</c:v>
                </c:pt>
              </c:strCache>
            </c:strRef>
          </c:cat>
          <c:val>
            <c:numRef>
              <c:f>'naravni prirast'!$C$474:$G$474</c:f>
              <c:numCache>
                <c:formatCode>0.0</c:formatCode>
                <c:ptCount val="5"/>
                <c:pt idx="0">
                  <c:v>1.361780459030518</c:v>
                </c:pt>
                <c:pt idx="1">
                  <c:v>1.1824899722091295</c:v>
                </c:pt>
                <c:pt idx="2">
                  <c:v>4.9126843971682509E-2</c:v>
                </c:pt>
                <c:pt idx="3">
                  <c:v>0.1507569000140101</c:v>
                </c:pt>
                <c:pt idx="4">
                  <c:v>-0.56383979454623689</c:v>
                </c:pt>
              </c:numCache>
            </c:numRef>
          </c:val>
          <c:extLst>
            <c:ext xmlns:c16="http://schemas.microsoft.com/office/drawing/2014/chart" uri="{C3380CC4-5D6E-409C-BE32-E72D297353CC}">
              <c16:uniqueId val="{00000001-1C06-491D-9EE7-8F3E5CC72C5D}"/>
            </c:ext>
          </c:extLst>
        </c:ser>
        <c:ser>
          <c:idx val="2"/>
          <c:order val="2"/>
          <c:tx>
            <c:strRef>
              <c:f>'naravni prirast'!$A$475:$B$475</c:f>
              <c:strCache>
                <c:ptCount val="1"/>
                <c:pt idx="0">
                  <c:v>Skupni selitveni prirast (na 1.000 prebivalcev) Slovenija</c:v>
                </c:pt>
              </c:strCache>
            </c:strRef>
          </c:tx>
          <c:spPr>
            <a:solidFill>
              <a:schemeClr val="bg1">
                <a:lumMod val="85000"/>
              </a:schemeClr>
            </a:solidFill>
            <a:ln>
              <a:solidFill>
                <a:schemeClr val="bg1">
                  <a:lumMod val="65000"/>
                </a:schemeClr>
              </a:solidFill>
            </a:ln>
          </c:spPr>
          <c:invertIfNegative val="0"/>
          <c:cat>
            <c:strRef>
              <c:f>'naravni prirast'!$C$472:$G$472</c:f>
              <c:strCache>
                <c:ptCount val="5"/>
                <c:pt idx="0">
                  <c:v>2008</c:v>
                </c:pt>
                <c:pt idx="1">
                  <c:v>2010</c:v>
                </c:pt>
                <c:pt idx="2">
                  <c:v>2013</c:v>
                </c:pt>
                <c:pt idx="3">
                  <c:v>2015</c:v>
                </c:pt>
                <c:pt idx="4">
                  <c:v>2018</c:v>
                </c:pt>
              </c:strCache>
            </c:strRef>
          </c:cat>
          <c:val>
            <c:numRef>
              <c:f>'naravni prirast'!$C$475:$G$475</c:f>
              <c:numCache>
                <c:formatCode>0.0</c:formatCode>
                <c:ptCount val="5"/>
                <c:pt idx="0">
                  <c:v>9.1999999999999993</c:v>
                </c:pt>
                <c:pt idx="1">
                  <c:v>-0.3</c:v>
                </c:pt>
                <c:pt idx="2">
                  <c:v>0.2</c:v>
                </c:pt>
                <c:pt idx="3">
                  <c:v>0.2</c:v>
                </c:pt>
                <c:pt idx="4">
                  <c:v>7.2</c:v>
                </c:pt>
              </c:numCache>
            </c:numRef>
          </c:val>
          <c:extLst>
            <c:ext xmlns:c16="http://schemas.microsoft.com/office/drawing/2014/chart" uri="{C3380CC4-5D6E-409C-BE32-E72D297353CC}">
              <c16:uniqueId val="{00000002-1C06-491D-9EE7-8F3E5CC72C5D}"/>
            </c:ext>
          </c:extLst>
        </c:ser>
        <c:ser>
          <c:idx val="3"/>
          <c:order val="3"/>
          <c:tx>
            <c:strRef>
              <c:f>'naravni prirast'!$A$476:$B$476</c:f>
              <c:strCache>
                <c:ptCount val="1"/>
                <c:pt idx="0">
                  <c:v>Skupni selitveni prirast (na 1.000 prebivalcev) Podeželje </c:v>
                </c:pt>
              </c:strCache>
            </c:strRef>
          </c:tx>
          <c:spPr>
            <a:solidFill>
              <a:srgbClr val="00B050"/>
            </a:solidFill>
            <a:ln>
              <a:solidFill>
                <a:sysClr val="windowText" lastClr="000000"/>
              </a:solidFill>
            </a:ln>
          </c:spPr>
          <c:invertIfNegative val="0"/>
          <c:cat>
            <c:strRef>
              <c:f>'naravni prirast'!$C$472:$G$472</c:f>
              <c:strCache>
                <c:ptCount val="5"/>
                <c:pt idx="0">
                  <c:v>2008</c:v>
                </c:pt>
                <c:pt idx="1">
                  <c:v>2010</c:v>
                </c:pt>
                <c:pt idx="2">
                  <c:v>2013</c:v>
                </c:pt>
                <c:pt idx="3">
                  <c:v>2015</c:v>
                </c:pt>
                <c:pt idx="4">
                  <c:v>2018</c:v>
                </c:pt>
              </c:strCache>
            </c:strRef>
          </c:cat>
          <c:val>
            <c:numRef>
              <c:f>'naravni prirast'!$C$476:$G$476</c:f>
              <c:numCache>
                <c:formatCode>0.0</c:formatCode>
                <c:ptCount val="5"/>
                <c:pt idx="0">
                  <c:v>4.2377551020408157</c:v>
                </c:pt>
                <c:pt idx="1">
                  <c:v>0.60765306122448959</c:v>
                </c:pt>
                <c:pt idx="2">
                  <c:v>-2.7637755102040806</c:v>
                </c:pt>
                <c:pt idx="3">
                  <c:v>-0.80765306122448954</c:v>
                </c:pt>
                <c:pt idx="4">
                  <c:v>3.9994897959183668</c:v>
                </c:pt>
              </c:numCache>
            </c:numRef>
          </c:val>
          <c:extLst>
            <c:ext xmlns:c16="http://schemas.microsoft.com/office/drawing/2014/chart" uri="{C3380CC4-5D6E-409C-BE32-E72D297353CC}">
              <c16:uniqueId val="{00000003-1C06-491D-9EE7-8F3E5CC72C5D}"/>
            </c:ext>
          </c:extLst>
        </c:ser>
        <c:dLbls>
          <c:showLegendKey val="0"/>
          <c:showVal val="0"/>
          <c:showCatName val="0"/>
          <c:showSerName val="0"/>
          <c:showPercent val="0"/>
          <c:showBubbleSize val="0"/>
        </c:dLbls>
        <c:gapWidth val="150"/>
        <c:axId val="101637504"/>
        <c:axId val="101639296"/>
      </c:barChart>
      <c:catAx>
        <c:axId val="101637504"/>
        <c:scaling>
          <c:orientation val="minMax"/>
        </c:scaling>
        <c:delete val="0"/>
        <c:axPos val="l"/>
        <c:numFmt formatCode="General" sourceLinked="0"/>
        <c:majorTickMark val="out"/>
        <c:minorTickMark val="none"/>
        <c:tickLblPos val="low"/>
        <c:txPr>
          <a:bodyPr anchor="t" anchorCtr="1"/>
          <a:lstStyle/>
          <a:p>
            <a:pPr>
              <a:defRPr sz="1200" baseline="0"/>
            </a:pPr>
            <a:endParaRPr lang="sl-SI"/>
          </a:p>
        </c:txPr>
        <c:crossAx val="101639296"/>
        <c:crosses val="autoZero"/>
        <c:auto val="1"/>
        <c:lblAlgn val="ctr"/>
        <c:lblOffset val="100"/>
        <c:noMultiLvlLbl val="0"/>
      </c:catAx>
      <c:valAx>
        <c:axId val="101639296"/>
        <c:scaling>
          <c:orientation val="minMax"/>
        </c:scaling>
        <c:delete val="0"/>
        <c:axPos val="b"/>
        <c:majorGridlines/>
        <c:numFmt formatCode="0.0" sourceLinked="1"/>
        <c:majorTickMark val="out"/>
        <c:minorTickMark val="none"/>
        <c:tickLblPos val="nextTo"/>
        <c:crossAx val="101637504"/>
        <c:crosses val="autoZero"/>
        <c:crossBetween val="between"/>
        <c:majorUnit val="1"/>
      </c:valAx>
    </c:plotArea>
    <c:legend>
      <c:legendPos val="b"/>
      <c:layout>
        <c:manualLayout>
          <c:xMode val="edge"/>
          <c:yMode val="edge"/>
          <c:x val="1.2578616352201259E-2"/>
          <c:y val="0.79308721140396377"/>
          <c:w val="0.97064989517819711"/>
          <c:h val="0.1909447247237807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'[05C1006-1.xlsx]05C1006'!$B$4</c:f>
              <c:strCache>
                <c:ptCount val="1"/>
                <c:pt idx="0">
                  <c:v>Koeficient starostne odvisnosti</c:v>
                </c:pt>
              </c:strCache>
            </c:strRef>
          </c:tx>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'[05C1006-1.xlsx]05C1006'!$C$4:$N$4</c:f>
              <c:numCache>
                <c:formatCode>0.0</c:formatCode>
                <c:ptCount val="12"/>
                <c:pt idx="0">
                  <c:v>43.4</c:v>
                </c:pt>
                <c:pt idx="1">
                  <c:v>43.8</c:v>
                </c:pt>
                <c:pt idx="2">
                  <c:v>44.2</c:v>
                </c:pt>
                <c:pt idx="3">
                  <c:v>44.6</c:v>
                </c:pt>
                <c:pt idx="4">
                  <c:v>45.6</c:v>
                </c:pt>
                <c:pt idx="5">
                  <c:v>46.7</c:v>
                </c:pt>
                <c:pt idx="6">
                  <c:v>47.8</c:v>
                </c:pt>
                <c:pt idx="7">
                  <c:v>49.1</c:v>
                </c:pt>
                <c:pt idx="8">
                  <c:v>50.5</c:v>
                </c:pt>
                <c:pt idx="9">
                  <c:v>51.8</c:v>
                </c:pt>
                <c:pt idx="10">
                  <c:v>53.2</c:v>
                </c:pt>
                <c:pt idx="11">
                  <c:v>54.1</c:v>
                </c:pt>
              </c:numCache>
            </c:numRef>
          </c:val>
          <c:smooth val="0"/>
          <c:extLst>
            <c:ext xmlns:c16="http://schemas.microsoft.com/office/drawing/2014/chart" uri="{C3380CC4-5D6E-409C-BE32-E72D297353CC}">
              <c16:uniqueId val="{00000000-26A4-40DC-94F0-3C2168609A3B}"/>
            </c:ext>
          </c:extLst>
        </c:ser>
        <c:ser>
          <c:idx val="1"/>
          <c:order val="1"/>
          <c:tx>
            <c:strRef>
              <c:f>'[05C1006-1.xlsx]05C1006'!$B$5</c:f>
              <c:strCache>
                <c:ptCount val="1"/>
                <c:pt idx="0">
                  <c:v>Koeficient starostne odvisnosti mladih</c:v>
                </c:pt>
              </c:strCache>
            </c:strRef>
          </c:tx>
          <c:spPr>
            <a:ln>
              <a:solidFill>
                <a:srgbClr val="00B050"/>
              </a:solidFill>
            </a:ln>
          </c:spPr>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'[05C1006-1.xlsx]05C1006'!$C$5:$N$5</c:f>
              <c:numCache>
                <c:formatCode>0.0</c:formatCode>
                <c:ptCount val="12"/>
                <c:pt idx="0">
                  <c:v>20</c:v>
                </c:pt>
                <c:pt idx="1">
                  <c:v>20.100000000000001</c:v>
                </c:pt>
                <c:pt idx="2">
                  <c:v>20.3</c:v>
                </c:pt>
                <c:pt idx="3">
                  <c:v>20.6</c:v>
                </c:pt>
                <c:pt idx="4">
                  <c:v>20.9</c:v>
                </c:pt>
                <c:pt idx="5">
                  <c:v>21.3</c:v>
                </c:pt>
                <c:pt idx="6">
                  <c:v>21.7</c:v>
                </c:pt>
                <c:pt idx="7">
                  <c:v>22.1</c:v>
                </c:pt>
                <c:pt idx="8">
                  <c:v>22.4</c:v>
                </c:pt>
                <c:pt idx="9">
                  <c:v>22.8</c:v>
                </c:pt>
                <c:pt idx="10">
                  <c:v>23.1</c:v>
                </c:pt>
                <c:pt idx="11">
                  <c:v>23.2</c:v>
                </c:pt>
              </c:numCache>
            </c:numRef>
          </c:val>
          <c:smooth val="0"/>
          <c:extLst>
            <c:ext xmlns:c16="http://schemas.microsoft.com/office/drawing/2014/chart" uri="{C3380CC4-5D6E-409C-BE32-E72D297353CC}">
              <c16:uniqueId val="{00000001-26A4-40DC-94F0-3C2168609A3B}"/>
            </c:ext>
          </c:extLst>
        </c:ser>
        <c:ser>
          <c:idx val="2"/>
          <c:order val="2"/>
          <c:tx>
            <c:strRef>
              <c:f>'[05C1006-1.xlsx]05C1006'!$B$6</c:f>
              <c:strCache>
                <c:ptCount val="1"/>
                <c:pt idx="0">
                  <c:v>Koeficient starostne odvisnosti starih</c:v>
                </c:pt>
              </c:strCache>
            </c:strRef>
          </c:tx>
          <c:spPr>
            <a:ln>
              <a:solidFill>
                <a:srgbClr val="FFC000"/>
              </a:solidFill>
            </a:ln>
          </c:spPr>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'[05C1006-1.xlsx]05C1006'!$C$6:$N$6</c:f>
              <c:numCache>
                <c:formatCode>0.0</c:formatCode>
                <c:ptCount val="12"/>
                <c:pt idx="0">
                  <c:v>23.4</c:v>
                </c:pt>
                <c:pt idx="1">
                  <c:v>23.7</c:v>
                </c:pt>
                <c:pt idx="2">
                  <c:v>23.9</c:v>
                </c:pt>
                <c:pt idx="3">
                  <c:v>24</c:v>
                </c:pt>
                <c:pt idx="4">
                  <c:v>24.7</c:v>
                </c:pt>
                <c:pt idx="5">
                  <c:v>25.3</c:v>
                </c:pt>
                <c:pt idx="6">
                  <c:v>26.1</c:v>
                </c:pt>
                <c:pt idx="7">
                  <c:v>27.1</c:v>
                </c:pt>
                <c:pt idx="8">
                  <c:v>28.1</c:v>
                </c:pt>
                <c:pt idx="9">
                  <c:v>29.1</c:v>
                </c:pt>
                <c:pt idx="10">
                  <c:v>30.2</c:v>
                </c:pt>
                <c:pt idx="11">
                  <c:v>30.9</c:v>
                </c:pt>
              </c:numCache>
            </c:numRef>
          </c:val>
          <c:smooth val="0"/>
          <c:extLst>
            <c:ext xmlns:c16="http://schemas.microsoft.com/office/drawing/2014/chart" uri="{C3380CC4-5D6E-409C-BE32-E72D297353CC}">
              <c16:uniqueId val="{00000002-26A4-40DC-94F0-3C2168609A3B}"/>
            </c:ext>
          </c:extLst>
        </c:ser>
        <c:dLbls>
          <c:showLegendKey val="0"/>
          <c:showVal val="0"/>
          <c:showCatName val="0"/>
          <c:showSerName val="0"/>
          <c:showPercent val="0"/>
          <c:showBubbleSize val="0"/>
        </c:dLbls>
        <c:smooth val="0"/>
        <c:axId val="101715328"/>
        <c:axId val="101717120"/>
      </c:lineChart>
      <c:catAx>
        <c:axId val="101715328"/>
        <c:scaling>
          <c:orientation val="minMax"/>
        </c:scaling>
        <c:delete val="0"/>
        <c:axPos val="b"/>
        <c:numFmt formatCode="General" sourceLinked="1"/>
        <c:majorTickMark val="out"/>
        <c:minorTickMark val="none"/>
        <c:tickLblPos val="nextTo"/>
        <c:crossAx val="101717120"/>
        <c:crosses val="autoZero"/>
        <c:auto val="1"/>
        <c:lblAlgn val="ctr"/>
        <c:lblOffset val="100"/>
        <c:noMultiLvlLbl val="0"/>
      </c:catAx>
      <c:valAx>
        <c:axId val="101717120"/>
        <c:scaling>
          <c:orientation val="minMax"/>
          <c:max val="55"/>
          <c:min val="15"/>
        </c:scaling>
        <c:delete val="0"/>
        <c:axPos val="l"/>
        <c:majorGridlines/>
        <c:numFmt formatCode="0.0" sourceLinked="1"/>
        <c:majorTickMark val="out"/>
        <c:minorTickMark val="none"/>
        <c:tickLblPos val="nextTo"/>
        <c:crossAx val="1017153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Notranje</a:t>
            </a:r>
            <a:r>
              <a:rPr lang="sl-SI"/>
              <a:t> selitve</a:t>
            </a:r>
            <a:r>
              <a:rPr lang="sl-SI" baseline="0"/>
              <a:t> med </a:t>
            </a:r>
            <a:r>
              <a:rPr lang="sl-SI"/>
              <a:t>mladimi</a:t>
            </a:r>
            <a:endParaRPr lang="en-US"/>
          </a:p>
        </c:rich>
      </c:tx>
      <c:layout>
        <c:manualLayout>
          <c:xMode val="edge"/>
          <c:yMode val="edge"/>
          <c:x val="0.31051797684338817"/>
          <c:y val="2.406159769008662E-2"/>
        </c:manualLayout>
      </c:layout>
      <c:overlay val="0"/>
      <c:spPr>
        <a:noFill/>
        <a:ln>
          <a:noFill/>
        </a:ln>
        <a:effectLst/>
      </c:spPr>
    </c:title>
    <c:autoTitleDeleted val="0"/>
    <c:plotArea>
      <c:layout/>
      <c:barChart>
        <c:barDir val="col"/>
        <c:grouping val="stacked"/>
        <c:varyColors val="0"/>
        <c:ser>
          <c:idx val="0"/>
          <c:order val="0"/>
          <c:tx>
            <c:strRef>
              <c:f>'selitve skupaj'!$I$5</c:f>
              <c:strCache>
                <c:ptCount val="1"/>
                <c:pt idx="0">
                  <c:v>MLADI (15-29 let)</c:v>
                </c:pt>
              </c:strCache>
            </c:strRef>
          </c:tx>
          <c:spPr>
            <a:solidFill>
              <a:schemeClr val="accent1"/>
            </a:solidFill>
            <a:ln>
              <a:noFill/>
            </a:ln>
            <a:effectLst/>
          </c:spPr>
          <c:invertIfNegative val="0"/>
          <c:cat>
            <c:numRef>
              <c:f>'selitve skupaj'!$J$4:$O$4</c:f>
              <c:numCache>
                <c:formatCode>General</c:formatCode>
                <c:ptCount val="6"/>
                <c:pt idx="0">
                  <c:v>2005</c:v>
                </c:pt>
                <c:pt idx="1">
                  <c:v>2008</c:v>
                </c:pt>
                <c:pt idx="2">
                  <c:v>2010</c:v>
                </c:pt>
                <c:pt idx="3">
                  <c:v>2012</c:v>
                </c:pt>
                <c:pt idx="4">
                  <c:v>2015</c:v>
                </c:pt>
                <c:pt idx="5">
                  <c:v>2018</c:v>
                </c:pt>
              </c:numCache>
            </c:numRef>
          </c:cat>
          <c:val>
            <c:numRef>
              <c:f>'selitve skupaj'!$J$5:$O$5</c:f>
              <c:numCache>
                <c:formatCode>0</c:formatCode>
                <c:ptCount val="6"/>
                <c:pt idx="0">
                  <c:v>9644</c:v>
                </c:pt>
                <c:pt idx="1">
                  <c:v>45148</c:v>
                </c:pt>
                <c:pt idx="2">
                  <c:v>37616</c:v>
                </c:pt>
                <c:pt idx="3">
                  <c:v>41131</c:v>
                </c:pt>
                <c:pt idx="4" formatCode="General">
                  <c:v>39184</c:v>
                </c:pt>
                <c:pt idx="5">
                  <c:v>34073</c:v>
                </c:pt>
              </c:numCache>
            </c:numRef>
          </c:val>
          <c:extLst>
            <c:ext xmlns:c16="http://schemas.microsoft.com/office/drawing/2014/chart" uri="{C3380CC4-5D6E-409C-BE32-E72D297353CC}">
              <c16:uniqueId val="{00000000-5F08-4CDC-8896-2C3636D7A5E7}"/>
            </c:ext>
          </c:extLst>
        </c:ser>
        <c:ser>
          <c:idx val="1"/>
          <c:order val="1"/>
          <c:tx>
            <c:strRef>
              <c:f>'selitve skupaj'!$I$6</c:f>
              <c:strCache>
                <c:ptCount val="1"/>
                <c:pt idx="0">
                  <c:v>Skupaj</c:v>
                </c:pt>
              </c:strCache>
            </c:strRef>
          </c:tx>
          <c:spPr>
            <a:solidFill>
              <a:schemeClr val="accent6">
                <a:lumMod val="60000"/>
                <a:lumOff val="40000"/>
              </a:schemeClr>
            </a:solidFill>
            <a:ln>
              <a:noFill/>
            </a:ln>
            <a:effectLst/>
          </c:spPr>
          <c:invertIfNegative val="0"/>
          <c:cat>
            <c:numRef>
              <c:f>'selitve skupaj'!$J$4:$O$4</c:f>
              <c:numCache>
                <c:formatCode>General</c:formatCode>
                <c:ptCount val="6"/>
                <c:pt idx="0">
                  <c:v>2005</c:v>
                </c:pt>
                <c:pt idx="1">
                  <c:v>2008</c:v>
                </c:pt>
                <c:pt idx="2">
                  <c:v>2010</c:v>
                </c:pt>
                <c:pt idx="3">
                  <c:v>2012</c:v>
                </c:pt>
                <c:pt idx="4">
                  <c:v>2015</c:v>
                </c:pt>
                <c:pt idx="5">
                  <c:v>2018</c:v>
                </c:pt>
              </c:numCache>
            </c:numRef>
          </c:cat>
          <c:val>
            <c:numRef>
              <c:f>'selitve skupaj'!$J$6:$O$6</c:f>
              <c:numCache>
                <c:formatCode>0</c:formatCode>
                <c:ptCount val="6"/>
                <c:pt idx="0">
                  <c:v>32204</c:v>
                </c:pt>
                <c:pt idx="1">
                  <c:v>106248</c:v>
                </c:pt>
                <c:pt idx="2">
                  <c:v>106551</c:v>
                </c:pt>
                <c:pt idx="3">
                  <c:v>112668</c:v>
                </c:pt>
                <c:pt idx="4" formatCode="General">
                  <c:v>108944</c:v>
                </c:pt>
                <c:pt idx="5">
                  <c:v>103961</c:v>
                </c:pt>
              </c:numCache>
            </c:numRef>
          </c:val>
          <c:extLst>
            <c:ext xmlns:c16="http://schemas.microsoft.com/office/drawing/2014/chart" uri="{C3380CC4-5D6E-409C-BE32-E72D297353CC}">
              <c16:uniqueId val="{00000001-5F08-4CDC-8896-2C3636D7A5E7}"/>
            </c:ext>
          </c:extLst>
        </c:ser>
        <c:dLbls>
          <c:showLegendKey val="0"/>
          <c:showVal val="0"/>
          <c:showCatName val="0"/>
          <c:showSerName val="0"/>
          <c:showPercent val="0"/>
          <c:showBubbleSize val="0"/>
        </c:dLbls>
        <c:gapWidth val="150"/>
        <c:overlap val="100"/>
        <c:axId val="101731328"/>
        <c:axId val="101741312"/>
      </c:barChart>
      <c:catAx>
        <c:axId val="1017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41312"/>
        <c:crosses val="autoZero"/>
        <c:auto val="1"/>
        <c:lblAlgn val="ctr"/>
        <c:lblOffset val="100"/>
        <c:noMultiLvlLbl val="0"/>
      </c:catAx>
      <c:valAx>
        <c:axId val="101741312"/>
        <c:scaling>
          <c:orientation val="minMax"/>
          <c:max val="16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31328"/>
        <c:crosses val="autoZero"/>
        <c:crossBetween val="between"/>
        <c:majorUnit val="4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'2640010'!$I$11</c:f>
              <c:strCache>
                <c:ptCount val="1"/>
                <c:pt idx="0">
                  <c:v>Slovenija</c:v>
                </c:pt>
              </c:strCache>
            </c:strRef>
          </c:tx>
          <c:spPr>
            <a:solidFill>
              <a:schemeClr val="accent1"/>
            </a:solidFill>
            <a:ln>
              <a:noFill/>
            </a:ln>
            <a:effectLst/>
          </c:spPr>
          <c:invertIfNegative val="0"/>
          <c:cat>
            <c:strRef>
              <c:f>'2640010'!$H$12:$H$14</c:f>
              <c:strCache>
                <c:ptCount val="3"/>
                <c:pt idx="0">
                  <c:v>% učencev</c:v>
                </c:pt>
                <c:pt idx="1">
                  <c:v>% dijakov</c:v>
                </c:pt>
                <c:pt idx="2">
                  <c:v>% študentov</c:v>
                </c:pt>
              </c:strCache>
            </c:strRef>
          </c:cat>
          <c:val>
            <c:numRef>
              <c:f>'2640010'!$I$12:$I$14</c:f>
              <c:numCache>
                <c:formatCode>#,##0.00</c:formatCode>
                <c:ptCount val="3"/>
                <c:pt idx="0">
                  <c:v>8.987799799933951</c:v>
                </c:pt>
                <c:pt idx="1">
                  <c:v>3.481436455097616</c:v>
                </c:pt>
                <c:pt idx="2">
                  <c:v>3.6724085942248879</c:v>
                </c:pt>
              </c:numCache>
            </c:numRef>
          </c:val>
          <c:extLst>
            <c:ext xmlns:c16="http://schemas.microsoft.com/office/drawing/2014/chart" uri="{C3380CC4-5D6E-409C-BE32-E72D297353CC}">
              <c16:uniqueId val="{00000000-D2F6-405D-9B9D-213AB12FDC6A}"/>
            </c:ext>
          </c:extLst>
        </c:ser>
        <c:ser>
          <c:idx val="1"/>
          <c:order val="1"/>
          <c:tx>
            <c:strRef>
              <c:f>'2640010'!$J$11</c:f>
              <c:strCache>
                <c:ptCount val="1"/>
                <c:pt idx="0">
                  <c:v>Podeželje</c:v>
                </c:pt>
              </c:strCache>
            </c:strRef>
          </c:tx>
          <c:spPr>
            <a:solidFill>
              <a:srgbClr val="92D050"/>
            </a:solidFill>
            <a:ln>
              <a:noFill/>
            </a:ln>
            <a:effectLst/>
          </c:spPr>
          <c:invertIfNegative val="0"/>
          <c:cat>
            <c:strRef>
              <c:f>'2640010'!$H$12:$H$14</c:f>
              <c:strCache>
                <c:ptCount val="3"/>
                <c:pt idx="0">
                  <c:v>% učencev</c:v>
                </c:pt>
                <c:pt idx="1">
                  <c:v>% dijakov</c:v>
                </c:pt>
                <c:pt idx="2">
                  <c:v>% študentov</c:v>
                </c:pt>
              </c:strCache>
            </c:strRef>
          </c:cat>
          <c:val>
            <c:numRef>
              <c:f>'2640010'!$J$12:$J$14</c:f>
              <c:numCache>
                <c:formatCode>#,##0.00</c:formatCode>
                <c:ptCount val="3"/>
                <c:pt idx="0">
                  <c:v>9.0761139484808435</c:v>
                </c:pt>
                <c:pt idx="1">
                  <c:v>3.5815568990146227</c:v>
                </c:pt>
                <c:pt idx="2">
                  <c:v>3.4494668674844977</c:v>
                </c:pt>
              </c:numCache>
            </c:numRef>
          </c:val>
          <c:extLst>
            <c:ext xmlns:c16="http://schemas.microsoft.com/office/drawing/2014/chart" uri="{C3380CC4-5D6E-409C-BE32-E72D297353CC}">
              <c16:uniqueId val="{00000001-D2F6-405D-9B9D-213AB12FDC6A}"/>
            </c:ext>
          </c:extLst>
        </c:ser>
        <c:dLbls>
          <c:showLegendKey val="0"/>
          <c:showVal val="0"/>
          <c:showCatName val="0"/>
          <c:showSerName val="0"/>
          <c:showPercent val="0"/>
          <c:showBubbleSize val="0"/>
        </c:dLbls>
        <c:gapWidth val="219"/>
        <c:overlap val="-27"/>
        <c:axId val="101763712"/>
        <c:axId val="101765504"/>
      </c:barChart>
      <c:catAx>
        <c:axId val="1017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65504"/>
        <c:crosses val="autoZero"/>
        <c:auto val="1"/>
        <c:lblAlgn val="ctr"/>
        <c:lblOffset val="100"/>
        <c:noMultiLvlLbl val="0"/>
      </c:catAx>
      <c:valAx>
        <c:axId val="101765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63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33530359643391"/>
          <c:y val="0"/>
          <c:w val="0.57253154180124277"/>
          <c:h val="0.84300472889713296"/>
        </c:manualLayout>
      </c:layout>
      <c:barChart>
        <c:barDir val="bar"/>
        <c:grouping val="stacked"/>
        <c:varyColors val="0"/>
        <c:ser>
          <c:idx val="0"/>
          <c:order val="0"/>
          <c:tx>
            <c:strRef>
              <c:f>List1!$Q$33</c:f>
              <c:strCache>
                <c:ptCount val="1"/>
                <c:pt idx="0">
                  <c:v>Podeželje</c:v>
                </c:pt>
              </c:strCache>
            </c:strRef>
          </c:tx>
          <c:spPr>
            <a:solidFill>
              <a:srgbClr val="92D050"/>
            </a:solidFill>
            <a:ln>
              <a:solidFill>
                <a:schemeClr val="tx1">
                  <a:lumMod val="50000"/>
                  <a:lumOff val="50000"/>
                </a:schemeClr>
              </a:solidFill>
            </a:ln>
            <a:effectLst/>
          </c:spPr>
          <c:invertIfNegative val="0"/>
          <c:cat>
            <c:strRef>
              <c:f>List1!$R$32:$V$32</c:f>
              <c:strCache>
                <c:ptCount val="5"/>
                <c:pt idx="0">
                  <c:v>Osnovnošolska ali manj - Skupaj</c:v>
                </c:pt>
                <c:pt idx="1">
                  <c:v>Brez izobrazbe, nepopolna osnovnošolska</c:v>
                </c:pt>
                <c:pt idx="2">
                  <c:v>Osnovnošolska</c:v>
                </c:pt>
                <c:pt idx="3">
                  <c:v>Srednješolska - Skupaj</c:v>
                </c:pt>
                <c:pt idx="4">
                  <c:v>Višješolska, visokošolska - Skupaj</c:v>
                </c:pt>
              </c:strCache>
            </c:strRef>
          </c:cat>
          <c:val>
            <c:numRef>
              <c:f>List1!$R$33:$V$33</c:f>
              <c:numCache>
                <c:formatCode>General</c:formatCode>
                <c:ptCount val="5"/>
                <c:pt idx="0">
                  <c:v>259341</c:v>
                </c:pt>
                <c:pt idx="1">
                  <c:v>35551</c:v>
                </c:pt>
                <c:pt idx="2">
                  <c:v>223790</c:v>
                </c:pt>
                <c:pt idx="3">
                  <c:v>553105</c:v>
                </c:pt>
                <c:pt idx="4">
                  <c:v>215727</c:v>
                </c:pt>
              </c:numCache>
            </c:numRef>
          </c:val>
          <c:extLst>
            <c:ext xmlns:c16="http://schemas.microsoft.com/office/drawing/2014/chart" uri="{C3380CC4-5D6E-409C-BE32-E72D297353CC}">
              <c16:uniqueId val="{00000000-8BF2-4855-8718-96754CE5D0E6}"/>
            </c:ext>
          </c:extLst>
        </c:ser>
        <c:ser>
          <c:idx val="1"/>
          <c:order val="1"/>
          <c:tx>
            <c:strRef>
              <c:f>List1!$Q$34</c:f>
              <c:strCache>
                <c:ptCount val="1"/>
                <c:pt idx="0">
                  <c:v>Ostalo</c:v>
                </c:pt>
              </c:strCache>
            </c:strRef>
          </c:tx>
          <c:spPr>
            <a:solidFill>
              <a:schemeClr val="tx2">
                <a:lumMod val="60000"/>
                <a:lumOff val="40000"/>
              </a:schemeClr>
            </a:solidFill>
            <a:ln>
              <a:solidFill>
                <a:schemeClr val="tx1">
                  <a:lumMod val="50000"/>
                  <a:lumOff val="50000"/>
                </a:schemeClr>
              </a:solidFill>
            </a:ln>
            <a:effectLst/>
          </c:spPr>
          <c:invertIfNegative val="0"/>
          <c:cat>
            <c:strRef>
              <c:f>List1!$R$32:$V$32</c:f>
              <c:strCache>
                <c:ptCount val="5"/>
                <c:pt idx="0">
                  <c:v>Osnovnošolska ali manj - Skupaj</c:v>
                </c:pt>
                <c:pt idx="1">
                  <c:v>Brez izobrazbe, nepopolna osnovnošolska</c:v>
                </c:pt>
                <c:pt idx="2">
                  <c:v>Osnovnošolska</c:v>
                </c:pt>
                <c:pt idx="3">
                  <c:v>Srednješolska - Skupaj</c:v>
                </c:pt>
                <c:pt idx="4">
                  <c:v>Višješolska, visokošolska - Skupaj</c:v>
                </c:pt>
              </c:strCache>
            </c:strRef>
          </c:cat>
          <c:val>
            <c:numRef>
              <c:f>List1!$R$34:$V$34</c:f>
              <c:numCache>
                <c:formatCode>General</c:formatCode>
                <c:ptCount val="5"/>
                <c:pt idx="0">
                  <c:v>147657</c:v>
                </c:pt>
                <c:pt idx="1">
                  <c:v>16545</c:v>
                </c:pt>
                <c:pt idx="2">
                  <c:v>131112</c:v>
                </c:pt>
                <c:pt idx="3">
                  <c:v>379766</c:v>
                </c:pt>
                <c:pt idx="4">
                  <c:v>211606</c:v>
                </c:pt>
              </c:numCache>
            </c:numRef>
          </c:val>
          <c:extLst>
            <c:ext xmlns:c16="http://schemas.microsoft.com/office/drawing/2014/chart" uri="{C3380CC4-5D6E-409C-BE32-E72D297353CC}">
              <c16:uniqueId val="{00000001-8BF2-4855-8718-96754CE5D0E6}"/>
            </c:ext>
          </c:extLst>
        </c:ser>
        <c:dLbls>
          <c:showLegendKey val="0"/>
          <c:showVal val="0"/>
          <c:showCatName val="0"/>
          <c:showSerName val="0"/>
          <c:showPercent val="0"/>
          <c:showBubbleSize val="0"/>
        </c:dLbls>
        <c:gapWidth val="78"/>
        <c:overlap val="100"/>
        <c:axId val="113969024"/>
        <c:axId val="113970560"/>
      </c:barChart>
      <c:catAx>
        <c:axId val="113969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970560"/>
        <c:crosses val="autoZero"/>
        <c:auto val="1"/>
        <c:lblAlgn val="ctr"/>
        <c:lblOffset val="100"/>
        <c:noMultiLvlLbl val="0"/>
      </c:catAx>
      <c:valAx>
        <c:axId val="113970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969024"/>
        <c:crosses val="autoZero"/>
        <c:crossBetween val="between"/>
      </c:valAx>
      <c:spPr>
        <a:noFill/>
        <a:ln>
          <a:noFill/>
        </a:ln>
        <a:effectLst/>
      </c:spPr>
    </c:plotArea>
    <c:legend>
      <c:legendPos val="l"/>
      <c:layout>
        <c:manualLayout>
          <c:xMode val="edge"/>
          <c:yMode val="edge"/>
          <c:x val="0.77301161751563896"/>
          <c:y val="0.48672902155405051"/>
          <c:w val="0.11933999513893029"/>
          <c:h val="0.16399531691191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6350" cap="flat" cmpd="sng" algn="ctr">
      <a:solidFill>
        <a:schemeClr val="tx1">
          <a:lumMod val="75000"/>
          <a:lumOff val="25000"/>
        </a:schemeClr>
      </a:solid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a:pPr>
            <a:r>
              <a:rPr lang="sl-SI" sz="1000" b="1">
                <a:latin typeface="Arial" panose="020B0604020202020204" pitchFamily="34" charset="0"/>
                <a:cs typeface="Arial" panose="020B0604020202020204" pitchFamily="34" charset="0"/>
              </a:rPr>
              <a:t>Bruto dodana vrednost na zaposlenega v gospodarskih družbah, zadrugah in samostojnih podjetnikih posamezniki</a:t>
            </a:r>
            <a:r>
              <a:rPr lang="sl-SI" sz="1000" b="1" baseline="0">
                <a:latin typeface="Arial" panose="020B0604020202020204" pitchFamily="34" charset="0"/>
                <a:cs typeface="Arial" panose="020B0604020202020204" pitchFamily="34" charset="0"/>
              </a:rPr>
              <a:t> (EUR)</a:t>
            </a:r>
            <a:endParaRPr lang="sl-SI" sz="1000" b="1">
              <a:latin typeface="Arial" panose="020B0604020202020204" pitchFamily="34" charset="0"/>
              <a:cs typeface="Arial" panose="020B0604020202020204" pitchFamily="34" charset="0"/>
            </a:endParaRPr>
          </a:p>
        </c:rich>
      </c:tx>
      <c:layout/>
      <c:overlay val="0"/>
    </c:title>
    <c:autoTitleDeleted val="0"/>
    <c:plotArea>
      <c:layout/>
      <c:lineChart>
        <c:grouping val="standard"/>
        <c:varyColors val="0"/>
        <c:ser>
          <c:idx val="0"/>
          <c:order val="0"/>
          <c:spPr>
            <a:ln w="41275"/>
          </c:spPr>
          <c:marker>
            <c:symbol val="none"/>
          </c:marker>
          <c:cat>
            <c:strRef>
              <c:f>'[1420804.xlsx]1420804'!$A$4:$H$4</c:f>
              <c:strCache>
                <c:ptCount val="8"/>
                <c:pt idx="0">
                  <c:v>2008</c:v>
                </c:pt>
                <c:pt idx="1">
                  <c:v>2009</c:v>
                </c:pt>
                <c:pt idx="2">
                  <c:v>2010</c:v>
                </c:pt>
                <c:pt idx="3">
                  <c:v>2011</c:v>
                </c:pt>
                <c:pt idx="4">
                  <c:v>2012</c:v>
                </c:pt>
                <c:pt idx="5">
                  <c:v>2013</c:v>
                </c:pt>
                <c:pt idx="6">
                  <c:v>2014</c:v>
                </c:pt>
                <c:pt idx="7">
                  <c:v>2015</c:v>
                </c:pt>
              </c:strCache>
            </c:strRef>
          </c:cat>
          <c:val>
            <c:numRef>
              <c:f>'[1420804.xlsx]1420804'!$A$5:$H$5</c:f>
              <c:numCache>
                <c:formatCode>0</c:formatCode>
                <c:ptCount val="8"/>
                <c:pt idx="0">
                  <c:v>34253</c:v>
                </c:pt>
                <c:pt idx="1">
                  <c:v>33137</c:v>
                </c:pt>
                <c:pt idx="2">
                  <c:v>35152</c:v>
                </c:pt>
                <c:pt idx="3">
                  <c:v>36966</c:v>
                </c:pt>
                <c:pt idx="4">
                  <c:v>37187</c:v>
                </c:pt>
                <c:pt idx="5">
                  <c:v>38093</c:v>
                </c:pt>
                <c:pt idx="6">
                  <c:v>39463</c:v>
                </c:pt>
                <c:pt idx="7">
                  <c:v>40263</c:v>
                </c:pt>
              </c:numCache>
            </c:numRef>
          </c:val>
          <c:smooth val="0"/>
          <c:extLst>
            <c:ext xmlns:c16="http://schemas.microsoft.com/office/drawing/2014/chart" uri="{C3380CC4-5D6E-409C-BE32-E72D297353CC}">
              <c16:uniqueId val="{00000000-BBFB-4B4C-975A-479E68B26BAD}"/>
            </c:ext>
          </c:extLst>
        </c:ser>
        <c:dLbls>
          <c:showLegendKey val="0"/>
          <c:showVal val="0"/>
          <c:showCatName val="0"/>
          <c:showSerName val="0"/>
          <c:showPercent val="0"/>
          <c:showBubbleSize val="0"/>
        </c:dLbls>
        <c:smooth val="0"/>
        <c:axId val="114001792"/>
        <c:axId val="114003328"/>
      </c:lineChart>
      <c:catAx>
        <c:axId val="114001792"/>
        <c:scaling>
          <c:orientation val="minMax"/>
        </c:scaling>
        <c:delete val="0"/>
        <c:axPos val="b"/>
        <c:numFmt formatCode="General" sourceLinked="0"/>
        <c:majorTickMark val="out"/>
        <c:minorTickMark val="none"/>
        <c:tickLblPos val="nextTo"/>
        <c:crossAx val="114003328"/>
        <c:crosses val="autoZero"/>
        <c:auto val="1"/>
        <c:lblAlgn val="ctr"/>
        <c:lblOffset val="100"/>
        <c:noMultiLvlLbl val="0"/>
      </c:catAx>
      <c:valAx>
        <c:axId val="114003328"/>
        <c:scaling>
          <c:orientation val="minMax"/>
          <c:min val="30000"/>
        </c:scaling>
        <c:delete val="0"/>
        <c:axPos val="l"/>
        <c:majorGridlines/>
        <c:numFmt formatCode="#,##0" sourceLinked="0"/>
        <c:majorTickMark val="out"/>
        <c:minorTickMark val="none"/>
        <c:tickLblPos val="nextTo"/>
        <c:crossAx val="1140017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FF1B6-29EA-485E-9B75-AA3B33AD0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43A8C-AB47-4D26-A5F7-710B7528BFAA}">
  <ds:schemaRefs>
    <ds:schemaRef ds:uri="http://schemas.microsoft.com/sharepoint/v3/contenttype/forms"/>
  </ds:schemaRefs>
</ds:datastoreItem>
</file>

<file path=customXml/itemProps3.xml><?xml version="1.0" encoding="utf-8"?>
<ds:datastoreItem xmlns:ds="http://schemas.openxmlformats.org/officeDocument/2006/customXml" ds:itemID="{C4650FFC-5EC3-4FDF-BF07-D8291CB57A81}">
  <ds:schemaRefs>
    <ds:schemaRef ds:uri="http://purl.org/dc/dcmityp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5743B3A7-86B2-4EAD-8E04-D6211B54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33824</Words>
  <Characters>192801</Characters>
  <Application>Microsoft Office Word</Application>
  <DocSecurity>0</DocSecurity>
  <Lines>1606</Lines>
  <Paragraphs>452</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226173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Urška Keše</dc:creator>
  <cp:lastModifiedBy>Anita Žalik-Košutnik</cp:lastModifiedBy>
  <cp:revision>4</cp:revision>
  <cp:lastPrinted>2021-11-03T09:07:00Z</cp:lastPrinted>
  <dcterms:created xsi:type="dcterms:W3CDTF">2021-11-03T09:06:00Z</dcterms:created>
  <dcterms:modified xsi:type="dcterms:W3CDTF">2021-11-03T09:07:00Z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